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3521AC" w:rsidTr="00CB634F">
        <w:trPr>
          <w:cantSplit/>
        </w:trPr>
        <w:tc>
          <w:tcPr>
            <w:tcW w:w="1418" w:type="dxa"/>
            <w:vAlign w:val="center"/>
          </w:tcPr>
          <w:p w:rsidR="00884D12" w:rsidRPr="003521AC" w:rsidRDefault="0055719E" w:rsidP="00CB634F">
            <w:pPr>
              <w:tabs>
                <w:tab w:val="right" w:pos="8732"/>
              </w:tabs>
              <w:spacing w:before="0"/>
              <w:rPr>
                <w:b/>
                <w:bCs/>
                <w:iCs/>
                <w:color w:val="FFFFFF"/>
                <w:sz w:val="30"/>
                <w:szCs w:val="30"/>
              </w:rPr>
            </w:pPr>
            <w:r w:rsidRPr="003521AC">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3521AC" w:rsidRDefault="00884D12" w:rsidP="00884D12">
            <w:pPr>
              <w:spacing w:before="0"/>
              <w:rPr>
                <w:rFonts w:cs="Times New Roman Bold"/>
                <w:b/>
                <w:bCs/>
                <w:smallCaps/>
                <w:sz w:val="26"/>
                <w:szCs w:val="26"/>
              </w:rPr>
            </w:pPr>
            <w:r w:rsidRPr="003521AC">
              <w:rPr>
                <w:rFonts w:cs="Times New Roman Bold"/>
                <w:b/>
                <w:bCs/>
                <w:smallCaps/>
                <w:sz w:val="36"/>
                <w:szCs w:val="36"/>
              </w:rPr>
              <w:t>Unión Internacional de Telecomunicaciones</w:t>
            </w:r>
          </w:p>
          <w:p w:rsidR="00884D12" w:rsidRPr="003521AC" w:rsidRDefault="00884D12" w:rsidP="00884D12">
            <w:pPr>
              <w:tabs>
                <w:tab w:val="right" w:pos="8732"/>
              </w:tabs>
              <w:spacing w:before="0"/>
              <w:rPr>
                <w:b/>
                <w:bCs/>
                <w:iCs/>
                <w:color w:val="FFFFFF"/>
                <w:sz w:val="30"/>
                <w:szCs w:val="30"/>
              </w:rPr>
            </w:pPr>
            <w:r w:rsidRPr="003521AC">
              <w:rPr>
                <w:rFonts w:cs="Times New Roman Bold"/>
                <w:b/>
                <w:bCs/>
                <w:iCs/>
                <w:smallCaps/>
                <w:sz w:val="28"/>
                <w:szCs w:val="28"/>
              </w:rPr>
              <w:t>Oficina de Normalización de las Telecomunicaciones</w:t>
            </w:r>
          </w:p>
        </w:tc>
        <w:tc>
          <w:tcPr>
            <w:tcW w:w="1984" w:type="dxa"/>
            <w:vAlign w:val="center"/>
          </w:tcPr>
          <w:p w:rsidR="00884D12" w:rsidRPr="003521AC" w:rsidRDefault="00884D12" w:rsidP="00CB634F">
            <w:pPr>
              <w:spacing w:before="0"/>
              <w:jc w:val="right"/>
              <w:rPr>
                <w:color w:val="FFFFFF"/>
                <w:sz w:val="26"/>
                <w:szCs w:val="26"/>
              </w:rPr>
            </w:pPr>
          </w:p>
        </w:tc>
      </w:tr>
    </w:tbl>
    <w:p w:rsidR="00C34772" w:rsidRPr="003521AC" w:rsidRDefault="00C34772" w:rsidP="00303D62">
      <w:pPr>
        <w:tabs>
          <w:tab w:val="clear" w:pos="794"/>
          <w:tab w:val="clear" w:pos="1191"/>
          <w:tab w:val="clear" w:pos="1588"/>
          <w:tab w:val="clear" w:pos="1985"/>
          <w:tab w:val="left" w:pos="4962"/>
        </w:tabs>
      </w:pPr>
    </w:p>
    <w:p w:rsidR="00C34772" w:rsidRPr="003521AC" w:rsidRDefault="00C34772" w:rsidP="00303D62">
      <w:pPr>
        <w:tabs>
          <w:tab w:val="clear" w:pos="794"/>
          <w:tab w:val="clear" w:pos="1191"/>
          <w:tab w:val="clear" w:pos="1588"/>
          <w:tab w:val="clear" w:pos="1985"/>
          <w:tab w:val="left" w:pos="4962"/>
        </w:tabs>
      </w:pPr>
      <w:r w:rsidRPr="003521AC">
        <w:tab/>
        <w:t xml:space="preserve">Ginebra, </w:t>
      </w:r>
      <w:r w:rsidR="00CB3CCB" w:rsidRPr="003521AC">
        <w:t>29 de octubre de 2018</w:t>
      </w:r>
    </w:p>
    <w:p w:rsidR="00CB3CCB" w:rsidRPr="003521AC" w:rsidRDefault="00CB3CCB" w:rsidP="00303D62">
      <w:pPr>
        <w:tabs>
          <w:tab w:val="clear" w:pos="794"/>
          <w:tab w:val="clear" w:pos="1191"/>
          <w:tab w:val="clear" w:pos="1588"/>
          <w:tab w:val="clear" w:pos="1985"/>
          <w:tab w:val="left" w:pos="4962"/>
        </w:tabs>
      </w:pPr>
    </w:p>
    <w:tbl>
      <w:tblPr>
        <w:tblW w:w="10206" w:type="dxa"/>
        <w:tblInd w:w="8" w:type="dxa"/>
        <w:tblLayout w:type="fixed"/>
        <w:tblCellMar>
          <w:left w:w="0" w:type="dxa"/>
          <w:right w:w="0" w:type="dxa"/>
        </w:tblCellMar>
        <w:tblLook w:val="0000" w:firstRow="0" w:lastRow="0" w:firstColumn="0" w:lastColumn="0" w:noHBand="0" w:noVBand="0"/>
      </w:tblPr>
      <w:tblGrid>
        <w:gridCol w:w="1294"/>
        <w:gridCol w:w="3583"/>
        <w:gridCol w:w="5329"/>
      </w:tblGrid>
      <w:tr w:rsidR="00CB3CCB" w:rsidRPr="003521AC" w:rsidTr="003D3AEB">
        <w:trPr>
          <w:cantSplit/>
          <w:trHeight w:val="383"/>
        </w:trPr>
        <w:tc>
          <w:tcPr>
            <w:tcW w:w="1294" w:type="dxa"/>
          </w:tcPr>
          <w:p w:rsidR="00CB3CCB" w:rsidRPr="003521AC" w:rsidRDefault="00CB3CCB" w:rsidP="003D3AEB">
            <w:pPr>
              <w:tabs>
                <w:tab w:val="left" w:pos="4111"/>
              </w:tabs>
              <w:spacing w:before="40" w:after="40"/>
              <w:ind w:left="57"/>
              <w:rPr>
                <w:szCs w:val="24"/>
              </w:rPr>
            </w:pPr>
            <w:r w:rsidRPr="003521AC">
              <w:rPr>
                <w:szCs w:val="24"/>
              </w:rPr>
              <w:t>Ref.:</w:t>
            </w:r>
          </w:p>
        </w:tc>
        <w:tc>
          <w:tcPr>
            <w:tcW w:w="3583" w:type="dxa"/>
          </w:tcPr>
          <w:p w:rsidR="00CB3CCB" w:rsidRPr="009C64E3" w:rsidRDefault="00CB3CCB" w:rsidP="003D3AEB">
            <w:pPr>
              <w:tabs>
                <w:tab w:val="left" w:pos="4111"/>
              </w:tabs>
              <w:spacing w:before="40" w:after="40"/>
              <w:ind w:left="57"/>
              <w:rPr>
                <w:b/>
                <w:lang w:val="en-GB"/>
              </w:rPr>
            </w:pPr>
            <w:r w:rsidRPr="009C64E3">
              <w:rPr>
                <w:b/>
                <w:lang w:val="en-GB"/>
              </w:rPr>
              <w:t>Circular TSB 127</w:t>
            </w:r>
          </w:p>
          <w:p w:rsidR="00CB3CCB" w:rsidRPr="009C64E3" w:rsidRDefault="00CB3CCB" w:rsidP="003D3AEB">
            <w:pPr>
              <w:tabs>
                <w:tab w:val="left" w:pos="4111"/>
              </w:tabs>
              <w:spacing w:before="40" w:after="40"/>
              <w:ind w:left="57"/>
              <w:rPr>
                <w:b/>
                <w:lang w:val="en-GB"/>
              </w:rPr>
            </w:pPr>
            <w:r w:rsidRPr="009C64E3">
              <w:rPr>
                <w:szCs w:val="24"/>
                <w:lang w:val="en-GB"/>
              </w:rPr>
              <w:t>TSB Events/TK</w:t>
            </w:r>
          </w:p>
        </w:tc>
        <w:tc>
          <w:tcPr>
            <w:tcW w:w="5329" w:type="dxa"/>
            <w:vMerge w:val="restart"/>
          </w:tcPr>
          <w:p w:rsidR="00CB3CCB" w:rsidRPr="003521AC" w:rsidRDefault="00CB3CCB" w:rsidP="003D3AEB">
            <w:pPr>
              <w:tabs>
                <w:tab w:val="clear" w:pos="794"/>
                <w:tab w:val="clear" w:pos="1191"/>
                <w:tab w:val="clear" w:pos="1588"/>
                <w:tab w:val="clear" w:pos="1985"/>
                <w:tab w:val="left" w:pos="226"/>
              </w:tabs>
              <w:spacing w:before="40" w:after="40"/>
              <w:ind w:left="283" w:hanging="226"/>
              <w:rPr>
                <w:b/>
                <w:bCs/>
              </w:rPr>
            </w:pPr>
            <w:bookmarkStart w:id="0" w:name="Addressee_S"/>
            <w:bookmarkEnd w:id="0"/>
            <w:r w:rsidRPr="003521AC">
              <w:rPr>
                <w:b/>
                <w:bCs/>
              </w:rPr>
              <w:t>A:</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las Administraciones de los Estados Miembros</w:t>
            </w:r>
            <w:r w:rsidRPr="003521AC">
              <w:br/>
              <w:t>de la Unión;</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los Miembros de Sector del UIT-T;</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los Asociados del UIT</w:t>
            </w:r>
            <w:r w:rsidRPr="003521AC">
              <w:noBreakHyphen/>
              <w:t>T;</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las Instituciones Académicas de la UIT</w:t>
            </w:r>
          </w:p>
        </w:tc>
      </w:tr>
      <w:tr w:rsidR="00CB3CCB" w:rsidRPr="003521AC" w:rsidTr="003D3AEB">
        <w:trPr>
          <w:cantSplit/>
          <w:trHeight w:val="383"/>
        </w:trPr>
        <w:tc>
          <w:tcPr>
            <w:tcW w:w="1294" w:type="dxa"/>
          </w:tcPr>
          <w:p w:rsidR="00CB3CCB" w:rsidRPr="003521AC" w:rsidRDefault="00CB3CCB" w:rsidP="003D3AEB">
            <w:pPr>
              <w:tabs>
                <w:tab w:val="left" w:pos="4111"/>
              </w:tabs>
              <w:spacing w:before="40" w:after="40"/>
              <w:ind w:left="57"/>
              <w:rPr>
                <w:szCs w:val="24"/>
              </w:rPr>
            </w:pPr>
            <w:r w:rsidRPr="003521AC">
              <w:rPr>
                <w:szCs w:val="24"/>
              </w:rPr>
              <w:t>Contacto:</w:t>
            </w:r>
          </w:p>
        </w:tc>
        <w:tc>
          <w:tcPr>
            <w:tcW w:w="3583" w:type="dxa"/>
          </w:tcPr>
          <w:p w:rsidR="00CB3CCB" w:rsidRPr="003521AC" w:rsidRDefault="00CB3CCB" w:rsidP="003D3AEB">
            <w:pPr>
              <w:tabs>
                <w:tab w:val="left" w:pos="4111"/>
              </w:tabs>
              <w:spacing w:before="40" w:after="40"/>
              <w:ind w:left="57"/>
              <w:rPr>
                <w:bCs/>
              </w:rPr>
            </w:pPr>
            <w:r w:rsidRPr="003521AC">
              <w:rPr>
                <w:b/>
                <w:bCs/>
              </w:rPr>
              <w:t>Tatiana KURAKOVA</w:t>
            </w:r>
          </w:p>
        </w:tc>
        <w:tc>
          <w:tcPr>
            <w:tcW w:w="5329" w:type="dxa"/>
            <w:vMerge/>
          </w:tcPr>
          <w:p w:rsidR="00CB3CCB" w:rsidRPr="003521AC" w:rsidRDefault="00CB3CCB" w:rsidP="003D3AEB">
            <w:pPr>
              <w:tabs>
                <w:tab w:val="clear" w:pos="794"/>
                <w:tab w:val="clear" w:pos="1191"/>
                <w:tab w:val="clear" w:pos="1588"/>
                <w:tab w:val="clear" w:pos="1985"/>
                <w:tab w:val="left" w:pos="226"/>
              </w:tabs>
              <w:spacing w:before="40" w:after="40"/>
              <w:ind w:left="283" w:hanging="226"/>
              <w:rPr>
                <w:b/>
                <w:bCs/>
              </w:rPr>
            </w:pPr>
          </w:p>
        </w:tc>
      </w:tr>
      <w:tr w:rsidR="00CB3CCB" w:rsidRPr="003521AC" w:rsidTr="003D3AEB">
        <w:trPr>
          <w:cantSplit/>
          <w:trHeight w:val="383"/>
        </w:trPr>
        <w:tc>
          <w:tcPr>
            <w:tcW w:w="1294" w:type="dxa"/>
          </w:tcPr>
          <w:p w:rsidR="00CB3CCB" w:rsidRPr="003521AC" w:rsidRDefault="00CB3CCB" w:rsidP="003D3AEB">
            <w:pPr>
              <w:tabs>
                <w:tab w:val="left" w:pos="4111"/>
              </w:tabs>
              <w:spacing w:before="40" w:after="40"/>
              <w:ind w:left="57"/>
              <w:rPr>
                <w:szCs w:val="24"/>
              </w:rPr>
            </w:pPr>
            <w:r w:rsidRPr="003521AC">
              <w:rPr>
                <w:szCs w:val="24"/>
              </w:rPr>
              <w:t>Tel.:</w:t>
            </w:r>
          </w:p>
        </w:tc>
        <w:tc>
          <w:tcPr>
            <w:tcW w:w="3583" w:type="dxa"/>
          </w:tcPr>
          <w:p w:rsidR="00CB3CCB" w:rsidRPr="003521AC" w:rsidRDefault="00CB3CCB" w:rsidP="003D3AEB">
            <w:pPr>
              <w:tabs>
                <w:tab w:val="left" w:pos="4111"/>
              </w:tabs>
              <w:spacing w:before="40" w:after="40"/>
              <w:ind w:left="57"/>
              <w:rPr>
                <w:bCs/>
              </w:rPr>
            </w:pPr>
            <w:r w:rsidRPr="003521AC">
              <w:t>+41 22 730 5126</w:t>
            </w:r>
          </w:p>
        </w:tc>
        <w:tc>
          <w:tcPr>
            <w:tcW w:w="5329" w:type="dxa"/>
            <w:vMerge/>
          </w:tcPr>
          <w:p w:rsidR="00CB3CCB" w:rsidRPr="003521AC" w:rsidRDefault="00CB3CCB" w:rsidP="003D3AEB">
            <w:pPr>
              <w:tabs>
                <w:tab w:val="clear" w:pos="794"/>
                <w:tab w:val="clear" w:pos="1191"/>
                <w:tab w:val="clear" w:pos="1588"/>
                <w:tab w:val="clear" w:pos="1985"/>
                <w:tab w:val="left" w:pos="226"/>
              </w:tabs>
              <w:spacing w:before="40" w:after="40"/>
              <w:ind w:left="283" w:hanging="226"/>
              <w:rPr>
                <w:b/>
                <w:bCs/>
              </w:rPr>
            </w:pPr>
          </w:p>
        </w:tc>
      </w:tr>
      <w:tr w:rsidR="00CB3CCB" w:rsidRPr="003521AC" w:rsidTr="003D3AEB">
        <w:trPr>
          <w:cantSplit/>
          <w:trHeight w:val="383"/>
        </w:trPr>
        <w:tc>
          <w:tcPr>
            <w:tcW w:w="1294" w:type="dxa"/>
          </w:tcPr>
          <w:p w:rsidR="00CB3CCB" w:rsidRPr="003521AC" w:rsidRDefault="00CB3CCB" w:rsidP="003D3AEB">
            <w:pPr>
              <w:tabs>
                <w:tab w:val="left" w:pos="4111"/>
              </w:tabs>
              <w:spacing w:before="40" w:after="40"/>
              <w:ind w:left="57"/>
              <w:rPr>
                <w:szCs w:val="24"/>
              </w:rPr>
            </w:pPr>
            <w:r w:rsidRPr="003521AC">
              <w:rPr>
                <w:szCs w:val="24"/>
              </w:rPr>
              <w:t>Fax:</w:t>
            </w:r>
          </w:p>
        </w:tc>
        <w:tc>
          <w:tcPr>
            <w:tcW w:w="3583" w:type="dxa"/>
          </w:tcPr>
          <w:p w:rsidR="00CB3CCB" w:rsidRPr="003521AC" w:rsidRDefault="00CB3CCB" w:rsidP="003D3AEB">
            <w:pPr>
              <w:tabs>
                <w:tab w:val="left" w:pos="4111"/>
              </w:tabs>
              <w:spacing w:before="40" w:after="40"/>
              <w:ind w:left="57"/>
              <w:rPr>
                <w:bCs/>
              </w:rPr>
            </w:pPr>
            <w:r w:rsidRPr="003521AC">
              <w:t>+41 22 730 5853</w:t>
            </w:r>
          </w:p>
        </w:tc>
        <w:tc>
          <w:tcPr>
            <w:tcW w:w="5329" w:type="dxa"/>
            <w:vMerge/>
          </w:tcPr>
          <w:p w:rsidR="00CB3CCB" w:rsidRPr="003521AC" w:rsidRDefault="00CB3CCB" w:rsidP="003D3AEB">
            <w:pPr>
              <w:tabs>
                <w:tab w:val="clear" w:pos="794"/>
                <w:tab w:val="clear" w:pos="1191"/>
                <w:tab w:val="clear" w:pos="1588"/>
                <w:tab w:val="clear" w:pos="1985"/>
                <w:tab w:val="left" w:pos="226"/>
              </w:tabs>
              <w:spacing w:before="40" w:after="40"/>
              <w:ind w:left="283" w:hanging="226"/>
              <w:rPr>
                <w:b/>
                <w:bCs/>
              </w:rPr>
            </w:pPr>
          </w:p>
        </w:tc>
      </w:tr>
      <w:tr w:rsidR="00CB3CCB" w:rsidRPr="003521AC" w:rsidTr="003D3AEB">
        <w:trPr>
          <w:cantSplit/>
        </w:trPr>
        <w:tc>
          <w:tcPr>
            <w:tcW w:w="1294" w:type="dxa"/>
          </w:tcPr>
          <w:p w:rsidR="00CB3CCB" w:rsidRPr="003521AC" w:rsidRDefault="00CB3CCB" w:rsidP="003D3AEB">
            <w:pPr>
              <w:tabs>
                <w:tab w:val="left" w:pos="4111"/>
              </w:tabs>
              <w:spacing w:before="40" w:after="40"/>
              <w:ind w:left="57"/>
              <w:rPr>
                <w:szCs w:val="24"/>
              </w:rPr>
            </w:pPr>
            <w:r w:rsidRPr="003521AC">
              <w:rPr>
                <w:szCs w:val="24"/>
              </w:rPr>
              <w:t>Correo-e:</w:t>
            </w:r>
          </w:p>
        </w:tc>
        <w:tc>
          <w:tcPr>
            <w:tcW w:w="3583" w:type="dxa"/>
          </w:tcPr>
          <w:p w:rsidR="00CB3CCB" w:rsidRPr="003521AC" w:rsidRDefault="009C64E3" w:rsidP="003D3AEB">
            <w:pPr>
              <w:tabs>
                <w:tab w:val="left" w:pos="4111"/>
              </w:tabs>
              <w:spacing w:before="40" w:after="40"/>
              <w:ind w:left="57"/>
            </w:pPr>
            <w:hyperlink r:id="rId9" w:history="1">
              <w:r w:rsidR="00CB3CCB" w:rsidRPr="003521AC">
                <w:rPr>
                  <w:rStyle w:val="Hyperlink"/>
                </w:rPr>
                <w:t>tsbevents@itu.int</w:t>
              </w:r>
            </w:hyperlink>
          </w:p>
        </w:tc>
        <w:tc>
          <w:tcPr>
            <w:tcW w:w="5329" w:type="dxa"/>
          </w:tcPr>
          <w:p w:rsidR="00CB3CCB" w:rsidRPr="003521AC" w:rsidRDefault="00CB3CCB" w:rsidP="003D3AEB">
            <w:pPr>
              <w:tabs>
                <w:tab w:val="left" w:pos="4111"/>
              </w:tabs>
              <w:spacing w:before="40" w:after="40"/>
              <w:ind w:left="57"/>
            </w:pPr>
            <w:r w:rsidRPr="003521AC">
              <w:rPr>
                <w:b/>
              </w:rPr>
              <w:t>Copia</w:t>
            </w:r>
            <w:r w:rsidRPr="003521AC">
              <w:t>:</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a los Presidentes y</w:t>
            </w:r>
            <w:r w:rsidRPr="003521AC">
              <w:rPr>
                <w:szCs w:val="24"/>
              </w:rPr>
              <w:t xml:space="preserve"> Vicepresidentes </w:t>
            </w:r>
            <w:r w:rsidRPr="003521AC">
              <w:t>de las Comisiones de Estudio del UIT-T;</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al Director de la Oficina de Desarrollo de las Telecomunicaciones;</w:t>
            </w:r>
          </w:p>
          <w:p w:rsidR="00CB3CCB" w:rsidRPr="003521AC" w:rsidRDefault="00CB3CCB" w:rsidP="003D3AEB">
            <w:pPr>
              <w:tabs>
                <w:tab w:val="clear" w:pos="794"/>
                <w:tab w:val="clear" w:pos="1191"/>
                <w:tab w:val="clear" w:pos="1588"/>
                <w:tab w:val="clear" w:pos="1985"/>
              </w:tabs>
              <w:spacing w:before="40" w:after="40"/>
              <w:ind w:left="275" w:hanging="218"/>
            </w:pPr>
            <w:r w:rsidRPr="003521AC">
              <w:t>–</w:t>
            </w:r>
            <w:r w:rsidRPr="003521AC">
              <w:tab/>
              <w:t>al Director de la Oficina de Radiocomunicaciones</w:t>
            </w:r>
          </w:p>
        </w:tc>
      </w:tr>
      <w:tr w:rsidR="00CB3CCB" w:rsidRPr="003521AC" w:rsidTr="003D3AEB">
        <w:trPr>
          <w:cantSplit/>
        </w:trPr>
        <w:tc>
          <w:tcPr>
            <w:tcW w:w="1294" w:type="dxa"/>
          </w:tcPr>
          <w:p w:rsidR="00CB3CCB" w:rsidRPr="003521AC" w:rsidRDefault="00CB3CCB" w:rsidP="00EA2AA5">
            <w:pPr>
              <w:tabs>
                <w:tab w:val="left" w:pos="4111"/>
              </w:tabs>
              <w:spacing w:before="240" w:after="120"/>
              <w:ind w:left="57"/>
              <w:rPr>
                <w:szCs w:val="24"/>
              </w:rPr>
            </w:pPr>
            <w:r w:rsidRPr="003521AC">
              <w:rPr>
                <w:szCs w:val="24"/>
              </w:rPr>
              <w:t>Asunto:</w:t>
            </w:r>
          </w:p>
        </w:tc>
        <w:tc>
          <w:tcPr>
            <w:tcW w:w="8912" w:type="dxa"/>
            <w:gridSpan w:val="2"/>
          </w:tcPr>
          <w:p w:rsidR="00CB3CCB" w:rsidRPr="003521AC" w:rsidRDefault="00CB3CCB" w:rsidP="00EA2AA5">
            <w:pPr>
              <w:tabs>
                <w:tab w:val="left" w:pos="4111"/>
              </w:tabs>
              <w:spacing w:before="240" w:after="120"/>
              <w:ind w:left="57"/>
              <w:rPr>
                <w:b/>
              </w:rPr>
            </w:pPr>
            <w:r w:rsidRPr="003521AC">
              <w:rPr>
                <w:b/>
                <w:bCs/>
              </w:rPr>
              <w:t>Segundo Taller de la UIT sobre Redes 2030</w:t>
            </w:r>
            <w:r w:rsidR="00EA2AA5" w:rsidRPr="003521AC">
              <w:rPr>
                <w:b/>
                <w:bCs/>
              </w:rPr>
              <w:br/>
            </w:r>
            <w:r w:rsidRPr="003521AC">
              <w:rPr>
                <w:b/>
                <w:bCs/>
              </w:rPr>
              <w:t>(Hong Kong, China, 18 de diciembre de 2018)</w:t>
            </w:r>
          </w:p>
        </w:tc>
      </w:tr>
    </w:tbl>
    <w:p w:rsidR="00CB3CCB" w:rsidRPr="003521AC" w:rsidRDefault="00CB3CCB" w:rsidP="009C64E3">
      <w:pPr>
        <w:pStyle w:val="Normalaftertitle0"/>
      </w:pPr>
      <w:bookmarkStart w:id="1" w:name="StartTyping_S"/>
      <w:bookmarkStart w:id="2" w:name="suitetext"/>
      <w:bookmarkStart w:id="3" w:name="text"/>
      <w:bookmarkEnd w:id="1"/>
      <w:bookmarkEnd w:id="2"/>
      <w:bookmarkEnd w:id="3"/>
      <w:r w:rsidRPr="003521AC">
        <w:t>Muy Señora mía/Muy Señor mío</w:t>
      </w:r>
      <w:r w:rsidR="009C64E3">
        <w:t>,</w:t>
      </w:r>
    </w:p>
    <w:p w:rsidR="00CB3CCB" w:rsidRPr="003521AC" w:rsidRDefault="00CB3CCB" w:rsidP="00CB3CCB">
      <w:r w:rsidRPr="003521AC">
        <w:t>1</w:t>
      </w:r>
      <w:r w:rsidRPr="003521AC">
        <w:tab/>
        <w:t xml:space="preserve">Me complace informarle de que, tras el éxito del primer Taller de la UIT sobre Redes 2030, se celebrará el </w:t>
      </w:r>
      <w:r w:rsidR="00AE4265" w:rsidRPr="003521AC">
        <w:rPr>
          <w:b/>
          <w:bCs/>
        </w:rPr>
        <w:t xml:space="preserve">Segundo </w:t>
      </w:r>
      <w:r w:rsidRPr="003521AC">
        <w:rPr>
          <w:b/>
          <w:bCs/>
        </w:rPr>
        <w:t>Taller de la UIT sobre Redes 2030</w:t>
      </w:r>
      <w:r w:rsidRPr="003521AC">
        <w:t xml:space="preserve"> el día 18 de diciembre de 2018 en Hong</w:t>
      </w:r>
      <w:r w:rsidR="000A1BC8">
        <w:t> </w:t>
      </w:r>
      <w:r w:rsidRPr="003521AC">
        <w:t xml:space="preserve">Kong, China, por </w:t>
      </w:r>
      <w:r w:rsidR="009C64E3">
        <w:t xml:space="preserve">la </w:t>
      </w:r>
      <w:r w:rsidRPr="003521AC">
        <w:t>amable invitación de la Universidad Politécnica de Hong Kong.</w:t>
      </w:r>
    </w:p>
    <w:p w:rsidR="00CB3CCB" w:rsidRPr="003521AC" w:rsidRDefault="00CB3CCB" w:rsidP="009C77E2">
      <w:r w:rsidRPr="003521AC">
        <w:t>El Taller irá seguido de la reunión del Grupo Temático del UIT-T sobre Tecnologías para la Red 2030 (GT NET-2030), que se celebrará en el mismo lugar los días 19 y 20 de diciembre de 2018. Se pueden obtener más detalles en la página web del GT-NET-2030 en la dirección:</w:t>
      </w:r>
      <w:r w:rsidR="009C77E2" w:rsidRPr="003521AC">
        <w:t xml:space="preserve"> </w:t>
      </w:r>
      <w:hyperlink r:id="rId10" w:history="1">
        <w:r w:rsidRPr="003521AC">
          <w:rPr>
            <w:rStyle w:val="Hyperlink"/>
          </w:rPr>
          <w:t>https://www.itu.int/en/ITU-T/focusgroups/net2030/Pages/default.aspx</w:t>
        </w:r>
      </w:hyperlink>
      <w:r w:rsidRPr="003521AC">
        <w:t>.</w:t>
      </w:r>
    </w:p>
    <w:p w:rsidR="00CB3CCB" w:rsidRPr="003521AC" w:rsidRDefault="00CB3CCB" w:rsidP="00CB3CCB">
      <w:r w:rsidRPr="003521AC">
        <w:t>2</w:t>
      </w:r>
      <w:r w:rsidRPr="003521AC">
        <w:tab/>
        <w:t>La participación en el Taller está abierta a los Estados Miembros, a los Miembros de Sector, a los Asociados y a las Instituciones Académicas de la UIT, y a cualquier persona de un Estado Miembro de la UIT que desee contribuir a los trabajos. Esto incluye a las personas que también sean miembros de organizaciones nacionales, regionales e internacionales. La participación en el Taller es gratuita, aunque no se otorgarán becas.</w:t>
      </w:r>
    </w:p>
    <w:p w:rsidR="00CB3CCB" w:rsidRPr="003521AC" w:rsidRDefault="00CB3CCB" w:rsidP="00CB3CCB">
      <w:r w:rsidRPr="003521AC">
        <w:t>3</w:t>
      </w:r>
      <w:r w:rsidRPr="003521AC">
        <w:tab/>
        <w:t>El Taller sobre Redes 2030 tiene por objeto proporcionar un foro que permita a los representantes de la industria y del mundo académico intercambiar ideas acerca de las redes para 2030 y años posteriores. Los participantes tendrán la posibilidad de compartir sus opiniones y conclusiones, los estudios más recientes y la descripción y los objetivos de sus proyectos.</w:t>
      </w:r>
    </w:p>
    <w:p w:rsidR="00CB3CCB" w:rsidRPr="003521AC" w:rsidRDefault="00CB3CCB" w:rsidP="00CB3CCB">
      <w:r w:rsidRPr="003521AC">
        <w:br w:type="page"/>
      </w:r>
    </w:p>
    <w:p w:rsidR="00CB3CCB" w:rsidRPr="003521AC" w:rsidRDefault="00CB3CCB" w:rsidP="00CB3CCB">
      <w:r w:rsidRPr="003521AC">
        <w:lastRenderedPageBreak/>
        <w:t>4</w:t>
      </w:r>
      <w:r w:rsidRPr="003521AC">
        <w:tab/>
        <w:t xml:space="preserve">La información relativa a este Taller estará disponible en el sitio web del evento, </w:t>
      </w:r>
      <w:hyperlink r:id="rId11" w:history="1">
        <w:r w:rsidRPr="003521AC">
          <w:rPr>
            <w:rStyle w:val="Hyperlink"/>
          </w:rPr>
          <w:t>https://www.itu.int/en/ITU-T/Workshops-and-Seminars/20181218/Pages/default.aspx</w:t>
        </w:r>
      </w:hyperlink>
      <w:r w:rsidRPr="003521AC">
        <w:t>. Este sitio web se actualizará periódicamente a medida que se disponga de información nueva o modificada. Se ruega a los participantes que consulten regularmente el sitio web.</w:t>
      </w:r>
    </w:p>
    <w:p w:rsidR="00CB3CCB" w:rsidRPr="003521AC" w:rsidRDefault="00CB3CCB" w:rsidP="00CB3CCB">
      <w:r w:rsidRPr="003521AC">
        <w:t>5</w:t>
      </w:r>
      <w:r w:rsidRPr="003521AC">
        <w:tab/>
        <w:t>Se dispondrá de instalaciones de red de área local inalámbrica en el lugar de celebración del Taller. Este evento se celebrará sin hacer uso de papel.</w:t>
      </w:r>
    </w:p>
    <w:p w:rsidR="00CB3CCB" w:rsidRPr="003521AC" w:rsidRDefault="00CB3CCB" w:rsidP="00CB3CCB">
      <w:bookmarkStart w:id="4" w:name="lt_pId075"/>
      <w:r w:rsidRPr="003521AC">
        <w:t>6</w:t>
      </w:r>
      <w:r w:rsidRPr="003521AC">
        <w:tab/>
      </w:r>
      <w:bookmarkStart w:id="5" w:name="lt_pId076"/>
      <w:bookmarkEnd w:id="4"/>
      <w:r w:rsidRPr="003521AC">
        <w:t xml:space="preserve">Le invitamos a cumplimentar en línea el formulario de inscripción en la dirección </w:t>
      </w:r>
      <w:hyperlink r:id="rId12" w:history="1">
        <w:r w:rsidRPr="003521AC">
          <w:rPr>
            <w:rStyle w:val="Hyperlink"/>
          </w:rPr>
          <w:t>https://www.itu.int/net4/CRM/xreg/web/Registration.aspx?Event=C-00005373</w:t>
        </w:r>
      </w:hyperlink>
      <w:r w:rsidRPr="003521AC">
        <w:t xml:space="preserve">, a más tardar el </w:t>
      </w:r>
      <w:r w:rsidR="008A3ACF" w:rsidRPr="003521AC">
        <w:rPr>
          <w:b/>
          <w:bCs/>
        </w:rPr>
        <w:t>7 </w:t>
      </w:r>
      <w:r w:rsidRPr="003521AC">
        <w:rPr>
          <w:b/>
          <w:bCs/>
        </w:rPr>
        <w:t>de diciembre de 2018</w:t>
      </w:r>
      <w:r w:rsidRPr="003521AC">
        <w:t>.</w:t>
      </w:r>
      <w:bookmarkEnd w:id="5"/>
      <w:r w:rsidRPr="003521AC">
        <w:t xml:space="preserve"> </w:t>
      </w:r>
      <w:r w:rsidRPr="003521AC">
        <w:rPr>
          <w:b/>
          <w:bCs/>
        </w:rPr>
        <w:t>Le ruego tenga presente que la preinscripción de los participantes en los talleres es obligatoria y que se lleva a cabo</w:t>
      </w:r>
      <w:r w:rsidRPr="003521AC">
        <w:t xml:space="preserve"> </w:t>
      </w:r>
      <w:r w:rsidRPr="003521AC">
        <w:rPr>
          <w:b/>
          <w:bCs/>
        </w:rPr>
        <w:t xml:space="preserve">exclusivamente </w:t>
      </w:r>
      <w:r w:rsidRPr="003521AC">
        <w:rPr>
          <w:b/>
          <w:bCs/>
          <w:i/>
          <w:iCs/>
        </w:rPr>
        <w:t>en línea</w:t>
      </w:r>
      <w:r w:rsidRPr="003521AC">
        <w:t>.</w:t>
      </w:r>
    </w:p>
    <w:p w:rsidR="00CB3CCB" w:rsidRPr="003521AC" w:rsidRDefault="00CB3CCB" w:rsidP="00CB3CCB">
      <w:r w:rsidRPr="003521AC">
        <w:t>7</w:t>
      </w:r>
      <w:r w:rsidRPr="003521AC">
        <w:tab/>
        <w:t>En la página web del Taller podrá consultar un documento de información práctica en el que encontrará toda la información pertinente sobre el Taller, como el lugar donde se celebra, las indicaciones para llegar y los detalles de la persona de contacto responsable de cuestiones de visados y logística.</w:t>
      </w:r>
    </w:p>
    <w:p w:rsidR="00CB3CCB" w:rsidRPr="003521AC" w:rsidRDefault="00CB3CCB" w:rsidP="00CB3CCB">
      <w:r w:rsidRPr="003521AC">
        <w:t>8</w:t>
      </w:r>
      <w:r w:rsidRPr="003521AC">
        <w:rPr>
          <w:b/>
          <w:bCs/>
        </w:rPr>
        <w:tab/>
      </w:r>
      <w:r w:rsidRPr="003521AC">
        <w:t>En caso necesario, los visados deberán solicitarse lo antes posible</w:t>
      </w:r>
      <w:r w:rsidRPr="003521AC">
        <w:rPr>
          <w:b/>
        </w:rPr>
        <w:t xml:space="preserve"> </w:t>
      </w:r>
      <w:r w:rsidRPr="003521AC">
        <w:t xml:space="preserve">en la embajada o el consulado que representa a China en su país o, en su defecto, en la más próxima a su país de partida. </w:t>
      </w:r>
      <w:r w:rsidRPr="003521AC">
        <w:rPr>
          <w:rFonts w:cs="Arial"/>
          <w:szCs w:val="24"/>
        </w:rPr>
        <w:t>Los delegados que necesiten información adicional para solicitar un visado deben visitar la página web del evento</w:t>
      </w:r>
      <w:r w:rsidRPr="003521AC">
        <w:t>.</w:t>
      </w:r>
    </w:p>
    <w:p w:rsidR="00CB3CCB" w:rsidRPr="003521AC" w:rsidRDefault="00CB3CCB" w:rsidP="00CB3CCB">
      <w:r w:rsidRPr="003521AC">
        <w:t>Atentamente</w:t>
      </w:r>
      <w:r w:rsidR="0088331E" w:rsidRPr="003521AC">
        <w:t>,</w:t>
      </w:r>
    </w:p>
    <w:p w:rsidR="00CB3CCB" w:rsidRPr="003521AC" w:rsidRDefault="00CB3CCB" w:rsidP="00CB3CCB">
      <w:pPr>
        <w:spacing w:before="360"/>
      </w:pPr>
      <w:bookmarkStart w:id="6" w:name="_GoBack"/>
      <w:r w:rsidRPr="003521AC">
        <w:rPr>
          <w:i/>
          <w:iCs/>
        </w:rPr>
        <w:t>(</w:t>
      </w:r>
      <w:proofErr w:type="gramStart"/>
      <w:r w:rsidRPr="003521AC">
        <w:rPr>
          <w:i/>
          <w:iCs/>
        </w:rPr>
        <w:t>firmado</w:t>
      </w:r>
      <w:proofErr w:type="gramEnd"/>
      <w:r w:rsidRPr="003521AC">
        <w:rPr>
          <w:i/>
          <w:iCs/>
        </w:rPr>
        <w:t>)</w:t>
      </w:r>
    </w:p>
    <w:bookmarkEnd w:id="6"/>
    <w:p w:rsidR="00401C20" w:rsidRPr="003521AC" w:rsidRDefault="00CB3CCB" w:rsidP="00CB3CCB">
      <w:pPr>
        <w:spacing w:before="480"/>
      </w:pPr>
      <w:r w:rsidRPr="003521AC">
        <w:t>Chaesub Lee</w:t>
      </w:r>
      <w:r w:rsidRPr="003521AC">
        <w:br/>
        <w:t>Director de la Oficina de</w:t>
      </w:r>
      <w:r w:rsidRPr="003521AC">
        <w:br/>
        <w:t>Normalización de las Telecomunicaciones</w:t>
      </w:r>
    </w:p>
    <w:sectPr w:rsidR="00401C20" w:rsidRPr="003521AC"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F5" w:rsidRDefault="00534CF5">
      <w:r>
        <w:separator/>
      </w:r>
    </w:p>
  </w:endnote>
  <w:endnote w:type="continuationSeparator" w:id="0">
    <w:p w:rsidR="00534CF5" w:rsidRDefault="0053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F5" w:rsidRDefault="00534CF5">
      <w:r>
        <w:t>____________________</w:t>
      </w:r>
    </w:p>
  </w:footnote>
  <w:footnote w:type="continuationSeparator" w:id="0">
    <w:p w:rsidR="00534CF5" w:rsidRDefault="0053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CB3CCB" w:rsidRDefault="00CB3CCB" w:rsidP="00CB3CCB">
    <w:pPr>
      <w:spacing w:before="0"/>
      <w:jc w:val="center"/>
      <w:rPr>
        <w:rFonts w:ascii="Calibri" w:hAnsi="Calibri"/>
        <w:sz w:val="18"/>
        <w:lang w:val="en-US"/>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C64E3">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r>
      <w:rPr>
        <w:rStyle w:val="PageNumber"/>
        <w:sz w:val="18"/>
        <w:szCs w:val="18"/>
      </w:rPr>
      <w:br/>
    </w:r>
    <w:r w:rsidRPr="004C58BA">
      <w:rPr>
        <w:rFonts w:ascii="Calibri" w:hAnsi="Calibri"/>
        <w:noProof/>
        <w:sz w:val="18"/>
        <w:lang w:val="en-GB"/>
      </w:rPr>
      <w:t xml:space="preserve">Circular TSB </w:t>
    </w:r>
    <w:r>
      <w:rPr>
        <w:rFonts w:ascii="Calibri" w:hAnsi="Calibri"/>
        <w:noProof/>
        <w:sz w:val="18"/>
        <w:lang w:val="en-GB"/>
      </w:rPr>
      <w:t>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CB"/>
    <w:rsid w:val="00002529"/>
    <w:rsid w:val="00085662"/>
    <w:rsid w:val="000A1BC8"/>
    <w:rsid w:val="000C382F"/>
    <w:rsid w:val="000D062C"/>
    <w:rsid w:val="000F5D06"/>
    <w:rsid w:val="001173CC"/>
    <w:rsid w:val="0014464D"/>
    <w:rsid w:val="001A54CC"/>
    <w:rsid w:val="001E334C"/>
    <w:rsid w:val="001E6FE1"/>
    <w:rsid w:val="00257FB4"/>
    <w:rsid w:val="002E496E"/>
    <w:rsid w:val="00303D62"/>
    <w:rsid w:val="00335367"/>
    <w:rsid w:val="003521AC"/>
    <w:rsid w:val="00370C2D"/>
    <w:rsid w:val="003D1E8D"/>
    <w:rsid w:val="003D673B"/>
    <w:rsid w:val="003F2855"/>
    <w:rsid w:val="00401C20"/>
    <w:rsid w:val="004A7957"/>
    <w:rsid w:val="004C4144"/>
    <w:rsid w:val="00534CF5"/>
    <w:rsid w:val="0055719E"/>
    <w:rsid w:val="006969B4"/>
    <w:rsid w:val="006E4F7B"/>
    <w:rsid w:val="00781E2A"/>
    <w:rsid w:val="007933A2"/>
    <w:rsid w:val="007D29E4"/>
    <w:rsid w:val="00814503"/>
    <w:rsid w:val="008258C2"/>
    <w:rsid w:val="008505BD"/>
    <w:rsid w:val="00850C78"/>
    <w:rsid w:val="0088331E"/>
    <w:rsid w:val="00884D12"/>
    <w:rsid w:val="008A3ACF"/>
    <w:rsid w:val="008C17AD"/>
    <w:rsid w:val="008D02CD"/>
    <w:rsid w:val="0091370C"/>
    <w:rsid w:val="0095172A"/>
    <w:rsid w:val="009A0BA0"/>
    <w:rsid w:val="009C64E3"/>
    <w:rsid w:val="009C77E2"/>
    <w:rsid w:val="00A450DD"/>
    <w:rsid w:val="00A54E47"/>
    <w:rsid w:val="00AB6E3A"/>
    <w:rsid w:val="00AE4265"/>
    <w:rsid w:val="00AE7093"/>
    <w:rsid w:val="00B422BC"/>
    <w:rsid w:val="00B43F77"/>
    <w:rsid w:val="00B55A3E"/>
    <w:rsid w:val="00B87E9E"/>
    <w:rsid w:val="00B95F0A"/>
    <w:rsid w:val="00B96180"/>
    <w:rsid w:val="00C116FE"/>
    <w:rsid w:val="00C17AC0"/>
    <w:rsid w:val="00C34772"/>
    <w:rsid w:val="00C5465A"/>
    <w:rsid w:val="00CB3CCB"/>
    <w:rsid w:val="00CF4524"/>
    <w:rsid w:val="00D54642"/>
    <w:rsid w:val="00DD77C9"/>
    <w:rsid w:val="00DF3538"/>
    <w:rsid w:val="00E0575A"/>
    <w:rsid w:val="00E268BD"/>
    <w:rsid w:val="00E2736B"/>
    <w:rsid w:val="00E839B0"/>
    <w:rsid w:val="00E92C09"/>
    <w:rsid w:val="00E96DDB"/>
    <w:rsid w:val="00EA2AA5"/>
    <w:rsid w:val="00ED79AE"/>
    <w:rsid w:val="00F14380"/>
    <w:rsid w:val="00F25BAE"/>
    <w:rsid w:val="00F52E11"/>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A822A71-B3C3-46BF-A14C-20271F3E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53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1218/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focusgroups/net2030/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85F2-52F2-480B-8701-79F976D5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5</TotalTime>
  <Pages>2</Pages>
  <Words>583</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4037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Spanish33</dc:creator>
  <cp:lastModifiedBy>Millet, Lia</cp:lastModifiedBy>
  <cp:revision>3</cp:revision>
  <cp:lastPrinted>2018-11-27T16:46:00Z</cp:lastPrinted>
  <dcterms:created xsi:type="dcterms:W3CDTF">2018-11-27T10:05:00Z</dcterms:created>
  <dcterms:modified xsi:type="dcterms:W3CDTF">2018-11-27T16:46:00Z</dcterms:modified>
</cp:coreProperties>
</file>