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46A0" w:rsidRDefault="009747C5" w:rsidP="003E1252">
            <w:pPr>
              <w:pStyle w:val="Tabletext"/>
            </w:pPr>
            <w:bookmarkStart w:id="0" w:name="_GoBack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CA7E299" wp14:editId="1FACAD33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:rsidR="00FA46A0" w:rsidRPr="003E1252" w:rsidRDefault="00FA46A0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:rsidR="00FA46A0" w:rsidRPr="003E1252" w:rsidRDefault="00B61012" w:rsidP="00280B75">
            <w:pPr>
              <w:pStyle w:val="Tabletext"/>
              <w:spacing w:before="480" w:after="120"/>
              <w:ind w:left="-108"/>
            </w:pPr>
            <w:r w:rsidRPr="003E1252">
              <w:t>Geneva,</w:t>
            </w:r>
            <w:r w:rsidR="003E1252">
              <w:t xml:space="preserve"> </w:t>
            </w:r>
            <w:r w:rsidR="00280B75">
              <w:t>1 October</w:t>
            </w:r>
            <w:r w:rsidR="003E1252">
              <w:t xml:space="preserve"> 2018</w:t>
            </w:r>
            <w:r w:rsidRPr="003E1252">
              <w:t xml:space="preserve"> </w:t>
            </w:r>
          </w:p>
        </w:tc>
      </w:tr>
      <w:tr w:rsidR="00FA46A0">
        <w:trPr>
          <w:cantSplit/>
          <w:trHeight w:val="746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:rsidR="00FA46A0" w:rsidRPr="00FC1C19" w:rsidRDefault="00B61012" w:rsidP="002F5CA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2F5CAB">
              <w:rPr>
                <w:b/>
                <w:bCs/>
              </w:rPr>
              <w:t>118</w:t>
            </w:r>
          </w:p>
        </w:tc>
        <w:tc>
          <w:tcPr>
            <w:tcW w:w="5103" w:type="dxa"/>
            <w:gridSpan w:val="2"/>
            <w:vMerge w:val="restart"/>
          </w:tcPr>
          <w:p w:rsidR="00FF5729" w:rsidRPr="00FF5729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:rsidR="00FF5729" w:rsidRPr="00FF572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  <w:r w:rsidR="00A72C30">
              <w:rPr>
                <w:szCs w:val="24"/>
              </w:rPr>
              <w:t>;</w:t>
            </w:r>
          </w:p>
          <w:p w:rsidR="00FF5729" w:rsidRPr="00FF572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FF5729">
              <w:rPr>
                <w:szCs w:val="24"/>
                <w:lang w:val="fr-CH"/>
              </w:rPr>
              <w:t>Sector</w:t>
            </w:r>
            <w:proofErr w:type="spellEnd"/>
            <w:r w:rsidRPr="00FF5729">
              <w:rPr>
                <w:szCs w:val="24"/>
                <w:lang w:val="fr-CH"/>
              </w:rPr>
              <w:t xml:space="preserve"> </w:t>
            </w:r>
            <w:proofErr w:type="spellStart"/>
            <w:r w:rsidRPr="00FF5729">
              <w:rPr>
                <w:szCs w:val="24"/>
                <w:lang w:val="fr-CH"/>
              </w:rPr>
              <w:t>Members</w:t>
            </w:r>
            <w:proofErr w:type="spellEnd"/>
            <w:r w:rsidR="00A72C30">
              <w:rPr>
                <w:szCs w:val="24"/>
                <w:lang w:val="fr-CH"/>
              </w:rPr>
              <w:t>;</w:t>
            </w:r>
          </w:p>
          <w:p w:rsidR="00FF5729" w:rsidRPr="00FF572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>ITU-T Associates</w:t>
            </w:r>
            <w:r w:rsidR="00A72C30">
              <w:rPr>
                <w:szCs w:val="24"/>
                <w:lang w:val="fr-CH"/>
              </w:rPr>
              <w:t>;</w:t>
            </w:r>
          </w:p>
          <w:p w:rsidR="00FA46A0" w:rsidRPr="00FF5729" w:rsidRDefault="00FF5729" w:rsidP="009747C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</w:tc>
      </w:tr>
      <w:tr w:rsidR="00FA46A0">
        <w:trPr>
          <w:cantSplit/>
          <w:trHeight w:val="221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:rsidR="00FA46A0" w:rsidRDefault="00C95BF6" w:rsidP="00467F8F">
            <w:pPr>
              <w:pStyle w:val="Tabletext"/>
              <w:rPr>
                <w:b/>
              </w:rPr>
            </w:pPr>
            <w:r>
              <w:t xml:space="preserve">+41 22 730 </w:t>
            </w:r>
            <w:r w:rsidR="00EC1909">
              <w:t>6239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>
        <w:trPr>
          <w:cantSplit/>
          <w:trHeight w:val="282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:rsidR="00FA46A0" w:rsidRDefault="00B61012">
            <w:pPr>
              <w:pStyle w:val="Tabletext"/>
              <w:rPr>
                <w:b/>
              </w:rPr>
            </w:pPr>
            <w:r>
              <w:t xml:space="preserve">+41 22 730 </w:t>
            </w:r>
            <w:r w:rsidR="00EC1909">
              <w:t>5853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 w:rsidTr="009B2EB5">
        <w:trPr>
          <w:cantSplit/>
          <w:trHeight w:val="2551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:rsidR="00FA46A0" w:rsidRPr="00F42841" w:rsidRDefault="000C6890" w:rsidP="00467F8F">
            <w:pPr>
              <w:pStyle w:val="Tabletext"/>
              <w:rPr>
                <w:sz w:val="22"/>
                <w:szCs w:val="22"/>
                <w:lang w:val="en-US"/>
              </w:rPr>
            </w:pPr>
            <w:hyperlink r:id="rId8" w:history="1">
              <w:r w:rsidR="00467F8F" w:rsidRPr="00467F8F">
                <w:rPr>
                  <w:rStyle w:val="Hyperlink"/>
                </w:rPr>
                <w:t>tsbdir@itu.int</w:t>
              </w:r>
            </w:hyperlink>
          </w:p>
        </w:tc>
        <w:tc>
          <w:tcPr>
            <w:tcW w:w="5103" w:type="dxa"/>
            <w:gridSpan w:val="2"/>
          </w:tcPr>
          <w:p w:rsidR="00FC1C19" w:rsidRPr="00963900" w:rsidRDefault="00B61012" w:rsidP="00FF5729">
            <w:pPr>
              <w:pStyle w:val="Tabletext"/>
              <w:ind w:left="283" w:hanging="391"/>
            </w:pPr>
            <w:r w:rsidRPr="00963900">
              <w:rPr>
                <w:b/>
              </w:rPr>
              <w:t>Copy to:</w:t>
            </w:r>
          </w:p>
          <w:p w:rsidR="003746A5" w:rsidRPr="00963900" w:rsidRDefault="003746A5" w:rsidP="00963900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</w:r>
            <w:r w:rsidR="00963900" w:rsidRPr="00963900">
              <w:t>T</w:t>
            </w:r>
            <w:r w:rsidRPr="00963900">
              <w:t>he Chairm</w:t>
            </w:r>
            <w:r w:rsidR="00D62702">
              <w:t>e</w:t>
            </w:r>
            <w:r w:rsidRPr="00963900">
              <w:t>n and Vice-Chairmen of Study Group</w:t>
            </w:r>
            <w:r w:rsidR="00FC1C19" w:rsidRPr="00963900">
              <w:t>s;</w:t>
            </w:r>
          </w:p>
          <w:p w:rsidR="003746A5" w:rsidRPr="00963900" w:rsidRDefault="003746A5" w:rsidP="00963900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Director of the Telecommunication Development Bureau;</w:t>
            </w:r>
          </w:p>
          <w:p w:rsidR="00467F8F" w:rsidRDefault="003746A5" w:rsidP="003E1252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 xml:space="preserve">The Director </w:t>
            </w:r>
            <w:r w:rsidR="00467F8F">
              <w:t xml:space="preserve">of the </w:t>
            </w:r>
            <w:proofErr w:type="spellStart"/>
            <w:r w:rsidR="00467F8F">
              <w:t>Radiocommunication</w:t>
            </w:r>
            <w:proofErr w:type="spellEnd"/>
            <w:r w:rsidR="00467F8F">
              <w:t xml:space="preserve"> Bureau</w:t>
            </w:r>
            <w:r w:rsidR="00753A03">
              <w:t>;</w:t>
            </w:r>
          </w:p>
          <w:p w:rsidR="00467F8F" w:rsidRDefault="00467F8F" w:rsidP="00467F8F">
            <w:pPr>
              <w:pStyle w:val="Tabletext"/>
              <w:tabs>
                <w:tab w:val="clear" w:pos="284"/>
              </w:tabs>
              <w:ind w:left="283" w:hanging="391"/>
            </w:pPr>
            <w:r>
              <w:t>-      TIES Focal Points</w:t>
            </w:r>
            <w:r w:rsidR="00753A03">
              <w:t>;</w:t>
            </w:r>
          </w:p>
          <w:p w:rsidR="00467F8F" w:rsidRDefault="00467F8F" w:rsidP="00467F8F">
            <w:pPr>
              <w:pStyle w:val="Tabletext"/>
              <w:tabs>
                <w:tab w:val="clear" w:pos="284"/>
              </w:tabs>
              <w:ind w:left="283" w:hanging="391"/>
            </w:pPr>
            <w:r>
              <w:t>-      ITU-T Registration Focal Points</w:t>
            </w:r>
          </w:p>
          <w:p w:rsidR="0030154E" w:rsidRDefault="0030154E" w:rsidP="00467F8F">
            <w:pPr>
              <w:pStyle w:val="Tabletext"/>
              <w:tabs>
                <w:tab w:val="clear" w:pos="284"/>
              </w:tabs>
              <w:ind w:left="283" w:hanging="391"/>
            </w:pPr>
          </w:p>
        </w:tc>
      </w:tr>
      <w:tr w:rsidR="00FA46A0">
        <w:trPr>
          <w:cantSplit/>
          <w:trHeight w:val="618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:rsidR="00FA46A0" w:rsidRDefault="00467F8F" w:rsidP="001C138D">
            <w:pPr>
              <w:pStyle w:val="Tabletext"/>
            </w:pPr>
            <w:r>
              <w:rPr>
                <w:b/>
                <w:bCs/>
              </w:rPr>
              <w:t>Enabling automatic approval of registration requests for IT</w:t>
            </w:r>
            <w:r w:rsidR="001C138D">
              <w:rPr>
                <w:b/>
                <w:bCs/>
              </w:rPr>
              <w:t>U</w:t>
            </w:r>
            <w:r>
              <w:rPr>
                <w:b/>
                <w:bCs/>
              </w:rPr>
              <w:t>-T statutory events</w:t>
            </w:r>
          </w:p>
        </w:tc>
      </w:tr>
    </w:tbl>
    <w:p w:rsidR="0030154E" w:rsidRDefault="0030154E"/>
    <w:p w:rsidR="00FA46A0" w:rsidRDefault="00B61012">
      <w:r>
        <w:t>Dear Sir/Madam,</w:t>
      </w:r>
    </w:p>
    <w:p w:rsidR="00467F8F" w:rsidRPr="00467F8F" w:rsidRDefault="00467F8F" w:rsidP="00467F8F">
      <w:r w:rsidRPr="00467F8F">
        <w:t xml:space="preserve">At the </w:t>
      </w:r>
      <w:r w:rsidR="001C138D">
        <w:t>Telecommunication Standardization Advisory Group (</w:t>
      </w:r>
      <w:r w:rsidRPr="00467F8F">
        <w:t>TSAG</w:t>
      </w:r>
      <w:r w:rsidR="001C138D">
        <w:t>)</w:t>
      </w:r>
      <w:r w:rsidRPr="00467F8F">
        <w:t xml:space="preserve"> meeting in Geneva</w:t>
      </w:r>
      <w:r>
        <w:t>, Switzerland</w:t>
      </w:r>
      <w:r w:rsidRPr="00467F8F">
        <w:t>,</w:t>
      </w:r>
      <w:r>
        <w:t xml:space="preserve"> held from</w:t>
      </w:r>
      <w:r w:rsidRPr="00467F8F">
        <w:t xml:space="preserve"> 26 February – 2 March 2018, </w:t>
      </w:r>
      <w:r>
        <w:t xml:space="preserve">the </w:t>
      </w:r>
      <w:r w:rsidRPr="00467F8F">
        <w:t>T</w:t>
      </w:r>
      <w:r>
        <w:t xml:space="preserve">elecommunication </w:t>
      </w:r>
      <w:r w:rsidRPr="00467F8F">
        <w:t>S</w:t>
      </w:r>
      <w:r>
        <w:t xml:space="preserve">tandardization </w:t>
      </w:r>
      <w:r w:rsidRPr="00467F8F">
        <w:t>B</w:t>
      </w:r>
      <w:r>
        <w:t>ureau</w:t>
      </w:r>
      <w:r w:rsidRPr="00467F8F">
        <w:t xml:space="preserve"> presented the new CRM-based registration system to membership. Those present at the meeting were supportive of the new approach, but requested the possibility for each </w:t>
      </w:r>
      <w:r w:rsidR="00BB52A1" w:rsidRPr="00467F8F">
        <w:t xml:space="preserve">member </w:t>
      </w:r>
      <w:r w:rsidRPr="00467F8F">
        <w:t xml:space="preserve">to “opt in” to </w:t>
      </w:r>
      <w:r>
        <w:t xml:space="preserve">an </w:t>
      </w:r>
      <w:r w:rsidRPr="00467F8F">
        <w:t xml:space="preserve">automatic approval of registration request </w:t>
      </w:r>
      <w:r>
        <w:t>for</w:t>
      </w:r>
      <w:r w:rsidRPr="00467F8F">
        <w:t xml:space="preserve"> its delegates for ITU-T’s statutory events. </w:t>
      </w:r>
    </w:p>
    <w:p w:rsidR="00467F8F" w:rsidRPr="00467F8F" w:rsidRDefault="001C138D" w:rsidP="00467F8F">
      <w:r>
        <w:t>The ITU-T Telecommunication Standardization Bureau (</w:t>
      </w:r>
      <w:r w:rsidR="00467F8F" w:rsidRPr="00467F8F">
        <w:t>TSB</w:t>
      </w:r>
      <w:r>
        <w:t>)</w:t>
      </w:r>
      <w:r w:rsidR="00467F8F" w:rsidRPr="00467F8F">
        <w:t xml:space="preserve"> has followed </w:t>
      </w:r>
      <w:r>
        <w:t xml:space="preserve">up on </w:t>
      </w:r>
      <w:r w:rsidR="00467F8F" w:rsidRPr="00467F8F">
        <w:t xml:space="preserve">this request and can now offer the requested “opt in” functionality. </w:t>
      </w:r>
      <w:r w:rsidR="00B408AF">
        <w:t>By o</w:t>
      </w:r>
      <w:r w:rsidR="00467F8F" w:rsidRPr="00467F8F">
        <w:t xml:space="preserve">pting in </w:t>
      </w:r>
      <w:r w:rsidR="00B408AF">
        <w:t xml:space="preserve">to automatic approval of registration requests, </w:t>
      </w:r>
      <w:r w:rsidR="00BB52A1">
        <w:t xml:space="preserve">members </w:t>
      </w:r>
      <w:r w:rsidR="00B408AF">
        <w:t xml:space="preserve">automatically approve registration requests of </w:t>
      </w:r>
      <w:r w:rsidR="00467F8F" w:rsidRPr="00467F8F">
        <w:t xml:space="preserve">all </w:t>
      </w:r>
      <w:r w:rsidR="00467F8F">
        <w:t xml:space="preserve">Active </w:t>
      </w:r>
      <w:r w:rsidR="00BB52A1">
        <w:t>ITU</w:t>
      </w:r>
      <w:r w:rsidR="00BB52A1">
        <w:noBreakHyphen/>
        <w:t xml:space="preserve">T </w:t>
      </w:r>
      <w:r w:rsidR="00467F8F">
        <w:t>Account</w:t>
      </w:r>
      <w:r w:rsidR="00BB52A1">
        <w:t>s with TIES access</w:t>
      </w:r>
      <w:r w:rsidR="00467F8F" w:rsidRPr="00467F8F">
        <w:t xml:space="preserve"> affiliated with the </w:t>
      </w:r>
      <w:r w:rsidR="00BB52A1" w:rsidRPr="00467F8F">
        <w:t xml:space="preserve">member </w:t>
      </w:r>
      <w:r w:rsidR="00467F8F" w:rsidRPr="00467F8F">
        <w:t xml:space="preserve">for the remainder of the Study Period (currently until WTSA-20). </w:t>
      </w:r>
    </w:p>
    <w:p w:rsidR="00B408AF" w:rsidRDefault="00B408AF" w:rsidP="000B31E8">
      <w:r>
        <w:t xml:space="preserve">Within this framework, </w:t>
      </w:r>
      <w:r w:rsidR="00467F8F" w:rsidRPr="00467F8F">
        <w:t xml:space="preserve">TSB kindly invites interested </w:t>
      </w:r>
      <w:r w:rsidR="00753A03">
        <w:t>member</w:t>
      </w:r>
      <w:r w:rsidR="00BB52A1" w:rsidRPr="00467F8F">
        <w:t>s</w:t>
      </w:r>
      <w:r w:rsidR="00753A03">
        <w:t>’</w:t>
      </w:r>
      <w:r w:rsidR="00BB52A1" w:rsidRPr="00467F8F">
        <w:t xml:space="preserve"> </w:t>
      </w:r>
      <w:r w:rsidR="00467F8F" w:rsidRPr="00467F8F">
        <w:t xml:space="preserve">Designated Focal Points </w:t>
      </w:r>
      <w:r w:rsidR="005E0194">
        <w:t>(DFP</w:t>
      </w:r>
      <w:r>
        <w:t>s</w:t>
      </w:r>
      <w:r w:rsidR="005E0194">
        <w:t xml:space="preserve">) </w:t>
      </w:r>
      <w:r w:rsidR="00467F8F">
        <w:t xml:space="preserve">responsible for </w:t>
      </w:r>
      <w:r>
        <w:t xml:space="preserve">the approval of </w:t>
      </w:r>
      <w:r w:rsidR="00467F8F">
        <w:t>delegate participation</w:t>
      </w:r>
      <w:r w:rsidR="00467F8F" w:rsidRPr="00467F8F">
        <w:t xml:space="preserve"> </w:t>
      </w:r>
      <w:r>
        <w:t xml:space="preserve">to </w:t>
      </w:r>
      <w:r w:rsidR="00467F8F" w:rsidRPr="00467F8F">
        <w:t>ITU-T statutory meetings to submit a written request to the Director of TSB to activate this “</w:t>
      </w:r>
      <w:r w:rsidR="003E1407">
        <w:t>o</w:t>
      </w:r>
      <w:r w:rsidR="00467F8F" w:rsidRPr="00467F8F">
        <w:t xml:space="preserve">pt </w:t>
      </w:r>
      <w:r w:rsidR="003E1407">
        <w:t>i</w:t>
      </w:r>
      <w:r w:rsidR="00467F8F" w:rsidRPr="00467F8F">
        <w:t xml:space="preserve">n” option. The secretariat </w:t>
      </w:r>
      <w:r>
        <w:t>will</w:t>
      </w:r>
      <w:r w:rsidR="00467F8F" w:rsidRPr="00467F8F">
        <w:t xml:space="preserve"> then enable this feature for that </w:t>
      </w:r>
      <w:r w:rsidR="00BB52A1" w:rsidRPr="00467F8F">
        <w:t xml:space="preserve">member </w:t>
      </w:r>
      <w:r w:rsidR="00467F8F" w:rsidRPr="00467F8F">
        <w:t xml:space="preserve">in the CRM registration system. </w:t>
      </w:r>
    </w:p>
    <w:p w:rsidR="00B408AF" w:rsidRDefault="00B408AF" w:rsidP="000B31E8">
      <w:r>
        <w:t xml:space="preserve">Members can also opt out of the option at </w:t>
      </w:r>
      <w:r w:rsidR="00467F8F" w:rsidRPr="00467F8F">
        <w:t xml:space="preserve">any time by way of a similar communication. </w:t>
      </w:r>
    </w:p>
    <w:p w:rsidR="005E0194" w:rsidRDefault="005E0194" w:rsidP="00753A03">
      <w:r w:rsidRPr="003E1407">
        <w:t>T</w:t>
      </w:r>
      <w:r w:rsidR="000B31E8" w:rsidRPr="003E1407">
        <w:t xml:space="preserve">he </w:t>
      </w:r>
      <w:r w:rsidR="00753A03">
        <w:t>A</w:t>
      </w:r>
      <w:r w:rsidR="000B31E8" w:rsidRPr="003E1407">
        <w:t xml:space="preserve">nnex </w:t>
      </w:r>
      <w:r w:rsidRPr="003E1407">
        <w:t>contains</w:t>
      </w:r>
      <w:r w:rsidR="0030154E" w:rsidRPr="003E1407">
        <w:t xml:space="preserve"> additional clarification of the specific roles of the DFPs and TIES Focal Points, and suggests</w:t>
      </w:r>
      <w:r w:rsidRPr="003E1407">
        <w:t xml:space="preserve"> </w:t>
      </w:r>
      <w:r w:rsidR="000B31E8" w:rsidRPr="003E1407">
        <w:t xml:space="preserve">a communication outlining the request </w:t>
      </w:r>
      <w:r w:rsidR="00B408AF" w:rsidRPr="003E1407">
        <w:t xml:space="preserve">to </w:t>
      </w:r>
      <w:r w:rsidR="000B31E8" w:rsidRPr="003E1407">
        <w:t>opt</w:t>
      </w:r>
      <w:r w:rsidR="00563730">
        <w:t xml:space="preserve"> </w:t>
      </w:r>
      <w:r w:rsidR="000B31E8" w:rsidRPr="003E1407">
        <w:t>in</w:t>
      </w:r>
      <w:r w:rsidR="00B408AF" w:rsidRPr="003E1407">
        <w:t xml:space="preserve"> or </w:t>
      </w:r>
      <w:r w:rsidR="000B31E8" w:rsidRPr="003E1407">
        <w:t>out</w:t>
      </w:r>
      <w:r w:rsidR="00B408AF" w:rsidRPr="003E1407">
        <w:t xml:space="preserve">, which is </w:t>
      </w:r>
      <w:r w:rsidR="00B5103E" w:rsidRPr="003E1407">
        <w:t xml:space="preserve">to </w:t>
      </w:r>
      <w:r w:rsidR="0030154E" w:rsidRPr="003E1407">
        <w:t xml:space="preserve">be sent </w:t>
      </w:r>
      <w:r w:rsidR="00B408AF" w:rsidRPr="003E1407">
        <w:t>by e</w:t>
      </w:r>
      <w:r w:rsidR="00BB52A1">
        <w:t>-</w:t>
      </w:r>
      <w:r w:rsidR="00B408AF" w:rsidRPr="003E1407">
        <w:t xml:space="preserve">mail </w:t>
      </w:r>
      <w:r w:rsidR="0030154E" w:rsidRPr="003E1407">
        <w:t>to the TSB Director</w:t>
      </w:r>
      <w:r w:rsidR="000B31E8" w:rsidRPr="003E1407">
        <w:t>.</w:t>
      </w:r>
      <w:r w:rsidR="000B31E8">
        <w:t xml:space="preserve"> </w:t>
      </w:r>
    </w:p>
    <w:p w:rsidR="0030154E" w:rsidRDefault="00467F8F" w:rsidP="007D4F46">
      <w:pPr>
        <w:rPr>
          <w:b/>
          <w:bCs/>
        </w:rPr>
      </w:pPr>
      <w:r w:rsidRPr="00467F8F">
        <w:lastRenderedPageBreak/>
        <w:t xml:space="preserve">Please note that </w:t>
      </w:r>
      <w:proofErr w:type="gramStart"/>
      <w:r w:rsidRPr="00467F8F">
        <w:t>the opt</w:t>
      </w:r>
      <w:proofErr w:type="gramEnd"/>
      <w:r w:rsidR="00563730">
        <w:t xml:space="preserve"> </w:t>
      </w:r>
      <w:r w:rsidRPr="00467F8F">
        <w:t xml:space="preserve">in approach does not shift the responsibility away from the </w:t>
      </w:r>
      <w:r w:rsidR="00BB52A1" w:rsidRPr="00467F8F">
        <w:t xml:space="preserve">member's </w:t>
      </w:r>
      <w:r w:rsidRPr="00467F8F">
        <w:t>focal point f</w:t>
      </w:r>
      <w:r w:rsidR="007D4F46">
        <w:t>or event participation approval;</w:t>
      </w:r>
      <w:r w:rsidRPr="00467F8F">
        <w:t xml:space="preserve"> </w:t>
      </w:r>
      <w:r w:rsidR="00B408AF">
        <w:t xml:space="preserve">it </w:t>
      </w:r>
      <w:r w:rsidRPr="00467F8F">
        <w:t>only automate</w:t>
      </w:r>
      <w:r w:rsidR="0056293A">
        <w:t>s</w:t>
      </w:r>
      <w:r w:rsidRPr="00467F8F">
        <w:t xml:space="preserve"> </w:t>
      </w:r>
      <w:r w:rsidR="0056293A">
        <w:t xml:space="preserve">approval </w:t>
      </w:r>
      <w:r w:rsidRPr="00467F8F">
        <w:t xml:space="preserve">upon their request. </w:t>
      </w:r>
    </w:p>
    <w:p w:rsidR="003E1252" w:rsidRDefault="000B31E8" w:rsidP="007D4F46">
      <w:r w:rsidRPr="000B31E8">
        <w:rPr>
          <w:szCs w:val="24"/>
        </w:rPr>
        <w:t>Attention of focal points is called to the fact that</w:t>
      </w:r>
      <w:r>
        <w:rPr>
          <w:rFonts w:ascii="Times New Roman" w:hAnsi="Times New Roman"/>
          <w:szCs w:val="24"/>
        </w:rPr>
        <w:t xml:space="preserve"> </w:t>
      </w:r>
      <w:r w:rsidR="00467F8F" w:rsidRPr="00467F8F">
        <w:t xml:space="preserve">Member States and other duly authorized entities pursuant to Article 19 of the Convention choose their qualified participants </w:t>
      </w:r>
      <w:r w:rsidR="007D4F46">
        <w:t>for</w:t>
      </w:r>
      <w:r w:rsidR="00467F8F" w:rsidRPr="00467F8F">
        <w:t xml:space="preserve"> the meetings of ITU</w:t>
      </w:r>
      <w:r w:rsidR="0056293A">
        <w:noBreakHyphen/>
      </w:r>
      <w:r w:rsidR="00467F8F" w:rsidRPr="00467F8F">
        <w:t xml:space="preserve">T Study groups and their relevant groups. Therefore, ITU-T members that </w:t>
      </w:r>
      <w:r w:rsidR="00467F8F">
        <w:t>“</w:t>
      </w:r>
      <w:r w:rsidR="00467F8F" w:rsidRPr="00467F8F">
        <w:t>opt in</w:t>
      </w:r>
      <w:r w:rsidR="00467F8F">
        <w:t xml:space="preserve">” </w:t>
      </w:r>
      <w:r w:rsidR="00467F8F" w:rsidRPr="00467F8F">
        <w:t xml:space="preserve">to the automatic approval of participation in all ITU-T statutory meetings, of all of their delegates possessing an </w:t>
      </w:r>
      <w:r w:rsidR="00467F8F">
        <w:t xml:space="preserve">Active </w:t>
      </w:r>
      <w:r w:rsidR="00467F8F" w:rsidRPr="00467F8F">
        <w:t>TIES</w:t>
      </w:r>
      <w:r w:rsidR="00467F8F">
        <w:t xml:space="preserve"> Account</w:t>
      </w:r>
      <w:r w:rsidR="00467F8F" w:rsidRPr="00467F8F">
        <w:t>, take full responsibility for the approval of participation of their delegates. ITU</w:t>
      </w:r>
      <w:r w:rsidR="0056293A">
        <w:noBreakHyphen/>
      </w:r>
      <w:r w:rsidR="00467F8F" w:rsidRPr="00467F8F">
        <w:t>T members opting in to automatic approval are thus encouraged to accurately maintain their account delegation lists. ITU expressly disclaim</w:t>
      </w:r>
      <w:r w:rsidR="006B43A7">
        <w:t>s</w:t>
      </w:r>
      <w:r w:rsidR="00467F8F" w:rsidRPr="00467F8F">
        <w:t xml:space="preserve"> any responsibility with regard to the participation/attendance of delegates registered via the “opt</w:t>
      </w:r>
      <w:r w:rsidR="00753A03">
        <w:t xml:space="preserve"> in” automatic approval system.</w:t>
      </w:r>
    </w:p>
    <w:p w:rsidR="00FA46A0" w:rsidRDefault="00B61012">
      <w:pPr>
        <w:spacing w:before="360"/>
      </w:pPr>
      <w:r>
        <w:t>Yours faithfully,</w:t>
      </w:r>
    </w:p>
    <w:p w:rsidR="00FA46A0" w:rsidRDefault="00FA46A0" w:rsidP="009B2EB5">
      <w:pPr>
        <w:spacing w:before="0"/>
      </w:pPr>
    </w:p>
    <w:p w:rsidR="00D77B74" w:rsidRPr="00D77B74" w:rsidRDefault="00D77B74" w:rsidP="009B2EB5">
      <w:pPr>
        <w:spacing w:before="0"/>
        <w:rPr>
          <w:i/>
          <w:iCs/>
        </w:rPr>
      </w:pPr>
      <w:r w:rsidRPr="00D77B74">
        <w:rPr>
          <w:i/>
          <w:iCs/>
        </w:rPr>
        <w:t>(</w:t>
      </w:r>
      <w:proofErr w:type="gramStart"/>
      <w:r w:rsidRPr="00D77B74">
        <w:rPr>
          <w:i/>
          <w:iCs/>
        </w:rPr>
        <w:t>signed</w:t>
      </w:r>
      <w:proofErr w:type="gramEnd"/>
      <w:r w:rsidRPr="00D77B74">
        <w:rPr>
          <w:i/>
          <w:iCs/>
        </w:rPr>
        <w:t>)</w:t>
      </w:r>
    </w:p>
    <w:p w:rsidR="00D77B74" w:rsidRDefault="00D77B74" w:rsidP="009B2EB5">
      <w:pPr>
        <w:spacing w:before="0"/>
      </w:pPr>
    </w:p>
    <w:p w:rsidR="00D62702" w:rsidRDefault="00B61012" w:rsidP="009B2EB5">
      <w:pPr>
        <w:spacing w:before="0"/>
      </w:pPr>
      <w:proofErr w:type="spellStart"/>
      <w:r>
        <w:t>Chaesub</w:t>
      </w:r>
      <w:proofErr w:type="spellEnd"/>
      <w:r>
        <w:t xml:space="preserve"> Lee</w:t>
      </w:r>
      <w:r>
        <w:br/>
        <w:t>Director of the Telecommunication</w:t>
      </w:r>
      <w:r>
        <w:br/>
        <w:t>Standardization Bureau</w:t>
      </w:r>
    </w:p>
    <w:p w:rsidR="000B31E8" w:rsidRDefault="000B31E8" w:rsidP="009B2EB5">
      <w:pPr>
        <w:spacing w:before="0"/>
      </w:pPr>
    </w:p>
    <w:p w:rsidR="000B31E8" w:rsidRDefault="000B31E8" w:rsidP="009B2EB5">
      <w:pPr>
        <w:spacing w:before="0"/>
      </w:pPr>
    </w:p>
    <w:p w:rsidR="000B31E8" w:rsidRDefault="000B31E8" w:rsidP="009B2EB5">
      <w:pPr>
        <w:spacing w:before="0"/>
      </w:pPr>
      <w:r w:rsidRPr="00753A03">
        <w:rPr>
          <w:b/>
          <w:bCs/>
        </w:rPr>
        <w:t>Annex:</w:t>
      </w:r>
      <w:r w:rsidR="00562E2F" w:rsidRPr="00753A03">
        <w:rPr>
          <w:b/>
          <w:bCs/>
        </w:rPr>
        <w:t xml:space="preserve"> </w:t>
      </w:r>
      <w:r w:rsidR="00562E2F">
        <w:t>1</w:t>
      </w:r>
    </w:p>
    <w:p w:rsidR="0030154E" w:rsidRDefault="0030154E" w:rsidP="009B2EB5">
      <w:pPr>
        <w:spacing w:before="0"/>
      </w:pPr>
    </w:p>
    <w:p w:rsidR="00562E2F" w:rsidRDefault="00562E2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>
        <w:rPr>
          <w:u w:val="single"/>
        </w:rPr>
        <w:br w:type="page"/>
      </w:r>
    </w:p>
    <w:p w:rsidR="00562E2F" w:rsidRPr="00C235C0" w:rsidRDefault="00C235C0" w:rsidP="00C235C0">
      <w:pPr>
        <w:pStyle w:val="AppendixNo"/>
        <w:spacing w:before="0" w:after="0"/>
        <w:rPr>
          <w:b/>
          <w:sz w:val="24"/>
          <w:szCs w:val="18"/>
        </w:rPr>
      </w:pPr>
      <w:r>
        <w:rPr>
          <w:b/>
          <w:caps w:val="0"/>
        </w:rPr>
        <w:lastRenderedPageBreak/>
        <w:t xml:space="preserve">ANNEX </w:t>
      </w:r>
      <w:r w:rsidR="007D4F46">
        <w:rPr>
          <w:b/>
          <w:caps w:val="0"/>
        </w:rPr>
        <w:t>1</w:t>
      </w:r>
      <w:r w:rsidR="00562E2F" w:rsidRPr="00FD4B48">
        <w:rPr>
          <w:b/>
          <w:caps w:val="0"/>
        </w:rPr>
        <w:br/>
      </w:r>
      <w:r w:rsidR="00562E2F" w:rsidRPr="00C235C0">
        <w:rPr>
          <w:b/>
          <w:caps w:val="0"/>
          <w:sz w:val="24"/>
          <w:szCs w:val="18"/>
        </w:rPr>
        <w:br/>
      </w:r>
      <w:r w:rsidR="00181F0F" w:rsidRPr="00FD4B48">
        <w:rPr>
          <w:b/>
          <w:caps w:val="0"/>
        </w:rPr>
        <w:t>Focal point r</w:t>
      </w:r>
      <w:r w:rsidR="00562E2F" w:rsidRPr="00FD4B48">
        <w:rPr>
          <w:b/>
          <w:caps w:val="0"/>
        </w:rPr>
        <w:t xml:space="preserve">oles and </w:t>
      </w:r>
      <w:r w:rsidR="00181F0F" w:rsidRPr="00FD4B48">
        <w:rPr>
          <w:b/>
          <w:caps w:val="0"/>
        </w:rPr>
        <w:t>communication of requests</w:t>
      </w:r>
      <w:r w:rsidR="00562E2F" w:rsidRPr="00FD4B48">
        <w:rPr>
          <w:b/>
          <w:caps w:val="0"/>
        </w:rPr>
        <w:t xml:space="preserve"> </w:t>
      </w:r>
      <w:r w:rsidR="00562E2F" w:rsidRPr="00FD4B48">
        <w:rPr>
          <w:b/>
          <w:caps w:val="0"/>
        </w:rPr>
        <w:br/>
      </w:r>
    </w:p>
    <w:p w:rsidR="0030154E" w:rsidRPr="007C4368" w:rsidRDefault="0030154E" w:rsidP="00C235C0">
      <w:pPr>
        <w:pStyle w:val="Headingb"/>
        <w:spacing w:before="0"/>
      </w:pPr>
      <w:r w:rsidRPr="007C4368">
        <w:t>Specific roles of DFP and TIES Focal Points:</w:t>
      </w:r>
    </w:p>
    <w:p w:rsidR="0056293A" w:rsidRPr="00563730" w:rsidRDefault="00372A69" w:rsidP="00092B5B">
      <w:pPr>
        <w:spacing w:after="120"/>
        <w:rPr>
          <w:rFonts w:asciiTheme="minorHAnsi" w:hAnsiTheme="minorHAnsi"/>
          <w:szCs w:val="24"/>
        </w:rPr>
      </w:pPr>
      <w:r w:rsidRPr="00563730">
        <w:rPr>
          <w:rFonts w:asciiTheme="minorHAnsi" w:hAnsiTheme="minorHAnsi"/>
          <w:szCs w:val="24"/>
        </w:rPr>
        <w:t>The</w:t>
      </w:r>
      <w:r w:rsidR="0056293A" w:rsidRPr="00563730">
        <w:rPr>
          <w:rFonts w:asciiTheme="minorHAnsi" w:hAnsiTheme="minorHAnsi"/>
          <w:szCs w:val="24"/>
        </w:rPr>
        <w:t xml:space="preserve"> application of </w:t>
      </w:r>
      <w:proofErr w:type="gramStart"/>
      <w:r w:rsidR="0056293A" w:rsidRPr="00563730">
        <w:rPr>
          <w:rFonts w:asciiTheme="minorHAnsi" w:hAnsiTheme="minorHAnsi"/>
          <w:szCs w:val="24"/>
        </w:rPr>
        <w:t>the opt</w:t>
      </w:r>
      <w:proofErr w:type="gramEnd"/>
      <w:r w:rsidR="0056293A" w:rsidRPr="00563730">
        <w:rPr>
          <w:rFonts w:asciiTheme="minorHAnsi" w:hAnsiTheme="minorHAnsi"/>
          <w:szCs w:val="24"/>
        </w:rPr>
        <w:t xml:space="preserve"> in option </w:t>
      </w:r>
      <w:r w:rsidRPr="00563730">
        <w:rPr>
          <w:rFonts w:asciiTheme="minorHAnsi" w:hAnsiTheme="minorHAnsi"/>
          <w:szCs w:val="24"/>
        </w:rPr>
        <w:t xml:space="preserve">considers the </w:t>
      </w:r>
      <w:r w:rsidR="0056293A" w:rsidRPr="00563730">
        <w:rPr>
          <w:rFonts w:asciiTheme="minorHAnsi" w:hAnsiTheme="minorHAnsi"/>
          <w:szCs w:val="24"/>
        </w:rPr>
        <w:t>following</w:t>
      </w:r>
      <w:r w:rsidRPr="00563730">
        <w:rPr>
          <w:rFonts w:asciiTheme="minorHAnsi" w:hAnsiTheme="minorHAnsi"/>
          <w:szCs w:val="24"/>
        </w:rPr>
        <w:t xml:space="preserve"> roles</w:t>
      </w:r>
      <w:r w:rsidR="0056293A" w:rsidRPr="00563730">
        <w:rPr>
          <w:rFonts w:asciiTheme="minorHAnsi" w:hAnsiTheme="minorHAnsi"/>
          <w:szCs w:val="24"/>
        </w:rPr>
        <w:t>:</w:t>
      </w:r>
    </w:p>
    <w:p w:rsidR="00725E32" w:rsidRPr="00FD4B48" w:rsidRDefault="00181F0F" w:rsidP="00FD4B48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20" w:hanging="720"/>
      </w:pPr>
      <w:r>
        <w:t>̶̵</w:t>
      </w:r>
      <w:r w:rsidRPr="00FD4B48">
        <w:tab/>
      </w:r>
      <w:r w:rsidR="00725E32" w:rsidRPr="00FD4B48">
        <w:t xml:space="preserve">Designated Focal Point (DFP): A </w:t>
      </w:r>
      <w:r w:rsidR="00BB52A1" w:rsidRPr="00FD4B48">
        <w:t xml:space="preserve">member’s </w:t>
      </w:r>
      <w:r w:rsidR="00725E32" w:rsidRPr="00FD4B48">
        <w:t xml:space="preserve">focal point in charge of the approval of delegate registration to ITU events. The DFP could be different for each of the ITU </w:t>
      </w:r>
      <w:r w:rsidR="00BB52A1" w:rsidRPr="00FD4B48">
        <w:t>Sectors</w:t>
      </w:r>
      <w:r w:rsidR="00725E32" w:rsidRPr="00FD4B48">
        <w:t xml:space="preserve">, and </w:t>
      </w:r>
      <w:proofErr w:type="gramStart"/>
      <w:r w:rsidR="00725E32" w:rsidRPr="00FD4B48">
        <w:t>may</w:t>
      </w:r>
      <w:proofErr w:type="gramEnd"/>
      <w:r w:rsidR="00725E32" w:rsidRPr="00FD4B48">
        <w:t xml:space="preserve"> or not be the same as the TIES Focal Point.</w:t>
      </w:r>
    </w:p>
    <w:p w:rsidR="00725E32" w:rsidRDefault="00181F0F" w:rsidP="006C04B5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20" w:hanging="720"/>
      </w:pPr>
      <w:r w:rsidRPr="00FD4B48">
        <w:t>̶</w:t>
      </w:r>
      <w:r w:rsidRPr="00FD4B48">
        <w:tab/>
      </w:r>
      <w:r w:rsidR="00457CD2" w:rsidRPr="00FD4B48">
        <w:t xml:space="preserve">TIES Focal Point: Person designated by the </w:t>
      </w:r>
      <w:r w:rsidR="00BB52A1" w:rsidRPr="00FD4B48">
        <w:t xml:space="preserve">member </w:t>
      </w:r>
      <w:r w:rsidR="006532EC" w:rsidRPr="00FD4B48">
        <w:t xml:space="preserve">in charge of </w:t>
      </w:r>
      <w:r w:rsidR="00457CD2" w:rsidRPr="00FD4B48">
        <w:t>grant</w:t>
      </w:r>
      <w:r w:rsidR="006532EC" w:rsidRPr="00FD4B48">
        <w:t>ing</w:t>
      </w:r>
      <w:r w:rsidR="00457CD2" w:rsidRPr="00FD4B48">
        <w:t xml:space="preserve"> TIES access </w:t>
      </w:r>
      <w:r w:rsidR="006532EC" w:rsidRPr="00FD4B48">
        <w:t xml:space="preserve">to </w:t>
      </w:r>
      <w:r w:rsidR="006C04B5">
        <w:t xml:space="preserve">the </w:t>
      </w:r>
      <w:r w:rsidR="00BB52A1" w:rsidRPr="00FD4B48">
        <w:t xml:space="preserve">member’s </w:t>
      </w:r>
      <w:r w:rsidR="00725E32" w:rsidRPr="00FD4B48">
        <w:t>delegates</w:t>
      </w:r>
      <w:r w:rsidR="006532EC" w:rsidRPr="00FD4B48">
        <w:t xml:space="preserve"> </w:t>
      </w:r>
      <w:r w:rsidR="003E1407" w:rsidRPr="00FD4B48">
        <w:t>a</w:t>
      </w:r>
      <w:r w:rsidR="002F7D75" w:rsidRPr="00FD4B48">
        <w:t xml:space="preserve">nd maintaining </w:t>
      </w:r>
      <w:r w:rsidR="006C04B5" w:rsidRPr="00FD4B48">
        <w:t xml:space="preserve">the list of TIES Users </w:t>
      </w:r>
      <w:r w:rsidR="002F7D75" w:rsidRPr="00FD4B48">
        <w:t xml:space="preserve">up to date. </w:t>
      </w:r>
      <w:r w:rsidR="006532EC" w:rsidRPr="00FD4B48">
        <w:t>The</w:t>
      </w:r>
      <w:r w:rsidR="00372A69" w:rsidRPr="00FD4B48">
        <w:t>re is just one</w:t>
      </w:r>
      <w:r w:rsidR="006532EC" w:rsidRPr="00FD4B48">
        <w:t xml:space="preserve"> TIES Focal Point </w:t>
      </w:r>
      <w:r w:rsidR="008E7326" w:rsidRPr="00FD4B48">
        <w:t xml:space="preserve">per </w:t>
      </w:r>
      <w:r w:rsidR="00BB52A1" w:rsidRPr="00FD4B48">
        <w:t xml:space="preserve">member </w:t>
      </w:r>
      <w:r w:rsidR="00372A69" w:rsidRPr="00FD4B48">
        <w:t xml:space="preserve">even if the </w:t>
      </w:r>
      <w:r w:rsidR="00BB52A1" w:rsidRPr="00FD4B48">
        <w:t xml:space="preserve">member </w:t>
      </w:r>
      <w:r w:rsidR="006532EC" w:rsidRPr="00FD4B48">
        <w:t xml:space="preserve">belongs to more than one ITU </w:t>
      </w:r>
      <w:r w:rsidR="00BB52A1" w:rsidRPr="00FD4B48">
        <w:t>Sector</w:t>
      </w:r>
      <w:r w:rsidR="006532EC" w:rsidRPr="00FD4B48">
        <w:t>.</w:t>
      </w:r>
      <w:r w:rsidR="00372A69" w:rsidRPr="00FD4B48">
        <w:t xml:space="preserve"> </w:t>
      </w:r>
    </w:p>
    <w:p w:rsidR="00372A69" w:rsidRDefault="005A30A9" w:rsidP="00092B5B">
      <w:pPr>
        <w:spacing w:after="120"/>
      </w:pPr>
      <w:r>
        <w:t>Note</w:t>
      </w:r>
      <w:r w:rsidR="00BB52A1">
        <w:t>s</w:t>
      </w:r>
      <w:r>
        <w:t>:</w:t>
      </w:r>
      <w:r w:rsidR="00372A69">
        <w:t xml:space="preserve"> </w:t>
      </w:r>
      <w:r w:rsidR="00372A69" w:rsidRPr="008E4EF2">
        <w:t xml:space="preserve"> </w:t>
      </w:r>
    </w:p>
    <w:p w:rsidR="00F537D2" w:rsidRPr="00FD4B48" w:rsidRDefault="00F537D2" w:rsidP="00092B5B">
      <w:pPr>
        <w:spacing w:after="120"/>
        <w:rPr>
          <w:rFonts w:asciiTheme="minorHAnsi" w:hAnsiTheme="minorHAnsi" w:cs="Segoe UI"/>
          <w:szCs w:val="24"/>
        </w:rPr>
      </w:pPr>
      <w:r w:rsidRPr="003E1407">
        <w:rPr>
          <w:rFonts w:cs="Segoe UI"/>
          <w:szCs w:val="24"/>
        </w:rPr>
        <w:t xml:space="preserve">TIES access is provided, on demand, to delegates from ITU </w:t>
      </w:r>
      <w:r w:rsidR="00BB52A1" w:rsidRPr="003E1407">
        <w:rPr>
          <w:rFonts w:cs="Segoe UI"/>
          <w:szCs w:val="24"/>
        </w:rPr>
        <w:t xml:space="preserve">members </w:t>
      </w:r>
      <w:r w:rsidRPr="003E1407">
        <w:rPr>
          <w:rFonts w:cs="Segoe UI"/>
          <w:szCs w:val="24"/>
        </w:rPr>
        <w:t>(</w:t>
      </w:r>
      <w:r w:rsidR="003E1407" w:rsidRPr="003E1407">
        <w:rPr>
          <w:rFonts w:cs="Segoe UI"/>
          <w:szCs w:val="24"/>
        </w:rPr>
        <w:t>Member States</w:t>
      </w:r>
      <w:r w:rsidRPr="003E1407">
        <w:rPr>
          <w:rFonts w:cs="Segoe UI"/>
          <w:szCs w:val="24"/>
        </w:rPr>
        <w:t>, </w:t>
      </w:r>
      <w:r w:rsidR="003E1407" w:rsidRPr="003E1407">
        <w:rPr>
          <w:rFonts w:cs="Segoe UI"/>
          <w:szCs w:val="24"/>
        </w:rPr>
        <w:t>Sector Members</w:t>
      </w:r>
      <w:r w:rsidRPr="003E1407">
        <w:rPr>
          <w:rFonts w:cs="Segoe UI"/>
          <w:szCs w:val="24"/>
        </w:rPr>
        <w:t>, </w:t>
      </w:r>
      <w:r w:rsidR="003E1407" w:rsidRPr="00FD4B48">
        <w:rPr>
          <w:rFonts w:asciiTheme="minorHAnsi" w:hAnsiTheme="minorHAnsi" w:cs="Segoe UI"/>
          <w:szCs w:val="24"/>
        </w:rPr>
        <w:t>Associates</w:t>
      </w:r>
      <w:r w:rsidRPr="00FD4B48">
        <w:rPr>
          <w:rFonts w:asciiTheme="minorHAnsi" w:hAnsiTheme="minorHAnsi" w:cs="Segoe UI"/>
          <w:szCs w:val="24"/>
        </w:rPr>
        <w:t>, and </w:t>
      </w:r>
      <w:r w:rsidR="003E1407" w:rsidRPr="00FD4B48">
        <w:rPr>
          <w:rFonts w:asciiTheme="minorHAnsi" w:hAnsiTheme="minorHAnsi" w:cs="Segoe UI"/>
          <w:szCs w:val="24"/>
        </w:rPr>
        <w:t>Academia</w:t>
      </w:r>
      <w:r w:rsidR="00F041DD">
        <w:rPr>
          <w:rFonts w:asciiTheme="minorHAnsi" w:hAnsiTheme="minorHAnsi" w:cs="Segoe UI"/>
          <w:szCs w:val="24"/>
        </w:rPr>
        <w:t>).</w:t>
      </w:r>
      <w:r w:rsidRPr="00FD4B48">
        <w:rPr>
          <w:rFonts w:asciiTheme="minorHAnsi" w:hAnsiTheme="minorHAnsi" w:cs="Segoe UI"/>
          <w:szCs w:val="24"/>
        </w:rPr>
        <w:t xml:space="preserve"> TIES provides personalized access (through a username and a password) to a number of services. TIES services are provided to support the participation of </w:t>
      </w:r>
      <w:r w:rsidR="00BB52A1" w:rsidRPr="00181F0F">
        <w:rPr>
          <w:rFonts w:asciiTheme="minorHAnsi" w:hAnsiTheme="minorHAnsi" w:cs="Segoe UI"/>
          <w:szCs w:val="24"/>
        </w:rPr>
        <w:t xml:space="preserve">members </w:t>
      </w:r>
      <w:r w:rsidRPr="00FD4B48">
        <w:rPr>
          <w:rFonts w:asciiTheme="minorHAnsi" w:hAnsiTheme="minorHAnsi" w:cs="Segoe UI"/>
          <w:szCs w:val="24"/>
        </w:rPr>
        <w:t>in the activities of the Union and include online collaboration tools, access to ITU meeting documents, automatic e</w:t>
      </w:r>
      <w:r w:rsidR="00BB52A1">
        <w:rPr>
          <w:rFonts w:asciiTheme="minorHAnsi" w:hAnsiTheme="minorHAnsi" w:cs="Segoe UI"/>
          <w:szCs w:val="24"/>
        </w:rPr>
        <w:t>-</w:t>
      </w:r>
      <w:r w:rsidRPr="00FD4B48">
        <w:rPr>
          <w:rFonts w:asciiTheme="minorHAnsi" w:hAnsiTheme="minorHAnsi" w:cs="Segoe UI"/>
          <w:szCs w:val="24"/>
        </w:rPr>
        <w:t>mail notifications, etc</w:t>
      </w:r>
      <w:r w:rsidR="00563730" w:rsidRPr="00FD4B48">
        <w:rPr>
          <w:rFonts w:asciiTheme="minorHAnsi" w:hAnsiTheme="minorHAnsi" w:cs="Segoe UI"/>
          <w:szCs w:val="24"/>
        </w:rPr>
        <w:t>.</w:t>
      </w:r>
      <w:r w:rsidRPr="00FD4B48">
        <w:rPr>
          <w:rFonts w:asciiTheme="minorHAnsi" w:hAnsiTheme="minorHAnsi" w:cs="Segoe UI"/>
          <w:szCs w:val="24"/>
        </w:rPr>
        <w:t xml:space="preserve"> </w:t>
      </w:r>
      <w:bookmarkStart w:id="1" w:name="eligible"/>
      <w:bookmarkEnd w:id="1"/>
      <w:r w:rsidRPr="00FD4B48">
        <w:rPr>
          <w:rFonts w:asciiTheme="minorHAnsi" w:hAnsiTheme="minorHAnsi" w:cs="Segoe UI"/>
          <w:szCs w:val="24"/>
        </w:rPr>
        <w:t>​</w:t>
      </w:r>
    </w:p>
    <w:p w:rsidR="000B31E8" w:rsidRPr="00FD4B48" w:rsidRDefault="00092B5B" w:rsidP="00092B5B">
      <w:pPr>
        <w:spacing w:after="120"/>
        <w:rPr>
          <w:rFonts w:asciiTheme="minorHAnsi" w:hAnsiTheme="minorHAnsi"/>
          <w:szCs w:val="24"/>
        </w:rPr>
      </w:pPr>
      <w:r>
        <w:rPr>
          <w:rFonts w:asciiTheme="minorHAnsi" w:hAnsiTheme="minorHAnsi"/>
        </w:rPr>
        <w:t xml:space="preserve">The new registration approval </w:t>
      </w:r>
      <w:r w:rsidR="005E0194" w:rsidRPr="00FD4B48">
        <w:rPr>
          <w:rFonts w:asciiTheme="minorHAnsi" w:hAnsiTheme="minorHAnsi"/>
        </w:rPr>
        <w:t xml:space="preserve">is based on the assumption that the </w:t>
      </w:r>
      <w:r w:rsidR="00BB52A1" w:rsidRPr="00181F0F">
        <w:rPr>
          <w:rFonts w:asciiTheme="minorHAnsi" w:hAnsiTheme="minorHAnsi"/>
        </w:rPr>
        <w:t xml:space="preserve">members </w:t>
      </w:r>
      <w:r w:rsidR="005E0194" w:rsidRPr="00FD4B48">
        <w:rPr>
          <w:rFonts w:asciiTheme="minorHAnsi" w:hAnsiTheme="minorHAnsi"/>
        </w:rPr>
        <w:t xml:space="preserve">will ensure that their DFPs per </w:t>
      </w:r>
      <w:r w:rsidR="00BB52A1" w:rsidRPr="00181F0F">
        <w:rPr>
          <w:rFonts w:asciiTheme="minorHAnsi" w:hAnsiTheme="minorHAnsi"/>
        </w:rPr>
        <w:t xml:space="preserve">Sector </w:t>
      </w:r>
      <w:r w:rsidR="005E0194" w:rsidRPr="00FD4B48">
        <w:rPr>
          <w:rFonts w:asciiTheme="minorHAnsi" w:hAnsiTheme="minorHAnsi"/>
        </w:rPr>
        <w:t xml:space="preserve">will coordinate and/or communicate with the TIES Focal Point, </w:t>
      </w:r>
      <w:r w:rsidR="005A30A9" w:rsidRPr="00FD4B48">
        <w:rPr>
          <w:rFonts w:asciiTheme="minorHAnsi" w:hAnsiTheme="minorHAnsi"/>
        </w:rPr>
        <w:t xml:space="preserve">keeping in mind </w:t>
      </w:r>
      <w:r w:rsidR="005E0194" w:rsidRPr="00FD4B48">
        <w:rPr>
          <w:rFonts w:asciiTheme="minorHAnsi" w:hAnsiTheme="minorHAnsi"/>
        </w:rPr>
        <w:t xml:space="preserve">that TIES access rights will also entitle a delegate to automatic registration </w:t>
      </w:r>
      <w:r w:rsidR="005A30A9" w:rsidRPr="00FD4B48">
        <w:rPr>
          <w:rFonts w:asciiTheme="minorHAnsi" w:hAnsiTheme="minorHAnsi"/>
        </w:rPr>
        <w:t xml:space="preserve">to </w:t>
      </w:r>
      <w:r w:rsidR="005E0194" w:rsidRPr="00FD4B48">
        <w:rPr>
          <w:rFonts w:asciiTheme="minorHAnsi" w:hAnsiTheme="minorHAnsi"/>
        </w:rPr>
        <w:t>ITU-T statutory events. Currently</w:t>
      </w:r>
      <w:r w:rsidR="00B5103E" w:rsidRPr="00FD4B48">
        <w:rPr>
          <w:rFonts w:asciiTheme="minorHAnsi" w:hAnsiTheme="minorHAnsi"/>
        </w:rPr>
        <w:t>,</w:t>
      </w:r>
      <w:r w:rsidR="005E0194" w:rsidRPr="00FD4B48">
        <w:rPr>
          <w:rFonts w:asciiTheme="minorHAnsi" w:hAnsiTheme="minorHAnsi"/>
        </w:rPr>
        <w:t xml:space="preserve"> the responsibility to approve registrations to events is not under the TIES Focal Point. Therefore, it is desirable that the DFP reviews the list of TIES users in the delegation </w:t>
      </w:r>
      <w:r w:rsidR="00B5103E" w:rsidRPr="00FD4B48">
        <w:rPr>
          <w:rFonts w:asciiTheme="minorHAnsi" w:hAnsiTheme="minorHAnsi"/>
        </w:rPr>
        <w:t xml:space="preserve">on </w:t>
      </w:r>
      <w:r w:rsidR="005E0194" w:rsidRPr="00FD4B48">
        <w:rPr>
          <w:rFonts w:asciiTheme="minorHAnsi" w:hAnsiTheme="minorHAnsi"/>
        </w:rPr>
        <w:t xml:space="preserve">a regular basis. It also requires that the </w:t>
      </w:r>
      <w:r w:rsidR="00BB52A1" w:rsidRPr="00181F0F">
        <w:rPr>
          <w:rFonts w:asciiTheme="minorHAnsi" w:hAnsiTheme="minorHAnsi"/>
        </w:rPr>
        <w:t xml:space="preserve">members </w:t>
      </w:r>
      <w:r w:rsidR="005E0194" w:rsidRPr="00FD4B48">
        <w:rPr>
          <w:rFonts w:asciiTheme="minorHAnsi" w:hAnsiTheme="minorHAnsi"/>
        </w:rPr>
        <w:t>(</w:t>
      </w:r>
      <w:r w:rsidR="00B5103E" w:rsidRPr="00FD4B48">
        <w:rPr>
          <w:rFonts w:asciiTheme="minorHAnsi" w:hAnsiTheme="minorHAnsi"/>
        </w:rPr>
        <w:t xml:space="preserve">specifically the </w:t>
      </w:r>
      <w:r w:rsidR="005E0194" w:rsidRPr="00FD4B48">
        <w:rPr>
          <w:rFonts w:asciiTheme="minorHAnsi" w:hAnsiTheme="minorHAnsi"/>
        </w:rPr>
        <w:t xml:space="preserve">TIES </w:t>
      </w:r>
      <w:r w:rsidR="00B5103E" w:rsidRPr="00FD4B48">
        <w:rPr>
          <w:rFonts w:asciiTheme="minorHAnsi" w:hAnsiTheme="minorHAnsi"/>
        </w:rPr>
        <w:t>Focal Point</w:t>
      </w:r>
      <w:r w:rsidR="005E0194" w:rsidRPr="00FD4B48">
        <w:rPr>
          <w:rFonts w:asciiTheme="minorHAnsi" w:hAnsiTheme="minorHAnsi"/>
        </w:rPr>
        <w:t xml:space="preserve">) regularly maintain their list of TIES users as delegates with TIES access would be automatically registered to </w:t>
      </w:r>
      <w:r w:rsidR="00BB52A1">
        <w:rPr>
          <w:rFonts w:asciiTheme="minorHAnsi" w:hAnsiTheme="minorHAnsi"/>
        </w:rPr>
        <w:t>statutory</w:t>
      </w:r>
      <w:r w:rsidR="00BB52A1" w:rsidRPr="00FD4B48">
        <w:rPr>
          <w:rFonts w:asciiTheme="minorHAnsi" w:hAnsiTheme="minorHAnsi"/>
        </w:rPr>
        <w:t xml:space="preserve"> </w:t>
      </w:r>
      <w:r w:rsidR="005E0194" w:rsidRPr="00FD4B48">
        <w:rPr>
          <w:rFonts w:asciiTheme="minorHAnsi" w:hAnsiTheme="minorHAnsi"/>
        </w:rPr>
        <w:t xml:space="preserve">meetings. </w:t>
      </w:r>
    </w:p>
    <w:p w:rsidR="000B31E8" w:rsidRPr="00FD4B48" w:rsidRDefault="0030154E" w:rsidP="00FD4B48">
      <w:pPr>
        <w:pStyle w:val="Headingb"/>
        <w:rPr>
          <w:rFonts w:asciiTheme="minorHAnsi" w:hAnsiTheme="minorHAnsi"/>
        </w:rPr>
      </w:pPr>
      <w:r w:rsidRPr="00FD4B48">
        <w:rPr>
          <w:rFonts w:asciiTheme="minorHAnsi" w:hAnsiTheme="minorHAnsi"/>
        </w:rPr>
        <w:t>Suggested communication request</w:t>
      </w:r>
      <w:r w:rsidR="006A1ED2" w:rsidRPr="00FD4B48">
        <w:rPr>
          <w:rFonts w:asciiTheme="minorHAnsi" w:hAnsiTheme="minorHAnsi"/>
        </w:rPr>
        <w:t xml:space="preserve">ing </w:t>
      </w:r>
      <w:r w:rsidRPr="00FD4B48">
        <w:rPr>
          <w:rFonts w:asciiTheme="minorHAnsi" w:hAnsiTheme="minorHAnsi"/>
        </w:rPr>
        <w:t>opting in</w:t>
      </w:r>
      <w:r w:rsidR="00B5103E" w:rsidRPr="00FD4B48">
        <w:rPr>
          <w:rFonts w:asciiTheme="minorHAnsi" w:hAnsiTheme="minorHAnsi"/>
        </w:rPr>
        <w:t xml:space="preserve"> or </w:t>
      </w:r>
      <w:r w:rsidRPr="00FD4B48">
        <w:rPr>
          <w:rFonts w:asciiTheme="minorHAnsi" w:hAnsiTheme="minorHAnsi"/>
        </w:rPr>
        <w:t>out</w:t>
      </w:r>
      <w:r w:rsidR="00B5103E" w:rsidRPr="00FD4B48">
        <w:rPr>
          <w:rFonts w:asciiTheme="minorHAnsi" w:hAnsiTheme="minorHAnsi"/>
        </w:rPr>
        <w:t xml:space="preserve"> (to be sent by e</w:t>
      </w:r>
      <w:r w:rsidR="00BB52A1">
        <w:rPr>
          <w:rFonts w:asciiTheme="minorHAnsi" w:hAnsiTheme="minorHAnsi"/>
        </w:rPr>
        <w:t>-</w:t>
      </w:r>
      <w:r w:rsidR="00B5103E" w:rsidRPr="00FD4B48">
        <w:rPr>
          <w:rFonts w:asciiTheme="minorHAnsi" w:hAnsiTheme="minorHAnsi"/>
        </w:rPr>
        <w:t xml:space="preserve">mail to </w:t>
      </w:r>
      <w:hyperlink r:id="rId9" w:history="1">
        <w:r w:rsidR="00B5103E" w:rsidRPr="00FD4B48">
          <w:rPr>
            <w:rStyle w:val="Hyperlink"/>
            <w:rFonts w:asciiTheme="minorHAnsi" w:hAnsiTheme="minorHAnsi"/>
            <w:szCs w:val="24"/>
          </w:rPr>
          <w:t>tsbdir@itu.int</w:t>
        </w:r>
      </w:hyperlink>
      <w:r w:rsidR="00B5103E" w:rsidRPr="00FD4B48">
        <w:rPr>
          <w:rFonts w:asciiTheme="minorHAnsi" w:hAnsiTheme="minorHAnsi"/>
        </w:rPr>
        <w:t>)</w:t>
      </w:r>
      <w:r w:rsidRPr="00FD4B48">
        <w:rPr>
          <w:rFonts w:asciiTheme="minorHAnsi" w:hAnsiTheme="minorHAnsi"/>
        </w:rPr>
        <w:t>:</w:t>
      </w:r>
    </w:p>
    <w:p w:rsidR="000B31E8" w:rsidRPr="00FD4B48" w:rsidRDefault="000B31E8" w:rsidP="009B2EB5">
      <w:pPr>
        <w:spacing w:before="0"/>
        <w:rPr>
          <w:rFonts w:asciiTheme="minorHAnsi" w:hAnsi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9"/>
      </w:tblGrid>
      <w:tr w:rsidR="00181F0F" w:rsidTr="00181F0F">
        <w:tc>
          <w:tcPr>
            <w:tcW w:w="9719" w:type="dxa"/>
          </w:tcPr>
          <w:p w:rsidR="00181F0F" w:rsidRPr="00181F0F" w:rsidRDefault="00181F0F" w:rsidP="00181F0F">
            <w:pPr>
              <w:spacing w:before="0"/>
              <w:rPr>
                <w:rFonts w:asciiTheme="minorHAnsi" w:hAnsiTheme="minorHAnsi"/>
                <w:szCs w:val="24"/>
              </w:rPr>
            </w:pPr>
            <w:r w:rsidRPr="00181F0F">
              <w:rPr>
                <w:rFonts w:asciiTheme="minorHAnsi" w:hAnsiTheme="minorHAnsi"/>
                <w:szCs w:val="24"/>
              </w:rPr>
              <w:t xml:space="preserve">Dear </w:t>
            </w:r>
            <w:r w:rsidR="00BB52A1">
              <w:rPr>
                <w:rFonts w:asciiTheme="minorHAnsi" w:hAnsiTheme="minorHAnsi"/>
                <w:szCs w:val="24"/>
              </w:rPr>
              <w:t>Sir/Madam</w:t>
            </w:r>
            <w:r w:rsidRPr="00181F0F">
              <w:rPr>
                <w:rFonts w:asciiTheme="minorHAnsi" w:hAnsiTheme="minorHAnsi"/>
                <w:szCs w:val="24"/>
              </w:rPr>
              <w:t xml:space="preserve">, </w:t>
            </w:r>
          </w:p>
          <w:p w:rsidR="00181F0F" w:rsidRPr="00181F0F" w:rsidRDefault="00181F0F" w:rsidP="00181F0F">
            <w:pPr>
              <w:spacing w:before="0"/>
              <w:rPr>
                <w:rFonts w:asciiTheme="minorHAnsi" w:hAnsiTheme="minorHAnsi"/>
                <w:szCs w:val="24"/>
              </w:rPr>
            </w:pPr>
          </w:p>
          <w:p w:rsidR="00181F0F" w:rsidRPr="00181F0F" w:rsidRDefault="00181F0F" w:rsidP="00181F0F">
            <w:pPr>
              <w:spacing w:before="0"/>
              <w:rPr>
                <w:rFonts w:asciiTheme="minorHAnsi" w:hAnsiTheme="minorHAnsi"/>
                <w:szCs w:val="24"/>
              </w:rPr>
            </w:pPr>
            <w:r w:rsidRPr="00181F0F">
              <w:rPr>
                <w:rFonts w:asciiTheme="minorHAnsi" w:hAnsiTheme="minorHAnsi"/>
                <w:szCs w:val="24"/>
              </w:rPr>
              <w:t xml:space="preserve">I am writing to you </w:t>
            </w:r>
            <w:r>
              <w:rPr>
                <w:rFonts w:asciiTheme="minorHAnsi" w:hAnsiTheme="minorHAnsi"/>
                <w:szCs w:val="24"/>
              </w:rPr>
              <w:t xml:space="preserve">with respect </w:t>
            </w:r>
            <w:r w:rsidRPr="00181F0F">
              <w:rPr>
                <w:rFonts w:asciiTheme="minorHAnsi" w:hAnsiTheme="minorHAnsi"/>
                <w:szCs w:val="24"/>
              </w:rPr>
              <w:t>to the</w:t>
            </w:r>
            <w:r>
              <w:rPr>
                <w:rFonts w:asciiTheme="minorHAnsi" w:hAnsiTheme="minorHAnsi"/>
                <w:szCs w:val="24"/>
              </w:rPr>
              <w:t xml:space="preserve"> enabling of</w:t>
            </w:r>
            <w:r w:rsidRPr="00181F0F">
              <w:rPr>
                <w:rFonts w:asciiTheme="minorHAnsi" w:hAnsiTheme="minorHAnsi"/>
                <w:szCs w:val="24"/>
              </w:rPr>
              <w:t xml:space="preserve"> automatic approval of registration requests for ITU-T statutory events as described in </w:t>
            </w:r>
            <w:hyperlink r:id="rId10" w:history="1">
              <w:r w:rsidRPr="00181F0F">
                <w:rPr>
                  <w:rStyle w:val="Hyperlink"/>
                  <w:rFonts w:asciiTheme="minorHAnsi" w:hAnsiTheme="minorHAnsi"/>
                  <w:szCs w:val="24"/>
                </w:rPr>
                <w:t>TSB Circular 118</w:t>
              </w:r>
            </w:hyperlink>
            <w:r w:rsidRPr="00181F0F">
              <w:rPr>
                <w:rFonts w:asciiTheme="minorHAnsi" w:hAnsiTheme="minorHAnsi"/>
                <w:szCs w:val="24"/>
              </w:rPr>
              <w:t>.</w:t>
            </w:r>
          </w:p>
          <w:p w:rsidR="00181F0F" w:rsidRPr="00181F0F" w:rsidRDefault="00181F0F" w:rsidP="00181F0F">
            <w:pPr>
              <w:spacing w:before="0"/>
              <w:rPr>
                <w:rFonts w:asciiTheme="minorHAnsi" w:hAnsiTheme="minorHAnsi"/>
                <w:szCs w:val="24"/>
              </w:rPr>
            </w:pPr>
          </w:p>
          <w:p w:rsidR="00181F0F" w:rsidRPr="00181F0F" w:rsidRDefault="00181F0F" w:rsidP="00181F0F">
            <w:pPr>
              <w:spacing w:before="0"/>
              <w:rPr>
                <w:rFonts w:asciiTheme="minorHAnsi" w:hAnsiTheme="minorHAnsi"/>
                <w:szCs w:val="24"/>
              </w:rPr>
            </w:pPr>
            <w:r w:rsidRPr="00181F0F">
              <w:rPr>
                <w:rFonts w:asciiTheme="minorHAnsi" w:hAnsiTheme="minorHAnsi"/>
                <w:szCs w:val="24"/>
              </w:rPr>
              <w:t>On behalf of [</w:t>
            </w:r>
            <w:r w:rsidR="00BB52A1" w:rsidRPr="00FD4B48">
              <w:rPr>
                <w:rFonts w:asciiTheme="minorHAnsi" w:hAnsiTheme="minorHAnsi"/>
                <w:szCs w:val="24"/>
              </w:rPr>
              <w:t xml:space="preserve">member </w:t>
            </w:r>
            <w:r w:rsidRPr="00FD4B48">
              <w:rPr>
                <w:rFonts w:asciiTheme="minorHAnsi" w:hAnsiTheme="minorHAnsi"/>
                <w:szCs w:val="24"/>
              </w:rPr>
              <w:t>organization</w:t>
            </w:r>
            <w:r w:rsidRPr="00181F0F">
              <w:rPr>
                <w:rFonts w:asciiTheme="minorHAnsi" w:hAnsiTheme="minorHAnsi"/>
                <w:szCs w:val="24"/>
              </w:rPr>
              <w:t xml:space="preserve">], I wish to </w:t>
            </w:r>
            <w:r w:rsidRPr="00FD4B48">
              <w:rPr>
                <w:rFonts w:asciiTheme="minorHAnsi" w:hAnsiTheme="minorHAnsi"/>
                <w:szCs w:val="24"/>
              </w:rPr>
              <w:t>[“opt in” to or “opt out” of]</w:t>
            </w:r>
            <w:r w:rsidRPr="00181F0F">
              <w:rPr>
                <w:rFonts w:asciiTheme="minorHAnsi" w:hAnsiTheme="minorHAnsi"/>
                <w:szCs w:val="24"/>
              </w:rPr>
              <w:t xml:space="preserve"> automatic approval of registration requests for all Active </w:t>
            </w:r>
            <w:r w:rsidR="00BB52A1">
              <w:rPr>
                <w:rFonts w:asciiTheme="minorHAnsi" w:hAnsiTheme="minorHAnsi"/>
                <w:szCs w:val="24"/>
              </w:rPr>
              <w:t>ITU</w:t>
            </w:r>
            <w:r w:rsidR="00BB52A1" w:rsidRPr="00181F0F">
              <w:rPr>
                <w:rFonts w:asciiTheme="minorHAnsi" w:hAnsiTheme="minorHAnsi"/>
                <w:szCs w:val="24"/>
              </w:rPr>
              <w:t xml:space="preserve"> </w:t>
            </w:r>
            <w:r w:rsidRPr="00181F0F">
              <w:rPr>
                <w:rFonts w:asciiTheme="minorHAnsi" w:hAnsiTheme="minorHAnsi"/>
                <w:szCs w:val="24"/>
              </w:rPr>
              <w:t>Account</w:t>
            </w:r>
            <w:r w:rsidR="00BB52A1">
              <w:rPr>
                <w:rFonts w:asciiTheme="minorHAnsi" w:hAnsiTheme="minorHAnsi"/>
                <w:szCs w:val="24"/>
              </w:rPr>
              <w:t>s with TIES access</w:t>
            </w:r>
            <w:r w:rsidRPr="00181F0F">
              <w:rPr>
                <w:rFonts w:asciiTheme="minorHAnsi" w:hAnsiTheme="minorHAnsi"/>
                <w:szCs w:val="24"/>
              </w:rPr>
              <w:t xml:space="preserve"> affiliated with this organization until further notice or for the remainder of the Study Period (currently until WTSA-20).</w:t>
            </w:r>
          </w:p>
          <w:p w:rsidR="00181F0F" w:rsidRPr="00181F0F" w:rsidRDefault="00181F0F" w:rsidP="00181F0F">
            <w:pPr>
              <w:spacing w:before="0"/>
              <w:rPr>
                <w:rFonts w:asciiTheme="minorHAnsi" w:hAnsiTheme="minorHAnsi"/>
                <w:szCs w:val="24"/>
              </w:rPr>
            </w:pPr>
          </w:p>
          <w:p w:rsidR="00181F0F" w:rsidRPr="00181F0F" w:rsidRDefault="00181F0F" w:rsidP="00181F0F">
            <w:pPr>
              <w:spacing w:before="0"/>
              <w:rPr>
                <w:rFonts w:asciiTheme="minorHAnsi" w:hAnsiTheme="minorHAnsi"/>
                <w:szCs w:val="24"/>
              </w:rPr>
            </w:pPr>
            <w:r w:rsidRPr="00181F0F">
              <w:rPr>
                <w:rFonts w:asciiTheme="minorHAnsi" w:hAnsiTheme="minorHAnsi"/>
                <w:szCs w:val="24"/>
              </w:rPr>
              <w:t>Yours faithfully,</w:t>
            </w:r>
          </w:p>
          <w:p w:rsidR="00181F0F" w:rsidRPr="00181F0F" w:rsidRDefault="00181F0F" w:rsidP="00181F0F">
            <w:pPr>
              <w:spacing w:before="0"/>
              <w:rPr>
                <w:rFonts w:asciiTheme="minorHAnsi" w:hAnsiTheme="minorHAnsi"/>
                <w:szCs w:val="24"/>
              </w:rPr>
            </w:pPr>
          </w:p>
          <w:p w:rsidR="00181F0F" w:rsidRPr="00FD4B48" w:rsidRDefault="00181F0F" w:rsidP="00181F0F">
            <w:pPr>
              <w:spacing w:before="0"/>
              <w:rPr>
                <w:rFonts w:asciiTheme="minorHAnsi" w:hAnsiTheme="minorHAnsi"/>
                <w:szCs w:val="24"/>
              </w:rPr>
            </w:pPr>
            <w:r w:rsidRPr="00181F0F">
              <w:rPr>
                <w:rFonts w:asciiTheme="minorHAnsi" w:hAnsiTheme="minorHAnsi"/>
                <w:szCs w:val="24"/>
              </w:rPr>
              <w:t>[</w:t>
            </w:r>
            <w:r w:rsidRPr="00FD4B48">
              <w:rPr>
                <w:rFonts w:asciiTheme="minorHAnsi" w:hAnsiTheme="minorHAnsi"/>
                <w:szCs w:val="24"/>
              </w:rPr>
              <w:t>Name]</w:t>
            </w:r>
          </w:p>
          <w:p w:rsidR="00181F0F" w:rsidRPr="00FD4B48" w:rsidRDefault="00181F0F" w:rsidP="00181F0F">
            <w:pPr>
              <w:spacing w:before="0"/>
              <w:rPr>
                <w:rFonts w:asciiTheme="minorHAnsi" w:hAnsiTheme="minorHAnsi"/>
                <w:szCs w:val="24"/>
              </w:rPr>
            </w:pPr>
            <w:r w:rsidRPr="00FD4B48">
              <w:rPr>
                <w:rFonts w:asciiTheme="minorHAnsi" w:hAnsiTheme="minorHAnsi"/>
                <w:szCs w:val="24"/>
              </w:rPr>
              <w:t>[Official role/title]</w:t>
            </w:r>
          </w:p>
          <w:p w:rsidR="00181F0F" w:rsidRDefault="00181F0F" w:rsidP="00181F0F">
            <w:pPr>
              <w:spacing w:before="0"/>
              <w:rPr>
                <w:rFonts w:asciiTheme="minorHAnsi" w:hAnsiTheme="minorHAnsi"/>
                <w:szCs w:val="24"/>
              </w:rPr>
            </w:pPr>
            <w:r w:rsidRPr="00FD4B48">
              <w:rPr>
                <w:rFonts w:asciiTheme="minorHAnsi" w:hAnsiTheme="minorHAnsi"/>
                <w:szCs w:val="24"/>
              </w:rPr>
              <w:t>[Member organization</w:t>
            </w:r>
            <w:r w:rsidRPr="00181F0F">
              <w:rPr>
                <w:rFonts w:asciiTheme="minorHAnsi" w:hAnsiTheme="minorHAnsi"/>
                <w:szCs w:val="24"/>
              </w:rPr>
              <w:t>]</w:t>
            </w:r>
          </w:p>
        </w:tc>
      </w:tr>
    </w:tbl>
    <w:p w:rsidR="000B31E8" w:rsidRDefault="000B31E8" w:rsidP="00181F0F">
      <w:pPr>
        <w:spacing w:before="0"/>
        <w:rPr>
          <w:rFonts w:asciiTheme="minorHAnsi" w:hAnsiTheme="minorHAnsi"/>
        </w:rPr>
      </w:pPr>
    </w:p>
    <w:p w:rsidR="00746353" w:rsidRPr="00FD4B48" w:rsidRDefault="00A26310" w:rsidP="00FD4B48">
      <w:pPr>
        <w:spacing w:before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_________</w:t>
      </w:r>
      <w:r w:rsidR="00746353">
        <w:rPr>
          <w:rFonts w:asciiTheme="minorHAnsi" w:hAnsiTheme="minorHAnsi"/>
        </w:rPr>
        <w:t>_________</w:t>
      </w:r>
    </w:p>
    <w:sectPr w:rsidR="00746353" w:rsidRPr="00FD4B48" w:rsidSect="00FA46A0">
      <w:headerReference w:type="default" r:id="rId11"/>
      <w:footerReference w:type="first" r:id="rId1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90" w:rsidRDefault="000C6890">
      <w:r>
        <w:separator/>
      </w:r>
    </w:p>
  </w:endnote>
  <w:endnote w:type="continuationSeparator" w:id="0">
    <w:p w:rsidR="000C6890" w:rsidRDefault="000C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90" w:rsidRDefault="000C6890">
      <w:r>
        <w:t>____________________</w:t>
      </w:r>
    </w:p>
  </w:footnote>
  <w:footnote w:type="continuationSeparator" w:id="0">
    <w:p w:rsidR="000C6890" w:rsidRDefault="000C6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6A0" w:rsidRDefault="00B61012" w:rsidP="002F5CAB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820F47">
      <w:rPr>
        <w:noProof/>
      </w:rPr>
      <w:t>3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2F5CAB">
      <w:rPr>
        <w:noProof/>
      </w:rPr>
      <w:t>118</w:t>
    </w:r>
  </w:p>
  <w:p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2E10B7"/>
    <w:multiLevelType w:val="hybridMultilevel"/>
    <w:tmpl w:val="E23A88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97D20"/>
    <w:multiLevelType w:val="hybridMultilevel"/>
    <w:tmpl w:val="02C490D0"/>
    <w:lvl w:ilvl="0" w:tplc="5FBAF55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C5066"/>
    <w:multiLevelType w:val="hybridMultilevel"/>
    <w:tmpl w:val="EB28EA02"/>
    <w:lvl w:ilvl="0" w:tplc="80BE56C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82D50"/>
    <w:multiLevelType w:val="multilevel"/>
    <w:tmpl w:val="1E72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8F"/>
    <w:rsid w:val="00022E6B"/>
    <w:rsid w:val="00092B5B"/>
    <w:rsid w:val="000B15C8"/>
    <w:rsid w:val="000B31E8"/>
    <w:rsid w:val="000C6890"/>
    <w:rsid w:val="001018E1"/>
    <w:rsid w:val="00112F37"/>
    <w:rsid w:val="0015301C"/>
    <w:rsid w:val="00181F0F"/>
    <w:rsid w:val="001A34EC"/>
    <w:rsid w:val="001C138D"/>
    <w:rsid w:val="001D7F8A"/>
    <w:rsid w:val="00214E76"/>
    <w:rsid w:val="00280B75"/>
    <w:rsid w:val="002F5CAB"/>
    <w:rsid w:val="002F7D75"/>
    <w:rsid w:val="0030154E"/>
    <w:rsid w:val="00325C84"/>
    <w:rsid w:val="00356B73"/>
    <w:rsid w:val="00372A69"/>
    <w:rsid w:val="003746A5"/>
    <w:rsid w:val="003D4690"/>
    <w:rsid w:val="003E1252"/>
    <w:rsid w:val="003E1407"/>
    <w:rsid w:val="00400D56"/>
    <w:rsid w:val="00453CEA"/>
    <w:rsid w:val="00457CD2"/>
    <w:rsid w:val="00467F8F"/>
    <w:rsid w:val="00487330"/>
    <w:rsid w:val="004B277D"/>
    <w:rsid w:val="00503ADB"/>
    <w:rsid w:val="00505641"/>
    <w:rsid w:val="0056293A"/>
    <w:rsid w:val="00562E2F"/>
    <w:rsid w:val="00563730"/>
    <w:rsid w:val="005A30A9"/>
    <w:rsid w:val="005E003C"/>
    <w:rsid w:val="005E0194"/>
    <w:rsid w:val="006449CF"/>
    <w:rsid w:val="006532EC"/>
    <w:rsid w:val="006A1ED2"/>
    <w:rsid w:val="006B43A7"/>
    <w:rsid w:val="006C04B5"/>
    <w:rsid w:val="00725E32"/>
    <w:rsid w:val="00730A58"/>
    <w:rsid w:val="00746353"/>
    <w:rsid w:val="00753A03"/>
    <w:rsid w:val="0079763E"/>
    <w:rsid w:val="007A65E8"/>
    <w:rsid w:val="007C4368"/>
    <w:rsid w:val="007D4F46"/>
    <w:rsid w:val="00820F47"/>
    <w:rsid w:val="00896F6E"/>
    <w:rsid w:val="008E7326"/>
    <w:rsid w:val="00963900"/>
    <w:rsid w:val="009747C5"/>
    <w:rsid w:val="00980D5E"/>
    <w:rsid w:val="009B2EB5"/>
    <w:rsid w:val="00A26310"/>
    <w:rsid w:val="00A317EF"/>
    <w:rsid w:val="00A72C30"/>
    <w:rsid w:val="00B2488F"/>
    <w:rsid w:val="00B408AF"/>
    <w:rsid w:val="00B4669D"/>
    <w:rsid w:val="00B5103E"/>
    <w:rsid w:val="00B555DC"/>
    <w:rsid w:val="00B61012"/>
    <w:rsid w:val="00B8783D"/>
    <w:rsid w:val="00BB52A1"/>
    <w:rsid w:val="00C235C0"/>
    <w:rsid w:val="00C72E28"/>
    <w:rsid w:val="00C95BF6"/>
    <w:rsid w:val="00D62702"/>
    <w:rsid w:val="00D77B74"/>
    <w:rsid w:val="00D931D7"/>
    <w:rsid w:val="00DB1454"/>
    <w:rsid w:val="00DF2E33"/>
    <w:rsid w:val="00E128FC"/>
    <w:rsid w:val="00EA2114"/>
    <w:rsid w:val="00EC15F4"/>
    <w:rsid w:val="00EC1909"/>
    <w:rsid w:val="00F041DD"/>
    <w:rsid w:val="00F22314"/>
    <w:rsid w:val="00F42841"/>
    <w:rsid w:val="00F537D2"/>
    <w:rsid w:val="00FA46A0"/>
    <w:rsid w:val="00FC1C19"/>
    <w:rsid w:val="00FD13BE"/>
    <w:rsid w:val="00FD4B48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E860C9-E700-4151-A5C3-89DDC899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F428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2" w:lineRule="auto"/>
      <w:ind w:left="720"/>
      <w:contextualSpacing/>
      <w:textAlignment w:val="auto"/>
    </w:pPr>
    <w:rPr>
      <w:rFonts w:eastAsiaTheme="minorEastAsia"/>
      <w:sz w:val="22"/>
      <w:szCs w:val="22"/>
      <w:lang w:val="en-US" w:eastAsia="zh-CN"/>
    </w:rPr>
  </w:style>
  <w:style w:type="character" w:styleId="Strong">
    <w:name w:val="Strong"/>
    <w:basedOn w:val="DefaultParagraphFont"/>
    <w:uiPriority w:val="22"/>
    <w:qFormat/>
    <w:rsid w:val="00725E32"/>
    <w:rPr>
      <w:b/>
      <w:bCs/>
    </w:rPr>
  </w:style>
  <w:style w:type="table" w:styleId="TableGrid">
    <w:name w:val="Table Grid"/>
    <w:basedOn w:val="TableNormal"/>
    <w:rsid w:val="00181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dir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tu.int/md/T17-TSB-CIR-01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shkurt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0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Al-Mnini, Lara</cp:lastModifiedBy>
  <cp:revision>2</cp:revision>
  <cp:lastPrinted>2018-09-28T14:20:00Z</cp:lastPrinted>
  <dcterms:created xsi:type="dcterms:W3CDTF">2018-10-01T07:04:00Z</dcterms:created>
  <dcterms:modified xsi:type="dcterms:W3CDTF">2018-10-01T07:04:00Z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