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BE0A9C" w:rsidTr="00B80E33">
        <w:trPr>
          <w:cantSplit/>
        </w:trPr>
        <w:tc>
          <w:tcPr>
            <w:tcW w:w="1418" w:type="dxa"/>
            <w:vAlign w:val="center"/>
          </w:tcPr>
          <w:p w:rsidR="00884D12" w:rsidRPr="00BE0A9C" w:rsidRDefault="00DB01E2" w:rsidP="00701574">
            <w:pPr>
              <w:tabs>
                <w:tab w:val="right" w:pos="8732"/>
              </w:tabs>
              <w:spacing w:before="0"/>
              <w:rPr>
                <w:b/>
                <w:bCs/>
                <w:iCs/>
                <w:color w:val="FFFFFF"/>
                <w:sz w:val="30"/>
                <w:szCs w:val="30"/>
              </w:rPr>
            </w:pPr>
            <w:r>
              <w:rPr>
                <w:noProof/>
                <w:lang w:val="en-GB" w:eastAsia="en-GB"/>
              </w:rPr>
              <w:drawing>
                <wp:inline distT="0" distB="0" distL="0" distR="0" wp14:anchorId="60562034" wp14:editId="631E4361">
                  <wp:extent cx="808355" cy="808355"/>
                  <wp:effectExtent l="0" t="0" r="0" b="0"/>
                  <wp:docPr id="2" name="Picture 2" descr="The International Teleocmmunication Union - Connecting the World." title="ITU logo"/>
                  <wp:cNvGraphicFramePr/>
                  <a:graphic xmlns:a="http://schemas.openxmlformats.org/drawingml/2006/main">
                    <a:graphicData uri="http://schemas.openxmlformats.org/drawingml/2006/picture">
                      <pic:pic xmlns:pic="http://schemas.openxmlformats.org/drawingml/2006/picture">
                        <pic:nvPicPr>
                          <pic:cNvPr id="2" name="Picture 2" descr="The International Teleocmmunication Union - Connecting the World." title="ITU log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379" w:type="dxa"/>
            <w:vAlign w:val="center"/>
          </w:tcPr>
          <w:p w:rsidR="00884D12" w:rsidRPr="00BE0A9C" w:rsidRDefault="00884D12" w:rsidP="00701574">
            <w:pPr>
              <w:spacing w:before="0"/>
              <w:rPr>
                <w:rFonts w:cs="Times New Roman Bold"/>
                <w:b/>
                <w:bCs/>
                <w:smallCaps/>
                <w:sz w:val="26"/>
                <w:szCs w:val="26"/>
              </w:rPr>
            </w:pPr>
            <w:r w:rsidRPr="00BE0A9C">
              <w:rPr>
                <w:rFonts w:cs="Times New Roman Bold"/>
                <w:b/>
                <w:bCs/>
                <w:smallCaps/>
                <w:sz w:val="36"/>
                <w:szCs w:val="36"/>
              </w:rPr>
              <w:t>Unión Internacional de Telecomunicaciones</w:t>
            </w:r>
          </w:p>
          <w:p w:rsidR="00884D12" w:rsidRPr="00BE0A9C" w:rsidRDefault="00884D12" w:rsidP="00701574">
            <w:pPr>
              <w:tabs>
                <w:tab w:val="right" w:pos="8732"/>
              </w:tabs>
              <w:spacing w:before="0"/>
              <w:rPr>
                <w:b/>
                <w:bCs/>
                <w:iCs/>
                <w:color w:val="FFFFFF"/>
                <w:sz w:val="30"/>
                <w:szCs w:val="30"/>
              </w:rPr>
            </w:pPr>
            <w:r w:rsidRPr="00BE0A9C">
              <w:rPr>
                <w:rFonts w:cs="Times New Roman Bold"/>
                <w:b/>
                <w:bCs/>
                <w:iCs/>
                <w:smallCaps/>
                <w:sz w:val="28"/>
                <w:szCs w:val="28"/>
              </w:rPr>
              <w:t>Oficina de Normalización de las Telecomunicaciones</w:t>
            </w:r>
          </w:p>
        </w:tc>
        <w:tc>
          <w:tcPr>
            <w:tcW w:w="1984" w:type="dxa"/>
            <w:vAlign w:val="center"/>
          </w:tcPr>
          <w:p w:rsidR="00884D12" w:rsidRPr="00BE0A9C" w:rsidRDefault="00884D12" w:rsidP="00701574">
            <w:pPr>
              <w:spacing w:before="0"/>
              <w:jc w:val="right"/>
              <w:rPr>
                <w:color w:val="FFFFFF"/>
                <w:sz w:val="26"/>
                <w:szCs w:val="26"/>
              </w:rPr>
            </w:pPr>
          </w:p>
        </w:tc>
      </w:tr>
    </w:tbl>
    <w:p w:rsidR="00C34772" w:rsidRPr="00BE0A9C" w:rsidRDefault="00C34772" w:rsidP="00701574">
      <w:pPr>
        <w:tabs>
          <w:tab w:val="clear" w:pos="794"/>
          <w:tab w:val="clear" w:pos="1191"/>
          <w:tab w:val="clear" w:pos="1588"/>
          <w:tab w:val="clear" w:pos="1985"/>
          <w:tab w:val="left" w:pos="4962"/>
        </w:tabs>
      </w:pPr>
    </w:p>
    <w:p w:rsidR="00C34772" w:rsidRPr="00BE0A9C" w:rsidRDefault="00C34772" w:rsidP="00DB01E2">
      <w:pPr>
        <w:tabs>
          <w:tab w:val="clear" w:pos="794"/>
          <w:tab w:val="clear" w:pos="1191"/>
          <w:tab w:val="clear" w:pos="1588"/>
          <w:tab w:val="clear" w:pos="1985"/>
          <w:tab w:val="left" w:pos="4962"/>
        </w:tabs>
      </w:pPr>
      <w:r w:rsidRPr="00BE0A9C">
        <w:tab/>
        <w:t xml:space="preserve">Ginebra, </w:t>
      </w:r>
      <w:r w:rsidR="00275D74" w:rsidRPr="00BE0A9C">
        <w:t>1</w:t>
      </w:r>
      <w:r w:rsidR="00DB01E2">
        <w:t>7 de octubre</w:t>
      </w:r>
      <w:r w:rsidR="0094637C" w:rsidRPr="00BE0A9C">
        <w:t xml:space="preserve"> de 201</w:t>
      </w:r>
      <w:r w:rsidR="00E52775" w:rsidRPr="00BE0A9C">
        <w:t>8</w:t>
      </w:r>
    </w:p>
    <w:p w:rsidR="00C34772" w:rsidRPr="00BE0A9C" w:rsidRDefault="00C34772" w:rsidP="00701574">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1182"/>
        <w:gridCol w:w="3695"/>
        <w:gridCol w:w="5329"/>
      </w:tblGrid>
      <w:tr w:rsidR="00CC5ACE" w:rsidRPr="00BE0A9C" w:rsidTr="008A5CFA">
        <w:trPr>
          <w:cantSplit/>
          <w:trHeight w:val="340"/>
        </w:trPr>
        <w:tc>
          <w:tcPr>
            <w:tcW w:w="1182" w:type="dxa"/>
          </w:tcPr>
          <w:p w:rsidR="00CC5ACE" w:rsidRPr="00020219" w:rsidRDefault="00CC5ACE" w:rsidP="003B7220">
            <w:pPr>
              <w:tabs>
                <w:tab w:val="left" w:pos="4111"/>
              </w:tabs>
              <w:spacing w:before="40" w:after="40"/>
              <w:ind w:left="57"/>
              <w:rPr>
                <w:szCs w:val="24"/>
              </w:rPr>
            </w:pPr>
            <w:r w:rsidRPr="00020219">
              <w:rPr>
                <w:szCs w:val="24"/>
              </w:rPr>
              <w:t>Ref.:</w:t>
            </w:r>
          </w:p>
        </w:tc>
        <w:tc>
          <w:tcPr>
            <w:tcW w:w="3695" w:type="dxa"/>
          </w:tcPr>
          <w:p w:rsidR="00CC5ACE" w:rsidRPr="00BE0A9C" w:rsidRDefault="00CC5ACE" w:rsidP="00DB01E2">
            <w:pPr>
              <w:tabs>
                <w:tab w:val="left" w:pos="4111"/>
              </w:tabs>
              <w:spacing w:before="0"/>
              <w:ind w:left="57"/>
              <w:rPr>
                <w:b/>
              </w:rPr>
            </w:pPr>
            <w:r w:rsidRPr="00BE0A9C">
              <w:rPr>
                <w:b/>
              </w:rPr>
              <w:t xml:space="preserve">Circular TSB </w:t>
            </w:r>
            <w:r w:rsidR="00DB01E2">
              <w:rPr>
                <w:b/>
              </w:rPr>
              <w:t>113</w:t>
            </w:r>
          </w:p>
          <w:p w:rsidR="00CC5ACE" w:rsidRPr="00BE0A9C" w:rsidRDefault="00A712C9" w:rsidP="00807BDC">
            <w:pPr>
              <w:tabs>
                <w:tab w:val="left" w:pos="4111"/>
              </w:tabs>
              <w:spacing w:before="0"/>
              <w:ind w:left="57"/>
              <w:rPr>
                <w:b/>
              </w:rPr>
            </w:pPr>
            <w:r w:rsidRPr="00BE0A9C">
              <w:rPr>
                <w:szCs w:val="24"/>
              </w:rPr>
              <w:t>CE </w:t>
            </w:r>
            <w:r w:rsidR="00275D74" w:rsidRPr="00BE0A9C">
              <w:rPr>
                <w:szCs w:val="24"/>
              </w:rPr>
              <w:t>17/XY</w:t>
            </w:r>
          </w:p>
        </w:tc>
        <w:tc>
          <w:tcPr>
            <w:tcW w:w="5329" w:type="dxa"/>
            <w:vMerge w:val="restart"/>
          </w:tcPr>
          <w:p w:rsidR="002836A3" w:rsidRPr="00BE0A9C" w:rsidRDefault="00066573" w:rsidP="00275D74">
            <w:pPr>
              <w:tabs>
                <w:tab w:val="clear" w:pos="794"/>
                <w:tab w:val="clear" w:pos="1191"/>
                <w:tab w:val="clear" w:pos="1588"/>
                <w:tab w:val="clear" w:pos="1985"/>
                <w:tab w:val="left" w:pos="284"/>
              </w:tabs>
              <w:spacing w:before="0"/>
              <w:ind w:left="284" w:hanging="227"/>
            </w:pPr>
            <w:bookmarkStart w:id="0" w:name="Addressee_S"/>
            <w:bookmarkEnd w:id="0"/>
            <w:r w:rsidRPr="00BE0A9C">
              <w:t>–</w:t>
            </w:r>
            <w:r w:rsidRPr="00BE0A9C">
              <w:tab/>
              <w:t>A las Administraciones de lo</w:t>
            </w:r>
            <w:r w:rsidR="00275D74" w:rsidRPr="00BE0A9C">
              <w:t xml:space="preserve">s Estados Miembros </w:t>
            </w:r>
            <w:r w:rsidR="00275D74" w:rsidRPr="00BE0A9C">
              <w:br/>
              <w:t>de la Unión</w:t>
            </w:r>
          </w:p>
        </w:tc>
      </w:tr>
      <w:tr w:rsidR="00CC5ACE" w:rsidRPr="00BE0A9C" w:rsidTr="008A5CFA">
        <w:trPr>
          <w:cantSplit/>
          <w:trHeight w:val="340"/>
        </w:trPr>
        <w:tc>
          <w:tcPr>
            <w:tcW w:w="1182" w:type="dxa"/>
          </w:tcPr>
          <w:p w:rsidR="00CC5ACE" w:rsidRPr="00020219" w:rsidRDefault="00CC5ACE" w:rsidP="003B7220">
            <w:pPr>
              <w:tabs>
                <w:tab w:val="left" w:pos="4111"/>
              </w:tabs>
              <w:spacing w:before="40" w:after="40"/>
              <w:ind w:left="57"/>
              <w:rPr>
                <w:szCs w:val="24"/>
              </w:rPr>
            </w:pPr>
            <w:r w:rsidRPr="00020219">
              <w:rPr>
                <w:szCs w:val="24"/>
              </w:rPr>
              <w:t>Tel.:</w:t>
            </w:r>
          </w:p>
        </w:tc>
        <w:tc>
          <w:tcPr>
            <w:tcW w:w="3695" w:type="dxa"/>
          </w:tcPr>
          <w:p w:rsidR="00CC5ACE" w:rsidRPr="00BE0A9C" w:rsidRDefault="00275D74" w:rsidP="003B7220">
            <w:pPr>
              <w:tabs>
                <w:tab w:val="left" w:pos="4111"/>
              </w:tabs>
              <w:spacing w:before="40" w:after="40"/>
              <w:ind w:left="57"/>
              <w:rPr>
                <w:b/>
              </w:rPr>
            </w:pPr>
            <w:r w:rsidRPr="00BE0A9C">
              <w:t>+41 22 730 6206</w:t>
            </w:r>
          </w:p>
        </w:tc>
        <w:tc>
          <w:tcPr>
            <w:tcW w:w="5329" w:type="dxa"/>
            <w:vMerge/>
          </w:tcPr>
          <w:p w:rsidR="00CC5ACE" w:rsidRPr="00BE0A9C" w:rsidRDefault="00CC5ACE" w:rsidP="00701574">
            <w:pPr>
              <w:tabs>
                <w:tab w:val="clear" w:pos="794"/>
                <w:tab w:val="clear" w:pos="1191"/>
                <w:tab w:val="clear" w:pos="1588"/>
                <w:tab w:val="clear" w:pos="1985"/>
                <w:tab w:val="left" w:pos="284"/>
              </w:tabs>
              <w:spacing w:before="0"/>
              <w:ind w:left="284" w:hanging="227"/>
            </w:pPr>
          </w:p>
        </w:tc>
      </w:tr>
      <w:tr w:rsidR="00CC5ACE" w:rsidRPr="00BE0A9C" w:rsidTr="008A5CFA">
        <w:trPr>
          <w:cantSplit/>
          <w:trHeight w:val="340"/>
        </w:trPr>
        <w:tc>
          <w:tcPr>
            <w:tcW w:w="1182" w:type="dxa"/>
          </w:tcPr>
          <w:p w:rsidR="00CC5ACE" w:rsidRPr="00020219" w:rsidRDefault="00CC5ACE" w:rsidP="003B7220">
            <w:pPr>
              <w:tabs>
                <w:tab w:val="left" w:pos="4111"/>
              </w:tabs>
              <w:spacing w:before="40" w:after="40"/>
              <w:ind w:left="57"/>
              <w:rPr>
                <w:szCs w:val="24"/>
              </w:rPr>
            </w:pPr>
            <w:r w:rsidRPr="00020219">
              <w:rPr>
                <w:szCs w:val="24"/>
              </w:rPr>
              <w:t>Fax:</w:t>
            </w:r>
          </w:p>
        </w:tc>
        <w:tc>
          <w:tcPr>
            <w:tcW w:w="3695" w:type="dxa"/>
          </w:tcPr>
          <w:p w:rsidR="00CC5ACE" w:rsidRPr="00BE0A9C" w:rsidRDefault="00CC5ACE" w:rsidP="003B7220">
            <w:pPr>
              <w:tabs>
                <w:tab w:val="left" w:pos="4111"/>
              </w:tabs>
              <w:spacing w:before="40" w:after="40"/>
              <w:ind w:left="57"/>
              <w:rPr>
                <w:b/>
              </w:rPr>
            </w:pPr>
            <w:r w:rsidRPr="00BE0A9C">
              <w:t>+41 22 730 5853</w:t>
            </w:r>
          </w:p>
        </w:tc>
        <w:tc>
          <w:tcPr>
            <w:tcW w:w="5329" w:type="dxa"/>
            <w:vMerge/>
          </w:tcPr>
          <w:p w:rsidR="00CC5ACE" w:rsidRPr="00BE0A9C" w:rsidRDefault="00CC5ACE" w:rsidP="00701574">
            <w:pPr>
              <w:tabs>
                <w:tab w:val="clear" w:pos="794"/>
                <w:tab w:val="clear" w:pos="1191"/>
                <w:tab w:val="clear" w:pos="1588"/>
                <w:tab w:val="clear" w:pos="1985"/>
                <w:tab w:val="left" w:pos="284"/>
              </w:tabs>
              <w:spacing w:before="0"/>
              <w:ind w:left="284" w:hanging="227"/>
            </w:pPr>
          </w:p>
        </w:tc>
      </w:tr>
      <w:tr w:rsidR="00C34772" w:rsidRPr="00BE0A9C" w:rsidTr="008A5CFA">
        <w:trPr>
          <w:cantSplit/>
        </w:trPr>
        <w:tc>
          <w:tcPr>
            <w:tcW w:w="1182" w:type="dxa"/>
          </w:tcPr>
          <w:p w:rsidR="00C34772" w:rsidRPr="00020219" w:rsidRDefault="00C34772" w:rsidP="003B7220">
            <w:pPr>
              <w:tabs>
                <w:tab w:val="left" w:pos="4111"/>
              </w:tabs>
              <w:spacing w:before="40" w:after="40"/>
              <w:ind w:left="57"/>
              <w:rPr>
                <w:szCs w:val="24"/>
              </w:rPr>
            </w:pPr>
            <w:r w:rsidRPr="00020219">
              <w:rPr>
                <w:szCs w:val="24"/>
              </w:rPr>
              <w:t>Correo-e:</w:t>
            </w:r>
          </w:p>
        </w:tc>
        <w:tc>
          <w:tcPr>
            <w:tcW w:w="3695" w:type="dxa"/>
          </w:tcPr>
          <w:p w:rsidR="00C34772" w:rsidRPr="00BE0A9C" w:rsidRDefault="0040010E" w:rsidP="003B7220">
            <w:pPr>
              <w:tabs>
                <w:tab w:val="left" w:pos="4111"/>
              </w:tabs>
              <w:spacing w:before="40" w:after="40"/>
              <w:ind w:left="57"/>
            </w:pPr>
            <w:hyperlink r:id="rId9" w:history="1">
              <w:r w:rsidR="00275D74" w:rsidRPr="00BE0A9C">
                <w:rPr>
                  <w:rStyle w:val="Hyperlink"/>
                  <w:szCs w:val="24"/>
                </w:rPr>
                <w:t>tsbsg17@itu.int</w:t>
              </w:r>
            </w:hyperlink>
          </w:p>
        </w:tc>
        <w:tc>
          <w:tcPr>
            <w:tcW w:w="5329" w:type="dxa"/>
          </w:tcPr>
          <w:p w:rsidR="00C34772" w:rsidRPr="00BE0A9C" w:rsidRDefault="00C34772" w:rsidP="003B7220">
            <w:pPr>
              <w:tabs>
                <w:tab w:val="left" w:pos="4111"/>
              </w:tabs>
              <w:spacing w:before="40" w:after="40"/>
              <w:ind w:left="57"/>
            </w:pPr>
            <w:r w:rsidRPr="00BE0A9C">
              <w:rPr>
                <w:b/>
              </w:rPr>
              <w:t>Copia</w:t>
            </w:r>
            <w:r w:rsidRPr="00BE0A9C">
              <w:t>:</w:t>
            </w:r>
          </w:p>
          <w:p w:rsidR="00275D74" w:rsidRPr="00BE0A9C" w:rsidRDefault="00275D74" w:rsidP="00275D74">
            <w:pPr>
              <w:tabs>
                <w:tab w:val="clear" w:pos="794"/>
                <w:tab w:val="clear" w:pos="1191"/>
                <w:tab w:val="clear" w:pos="1588"/>
                <w:tab w:val="clear" w:pos="1985"/>
                <w:tab w:val="left" w:pos="284"/>
              </w:tabs>
              <w:spacing w:before="0"/>
              <w:ind w:left="284" w:hanging="227"/>
            </w:pPr>
            <w:r w:rsidRPr="00BE0A9C">
              <w:t>–</w:t>
            </w:r>
            <w:r w:rsidRPr="00BE0A9C">
              <w:tab/>
              <w:t>A los Miembros de Sector del UIT-T;</w:t>
            </w:r>
          </w:p>
          <w:p w:rsidR="00275D74" w:rsidRPr="00BE0A9C" w:rsidRDefault="00275D74" w:rsidP="00160947">
            <w:pPr>
              <w:tabs>
                <w:tab w:val="clear" w:pos="794"/>
                <w:tab w:val="clear" w:pos="1191"/>
                <w:tab w:val="clear" w:pos="1588"/>
                <w:tab w:val="clear" w:pos="1985"/>
                <w:tab w:val="left" w:pos="284"/>
              </w:tabs>
              <w:spacing w:before="0"/>
              <w:ind w:left="284" w:hanging="227"/>
            </w:pPr>
            <w:r w:rsidRPr="00BE0A9C">
              <w:t>–</w:t>
            </w:r>
            <w:r w:rsidRPr="00BE0A9C">
              <w:tab/>
            </w:r>
            <w:r w:rsidR="00287FF5" w:rsidRPr="00BE0A9C">
              <w:rPr>
                <w:szCs w:val="24"/>
              </w:rPr>
              <w:t>A los Asociados de la Comisión de Estudio 17 del UIT-T</w:t>
            </w:r>
            <w:r w:rsidRPr="00BE0A9C">
              <w:t>;</w:t>
            </w:r>
          </w:p>
          <w:p w:rsidR="00275D74" w:rsidRPr="00BE0A9C" w:rsidRDefault="00275D74" w:rsidP="00275D74">
            <w:pPr>
              <w:tabs>
                <w:tab w:val="clear" w:pos="794"/>
                <w:tab w:val="clear" w:pos="1191"/>
                <w:tab w:val="clear" w:pos="1588"/>
                <w:tab w:val="clear" w:pos="1985"/>
                <w:tab w:val="left" w:pos="284"/>
              </w:tabs>
              <w:spacing w:before="0"/>
              <w:ind w:left="284" w:hanging="227"/>
            </w:pPr>
            <w:r w:rsidRPr="00BE0A9C">
              <w:t>–</w:t>
            </w:r>
            <w:r w:rsidRPr="00BE0A9C">
              <w:tab/>
              <w:t>A las Instituciones Académicas de la UIT</w:t>
            </w:r>
            <w:r w:rsidR="00287FF5" w:rsidRPr="00BE0A9C">
              <w:t>;</w:t>
            </w:r>
          </w:p>
          <w:p w:rsidR="00066573" w:rsidRPr="00BE0A9C" w:rsidRDefault="00066573" w:rsidP="00275D74">
            <w:pPr>
              <w:tabs>
                <w:tab w:val="clear" w:pos="794"/>
                <w:tab w:val="clear" w:pos="1191"/>
                <w:tab w:val="clear" w:pos="1588"/>
                <w:tab w:val="clear" w:pos="1985"/>
                <w:tab w:val="left" w:pos="284"/>
              </w:tabs>
              <w:spacing w:before="0"/>
              <w:ind w:left="284" w:hanging="227"/>
            </w:pPr>
            <w:r w:rsidRPr="00BE0A9C">
              <w:t>–</w:t>
            </w:r>
            <w:r w:rsidRPr="00BE0A9C">
              <w:tab/>
            </w:r>
            <w:r w:rsidR="00287FF5" w:rsidRPr="00BE0A9C">
              <w:rPr>
                <w:szCs w:val="24"/>
              </w:rPr>
              <w:t>Al Presidente y a los Vicepresidentes de la Comisión de Estudio 17 del UIT-T</w:t>
            </w:r>
            <w:r w:rsidRPr="00BE0A9C">
              <w:t>;</w:t>
            </w:r>
          </w:p>
          <w:p w:rsidR="00066573" w:rsidRPr="00BE0A9C" w:rsidRDefault="00066573" w:rsidP="00066573">
            <w:pPr>
              <w:tabs>
                <w:tab w:val="clear" w:pos="794"/>
                <w:tab w:val="clear" w:pos="1191"/>
                <w:tab w:val="clear" w:pos="1588"/>
                <w:tab w:val="clear" w:pos="1985"/>
                <w:tab w:val="left" w:pos="284"/>
              </w:tabs>
              <w:spacing w:before="0"/>
              <w:ind w:left="284" w:hanging="227"/>
            </w:pPr>
            <w:r w:rsidRPr="00BE0A9C">
              <w:t>–</w:t>
            </w:r>
            <w:r w:rsidRPr="00BE0A9C">
              <w:tab/>
              <w:t>Al Director de la Oficina de Desarrollo de las Telecomunicaciones;</w:t>
            </w:r>
          </w:p>
          <w:p w:rsidR="00E52775" w:rsidRPr="00BE0A9C" w:rsidRDefault="00066573" w:rsidP="00A60338">
            <w:pPr>
              <w:tabs>
                <w:tab w:val="clear" w:pos="794"/>
                <w:tab w:val="clear" w:pos="1191"/>
                <w:tab w:val="clear" w:pos="1588"/>
                <w:tab w:val="clear" w:pos="1985"/>
                <w:tab w:val="left" w:pos="284"/>
              </w:tabs>
              <w:spacing w:before="40" w:after="40"/>
              <w:ind w:left="284" w:hanging="227"/>
            </w:pPr>
            <w:r w:rsidRPr="00BE0A9C">
              <w:t>–</w:t>
            </w:r>
            <w:r w:rsidRPr="00BE0A9C">
              <w:tab/>
              <w:t>Al Director de la Oficina de Radiocomunicaciones</w:t>
            </w:r>
          </w:p>
        </w:tc>
      </w:tr>
      <w:tr w:rsidR="00CC5ACE" w:rsidRPr="00BE0A9C" w:rsidTr="00B80E33">
        <w:trPr>
          <w:cantSplit/>
        </w:trPr>
        <w:tc>
          <w:tcPr>
            <w:tcW w:w="1182" w:type="dxa"/>
          </w:tcPr>
          <w:p w:rsidR="00CC5ACE" w:rsidRPr="00020219" w:rsidRDefault="00CC5ACE" w:rsidP="00160947">
            <w:pPr>
              <w:spacing w:before="360" w:after="240"/>
              <w:ind w:left="57"/>
            </w:pPr>
            <w:r w:rsidRPr="00020219">
              <w:t>Asunto:</w:t>
            </w:r>
          </w:p>
        </w:tc>
        <w:tc>
          <w:tcPr>
            <w:tcW w:w="9024" w:type="dxa"/>
            <w:gridSpan w:val="2"/>
          </w:tcPr>
          <w:p w:rsidR="00CC5ACE" w:rsidRPr="00BE0A9C" w:rsidRDefault="00287FF5" w:rsidP="00160947">
            <w:pPr>
              <w:spacing w:before="360" w:after="240"/>
              <w:ind w:left="57"/>
              <w:rPr>
                <w:b/>
                <w:bCs/>
              </w:rPr>
            </w:pPr>
            <w:r w:rsidRPr="00BE0A9C">
              <w:rPr>
                <w:b/>
                <w:bCs/>
              </w:rPr>
              <w:t>Consulta a los Estados Miembros sobre los proyectos de nueva Recomendación determinada UI</w:t>
            </w:r>
            <w:r w:rsidR="00874476" w:rsidRPr="00BE0A9C">
              <w:rPr>
                <w:b/>
                <w:bCs/>
              </w:rPr>
              <w:t xml:space="preserve">T-T </w:t>
            </w:r>
            <w:r w:rsidR="00160947" w:rsidRPr="00160947">
              <w:rPr>
                <w:b/>
                <w:bCs/>
              </w:rPr>
              <w:t xml:space="preserve">X.1042 (X.sdnsec-1), </w:t>
            </w:r>
            <w:r w:rsidR="00160947" w:rsidRPr="00BE0A9C">
              <w:rPr>
                <w:b/>
                <w:bCs/>
              </w:rPr>
              <w:t xml:space="preserve">UIT-T </w:t>
            </w:r>
            <w:r w:rsidR="00160947" w:rsidRPr="00160947">
              <w:rPr>
                <w:b/>
                <w:bCs/>
              </w:rPr>
              <w:t>X.1215 (X.ucstix)</w:t>
            </w:r>
            <w:r w:rsidR="00160947">
              <w:rPr>
                <w:b/>
                <w:bCs/>
              </w:rPr>
              <w:t xml:space="preserve"> y </w:t>
            </w:r>
            <w:r w:rsidR="00160947" w:rsidRPr="00160947">
              <w:rPr>
                <w:b/>
                <w:bCs/>
              </w:rPr>
              <w:t xml:space="preserve">UIT-T </w:t>
            </w:r>
            <w:r w:rsidR="00874476" w:rsidRPr="00BE0A9C">
              <w:rPr>
                <w:b/>
                <w:bCs/>
              </w:rPr>
              <w:t>X.1249 (X.tfcma)</w:t>
            </w:r>
            <w:r w:rsidRPr="00BE0A9C">
              <w:rPr>
                <w:b/>
                <w:bCs/>
              </w:rPr>
              <w:t xml:space="preserve">, propuestos para aprobación en la reunión de la Comisión de Estudio 17 </w:t>
            </w:r>
            <w:r w:rsidR="00874476" w:rsidRPr="00BE0A9C">
              <w:rPr>
                <w:b/>
                <w:bCs/>
              </w:rPr>
              <w:br/>
            </w:r>
            <w:r w:rsidRPr="00BE0A9C">
              <w:rPr>
                <w:b/>
                <w:bCs/>
              </w:rPr>
              <w:t xml:space="preserve">(Ginebra, </w:t>
            </w:r>
            <w:r w:rsidR="00160947">
              <w:rPr>
                <w:b/>
                <w:bCs/>
              </w:rPr>
              <w:t>22-30</w:t>
            </w:r>
            <w:r w:rsidRPr="00BE0A9C">
              <w:rPr>
                <w:b/>
                <w:bCs/>
              </w:rPr>
              <w:t xml:space="preserve"> de </w:t>
            </w:r>
            <w:r w:rsidR="00160947">
              <w:rPr>
                <w:b/>
                <w:bCs/>
              </w:rPr>
              <w:t>enero</w:t>
            </w:r>
            <w:r w:rsidRPr="00BE0A9C">
              <w:rPr>
                <w:b/>
                <w:bCs/>
              </w:rPr>
              <w:t xml:space="preserve"> de 201</w:t>
            </w:r>
            <w:r w:rsidR="00160947">
              <w:rPr>
                <w:b/>
                <w:bCs/>
              </w:rPr>
              <w:t>9</w:t>
            </w:r>
            <w:r w:rsidRPr="00BE0A9C">
              <w:rPr>
                <w:b/>
                <w:bCs/>
              </w:rPr>
              <w:t>)</w:t>
            </w:r>
          </w:p>
        </w:tc>
      </w:tr>
    </w:tbl>
    <w:p w:rsidR="00C34772" w:rsidRPr="00BE0A9C" w:rsidRDefault="003F6326" w:rsidP="0041233F">
      <w:pPr>
        <w:pStyle w:val="Normalaftertitle0"/>
      </w:pPr>
      <w:bookmarkStart w:id="1" w:name="StartTyping_S"/>
      <w:bookmarkStart w:id="2" w:name="suitetext"/>
      <w:bookmarkStart w:id="3" w:name="text"/>
      <w:bookmarkEnd w:id="1"/>
      <w:bookmarkEnd w:id="2"/>
      <w:bookmarkEnd w:id="3"/>
      <w:r w:rsidRPr="00BE0A9C">
        <w:t>Muy Señora mía</w:t>
      </w:r>
      <w:r w:rsidR="0094637C" w:rsidRPr="00BE0A9C">
        <w:t>/</w:t>
      </w:r>
      <w:r w:rsidR="00B80E33" w:rsidRPr="00BE0A9C">
        <w:t>Muy Señor mío</w:t>
      </w:r>
      <w:r w:rsidR="0041233F">
        <w:t>,</w:t>
      </w:r>
    </w:p>
    <w:p w:rsidR="00287FF5" w:rsidRPr="00CB33EF" w:rsidRDefault="00287FF5" w:rsidP="00160947">
      <w:pPr>
        <w:rPr>
          <w:spacing w:val="-2"/>
        </w:rPr>
      </w:pPr>
      <w:r w:rsidRPr="00CB33EF">
        <w:rPr>
          <w:spacing w:val="-2"/>
        </w:rPr>
        <w:t>1</w:t>
      </w:r>
      <w:r w:rsidRPr="00CB33EF">
        <w:rPr>
          <w:spacing w:val="-2"/>
        </w:rPr>
        <w:tab/>
        <w:t>La Comisión de Estudio 17 del UIT-T (Seguridad) tiene intención de aplicar el procedimiento de aprobación tradicional descrito en la cláu</w:t>
      </w:r>
      <w:r w:rsidR="00CB33EF" w:rsidRPr="00CB33EF">
        <w:rPr>
          <w:spacing w:val="-2"/>
        </w:rPr>
        <w:t xml:space="preserve">sula 9 de la Resolución 1 (Rev. </w:t>
      </w:r>
      <w:r w:rsidRPr="00CB33EF">
        <w:rPr>
          <w:spacing w:val="-2"/>
        </w:rPr>
        <w:t xml:space="preserve">Hammamet, 2016) de la AMNT para la aprobación de los citados proyectos de Recomendación durante su próxima reunión en Ginebra, del </w:t>
      </w:r>
      <w:r w:rsidR="00160947">
        <w:rPr>
          <w:spacing w:val="-2"/>
        </w:rPr>
        <w:t>22 al 30 de enero de 2019</w:t>
      </w:r>
      <w:r w:rsidRPr="00CB33EF">
        <w:rPr>
          <w:spacing w:val="-2"/>
        </w:rPr>
        <w:t xml:space="preserve">. El orden del día y toda la información pertinente sobre la reunión de la Comisión de Estudio 17 del UIT-T </w:t>
      </w:r>
      <w:r w:rsidR="00735E0B" w:rsidRPr="00CB33EF">
        <w:rPr>
          <w:spacing w:val="-2"/>
        </w:rPr>
        <w:t>figurarán en la Carta Colectiva </w:t>
      </w:r>
      <w:r w:rsidR="00160947">
        <w:rPr>
          <w:spacing w:val="-2"/>
        </w:rPr>
        <w:t>5</w:t>
      </w:r>
      <w:r w:rsidRPr="00CB33EF">
        <w:rPr>
          <w:spacing w:val="-2"/>
        </w:rPr>
        <w:t>/17.</w:t>
      </w:r>
    </w:p>
    <w:p w:rsidR="00287FF5" w:rsidRPr="00BE0A9C" w:rsidRDefault="00287FF5" w:rsidP="00160947">
      <w:pPr>
        <w:rPr>
          <w:szCs w:val="24"/>
        </w:rPr>
      </w:pPr>
      <w:r w:rsidRPr="00BE0A9C">
        <w:rPr>
          <w:szCs w:val="24"/>
        </w:rPr>
        <w:t>2</w:t>
      </w:r>
      <w:r w:rsidRPr="00BE0A9C">
        <w:rPr>
          <w:szCs w:val="24"/>
        </w:rPr>
        <w:tab/>
        <w:t xml:space="preserve">El Anexo 1 contiene los títulos y los resúmenes de los proyectos de Recomendación </w:t>
      </w:r>
      <w:r w:rsidR="00160947" w:rsidRPr="00160947">
        <w:rPr>
          <w:szCs w:val="24"/>
        </w:rPr>
        <w:t>UIT-T X.1042 (X.sdnsec-1), UIT-T X.1215 (X.ucstix) y UIT-T X.1249 (X.tfcma)</w:t>
      </w:r>
      <w:r w:rsidR="00160947">
        <w:rPr>
          <w:szCs w:val="24"/>
        </w:rPr>
        <w:t xml:space="preserve"> </w:t>
      </w:r>
      <w:r w:rsidRPr="00BE0A9C">
        <w:rPr>
          <w:szCs w:val="24"/>
        </w:rPr>
        <w:t>propuestos para aprobación, con indicación de los documentos en que figuran.</w:t>
      </w:r>
    </w:p>
    <w:p w:rsidR="00287FF5" w:rsidRPr="00BE0A9C" w:rsidRDefault="00287FF5" w:rsidP="00160947">
      <w:pPr>
        <w:rPr>
          <w:szCs w:val="24"/>
        </w:rPr>
      </w:pPr>
      <w:r w:rsidRPr="00BE0A9C">
        <w:rPr>
          <w:szCs w:val="24"/>
        </w:rPr>
        <w:t>3</w:t>
      </w:r>
      <w:r w:rsidRPr="00BE0A9C">
        <w:rPr>
          <w:szCs w:val="24"/>
        </w:rPr>
        <w:tab/>
        <w:t xml:space="preserve">Con esta Circular se inicia la consulta formal con los Estados Miembros sobre si pueden considerarse las Recomendaciones citadas para aprobación en la próxima reunión, de acuerdo con la cláusula 9.4 de la Resolución 1. Se ruega a los Estados Miembros que completen y devuelvan el formulario del </w:t>
      </w:r>
      <w:r w:rsidRPr="00160947">
        <w:rPr>
          <w:b/>
          <w:bCs/>
          <w:szCs w:val="24"/>
        </w:rPr>
        <w:t>Anexo 2</w:t>
      </w:r>
      <w:r w:rsidRPr="00BE0A9C">
        <w:rPr>
          <w:szCs w:val="24"/>
        </w:rPr>
        <w:t xml:space="preserve"> hasta las 23.59 horas UTC del </w:t>
      </w:r>
      <w:r w:rsidR="00160947" w:rsidRPr="00160947">
        <w:rPr>
          <w:b/>
          <w:bCs/>
          <w:szCs w:val="24"/>
        </w:rPr>
        <w:t>10</w:t>
      </w:r>
      <w:r w:rsidRPr="00160947">
        <w:rPr>
          <w:b/>
          <w:bCs/>
          <w:szCs w:val="24"/>
        </w:rPr>
        <w:t xml:space="preserve"> de </w:t>
      </w:r>
      <w:r w:rsidR="00160947" w:rsidRPr="00160947">
        <w:rPr>
          <w:b/>
          <w:bCs/>
          <w:szCs w:val="24"/>
        </w:rPr>
        <w:t>enero</w:t>
      </w:r>
      <w:r w:rsidRPr="00160947">
        <w:rPr>
          <w:b/>
          <w:bCs/>
          <w:szCs w:val="24"/>
        </w:rPr>
        <w:t xml:space="preserve"> de 201</w:t>
      </w:r>
      <w:r w:rsidR="00160947" w:rsidRPr="00160947">
        <w:rPr>
          <w:b/>
          <w:bCs/>
          <w:szCs w:val="24"/>
        </w:rPr>
        <w:t>9</w:t>
      </w:r>
      <w:r w:rsidRPr="00BE0A9C">
        <w:rPr>
          <w:szCs w:val="24"/>
        </w:rPr>
        <w:t>.</w:t>
      </w:r>
    </w:p>
    <w:p w:rsidR="00287FF5" w:rsidRPr="00BE0A9C" w:rsidRDefault="00287FF5" w:rsidP="00287FF5">
      <w:pPr>
        <w:keepNext/>
        <w:keepLines/>
        <w:rPr>
          <w:szCs w:val="24"/>
        </w:rPr>
      </w:pPr>
      <w:r w:rsidRPr="00BE0A9C">
        <w:rPr>
          <w:szCs w:val="24"/>
        </w:rPr>
        <w:lastRenderedPageBreak/>
        <w:t>4</w:t>
      </w:r>
      <w:r w:rsidRPr="00BE0A9C">
        <w:rPr>
          <w:szCs w:val="24"/>
        </w:rPr>
        <w:tab/>
        <w:t>Si el 70% como mínimo de las respuestas de los Estados Miembros están a favor de que se consi</w:t>
      </w:r>
      <w:r w:rsidRPr="00BE0A9C">
        <w:t>d</w:t>
      </w:r>
      <w:r w:rsidRPr="00BE0A9C">
        <w:rPr>
          <w:szCs w:val="24"/>
        </w:rPr>
        <w:t>ere la aprobación de estos proyectos de Recomendación, se dedicará una Sesión Plenaria a la aplicación del procedimiento de aprobación. Los Estados Miembros que no otorguen autoridad para proceder deben informar al Director de la TSB de los motivos para esta opinión e indicar los posibles cambios que harían posible que prosiguieran los trabajos.</w:t>
      </w:r>
    </w:p>
    <w:p w:rsidR="00C34772" w:rsidRPr="00BE0A9C" w:rsidRDefault="0094637C" w:rsidP="00696783">
      <w:r w:rsidRPr="00BE0A9C">
        <w:t>A</w:t>
      </w:r>
      <w:r w:rsidR="00C34772" w:rsidRPr="00BE0A9C">
        <w:t>tentamente</w:t>
      </w:r>
      <w:r w:rsidR="00981644" w:rsidRPr="00BE0A9C">
        <w:t>,</w:t>
      </w:r>
    </w:p>
    <w:p w:rsidR="00231A3B" w:rsidRPr="00BE0A9C" w:rsidRDefault="003B7220" w:rsidP="003B7220">
      <w:pPr>
        <w:spacing w:before="480"/>
        <w:rPr>
          <w:i/>
          <w:iCs/>
        </w:rPr>
      </w:pPr>
      <w:r w:rsidRPr="00BE0A9C">
        <w:rPr>
          <w:i/>
          <w:iCs/>
        </w:rPr>
        <w:t>(firmado)</w:t>
      </w:r>
    </w:p>
    <w:p w:rsidR="00C34772" w:rsidRPr="00BE0A9C" w:rsidRDefault="002E496E" w:rsidP="003B7220">
      <w:pPr>
        <w:tabs>
          <w:tab w:val="clear" w:pos="1588"/>
          <w:tab w:val="clear" w:pos="1985"/>
          <w:tab w:val="left" w:pos="7560"/>
        </w:tabs>
        <w:spacing w:before="720"/>
        <w:ind w:right="91"/>
      </w:pPr>
      <w:r w:rsidRPr="00BE0A9C">
        <w:t>Chaesub Lee</w:t>
      </w:r>
      <w:r w:rsidR="00C34772" w:rsidRPr="00BE0A9C">
        <w:br/>
        <w:t>Director de la Oficina de</w:t>
      </w:r>
      <w:r w:rsidR="00C34772" w:rsidRPr="00BE0A9C">
        <w:br/>
        <w:t>Normalización de las Telecomunicaciones</w:t>
      </w:r>
    </w:p>
    <w:p w:rsidR="003170F6" w:rsidRPr="00BE0A9C" w:rsidRDefault="003170F6" w:rsidP="003170F6">
      <w:pPr>
        <w:spacing w:before="1680"/>
        <w:ind w:right="-284"/>
        <w:rPr>
          <w:szCs w:val="22"/>
        </w:rPr>
      </w:pPr>
      <w:r w:rsidRPr="00BE0A9C">
        <w:rPr>
          <w:b/>
        </w:rPr>
        <w:t>Anexos</w:t>
      </w:r>
      <w:r w:rsidRPr="00BE0A9C">
        <w:rPr>
          <w:bCs/>
        </w:rPr>
        <w:t>: 2</w:t>
      </w:r>
    </w:p>
    <w:p w:rsidR="003170F6" w:rsidRPr="00BE0A9C" w:rsidRDefault="003170F6" w:rsidP="003B7220">
      <w:pPr>
        <w:tabs>
          <w:tab w:val="clear" w:pos="1588"/>
          <w:tab w:val="clear" w:pos="1985"/>
          <w:tab w:val="left" w:pos="7560"/>
        </w:tabs>
        <w:spacing w:before="720"/>
        <w:ind w:right="91"/>
      </w:pPr>
      <w:r w:rsidRPr="00BE0A9C">
        <w:br w:type="page"/>
      </w:r>
    </w:p>
    <w:p w:rsidR="003170F6" w:rsidRPr="00BE0A9C" w:rsidRDefault="003170F6" w:rsidP="00160947">
      <w:pPr>
        <w:pStyle w:val="AnnexNo"/>
        <w:rPr>
          <w:szCs w:val="28"/>
        </w:rPr>
      </w:pPr>
      <w:r w:rsidRPr="00BE0A9C">
        <w:lastRenderedPageBreak/>
        <w:t>ANEXO 1</w:t>
      </w:r>
      <w:r w:rsidR="0036678C" w:rsidRPr="00BE0A9C">
        <w:br/>
      </w:r>
      <w:r w:rsidRPr="00BE0A9C">
        <w:rPr>
          <w:szCs w:val="28"/>
        </w:rPr>
        <w:t xml:space="preserve">Resumen y ubicación de los proyectos de Recomendación determinada </w:t>
      </w:r>
      <w:r w:rsidRPr="00BE0A9C">
        <w:rPr>
          <w:szCs w:val="28"/>
        </w:rPr>
        <w:br/>
      </w:r>
      <w:r w:rsidR="00160947" w:rsidRPr="00160947">
        <w:rPr>
          <w:szCs w:val="28"/>
        </w:rPr>
        <w:t>UIT-T X.1042 (X.sdnsec-1), UIT-T X.1215 (X.ucstix) y UIT-T X.1249 (X.tfcma)</w:t>
      </w:r>
    </w:p>
    <w:p w:rsidR="003170F6" w:rsidRPr="00BE0A9C" w:rsidRDefault="003170F6" w:rsidP="00DB01E2">
      <w:pPr>
        <w:pStyle w:val="Heading1"/>
      </w:pPr>
      <w:bookmarkStart w:id="4" w:name="lt_pId111"/>
      <w:r w:rsidRPr="00BE0A9C">
        <w:t>1</w:t>
      </w:r>
      <w:r w:rsidRPr="00BE0A9C">
        <w:tab/>
        <w:t xml:space="preserve">Proyecto de </w:t>
      </w:r>
      <w:r w:rsidR="002B72CB" w:rsidRPr="00BE0A9C">
        <w:t xml:space="preserve">nueva </w:t>
      </w:r>
      <w:r w:rsidRPr="00BE0A9C">
        <w:t>Recomendación UIT-T X.1</w:t>
      </w:r>
      <w:r w:rsidR="00DB01E2">
        <w:t>042</w:t>
      </w:r>
      <w:r w:rsidRPr="00BE0A9C">
        <w:t xml:space="preserve"> (X.</w:t>
      </w:r>
      <w:r w:rsidR="00DB01E2">
        <w:t>sdnsec</w:t>
      </w:r>
      <w:r w:rsidRPr="00BE0A9C">
        <w:t>-</w:t>
      </w:r>
      <w:r w:rsidR="00DB01E2">
        <w:t>1</w:t>
      </w:r>
      <w:r w:rsidRPr="00BE0A9C">
        <w:t xml:space="preserve">) </w:t>
      </w:r>
      <w:r w:rsidR="004C236F" w:rsidRPr="00BE0A9C">
        <w:t>[</w:t>
      </w:r>
      <w:hyperlink r:id="rId10" w:history="1">
        <w:r w:rsidR="00DB01E2">
          <w:rPr>
            <w:rStyle w:val="Hyperlink"/>
            <w:szCs w:val="22"/>
          </w:rPr>
          <w:t>R027</w:t>
        </w:r>
      </w:hyperlink>
      <w:r w:rsidR="004C236F" w:rsidRPr="00BE0A9C">
        <w:t>]</w:t>
      </w:r>
    </w:p>
    <w:p w:rsidR="003170F6" w:rsidRPr="00BE0A9C" w:rsidRDefault="003170F6" w:rsidP="003170F6">
      <w:pPr>
        <w:pStyle w:val="Headingb0"/>
      </w:pPr>
      <w:r w:rsidRPr="00BE0A9C">
        <w:t xml:space="preserve">Marco de seguridad para la Internet de las </w:t>
      </w:r>
      <w:r w:rsidR="004369BE" w:rsidRPr="00BE0A9C">
        <w:t xml:space="preserve">cosas </w:t>
      </w:r>
      <w:r w:rsidRPr="00BE0A9C">
        <w:t>basado en el modelo de pasarela</w:t>
      </w:r>
    </w:p>
    <w:p w:rsidR="003170F6" w:rsidRPr="00BE0A9C" w:rsidRDefault="003170F6" w:rsidP="004369BE">
      <w:pPr>
        <w:pStyle w:val="Headingb0"/>
      </w:pPr>
      <w:r w:rsidRPr="00BE0A9C">
        <w:t>Resumen</w:t>
      </w:r>
    </w:p>
    <w:p w:rsidR="003170F6" w:rsidRPr="00BE0A9C" w:rsidRDefault="00DB01E2" w:rsidP="003170F6">
      <w:r w:rsidRPr="008A1922">
        <w:t xml:space="preserve">La Recomendación UIT-T X.1042 permite la protección de </w:t>
      </w:r>
      <w:r w:rsidRPr="008A1922">
        <w:rPr>
          <w:color w:val="000000"/>
        </w:rPr>
        <w:t>los recursos de red mediante la utilización de servicios de seguridad basados en las redes definidas por software</w:t>
      </w:r>
      <w:r w:rsidRPr="008A1922">
        <w:t xml:space="preserve"> (SDN)</w:t>
      </w:r>
      <w:r w:rsidRPr="008A1922">
        <w:rPr>
          <w:szCs w:val="22"/>
          <w:lang w:eastAsia="ko-KR"/>
        </w:rPr>
        <w:t>. En la presente Recomendación se procede, en primer lugar, a la clasificación de los recursos de red para los servicios de seguridad basados en las redes SDN, a saber, la aplicación SDN, el controlador SDN, el conmutador SDN y el administrador de seguridad (SM). Seguidamente, se definen los servicios de seguridad basados en las SDN</w:t>
      </w:r>
      <w:r w:rsidRPr="008A1922">
        <w:t>.</w:t>
      </w:r>
    </w:p>
    <w:p w:rsidR="003170F6" w:rsidRPr="00BE0A9C" w:rsidRDefault="003170F6" w:rsidP="00DB01E2">
      <w:pPr>
        <w:pStyle w:val="Heading1"/>
        <w:rPr>
          <w:b w:val="0"/>
        </w:rPr>
      </w:pPr>
      <w:r w:rsidRPr="00BE0A9C">
        <w:t>2</w:t>
      </w:r>
      <w:r w:rsidRPr="00BE0A9C">
        <w:tab/>
        <w:t xml:space="preserve">Proyecto de </w:t>
      </w:r>
      <w:r w:rsidR="00DC7C75" w:rsidRPr="00BE0A9C">
        <w:t xml:space="preserve">nueva </w:t>
      </w:r>
      <w:r w:rsidRPr="00BE0A9C">
        <w:t>Recomendación UIT-T X.12</w:t>
      </w:r>
      <w:r w:rsidR="00DB01E2">
        <w:t>15</w:t>
      </w:r>
      <w:r w:rsidRPr="00BE0A9C">
        <w:t xml:space="preserve"> (X.</w:t>
      </w:r>
      <w:r w:rsidR="00DB01E2">
        <w:t>ucstix</w:t>
      </w:r>
      <w:r w:rsidRPr="00BE0A9C">
        <w:t xml:space="preserve">) </w:t>
      </w:r>
      <w:r w:rsidR="001A3544" w:rsidRPr="00BE0A9C">
        <w:t>[</w:t>
      </w:r>
      <w:hyperlink r:id="rId11" w:history="1">
        <w:r w:rsidR="00DB01E2" w:rsidRPr="00DB01E2">
          <w:rPr>
            <w:rStyle w:val="Hyperlink"/>
            <w:szCs w:val="22"/>
          </w:rPr>
          <w:t>R029</w:t>
        </w:r>
      </w:hyperlink>
      <w:r w:rsidR="001A3544" w:rsidRPr="00BE0A9C">
        <w:t>]</w:t>
      </w:r>
    </w:p>
    <w:p w:rsidR="003170F6" w:rsidRPr="00BE0A9C" w:rsidRDefault="003170F6" w:rsidP="003170F6">
      <w:pPr>
        <w:pStyle w:val="Headingb0"/>
      </w:pPr>
      <w:r w:rsidRPr="00BE0A9C">
        <w:t>Marco técnico para la lucha contra el spam publicitario en aplicaciones móviles</w:t>
      </w:r>
    </w:p>
    <w:p w:rsidR="003170F6" w:rsidRPr="00BE0A9C" w:rsidRDefault="003170F6" w:rsidP="00004428">
      <w:pPr>
        <w:pStyle w:val="Headingb0"/>
      </w:pPr>
      <w:r w:rsidRPr="00BE0A9C">
        <w:t>Resumen</w:t>
      </w:r>
    </w:p>
    <w:p w:rsidR="00DB01E2" w:rsidRPr="00C66ECC" w:rsidRDefault="00DB01E2" w:rsidP="00DB01E2">
      <w:pPr>
        <w:rPr>
          <w:lang w:val="es-ES"/>
        </w:rPr>
      </w:pPr>
      <w:r w:rsidRPr="00C66ECC">
        <w:rPr>
          <w:lang w:val="es-ES"/>
        </w:rPr>
        <w:t xml:space="preserve">En la Recomendación UIT-T X.1215 se presenta en varios casos de uso cómo puede utilizarse el lenguaje de expresión estructurada de información sobre amenazas (STIX, </w:t>
      </w:r>
      <w:r w:rsidRPr="00C66ECC">
        <w:rPr>
          <w:i/>
          <w:iCs/>
          <w:lang w:val="es-ES"/>
        </w:rPr>
        <w:t>structured threat information expression</w:t>
      </w:r>
      <w:r w:rsidRPr="00C66ECC">
        <w:rPr>
          <w:lang w:val="es-ES"/>
        </w:rPr>
        <w:t xml:space="preserve">) para la inteligencia de ciberamenazas (CTI, </w:t>
      </w:r>
      <w:r w:rsidRPr="00C66ECC">
        <w:rPr>
          <w:i/>
          <w:iCs/>
          <w:lang w:val="es-ES"/>
        </w:rPr>
        <w:t>cyber threat intelligence</w:t>
      </w:r>
      <w:r w:rsidRPr="00C66ECC">
        <w:rPr>
          <w:lang w:val="es-ES"/>
        </w:rPr>
        <w:t>) y la compartición de información.</w:t>
      </w:r>
    </w:p>
    <w:p w:rsidR="003170F6" w:rsidRDefault="00DB01E2" w:rsidP="00DB01E2">
      <w:pPr>
        <w:rPr>
          <w:lang w:val="es-ES"/>
        </w:rPr>
      </w:pPr>
      <w:r w:rsidRPr="00C66ECC">
        <w:rPr>
          <w:lang w:val="es-ES"/>
        </w:rPr>
        <w:t>En esta Recomendación se describen también los conceptos y funcionalidades del lenguaje STIX, previsto para soportar diversos casos de uso de gestión de ciberamenazas, incluido el análisis de las ciberamen</w:t>
      </w:r>
      <w:r>
        <w:rPr>
          <w:lang w:val="es-ES"/>
        </w:rPr>
        <w:t>a</w:t>
      </w:r>
      <w:r w:rsidRPr="00C66ECC">
        <w:rPr>
          <w:lang w:val="es-ES"/>
        </w:rPr>
        <w:t>zas, la especificación de los patrones indicadores de ciberamen</w:t>
      </w:r>
      <w:r>
        <w:rPr>
          <w:lang w:val="es-ES"/>
        </w:rPr>
        <w:t>a</w:t>
      </w:r>
      <w:r w:rsidRPr="00C66ECC">
        <w:rPr>
          <w:lang w:val="es-ES"/>
        </w:rPr>
        <w:t>zas, la gestión de la respuesta y la compartición de información sobre ciberamenazas. Con esta información es posible tomar decisiones de seguridad sobre la mejor defensa contra las amenazas. Está previsto para soportar un análisis más eficaz y el intercambio continuo de información sobre ciberamenazas. El mantenimiento de la serie de especificaciones de STIX [b-STIX2.0] es responsabilidad de la Organización para la Promoción de las Normas de Información Estructurada (OASIS).</w:t>
      </w:r>
    </w:p>
    <w:p w:rsidR="00DB01E2" w:rsidRPr="00DB01E2" w:rsidRDefault="00DB01E2" w:rsidP="00020219">
      <w:pPr>
        <w:pStyle w:val="Heading1"/>
      </w:pPr>
      <w:r w:rsidRPr="00DB01E2">
        <w:t>3</w:t>
      </w:r>
      <w:r w:rsidRPr="00DB01E2">
        <w:tab/>
        <w:t>Proyecto de nueva Recomendación UIT-T X.12</w:t>
      </w:r>
      <w:r>
        <w:t>49</w:t>
      </w:r>
      <w:r w:rsidRPr="00DB01E2">
        <w:t xml:space="preserve"> (X.</w:t>
      </w:r>
      <w:r>
        <w:t>tfcma</w:t>
      </w:r>
      <w:r w:rsidRPr="00DB01E2">
        <w:t>) [</w:t>
      </w:r>
      <w:hyperlink r:id="rId12" w:history="1">
        <w:r w:rsidRPr="00DB01E2">
          <w:rPr>
            <w:rStyle w:val="Hyperlink"/>
            <w:szCs w:val="22"/>
          </w:rPr>
          <w:t>R030</w:t>
        </w:r>
      </w:hyperlink>
      <w:r w:rsidRPr="00DB01E2">
        <w:t>]</w:t>
      </w:r>
    </w:p>
    <w:p w:rsidR="00DB01E2" w:rsidRPr="00E35477" w:rsidRDefault="00DB01E2" w:rsidP="00DB01E2">
      <w:pPr>
        <w:pStyle w:val="Headingb0"/>
        <w:rPr>
          <w:rFonts w:eastAsiaTheme="minorEastAsia"/>
        </w:rPr>
      </w:pPr>
      <w:r w:rsidRPr="00881D9B">
        <w:rPr>
          <w:rFonts w:eastAsiaTheme="minorEastAsia"/>
        </w:rPr>
        <w:t>Resumen</w:t>
      </w:r>
    </w:p>
    <w:p w:rsidR="00DB01E2" w:rsidRPr="00BE0A9C" w:rsidRDefault="00DB01E2" w:rsidP="00DB01E2">
      <w:r w:rsidRPr="00881D9B">
        <w:t>La Recomendación UIT-T X.1249 describe un marco técnico para contrarrestar el spam publicitario en aplicaciones móviles. Por spam publicitario en aplicaciones móviles se entiende el envío de anuncios no solicitados que se muestran dentro de una aplicación de teléfono móvil. Estos mensajes no solicitados aparecen en la pantalla del dispositivo en un cartel situado en la parte superior o inferior de la pantalla, en pantalla completa</w:t>
      </w:r>
      <w:r w:rsidR="000014BC">
        <w:t>,</w:t>
      </w:r>
      <w:r w:rsidRPr="00881D9B">
        <w:t xml:space="preserve"> o superpuestos. El crecimiento acelerado del desarrollo de aplicaciones móviles ha causado un aumento radical de la publicidad en aplicaciones móviles. El filtrado de anuncios no deseados o maliciosos se ha convertido en una necesidad urgente, tanto en lo que respecta a la experiencia del usuario como a la seguridad. Si bien se han propuesto y tomado muchas medidas para contrarrestar este problema, todas adolecen de limitaciones o inconvenientes, y los usuarios siguen recibiendo un gran volumen y una </w:t>
      </w:r>
      <w:r w:rsidRPr="00881D9B">
        <w:lastRenderedPageBreak/>
        <w:t>gran proporción de spam publicitario en aplicaciones móviles. Por consiguiente, es preciso definir un marco práctico para contrarrestar el spam publicitario en aplicaciones móviles, que pueda integrar muchas de las ventajas de todas las medidas.</w:t>
      </w:r>
    </w:p>
    <w:p w:rsidR="003170F6" w:rsidRPr="00BE0A9C" w:rsidRDefault="003170F6" w:rsidP="003170F6">
      <w:pPr>
        <w:tabs>
          <w:tab w:val="clear" w:pos="794"/>
          <w:tab w:val="clear" w:pos="1191"/>
          <w:tab w:val="clear" w:pos="1588"/>
          <w:tab w:val="clear" w:pos="1985"/>
        </w:tabs>
        <w:overflowPunct/>
        <w:autoSpaceDE/>
        <w:autoSpaceDN/>
        <w:adjustRightInd/>
        <w:spacing w:before="0"/>
        <w:textAlignment w:val="auto"/>
        <w:rPr>
          <w:b/>
          <w:sz w:val="28"/>
        </w:rPr>
      </w:pPr>
      <w:r w:rsidRPr="00BE0A9C">
        <w:br w:type="page"/>
      </w:r>
    </w:p>
    <w:p w:rsidR="003170F6" w:rsidRPr="00BE0A9C" w:rsidRDefault="003170F6" w:rsidP="00E31074">
      <w:pPr>
        <w:pStyle w:val="AnnexNo"/>
        <w:spacing w:after="240"/>
        <w:rPr>
          <w:szCs w:val="28"/>
        </w:rPr>
      </w:pPr>
      <w:r w:rsidRPr="00BE0A9C">
        <w:lastRenderedPageBreak/>
        <w:t>ANEXO 2</w:t>
      </w:r>
      <w:bookmarkEnd w:id="4"/>
      <w:r w:rsidR="00B95E28" w:rsidRPr="00BE0A9C">
        <w:br/>
      </w:r>
      <w:bookmarkStart w:id="5" w:name="lt_pId112"/>
      <w:r w:rsidRPr="00BE0A9C">
        <w:rPr>
          <w:szCs w:val="28"/>
        </w:rPr>
        <w:t xml:space="preserve">Asunto: Respuesta de Estado Miembro a la Circular </w:t>
      </w:r>
      <w:r w:rsidR="00DB01E2">
        <w:rPr>
          <w:szCs w:val="28"/>
        </w:rPr>
        <w:t>113</w:t>
      </w:r>
      <w:r w:rsidRPr="00BE0A9C">
        <w:rPr>
          <w:szCs w:val="28"/>
        </w:rPr>
        <w:t xml:space="preserve"> de la TSB: </w:t>
      </w:r>
      <w:r w:rsidR="00BD0B78" w:rsidRPr="00BE0A9C">
        <w:rPr>
          <w:szCs w:val="28"/>
        </w:rPr>
        <w:br/>
      </w:r>
      <w:r w:rsidRPr="00BE0A9C">
        <w:rPr>
          <w:szCs w:val="28"/>
        </w:rPr>
        <w:t xml:space="preserve">Consulta sobre los proyectos de </w:t>
      </w:r>
      <w:r w:rsidR="001D3372" w:rsidRPr="00BE0A9C">
        <w:rPr>
          <w:szCs w:val="28"/>
        </w:rPr>
        <w:t xml:space="preserve">nueva </w:t>
      </w:r>
      <w:r w:rsidRPr="00BE0A9C">
        <w:rPr>
          <w:szCs w:val="28"/>
        </w:rPr>
        <w:t xml:space="preserve">Recomendación determinada </w:t>
      </w:r>
      <w:bookmarkEnd w:id="5"/>
      <w:r w:rsidR="00BD0B78" w:rsidRPr="00BE0A9C">
        <w:rPr>
          <w:szCs w:val="28"/>
        </w:rPr>
        <w:br/>
      </w:r>
      <w:r w:rsidR="00160947" w:rsidRPr="00160947">
        <w:rPr>
          <w:szCs w:val="28"/>
        </w:rPr>
        <w:t>UIT-T X.1215 (X.ucstix)</w:t>
      </w:r>
      <w:r w:rsidR="00160947">
        <w:rPr>
          <w:szCs w:val="28"/>
        </w:rPr>
        <w:t>,</w:t>
      </w:r>
      <w:r w:rsidR="00160947" w:rsidRPr="00160947">
        <w:rPr>
          <w:szCs w:val="28"/>
        </w:rPr>
        <w:t xml:space="preserve"> UIT-T X.1249 (X.tfcma) y UIT-T X.1042 (X.sdnsec-1)</w:t>
      </w:r>
    </w:p>
    <w:tbl>
      <w:tblPr>
        <w:tblW w:w="10240" w:type="dxa"/>
        <w:tblInd w:w="-176" w:type="dxa"/>
        <w:tblLayout w:type="fixed"/>
        <w:tblLook w:val="04A0" w:firstRow="1" w:lastRow="0" w:firstColumn="1" w:lastColumn="0" w:noHBand="0" w:noVBand="1"/>
      </w:tblPr>
      <w:tblGrid>
        <w:gridCol w:w="1169"/>
        <w:gridCol w:w="4677"/>
        <w:gridCol w:w="1276"/>
        <w:gridCol w:w="3118"/>
      </w:tblGrid>
      <w:tr w:rsidR="003170F6" w:rsidRPr="00BE0A9C" w:rsidTr="005A7FF6">
        <w:tc>
          <w:tcPr>
            <w:tcW w:w="1169" w:type="dxa"/>
            <w:shd w:val="clear" w:color="auto" w:fill="auto"/>
          </w:tcPr>
          <w:p w:rsidR="003170F6" w:rsidRPr="00BE0A9C" w:rsidRDefault="003170F6" w:rsidP="005A7FF6">
            <w:pPr>
              <w:jc w:val="right"/>
              <w:rPr>
                <w:sz w:val="22"/>
                <w:szCs w:val="22"/>
              </w:rPr>
            </w:pPr>
            <w:bookmarkStart w:id="6" w:name="lt_pId114"/>
            <w:r w:rsidRPr="00BE0A9C">
              <w:rPr>
                <w:b/>
                <w:bCs/>
                <w:sz w:val="22"/>
                <w:szCs w:val="22"/>
              </w:rPr>
              <w:t>A</w:t>
            </w:r>
            <w:r w:rsidRPr="00BE0A9C">
              <w:rPr>
                <w:sz w:val="22"/>
                <w:szCs w:val="22"/>
              </w:rPr>
              <w:t>:</w:t>
            </w:r>
            <w:bookmarkEnd w:id="6"/>
          </w:p>
        </w:tc>
        <w:tc>
          <w:tcPr>
            <w:tcW w:w="4677" w:type="dxa"/>
            <w:tcBorders>
              <w:right w:val="single" w:sz="8" w:space="0" w:color="auto"/>
            </w:tcBorders>
            <w:shd w:val="clear" w:color="auto" w:fill="auto"/>
          </w:tcPr>
          <w:p w:rsidR="003170F6" w:rsidRPr="00BE0A9C" w:rsidRDefault="003170F6" w:rsidP="002970F1">
            <w:pPr>
              <w:rPr>
                <w:sz w:val="22"/>
                <w:szCs w:val="22"/>
              </w:rPr>
            </w:pPr>
            <w:bookmarkStart w:id="7" w:name="lt_pId115"/>
            <w:r w:rsidRPr="00BE0A9C">
              <w:rPr>
                <w:sz w:val="22"/>
                <w:szCs w:val="22"/>
              </w:rPr>
              <w:t xml:space="preserve">Director </w:t>
            </w:r>
            <w:bookmarkStart w:id="8" w:name="lt_pId116"/>
            <w:bookmarkEnd w:id="7"/>
            <w:r w:rsidRPr="00BE0A9C">
              <w:rPr>
                <w:sz w:val="22"/>
                <w:szCs w:val="22"/>
              </w:rPr>
              <w:t xml:space="preserve">de la Oficina de </w:t>
            </w:r>
            <w:r w:rsidRPr="00BE0A9C">
              <w:rPr>
                <w:sz w:val="22"/>
                <w:szCs w:val="22"/>
              </w:rPr>
              <w:br/>
              <w:t>Normalización de las Telecomunicaciones,</w:t>
            </w:r>
            <w:bookmarkEnd w:id="8"/>
          </w:p>
          <w:p w:rsidR="003170F6" w:rsidRPr="00BE0A9C" w:rsidRDefault="003170F6" w:rsidP="005A7FF6">
            <w:pPr>
              <w:spacing w:before="0"/>
              <w:rPr>
                <w:sz w:val="22"/>
                <w:szCs w:val="22"/>
              </w:rPr>
            </w:pPr>
            <w:r w:rsidRPr="00BE0A9C">
              <w:rPr>
                <w:sz w:val="22"/>
                <w:szCs w:val="22"/>
              </w:rPr>
              <w:t>Unión Internacional de Telecomunicaciones</w:t>
            </w:r>
          </w:p>
          <w:p w:rsidR="003170F6" w:rsidRPr="00BE0A9C" w:rsidRDefault="003170F6" w:rsidP="005A7FF6">
            <w:pPr>
              <w:spacing w:before="0"/>
              <w:rPr>
                <w:sz w:val="22"/>
                <w:szCs w:val="22"/>
              </w:rPr>
            </w:pPr>
            <w:bookmarkStart w:id="9" w:name="lt_pId118"/>
            <w:r w:rsidRPr="00BE0A9C">
              <w:rPr>
                <w:sz w:val="22"/>
                <w:szCs w:val="22"/>
              </w:rPr>
              <w:t>Place des Nations</w:t>
            </w:r>
            <w:bookmarkEnd w:id="9"/>
          </w:p>
          <w:p w:rsidR="003170F6" w:rsidRPr="00BE0A9C" w:rsidRDefault="003170F6" w:rsidP="005A7FF6">
            <w:pPr>
              <w:spacing w:before="0"/>
              <w:rPr>
                <w:sz w:val="22"/>
                <w:szCs w:val="22"/>
              </w:rPr>
            </w:pPr>
            <w:bookmarkStart w:id="10" w:name="lt_pId119"/>
            <w:r w:rsidRPr="00BE0A9C">
              <w:rPr>
                <w:sz w:val="22"/>
                <w:szCs w:val="22"/>
              </w:rPr>
              <w:t xml:space="preserve">CH 1211 Ginebra 20, </w:t>
            </w:r>
            <w:bookmarkEnd w:id="10"/>
            <w:r w:rsidRPr="00BE0A9C">
              <w:rPr>
                <w:sz w:val="22"/>
                <w:szCs w:val="22"/>
              </w:rPr>
              <w:t>Suiza</w:t>
            </w:r>
          </w:p>
        </w:tc>
        <w:tc>
          <w:tcPr>
            <w:tcW w:w="1276" w:type="dxa"/>
            <w:tcBorders>
              <w:left w:val="single" w:sz="8" w:space="0" w:color="auto"/>
            </w:tcBorders>
            <w:shd w:val="clear" w:color="auto" w:fill="auto"/>
          </w:tcPr>
          <w:p w:rsidR="003170F6" w:rsidRPr="00BE0A9C" w:rsidRDefault="003170F6" w:rsidP="005A7FF6">
            <w:pPr>
              <w:jc w:val="right"/>
              <w:rPr>
                <w:sz w:val="22"/>
                <w:szCs w:val="22"/>
              </w:rPr>
            </w:pPr>
            <w:bookmarkStart w:id="11" w:name="lt_pId120"/>
            <w:r w:rsidRPr="00BE0A9C">
              <w:rPr>
                <w:b/>
                <w:bCs/>
                <w:sz w:val="22"/>
                <w:szCs w:val="22"/>
              </w:rPr>
              <w:t>De</w:t>
            </w:r>
            <w:r w:rsidRPr="00BE0A9C">
              <w:rPr>
                <w:sz w:val="22"/>
                <w:szCs w:val="22"/>
              </w:rPr>
              <w:t>:</w:t>
            </w:r>
            <w:bookmarkEnd w:id="11"/>
          </w:p>
        </w:tc>
        <w:tc>
          <w:tcPr>
            <w:tcW w:w="3118" w:type="dxa"/>
            <w:shd w:val="clear" w:color="auto" w:fill="auto"/>
          </w:tcPr>
          <w:p w:rsidR="003170F6" w:rsidRPr="00BE0A9C" w:rsidRDefault="003170F6" w:rsidP="005A7FF6">
            <w:pPr>
              <w:rPr>
                <w:sz w:val="22"/>
                <w:szCs w:val="22"/>
                <w:highlight w:val="green"/>
              </w:rPr>
            </w:pPr>
            <w:bookmarkStart w:id="12" w:name="lt_pId121"/>
            <w:r w:rsidRPr="00BE0A9C">
              <w:rPr>
                <w:sz w:val="22"/>
                <w:szCs w:val="22"/>
                <w:highlight w:val="green"/>
              </w:rPr>
              <w:t>[Nombre]</w:t>
            </w:r>
            <w:bookmarkEnd w:id="12"/>
          </w:p>
          <w:p w:rsidR="003170F6" w:rsidRPr="00BE0A9C" w:rsidRDefault="003170F6" w:rsidP="005A7FF6">
            <w:pPr>
              <w:spacing w:before="0"/>
              <w:rPr>
                <w:sz w:val="22"/>
                <w:szCs w:val="22"/>
                <w:highlight w:val="green"/>
              </w:rPr>
            </w:pPr>
            <w:bookmarkStart w:id="13" w:name="lt_pId122"/>
            <w:r w:rsidRPr="00BE0A9C">
              <w:rPr>
                <w:sz w:val="22"/>
                <w:szCs w:val="22"/>
                <w:highlight w:val="green"/>
              </w:rPr>
              <w:t>[Cargo oficial/Título]</w:t>
            </w:r>
            <w:bookmarkEnd w:id="13"/>
          </w:p>
          <w:p w:rsidR="003170F6" w:rsidRPr="00BE0A9C" w:rsidRDefault="003170F6" w:rsidP="005A7FF6">
            <w:pPr>
              <w:spacing w:before="0"/>
              <w:rPr>
                <w:sz w:val="22"/>
                <w:szCs w:val="22"/>
                <w:highlight w:val="green"/>
              </w:rPr>
            </w:pPr>
            <w:bookmarkStart w:id="14" w:name="lt_pId123"/>
            <w:r w:rsidRPr="00BE0A9C">
              <w:rPr>
                <w:sz w:val="22"/>
                <w:szCs w:val="22"/>
                <w:highlight w:val="green"/>
              </w:rPr>
              <w:t>[Dirección]</w:t>
            </w:r>
            <w:bookmarkEnd w:id="14"/>
          </w:p>
        </w:tc>
      </w:tr>
      <w:tr w:rsidR="003170F6" w:rsidRPr="00BE0A9C" w:rsidTr="005A7FF6">
        <w:tc>
          <w:tcPr>
            <w:tcW w:w="1169" w:type="dxa"/>
            <w:shd w:val="clear" w:color="auto" w:fill="auto"/>
          </w:tcPr>
          <w:p w:rsidR="003170F6" w:rsidRPr="00BE0A9C" w:rsidRDefault="003170F6" w:rsidP="005A7FF6">
            <w:pPr>
              <w:spacing w:before="0"/>
              <w:jc w:val="right"/>
              <w:rPr>
                <w:sz w:val="22"/>
                <w:szCs w:val="22"/>
              </w:rPr>
            </w:pPr>
            <w:bookmarkStart w:id="15" w:name="lt_pId124"/>
            <w:r w:rsidRPr="00BE0A9C">
              <w:rPr>
                <w:b/>
                <w:bCs/>
                <w:sz w:val="22"/>
                <w:szCs w:val="22"/>
              </w:rPr>
              <w:t>Fax</w:t>
            </w:r>
            <w:r w:rsidRPr="00BE0A9C">
              <w:rPr>
                <w:sz w:val="22"/>
                <w:szCs w:val="22"/>
              </w:rPr>
              <w:t>:</w:t>
            </w:r>
            <w:bookmarkEnd w:id="15"/>
          </w:p>
          <w:p w:rsidR="003170F6" w:rsidRPr="00BE0A9C" w:rsidRDefault="003170F6" w:rsidP="005A7FF6">
            <w:pPr>
              <w:spacing w:before="0"/>
              <w:jc w:val="right"/>
              <w:rPr>
                <w:sz w:val="22"/>
                <w:szCs w:val="22"/>
              </w:rPr>
            </w:pPr>
            <w:bookmarkStart w:id="16" w:name="lt_pId125"/>
            <w:r w:rsidRPr="00BE0A9C">
              <w:rPr>
                <w:b/>
                <w:bCs/>
                <w:sz w:val="22"/>
                <w:szCs w:val="22"/>
              </w:rPr>
              <w:t>Correo-e</w:t>
            </w:r>
            <w:r w:rsidRPr="00BE0A9C">
              <w:rPr>
                <w:sz w:val="22"/>
                <w:szCs w:val="22"/>
              </w:rPr>
              <w:t>:</w:t>
            </w:r>
            <w:bookmarkEnd w:id="16"/>
          </w:p>
        </w:tc>
        <w:tc>
          <w:tcPr>
            <w:tcW w:w="4677" w:type="dxa"/>
            <w:tcBorders>
              <w:right w:val="single" w:sz="8" w:space="0" w:color="auto"/>
            </w:tcBorders>
            <w:shd w:val="clear" w:color="auto" w:fill="auto"/>
          </w:tcPr>
          <w:p w:rsidR="003170F6" w:rsidRPr="00BE0A9C" w:rsidRDefault="003170F6" w:rsidP="005A7FF6">
            <w:pPr>
              <w:spacing w:before="0"/>
              <w:rPr>
                <w:sz w:val="22"/>
                <w:szCs w:val="22"/>
              </w:rPr>
            </w:pPr>
            <w:r w:rsidRPr="00BE0A9C">
              <w:rPr>
                <w:sz w:val="22"/>
                <w:szCs w:val="22"/>
              </w:rPr>
              <w:t>+41-22-730-5853</w:t>
            </w:r>
          </w:p>
          <w:p w:rsidR="003170F6" w:rsidRPr="00BE0A9C" w:rsidRDefault="0040010E" w:rsidP="005A7FF6">
            <w:pPr>
              <w:spacing w:before="0"/>
              <w:rPr>
                <w:sz w:val="22"/>
                <w:szCs w:val="22"/>
              </w:rPr>
            </w:pPr>
            <w:hyperlink r:id="rId13" w:history="1">
              <w:bookmarkStart w:id="17" w:name="lt_pId127"/>
              <w:r w:rsidR="003170F6" w:rsidRPr="00BE0A9C">
                <w:rPr>
                  <w:color w:val="0000FF"/>
                  <w:sz w:val="22"/>
                  <w:szCs w:val="22"/>
                  <w:u w:val="single"/>
                </w:rPr>
                <w:t>tsbdir@itu.int</w:t>
              </w:r>
              <w:bookmarkEnd w:id="17"/>
            </w:hyperlink>
            <w:r w:rsidR="003170F6" w:rsidRPr="00BE0A9C">
              <w:rPr>
                <w:sz w:val="22"/>
                <w:szCs w:val="22"/>
              </w:rPr>
              <w:t xml:space="preserve"> </w:t>
            </w:r>
          </w:p>
        </w:tc>
        <w:tc>
          <w:tcPr>
            <w:tcW w:w="1276" w:type="dxa"/>
            <w:tcBorders>
              <w:left w:val="single" w:sz="8" w:space="0" w:color="auto"/>
            </w:tcBorders>
            <w:shd w:val="clear" w:color="auto" w:fill="auto"/>
          </w:tcPr>
          <w:p w:rsidR="003170F6" w:rsidRPr="00BE0A9C" w:rsidRDefault="003170F6" w:rsidP="005A7FF6">
            <w:pPr>
              <w:spacing w:before="0"/>
              <w:jc w:val="right"/>
              <w:rPr>
                <w:sz w:val="22"/>
                <w:szCs w:val="22"/>
              </w:rPr>
            </w:pPr>
            <w:bookmarkStart w:id="18" w:name="lt_pId128"/>
            <w:r w:rsidRPr="00BE0A9C">
              <w:rPr>
                <w:b/>
                <w:bCs/>
                <w:sz w:val="22"/>
                <w:szCs w:val="22"/>
              </w:rPr>
              <w:t>Fax</w:t>
            </w:r>
            <w:r w:rsidRPr="00BE0A9C">
              <w:rPr>
                <w:sz w:val="22"/>
                <w:szCs w:val="22"/>
              </w:rPr>
              <w:t>:</w:t>
            </w:r>
            <w:bookmarkEnd w:id="18"/>
          </w:p>
          <w:p w:rsidR="003170F6" w:rsidRPr="00BE0A9C" w:rsidRDefault="003170F6" w:rsidP="005A7FF6">
            <w:pPr>
              <w:spacing w:before="0"/>
              <w:jc w:val="right"/>
              <w:rPr>
                <w:sz w:val="22"/>
                <w:szCs w:val="22"/>
              </w:rPr>
            </w:pPr>
            <w:bookmarkStart w:id="19" w:name="lt_pId129"/>
            <w:r w:rsidRPr="00BE0A9C">
              <w:rPr>
                <w:b/>
                <w:bCs/>
                <w:sz w:val="22"/>
                <w:szCs w:val="22"/>
              </w:rPr>
              <w:t>Correo-e</w:t>
            </w:r>
            <w:r w:rsidRPr="00BE0A9C">
              <w:rPr>
                <w:sz w:val="22"/>
                <w:szCs w:val="22"/>
              </w:rPr>
              <w:t>:</w:t>
            </w:r>
            <w:bookmarkEnd w:id="19"/>
          </w:p>
        </w:tc>
        <w:tc>
          <w:tcPr>
            <w:tcW w:w="3118" w:type="dxa"/>
            <w:shd w:val="clear" w:color="auto" w:fill="auto"/>
          </w:tcPr>
          <w:p w:rsidR="003170F6" w:rsidRPr="00BE0A9C" w:rsidRDefault="003170F6" w:rsidP="005A7FF6">
            <w:pPr>
              <w:spacing w:before="0"/>
              <w:rPr>
                <w:sz w:val="22"/>
                <w:szCs w:val="22"/>
              </w:rPr>
            </w:pPr>
          </w:p>
        </w:tc>
      </w:tr>
      <w:tr w:rsidR="003170F6" w:rsidRPr="00BE0A9C" w:rsidTr="005A7FF6">
        <w:tc>
          <w:tcPr>
            <w:tcW w:w="1169" w:type="dxa"/>
            <w:shd w:val="clear" w:color="auto" w:fill="auto"/>
          </w:tcPr>
          <w:p w:rsidR="003170F6" w:rsidRPr="00BE0A9C" w:rsidRDefault="003170F6" w:rsidP="005A7FF6">
            <w:pPr>
              <w:spacing w:before="0"/>
              <w:jc w:val="right"/>
              <w:rPr>
                <w:sz w:val="22"/>
                <w:szCs w:val="22"/>
              </w:rPr>
            </w:pPr>
          </w:p>
        </w:tc>
        <w:tc>
          <w:tcPr>
            <w:tcW w:w="4677" w:type="dxa"/>
            <w:tcBorders>
              <w:right w:val="single" w:sz="8" w:space="0" w:color="auto"/>
            </w:tcBorders>
            <w:shd w:val="clear" w:color="auto" w:fill="auto"/>
          </w:tcPr>
          <w:p w:rsidR="003170F6" w:rsidRPr="00BE0A9C" w:rsidRDefault="003170F6" w:rsidP="005A7FF6">
            <w:pPr>
              <w:spacing w:before="0"/>
              <w:rPr>
                <w:sz w:val="22"/>
                <w:szCs w:val="22"/>
              </w:rPr>
            </w:pPr>
          </w:p>
        </w:tc>
        <w:tc>
          <w:tcPr>
            <w:tcW w:w="1276" w:type="dxa"/>
            <w:tcBorders>
              <w:left w:val="single" w:sz="8" w:space="0" w:color="auto"/>
            </w:tcBorders>
            <w:shd w:val="clear" w:color="auto" w:fill="auto"/>
          </w:tcPr>
          <w:p w:rsidR="003170F6" w:rsidRPr="00BE0A9C" w:rsidRDefault="003170F6" w:rsidP="005A7FF6">
            <w:pPr>
              <w:spacing w:before="0"/>
              <w:jc w:val="right"/>
              <w:rPr>
                <w:sz w:val="22"/>
                <w:szCs w:val="22"/>
              </w:rPr>
            </w:pPr>
          </w:p>
        </w:tc>
        <w:tc>
          <w:tcPr>
            <w:tcW w:w="3118" w:type="dxa"/>
            <w:shd w:val="clear" w:color="auto" w:fill="auto"/>
          </w:tcPr>
          <w:p w:rsidR="003170F6" w:rsidRPr="00BE0A9C" w:rsidRDefault="003170F6" w:rsidP="005A7FF6">
            <w:pPr>
              <w:spacing w:before="0"/>
              <w:rPr>
                <w:sz w:val="22"/>
                <w:szCs w:val="22"/>
              </w:rPr>
            </w:pPr>
          </w:p>
        </w:tc>
      </w:tr>
    </w:tbl>
    <w:p w:rsidR="003170F6" w:rsidRPr="00BE0A9C" w:rsidRDefault="003170F6" w:rsidP="00695B35">
      <w:pPr>
        <w:pStyle w:val="Normalaftertitle"/>
      </w:pPr>
      <w:bookmarkStart w:id="20" w:name="lt_pId132"/>
      <w:r w:rsidRPr="00BE0A9C">
        <w:t>Estimado(a) Señor(a):</w:t>
      </w:r>
      <w:bookmarkEnd w:id="20"/>
    </w:p>
    <w:p w:rsidR="003170F6" w:rsidRPr="00BE0A9C" w:rsidRDefault="003170F6" w:rsidP="00020219">
      <w:pPr>
        <w:spacing w:after="360"/>
      </w:pPr>
      <w:bookmarkStart w:id="21" w:name="lt_pId133"/>
      <w:r w:rsidRPr="00BE0A9C">
        <w:t xml:space="preserve">En lo que respecta a la Consulta a los Estados Miembros sobre los proyectos de texto determinado que figuran en la Circular TSB </w:t>
      </w:r>
      <w:r w:rsidR="006D6A32">
        <w:t>113</w:t>
      </w:r>
      <w:r w:rsidRPr="00BE0A9C">
        <w:t>, deseo informarle de la opinión de esta Administración, que se refleja en el siguiente cuadro:</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3170F6" w:rsidRPr="00BE0A9C" w:rsidTr="005A7FF6">
        <w:trPr>
          <w:tblHeader/>
        </w:trPr>
        <w:tc>
          <w:tcPr>
            <w:tcW w:w="2063" w:type="dxa"/>
            <w:shd w:val="clear" w:color="auto" w:fill="auto"/>
            <w:vAlign w:val="center"/>
          </w:tcPr>
          <w:p w:rsidR="003170F6" w:rsidRPr="00BE0A9C" w:rsidRDefault="003170F6" w:rsidP="00D21DC0">
            <w:pPr>
              <w:pStyle w:val="Tablehead0"/>
            </w:pPr>
          </w:p>
        </w:tc>
        <w:tc>
          <w:tcPr>
            <w:tcW w:w="7566" w:type="dxa"/>
            <w:shd w:val="clear" w:color="auto" w:fill="auto"/>
            <w:vAlign w:val="center"/>
          </w:tcPr>
          <w:p w:rsidR="003170F6" w:rsidRPr="00BE0A9C" w:rsidRDefault="003170F6" w:rsidP="00D21DC0">
            <w:pPr>
              <w:pStyle w:val="Tablehead0"/>
            </w:pPr>
            <w:bookmarkStart w:id="22" w:name="lt_pId134"/>
            <w:r w:rsidRPr="00BE0A9C">
              <w:t>Seleccione una de las dos casillas</w:t>
            </w:r>
            <w:bookmarkEnd w:id="22"/>
          </w:p>
        </w:tc>
      </w:tr>
      <w:tr w:rsidR="003170F6" w:rsidRPr="00BE0A9C" w:rsidTr="005A7FF6">
        <w:trPr>
          <w:trHeight w:val="748"/>
        </w:trPr>
        <w:tc>
          <w:tcPr>
            <w:tcW w:w="2063" w:type="dxa"/>
            <w:vMerge w:val="restart"/>
            <w:shd w:val="clear" w:color="auto" w:fill="auto"/>
            <w:vAlign w:val="center"/>
          </w:tcPr>
          <w:p w:rsidR="003170F6" w:rsidRPr="00BE0A9C" w:rsidRDefault="003170F6" w:rsidP="00215CFD">
            <w:pPr>
              <w:pStyle w:val="Tabletext0"/>
              <w:jc w:val="center"/>
              <w:rPr>
                <w:b/>
                <w:bCs/>
              </w:rPr>
            </w:pPr>
            <w:bookmarkStart w:id="23" w:name="lt_pId135"/>
            <w:r w:rsidRPr="00BE0A9C">
              <w:rPr>
                <w:b/>
                <w:bCs/>
              </w:rPr>
              <w:t>Proyecto de Recomendación UIT-T X.1</w:t>
            </w:r>
            <w:r w:rsidR="00215CFD">
              <w:rPr>
                <w:b/>
                <w:bCs/>
              </w:rPr>
              <w:t xml:space="preserve">042 </w:t>
            </w:r>
            <w:r w:rsidRPr="00BE0A9C">
              <w:rPr>
                <w:b/>
                <w:bCs/>
              </w:rPr>
              <w:t>(</w:t>
            </w:r>
            <w:r w:rsidR="00215CFD" w:rsidRPr="00215CFD">
              <w:rPr>
                <w:b/>
                <w:bCs/>
              </w:rPr>
              <w:t>X.sdnsec-1</w:t>
            </w:r>
            <w:r w:rsidRPr="00BE0A9C">
              <w:rPr>
                <w:b/>
                <w:bCs/>
              </w:rPr>
              <w:t>)</w:t>
            </w:r>
            <w:bookmarkEnd w:id="23"/>
          </w:p>
        </w:tc>
        <w:tc>
          <w:tcPr>
            <w:tcW w:w="7566" w:type="dxa"/>
            <w:shd w:val="clear" w:color="auto" w:fill="auto"/>
            <w:vAlign w:val="center"/>
          </w:tcPr>
          <w:p w:rsidR="003170F6" w:rsidRPr="00BE0A9C" w:rsidRDefault="003170F6" w:rsidP="00020219">
            <w:pPr>
              <w:tabs>
                <w:tab w:val="clear" w:pos="794"/>
                <w:tab w:val="clear" w:pos="1191"/>
                <w:tab w:val="clear" w:pos="1588"/>
                <w:tab w:val="clear" w:pos="1985"/>
              </w:tabs>
              <w:spacing w:after="120"/>
              <w:ind w:left="459" w:hanging="459"/>
              <w:rPr>
                <w:sz w:val="22"/>
                <w:szCs w:val="22"/>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40010E">
              <w:rPr>
                <w:sz w:val="20"/>
              </w:rPr>
            </w:r>
            <w:r w:rsidR="0040010E">
              <w:rPr>
                <w:sz w:val="20"/>
              </w:rPr>
              <w:fldChar w:fldCharType="separate"/>
            </w:r>
            <w:r w:rsidRPr="00BE0A9C">
              <w:rPr>
                <w:sz w:val="20"/>
              </w:rPr>
              <w:fldChar w:fldCharType="end"/>
            </w:r>
            <w:r w:rsidRPr="00BE0A9C">
              <w:rPr>
                <w:sz w:val="18"/>
                <w:szCs w:val="18"/>
              </w:rPr>
              <w:tab/>
            </w:r>
            <w:bookmarkStart w:id="24" w:name="lt_pId136"/>
            <w:r w:rsidRPr="00BE0A9C">
              <w:rPr>
                <w:b/>
                <w:bCs/>
                <w:sz w:val="22"/>
                <w:szCs w:val="22"/>
              </w:rPr>
              <w:t xml:space="preserve">otorga autoridad </w:t>
            </w:r>
            <w:r w:rsidRPr="00BE0A9C">
              <w:rPr>
                <w:sz w:val="22"/>
                <w:szCs w:val="22"/>
              </w:rPr>
              <w:t xml:space="preserve">a la Comisión de Estudio 17 a fin de examinar este texto para aprobación (en cuyo caso seleccionará una de las dos opciones </w:t>
            </w:r>
            <w:r w:rsidRPr="00BE0A9C">
              <w:rPr>
                <w:sz w:val="18"/>
                <w:szCs w:val="18"/>
              </w:rPr>
              <w:t>⃝</w:t>
            </w:r>
            <w:r w:rsidRPr="00BE0A9C">
              <w:rPr>
                <w:sz w:val="22"/>
                <w:szCs w:val="22"/>
              </w:rPr>
              <w:t>):</w:t>
            </w:r>
            <w:bookmarkEnd w:id="24"/>
          </w:p>
          <w:p w:rsidR="003170F6" w:rsidRPr="00BE0A9C" w:rsidRDefault="003170F6" w:rsidP="005A7FF6">
            <w:pPr>
              <w:tabs>
                <w:tab w:val="clear" w:pos="794"/>
                <w:tab w:val="clear" w:pos="1191"/>
                <w:tab w:val="clear" w:pos="1588"/>
                <w:tab w:val="clear" w:pos="1985"/>
              </w:tabs>
              <w:spacing w:before="40" w:after="40"/>
              <w:ind w:left="939" w:hanging="459"/>
              <w:rPr>
                <w:sz w:val="22"/>
                <w:szCs w:val="22"/>
              </w:rPr>
            </w:pPr>
            <w:r w:rsidRPr="00BE0A9C">
              <w:rPr>
                <w:sz w:val="18"/>
                <w:szCs w:val="18"/>
              </w:rPr>
              <w:t>⃝</w:t>
            </w:r>
            <w:r w:rsidRPr="00BE0A9C">
              <w:rPr>
                <w:sz w:val="18"/>
                <w:szCs w:val="18"/>
              </w:rPr>
              <w:tab/>
            </w:r>
            <w:bookmarkStart w:id="25" w:name="lt_pId138"/>
            <w:r w:rsidRPr="00BE0A9C">
              <w:rPr>
                <w:sz w:val="22"/>
                <w:szCs w:val="22"/>
              </w:rPr>
              <w:t>Sin comentarios o cambios sugeridos</w:t>
            </w:r>
            <w:bookmarkEnd w:id="25"/>
          </w:p>
          <w:p w:rsidR="003170F6" w:rsidRPr="00BE0A9C" w:rsidRDefault="003170F6" w:rsidP="005A7FF6">
            <w:pPr>
              <w:tabs>
                <w:tab w:val="clear" w:pos="794"/>
                <w:tab w:val="clear" w:pos="1191"/>
                <w:tab w:val="clear" w:pos="1588"/>
                <w:tab w:val="clear" w:pos="1985"/>
              </w:tabs>
              <w:spacing w:before="40" w:after="40"/>
              <w:ind w:left="941" w:hanging="459"/>
              <w:rPr>
                <w:sz w:val="22"/>
                <w:szCs w:val="22"/>
              </w:rPr>
            </w:pPr>
            <w:r w:rsidRPr="00BE0A9C">
              <w:rPr>
                <w:sz w:val="18"/>
                <w:szCs w:val="18"/>
              </w:rPr>
              <w:t>⃝</w:t>
            </w:r>
            <w:r w:rsidRPr="00BE0A9C">
              <w:rPr>
                <w:sz w:val="18"/>
                <w:szCs w:val="18"/>
              </w:rPr>
              <w:tab/>
            </w:r>
            <w:bookmarkStart w:id="26" w:name="lt_pId140"/>
            <w:r w:rsidRPr="00BE0A9C">
              <w:rPr>
                <w:sz w:val="22"/>
                <w:szCs w:val="22"/>
              </w:rPr>
              <w:t>Se adjuntan los</w:t>
            </w:r>
            <w:r w:rsidRPr="00BE0A9C">
              <w:rPr>
                <w:sz w:val="18"/>
                <w:szCs w:val="18"/>
              </w:rPr>
              <w:t xml:space="preserve"> </w:t>
            </w:r>
            <w:r w:rsidRPr="00BE0A9C">
              <w:rPr>
                <w:sz w:val="22"/>
                <w:szCs w:val="22"/>
              </w:rPr>
              <w:t>comentarios o cambios sugeridos</w:t>
            </w:r>
            <w:bookmarkEnd w:id="26"/>
          </w:p>
        </w:tc>
      </w:tr>
      <w:tr w:rsidR="003170F6" w:rsidRPr="00BE0A9C" w:rsidTr="005A7FF6">
        <w:trPr>
          <w:trHeight w:val="747"/>
        </w:trPr>
        <w:tc>
          <w:tcPr>
            <w:tcW w:w="2063" w:type="dxa"/>
            <w:vMerge/>
            <w:shd w:val="clear" w:color="auto" w:fill="auto"/>
            <w:vAlign w:val="center"/>
          </w:tcPr>
          <w:p w:rsidR="003170F6" w:rsidRPr="00BE0A9C" w:rsidRDefault="003170F6" w:rsidP="006D6A32">
            <w:pPr>
              <w:pStyle w:val="Tabletext0"/>
              <w:spacing w:line="480" w:lineRule="auto"/>
              <w:jc w:val="center"/>
              <w:rPr>
                <w:b/>
                <w:bCs/>
              </w:rPr>
            </w:pPr>
          </w:p>
        </w:tc>
        <w:tc>
          <w:tcPr>
            <w:tcW w:w="7566" w:type="dxa"/>
            <w:shd w:val="clear" w:color="auto" w:fill="auto"/>
            <w:vAlign w:val="center"/>
          </w:tcPr>
          <w:p w:rsidR="003170F6" w:rsidRPr="00BE0A9C" w:rsidRDefault="003170F6" w:rsidP="00020219">
            <w:pPr>
              <w:tabs>
                <w:tab w:val="clear" w:pos="794"/>
                <w:tab w:val="clear" w:pos="1191"/>
                <w:tab w:val="clear" w:pos="1588"/>
                <w:tab w:val="clear" w:pos="1985"/>
                <w:tab w:val="left" w:pos="250"/>
              </w:tabs>
              <w:spacing w:after="120"/>
              <w:ind w:left="459" w:hanging="459"/>
              <w:rPr>
                <w:sz w:val="18"/>
                <w:szCs w:val="18"/>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40010E">
              <w:rPr>
                <w:sz w:val="20"/>
              </w:rPr>
            </w:r>
            <w:r w:rsidR="0040010E">
              <w:rPr>
                <w:sz w:val="20"/>
              </w:rPr>
              <w:fldChar w:fldCharType="separate"/>
            </w:r>
            <w:r w:rsidRPr="00BE0A9C">
              <w:rPr>
                <w:sz w:val="20"/>
              </w:rPr>
              <w:fldChar w:fldCharType="end"/>
            </w:r>
            <w:r w:rsidRPr="00BE0A9C">
              <w:rPr>
                <w:sz w:val="20"/>
              </w:rPr>
              <w:tab/>
            </w:r>
            <w:bookmarkStart w:id="27" w:name="lt_pId141"/>
            <w:r w:rsidRPr="00BE0A9C">
              <w:rPr>
                <w:sz w:val="20"/>
              </w:rPr>
              <w:tab/>
            </w:r>
            <w:r w:rsidRPr="00BE0A9C">
              <w:rPr>
                <w:b/>
                <w:bCs/>
                <w:sz w:val="22"/>
                <w:szCs w:val="22"/>
              </w:rPr>
              <w:t xml:space="preserve">no otorga autoridad </w:t>
            </w:r>
            <w:r w:rsidRPr="00BE0A9C">
              <w:rPr>
                <w:sz w:val="22"/>
                <w:szCs w:val="22"/>
              </w:rPr>
              <w:t xml:space="preserve">a la Comisión de Estudio 17 a fin de examinar este texto para aprobación (se adjuntan los motivos para esta opinión y las posibles modificaciones que permitirían </w:t>
            </w:r>
            <w:r w:rsidRPr="00BE0A9C">
              <w:rPr>
                <w:sz w:val="22"/>
              </w:rPr>
              <w:t>que prosiguieran los trabajos)</w:t>
            </w:r>
            <w:bookmarkEnd w:id="27"/>
          </w:p>
        </w:tc>
      </w:tr>
      <w:tr w:rsidR="003170F6" w:rsidRPr="00BE0A9C" w:rsidTr="005A7FF6">
        <w:trPr>
          <w:trHeight w:val="748"/>
        </w:trPr>
        <w:tc>
          <w:tcPr>
            <w:tcW w:w="2063" w:type="dxa"/>
            <w:vMerge w:val="restart"/>
            <w:shd w:val="clear" w:color="auto" w:fill="auto"/>
            <w:vAlign w:val="center"/>
          </w:tcPr>
          <w:p w:rsidR="003170F6" w:rsidRPr="00BE0A9C" w:rsidRDefault="003170F6" w:rsidP="00215CFD">
            <w:pPr>
              <w:pStyle w:val="Tabletext0"/>
              <w:jc w:val="center"/>
              <w:rPr>
                <w:b/>
                <w:bCs/>
              </w:rPr>
            </w:pPr>
            <w:bookmarkStart w:id="28" w:name="lt_pId142"/>
            <w:r w:rsidRPr="00BE0A9C">
              <w:rPr>
                <w:b/>
                <w:bCs/>
              </w:rPr>
              <w:t xml:space="preserve">Proyecto de Recomendación UIT-T </w:t>
            </w:r>
            <w:r w:rsidR="002B00F0" w:rsidRPr="00BE0A9C">
              <w:rPr>
                <w:b/>
                <w:bCs/>
              </w:rPr>
              <w:t>X.</w:t>
            </w:r>
            <w:r w:rsidRPr="00BE0A9C">
              <w:rPr>
                <w:b/>
                <w:bCs/>
              </w:rPr>
              <w:t>1</w:t>
            </w:r>
            <w:r w:rsidR="00215CFD">
              <w:rPr>
                <w:b/>
                <w:bCs/>
              </w:rPr>
              <w:t xml:space="preserve">215 </w:t>
            </w:r>
            <w:r w:rsidRPr="00BE0A9C">
              <w:rPr>
                <w:b/>
                <w:bCs/>
              </w:rPr>
              <w:t>(</w:t>
            </w:r>
            <w:r w:rsidR="00215CFD" w:rsidRPr="00215CFD">
              <w:rPr>
                <w:b/>
                <w:bCs/>
              </w:rPr>
              <w:t>X.ucstix</w:t>
            </w:r>
            <w:r w:rsidRPr="00BE0A9C">
              <w:rPr>
                <w:b/>
                <w:bCs/>
              </w:rPr>
              <w:t>)</w:t>
            </w:r>
            <w:bookmarkEnd w:id="28"/>
          </w:p>
        </w:tc>
        <w:tc>
          <w:tcPr>
            <w:tcW w:w="7566" w:type="dxa"/>
            <w:shd w:val="clear" w:color="auto" w:fill="auto"/>
            <w:vAlign w:val="center"/>
          </w:tcPr>
          <w:p w:rsidR="003170F6" w:rsidRPr="00BE0A9C" w:rsidRDefault="003170F6" w:rsidP="00020219">
            <w:pPr>
              <w:tabs>
                <w:tab w:val="clear" w:pos="794"/>
                <w:tab w:val="clear" w:pos="1191"/>
                <w:tab w:val="clear" w:pos="1588"/>
                <w:tab w:val="clear" w:pos="1985"/>
              </w:tabs>
              <w:spacing w:after="120"/>
              <w:ind w:left="459" w:hanging="459"/>
              <w:rPr>
                <w:sz w:val="22"/>
                <w:szCs w:val="22"/>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40010E">
              <w:rPr>
                <w:sz w:val="20"/>
              </w:rPr>
            </w:r>
            <w:r w:rsidR="0040010E">
              <w:rPr>
                <w:sz w:val="20"/>
              </w:rPr>
              <w:fldChar w:fldCharType="separate"/>
            </w:r>
            <w:r w:rsidRPr="00BE0A9C">
              <w:rPr>
                <w:sz w:val="20"/>
              </w:rPr>
              <w:fldChar w:fldCharType="end"/>
            </w:r>
            <w:r w:rsidRPr="00BE0A9C">
              <w:rPr>
                <w:sz w:val="18"/>
                <w:szCs w:val="18"/>
              </w:rPr>
              <w:tab/>
            </w:r>
            <w:r w:rsidRPr="00BE0A9C">
              <w:rPr>
                <w:b/>
                <w:bCs/>
                <w:sz w:val="22"/>
                <w:szCs w:val="22"/>
              </w:rPr>
              <w:t xml:space="preserve">otorga autoridad </w:t>
            </w:r>
            <w:r w:rsidRPr="00BE0A9C">
              <w:rPr>
                <w:sz w:val="22"/>
                <w:szCs w:val="22"/>
              </w:rPr>
              <w:t xml:space="preserve">a la Comisión de Estudio 17 a fin de examinar este texto para aprobación (en cuyo caso seleccionará una de las dos opciones </w:t>
            </w:r>
            <w:r w:rsidRPr="00BE0A9C">
              <w:rPr>
                <w:sz w:val="18"/>
                <w:szCs w:val="18"/>
              </w:rPr>
              <w:t>⃝</w:t>
            </w:r>
            <w:r w:rsidRPr="00BE0A9C">
              <w:rPr>
                <w:sz w:val="22"/>
                <w:szCs w:val="22"/>
              </w:rPr>
              <w:t>):</w:t>
            </w:r>
          </w:p>
          <w:p w:rsidR="003170F6" w:rsidRPr="00BE0A9C" w:rsidRDefault="003170F6" w:rsidP="005A7FF6">
            <w:pPr>
              <w:tabs>
                <w:tab w:val="clear" w:pos="794"/>
                <w:tab w:val="clear" w:pos="1191"/>
                <w:tab w:val="clear" w:pos="1588"/>
                <w:tab w:val="clear" w:pos="1985"/>
              </w:tabs>
              <w:spacing w:before="40" w:after="40"/>
              <w:ind w:left="939" w:hanging="459"/>
              <w:rPr>
                <w:sz w:val="22"/>
                <w:szCs w:val="22"/>
              </w:rPr>
            </w:pPr>
            <w:r w:rsidRPr="00BE0A9C">
              <w:rPr>
                <w:sz w:val="18"/>
                <w:szCs w:val="18"/>
              </w:rPr>
              <w:t>⃝</w:t>
            </w:r>
            <w:r w:rsidRPr="00BE0A9C">
              <w:rPr>
                <w:sz w:val="18"/>
                <w:szCs w:val="18"/>
              </w:rPr>
              <w:tab/>
            </w:r>
            <w:r w:rsidRPr="00BE0A9C">
              <w:rPr>
                <w:sz w:val="22"/>
                <w:szCs w:val="22"/>
              </w:rPr>
              <w:t>Sin comentarios o cambios sugeridos</w:t>
            </w:r>
          </w:p>
          <w:p w:rsidR="003170F6" w:rsidRPr="00BE0A9C" w:rsidRDefault="003170F6" w:rsidP="005A7FF6">
            <w:pPr>
              <w:tabs>
                <w:tab w:val="clear" w:pos="794"/>
                <w:tab w:val="clear" w:pos="1191"/>
                <w:tab w:val="clear" w:pos="1588"/>
                <w:tab w:val="clear" w:pos="1985"/>
              </w:tabs>
              <w:spacing w:before="40" w:after="40"/>
              <w:ind w:left="939" w:hanging="459"/>
              <w:rPr>
                <w:sz w:val="22"/>
                <w:szCs w:val="22"/>
              </w:rPr>
            </w:pPr>
            <w:r w:rsidRPr="00BE0A9C">
              <w:rPr>
                <w:sz w:val="18"/>
                <w:szCs w:val="18"/>
              </w:rPr>
              <w:t>⃝</w:t>
            </w:r>
            <w:r w:rsidRPr="00BE0A9C">
              <w:rPr>
                <w:sz w:val="18"/>
                <w:szCs w:val="18"/>
              </w:rPr>
              <w:tab/>
            </w:r>
            <w:r w:rsidRPr="00BE0A9C">
              <w:rPr>
                <w:sz w:val="22"/>
                <w:szCs w:val="22"/>
              </w:rPr>
              <w:t>Se adjuntan los</w:t>
            </w:r>
            <w:r w:rsidRPr="00BE0A9C">
              <w:rPr>
                <w:sz w:val="18"/>
                <w:szCs w:val="18"/>
              </w:rPr>
              <w:t xml:space="preserve"> </w:t>
            </w:r>
            <w:r w:rsidRPr="00BE0A9C">
              <w:rPr>
                <w:sz w:val="22"/>
                <w:szCs w:val="22"/>
              </w:rPr>
              <w:t>comentarios o cambios sugeridos</w:t>
            </w:r>
          </w:p>
        </w:tc>
      </w:tr>
      <w:tr w:rsidR="003170F6" w:rsidRPr="006D6A32" w:rsidTr="005A7FF6">
        <w:trPr>
          <w:trHeight w:val="747"/>
        </w:trPr>
        <w:tc>
          <w:tcPr>
            <w:tcW w:w="2063" w:type="dxa"/>
            <w:vMerge/>
            <w:shd w:val="clear" w:color="auto" w:fill="auto"/>
            <w:vAlign w:val="center"/>
          </w:tcPr>
          <w:p w:rsidR="003170F6" w:rsidRPr="00BE0A9C" w:rsidRDefault="003170F6" w:rsidP="005A7FF6">
            <w:pPr>
              <w:spacing w:before="60" w:after="60"/>
              <w:jc w:val="center"/>
              <w:rPr>
                <w:b/>
                <w:bCs/>
                <w:sz w:val="22"/>
                <w:szCs w:val="22"/>
              </w:rPr>
            </w:pPr>
          </w:p>
        </w:tc>
        <w:tc>
          <w:tcPr>
            <w:tcW w:w="7566" w:type="dxa"/>
            <w:shd w:val="clear" w:color="auto" w:fill="auto"/>
            <w:vAlign w:val="center"/>
          </w:tcPr>
          <w:p w:rsidR="003170F6" w:rsidRPr="00E31074" w:rsidRDefault="00215CFD" w:rsidP="00020219">
            <w:pPr>
              <w:tabs>
                <w:tab w:val="clear" w:pos="794"/>
                <w:tab w:val="clear" w:pos="1191"/>
                <w:tab w:val="clear" w:pos="1588"/>
                <w:tab w:val="clear" w:pos="1985"/>
              </w:tabs>
              <w:spacing w:after="120"/>
              <w:ind w:left="459" w:hanging="459"/>
              <w:rPr>
                <w:sz w:val="20"/>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40010E">
              <w:rPr>
                <w:sz w:val="20"/>
              </w:rPr>
            </w:r>
            <w:r w:rsidR="0040010E">
              <w:rPr>
                <w:sz w:val="20"/>
              </w:rPr>
              <w:fldChar w:fldCharType="separate"/>
            </w:r>
            <w:r w:rsidRPr="00BE0A9C">
              <w:rPr>
                <w:sz w:val="20"/>
              </w:rPr>
              <w:fldChar w:fldCharType="end"/>
            </w:r>
            <w:r w:rsidRPr="00BE0A9C">
              <w:rPr>
                <w:sz w:val="20"/>
              </w:rPr>
              <w:tab/>
            </w:r>
            <w:r w:rsidRPr="00BE0A9C">
              <w:rPr>
                <w:b/>
                <w:bCs/>
                <w:sz w:val="22"/>
                <w:szCs w:val="22"/>
              </w:rPr>
              <w:t xml:space="preserve">no otorga autoridad </w:t>
            </w:r>
            <w:r w:rsidRPr="00BE0A9C">
              <w:rPr>
                <w:sz w:val="22"/>
                <w:szCs w:val="22"/>
              </w:rPr>
              <w:t xml:space="preserve">a la Comisión de Estudio 17 a fin de examinar este texto para aprobación (se adjuntan los motivos para esta opinión y las posibles modificaciones que permitirían </w:t>
            </w:r>
            <w:r w:rsidRPr="00BE0A9C">
              <w:rPr>
                <w:sz w:val="22"/>
              </w:rPr>
              <w:t>que prosiguieran los trabajos)</w:t>
            </w:r>
          </w:p>
        </w:tc>
      </w:tr>
      <w:tr w:rsidR="006D6A32" w:rsidRPr="006D6A32" w:rsidTr="005A7FF6">
        <w:trPr>
          <w:trHeight w:val="747"/>
        </w:trPr>
        <w:tc>
          <w:tcPr>
            <w:tcW w:w="2063" w:type="dxa"/>
            <w:shd w:val="clear" w:color="auto" w:fill="auto"/>
            <w:vAlign w:val="center"/>
          </w:tcPr>
          <w:p w:rsidR="006D6A32" w:rsidRPr="00E31074" w:rsidRDefault="00215CFD" w:rsidP="005A7FF6">
            <w:pPr>
              <w:spacing w:before="60" w:after="60"/>
              <w:jc w:val="center"/>
              <w:rPr>
                <w:b/>
                <w:bCs/>
                <w:sz w:val="22"/>
                <w:szCs w:val="22"/>
              </w:rPr>
            </w:pPr>
            <w:r w:rsidRPr="00BE0A9C">
              <w:rPr>
                <w:b/>
                <w:bCs/>
              </w:rPr>
              <w:t xml:space="preserve">Proyecto de Recomendación UIT-T </w:t>
            </w:r>
            <w:r w:rsidR="006D6A32" w:rsidRPr="00215CFD">
              <w:rPr>
                <w:b/>
                <w:bCs/>
              </w:rPr>
              <w:t>X.1249 (X.tfcma)</w:t>
            </w:r>
          </w:p>
        </w:tc>
        <w:tc>
          <w:tcPr>
            <w:tcW w:w="7566" w:type="dxa"/>
            <w:shd w:val="clear" w:color="auto" w:fill="auto"/>
            <w:vAlign w:val="center"/>
          </w:tcPr>
          <w:p w:rsidR="00215CFD" w:rsidRPr="00BE0A9C" w:rsidRDefault="00215CFD" w:rsidP="00020219">
            <w:pPr>
              <w:tabs>
                <w:tab w:val="clear" w:pos="794"/>
                <w:tab w:val="clear" w:pos="1191"/>
                <w:tab w:val="clear" w:pos="1588"/>
                <w:tab w:val="clear" w:pos="1985"/>
              </w:tabs>
              <w:spacing w:after="120"/>
              <w:ind w:left="459" w:hanging="459"/>
              <w:rPr>
                <w:sz w:val="22"/>
                <w:szCs w:val="22"/>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40010E">
              <w:rPr>
                <w:sz w:val="20"/>
              </w:rPr>
            </w:r>
            <w:r w:rsidR="0040010E">
              <w:rPr>
                <w:sz w:val="20"/>
              </w:rPr>
              <w:fldChar w:fldCharType="separate"/>
            </w:r>
            <w:r w:rsidRPr="00BE0A9C">
              <w:rPr>
                <w:sz w:val="20"/>
              </w:rPr>
              <w:fldChar w:fldCharType="end"/>
            </w:r>
            <w:r w:rsidRPr="00BE0A9C">
              <w:rPr>
                <w:sz w:val="18"/>
                <w:szCs w:val="18"/>
              </w:rPr>
              <w:tab/>
            </w:r>
            <w:r w:rsidRPr="00BE0A9C">
              <w:rPr>
                <w:b/>
                <w:bCs/>
                <w:sz w:val="22"/>
                <w:szCs w:val="22"/>
              </w:rPr>
              <w:t xml:space="preserve">otorga autoridad </w:t>
            </w:r>
            <w:r w:rsidRPr="00BE0A9C">
              <w:rPr>
                <w:sz w:val="22"/>
                <w:szCs w:val="22"/>
              </w:rPr>
              <w:t xml:space="preserve">a la Comisión de Estudio 17 a fin de examinar este texto para aprobación (en cuyo caso seleccionará una de las dos opciones </w:t>
            </w:r>
            <w:r w:rsidRPr="00BE0A9C">
              <w:rPr>
                <w:sz w:val="18"/>
                <w:szCs w:val="18"/>
              </w:rPr>
              <w:t>⃝</w:t>
            </w:r>
            <w:r w:rsidRPr="00BE0A9C">
              <w:rPr>
                <w:sz w:val="22"/>
                <w:szCs w:val="22"/>
              </w:rPr>
              <w:t>):</w:t>
            </w:r>
          </w:p>
          <w:p w:rsidR="00215CFD" w:rsidRPr="00BE0A9C" w:rsidRDefault="00215CFD" w:rsidP="00215CFD">
            <w:pPr>
              <w:tabs>
                <w:tab w:val="clear" w:pos="794"/>
                <w:tab w:val="clear" w:pos="1191"/>
                <w:tab w:val="clear" w:pos="1588"/>
                <w:tab w:val="clear" w:pos="1985"/>
              </w:tabs>
              <w:spacing w:before="40" w:after="40"/>
              <w:ind w:left="939" w:hanging="459"/>
              <w:rPr>
                <w:sz w:val="22"/>
                <w:szCs w:val="22"/>
              </w:rPr>
            </w:pPr>
            <w:r w:rsidRPr="00BE0A9C">
              <w:rPr>
                <w:sz w:val="18"/>
                <w:szCs w:val="18"/>
              </w:rPr>
              <w:t>⃝</w:t>
            </w:r>
            <w:r w:rsidRPr="00BE0A9C">
              <w:rPr>
                <w:sz w:val="18"/>
                <w:szCs w:val="18"/>
              </w:rPr>
              <w:tab/>
            </w:r>
            <w:r w:rsidRPr="00BE0A9C">
              <w:rPr>
                <w:sz w:val="22"/>
                <w:szCs w:val="22"/>
              </w:rPr>
              <w:t>Sin comentarios o cambios sugeridos</w:t>
            </w:r>
          </w:p>
          <w:p w:rsidR="006D6A32" w:rsidRPr="00E31074" w:rsidRDefault="00215CFD" w:rsidP="00215CFD">
            <w:pPr>
              <w:tabs>
                <w:tab w:val="left" w:pos="720"/>
              </w:tabs>
              <w:spacing w:before="60" w:after="60"/>
              <w:ind w:left="939" w:hanging="459"/>
              <w:rPr>
                <w:szCs w:val="24"/>
                <w:highlight w:val="lightGray"/>
              </w:rPr>
            </w:pPr>
            <w:r w:rsidRPr="00BE0A9C">
              <w:rPr>
                <w:sz w:val="18"/>
                <w:szCs w:val="18"/>
              </w:rPr>
              <w:t>⃝</w:t>
            </w:r>
            <w:r w:rsidRPr="00BE0A9C">
              <w:rPr>
                <w:sz w:val="18"/>
                <w:szCs w:val="18"/>
              </w:rPr>
              <w:tab/>
            </w:r>
            <w:r w:rsidR="00E31074">
              <w:rPr>
                <w:sz w:val="18"/>
                <w:szCs w:val="18"/>
              </w:rPr>
              <w:tab/>
            </w:r>
            <w:r w:rsidR="00E31074">
              <w:rPr>
                <w:sz w:val="18"/>
                <w:szCs w:val="18"/>
              </w:rPr>
              <w:tab/>
            </w:r>
            <w:r w:rsidRPr="00BE0A9C">
              <w:rPr>
                <w:sz w:val="22"/>
                <w:szCs w:val="22"/>
              </w:rPr>
              <w:t>Se adjuntan los</w:t>
            </w:r>
            <w:r w:rsidRPr="00BE0A9C">
              <w:rPr>
                <w:sz w:val="18"/>
                <w:szCs w:val="18"/>
              </w:rPr>
              <w:t xml:space="preserve"> </w:t>
            </w:r>
            <w:r w:rsidRPr="00BE0A9C">
              <w:rPr>
                <w:sz w:val="22"/>
                <w:szCs w:val="22"/>
              </w:rPr>
              <w:t>comentarios o cambios sugeridos</w:t>
            </w:r>
          </w:p>
          <w:p w:rsidR="006D6A32" w:rsidRPr="00E31074" w:rsidRDefault="006D6A32" w:rsidP="00020219">
            <w:pPr>
              <w:pBdr>
                <w:top w:val="single" w:sz="4" w:space="1" w:color="auto"/>
              </w:pBdr>
              <w:tabs>
                <w:tab w:val="clear" w:pos="794"/>
                <w:tab w:val="clear" w:pos="1191"/>
                <w:tab w:val="clear" w:pos="1588"/>
                <w:tab w:val="clear" w:pos="1985"/>
              </w:tabs>
              <w:spacing w:after="120"/>
              <w:ind w:left="459" w:hanging="459"/>
              <w:rPr>
                <w:sz w:val="22"/>
                <w:szCs w:val="22"/>
              </w:rPr>
            </w:pPr>
            <w:r w:rsidRPr="00BE0A9C">
              <w:rPr>
                <w:sz w:val="20"/>
              </w:rPr>
              <w:fldChar w:fldCharType="begin">
                <w:ffData>
                  <w:name w:val="Check1"/>
                  <w:enabled/>
                  <w:calcOnExit w:val="0"/>
                  <w:checkBox>
                    <w:sizeAuto/>
                    <w:default w:val="0"/>
                  </w:checkBox>
                </w:ffData>
              </w:fldChar>
            </w:r>
            <w:r w:rsidRPr="00BE0A9C">
              <w:rPr>
                <w:sz w:val="20"/>
              </w:rPr>
              <w:instrText xml:space="preserve"> FORMCHECKBOX </w:instrText>
            </w:r>
            <w:r w:rsidR="0040010E">
              <w:rPr>
                <w:sz w:val="20"/>
              </w:rPr>
            </w:r>
            <w:r w:rsidR="0040010E">
              <w:rPr>
                <w:sz w:val="20"/>
              </w:rPr>
              <w:fldChar w:fldCharType="separate"/>
            </w:r>
            <w:r w:rsidRPr="00BE0A9C">
              <w:rPr>
                <w:sz w:val="20"/>
              </w:rPr>
              <w:fldChar w:fldCharType="end"/>
            </w:r>
            <w:r w:rsidRPr="00BE0A9C">
              <w:rPr>
                <w:sz w:val="20"/>
              </w:rPr>
              <w:tab/>
            </w:r>
            <w:r w:rsidRPr="00BE0A9C">
              <w:rPr>
                <w:b/>
                <w:bCs/>
                <w:sz w:val="22"/>
                <w:szCs w:val="22"/>
              </w:rPr>
              <w:t xml:space="preserve">no otorga autoridad </w:t>
            </w:r>
            <w:r w:rsidRPr="00BE0A9C">
              <w:rPr>
                <w:sz w:val="22"/>
                <w:szCs w:val="22"/>
              </w:rPr>
              <w:t xml:space="preserve">a la Comisión de Estudio 17 a fin de examinar este texto para aprobación (se adjuntan los motivos para esta opinión y las posibles modificaciones que permitirían </w:t>
            </w:r>
            <w:r w:rsidRPr="00BE0A9C">
              <w:rPr>
                <w:sz w:val="22"/>
              </w:rPr>
              <w:t>que prosiguieran los trabajos)</w:t>
            </w:r>
          </w:p>
        </w:tc>
      </w:tr>
    </w:tbl>
    <w:p w:rsidR="003170F6" w:rsidRPr="006D6A32" w:rsidRDefault="003170F6" w:rsidP="003170F6">
      <w:pPr>
        <w:spacing w:before="0"/>
        <w:rPr>
          <w:sz w:val="16"/>
          <w:szCs w:val="16"/>
        </w:rPr>
      </w:pPr>
    </w:p>
    <w:p w:rsidR="00E31074" w:rsidRDefault="00E31074">
      <w:pPr>
        <w:tabs>
          <w:tab w:val="clear" w:pos="794"/>
          <w:tab w:val="clear" w:pos="1191"/>
          <w:tab w:val="clear" w:pos="1588"/>
          <w:tab w:val="clear" w:pos="1985"/>
        </w:tabs>
        <w:overflowPunct/>
        <w:autoSpaceDE/>
        <w:autoSpaceDN/>
        <w:adjustRightInd/>
        <w:spacing w:before="0"/>
        <w:textAlignment w:val="auto"/>
      </w:pPr>
      <w:bookmarkStart w:id="29" w:name="lt_pId163"/>
      <w:r>
        <w:br w:type="page"/>
      </w:r>
    </w:p>
    <w:p w:rsidR="003170F6" w:rsidRPr="00BE0A9C" w:rsidRDefault="003170F6" w:rsidP="00C25EA0">
      <w:pPr>
        <w:spacing w:after="120"/>
      </w:pPr>
      <w:r w:rsidRPr="00BE0A9C">
        <w:lastRenderedPageBreak/>
        <w:t>Atentamente,</w:t>
      </w:r>
      <w:bookmarkEnd w:id="29"/>
    </w:p>
    <w:p w:rsidR="003170F6" w:rsidRPr="00BE0A9C" w:rsidRDefault="003170F6" w:rsidP="00B92C55">
      <w:pPr>
        <w:spacing w:before="1080"/>
        <w:rPr>
          <w:szCs w:val="24"/>
          <w:highlight w:val="green"/>
        </w:rPr>
      </w:pPr>
      <w:bookmarkStart w:id="30" w:name="lt_pId164"/>
      <w:r w:rsidRPr="00BE0A9C">
        <w:rPr>
          <w:szCs w:val="24"/>
          <w:highlight w:val="green"/>
        </w:rPr>
        <w:t>[Nombre]</w:t>
      </w:r>
      <w:bookmarkEnd w:id="30"/>
    </w:p>
    <w:p w:rsidR="003170F6" w:rsidRPr="00BE0A9C" w:rsidRDefault="003170F6" w:rsidP="00B92C55">
      <w:pPr>
        <w:spacing w:before="0"/>
        <w:rPr>
          <w:szCs w:val="24"/>
        </w:rPr>
      </w:pPr>
      <w:bookmarkStart w:id="31" w:name="lt_pId165"/>
      <w:r w:rsidRPr="00BE0A9C">
        <w:rPr>
          <w:szCs w:val="24"/>
          <w:highlight w:val="green"/>
        </w:rPr>
        <w:t>[Cargo oficial/Título]</w:t>
      </w:r>
      <w:bookmarkEnd w:id="31"/>
    </w:p>
    <w:p w:rsidR="003170F6" w:rsidRPr="00BE0A9C" w:rsidRDefault="003170F6" w:rsidP="00B92C55">
      <w:pPr>
        <w:spacing w:before="0"/>
        <w:rPr>
          <w:szCs w:val="24"/>
        </w:rPr>
      </w:pPr>
      <w:bookmarkStart w:id="32" w:name="lt_pId166"/>
      <w:r w:rsidRPr="00BE0A9C">
        <w:rPr>
          <w:szCs w:val="24"/>
        </w:rPr>
        <w:t xml:space="preserve">Administración de </w:t>
      </w:r>
      <w:r w:rsidRPr="00BE0A9C">
        <w:rPr>
          <w:szCs w:val="24"/>
          <w:highlight w:val="green"/>
        </w:rPr>
        <w:t>[Estado Miembro]</w:t>
      </w:r>
      <w:bookmarkEnd w:id="32"/>
    </w:p>
    <w:p w:rsidR="00FE5FBD" w:rsidRPr="00BE0A9C" w:rsidRDefault="00FE5FBD">
      <w:pPr>
        <w:jc w:val="center"/>
      </w:pPr>
      <w:bookmarkStart w:id="33" w:name="_GoBack"/>
      <w:bookmarkEnd w:id="33"/>
      <w:r w:rsidRPr="00BE0A9C">
        <w:t>______________</w:t>
      </w:r>
    </w:p>
    <w:sectPr w:rsidR="00FE5FBD" w:rsidRPr="00BE0A9C" w:rsidSect="00807BDC">
      <w:headerReference w:type="default" r:id="rId14"/>
      <w:footerReference w:type="first" r:id="rId15"/>
      <w:pgSz w:w="11907" w:h="16834" w:code="9"/>
      <w:pgMar w:top="1021" w:right="1134" w:bottom="1077" w:left="1134" w:header="567" w:footer="56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609" w:rsidRDefault="00237609">
      <w:r>
        <w:separator/>
      </w:r>
    </w:p>
  </w:endnote>
  <w:endnote w:type="continuationSeparator" w:id="0">
    <w:p w:rsidR="00237609" w:rsidRDefault="0023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09" w:rsidRPr="00CB33EF" w:rsidRDefault="00237609" w:rsidP="003F05C4">
    <w:pPr>
      <w:pStyle w:val="FirstFooter"/>
      <w:ind w:left="-397" w:right="-397"/>
      <w:jc w:val="center"/>
      <w:rPr>
        <w:color w:val="0070C0"/>
        <w:szCs w:val="18"/>
      </w:rPr>
    </w:pPr>
    <w:r w:rsidRPr="00CB33EF">
      <w:rPr>
        <w:color w:val="0070C0"/>
        <w:szCs w:val="18"/>
      </w:rPr>
      <w:t>Unión Internacional de Telecomunicaciones • Place des Nations, CH</w:t>
    </w:r>
    <w:r w:rsidRPr="00CB33EF">
      <w:rPr>
        <w:color w:val="0070C0"/>
        <w:szCs w:val="18"/>
      </w:rPr>
      <w:noBreakHyphen/>
      <w:t xml:space="preserve">1211 Ginebra 20, Suiza </w:t>
    </w:r>
    <w:r w:rsidRPr="00CB33EF">
      <w:rPr>
        <w:color w:val="0070C0"/>
        <w:szCs w:val="18"/>
      </w:rPr>
      <w:br/>
      <w:t xml:space="preserve">Tel.: +41 22 730 5111 • Fax: +41 22 733 7256 • Correo-e: </w:t>
    </w:r>
    <w:hyperlink r:id="rId1" w:history="1">
      <w:r w:rsidRPr="00CB33EF">
        <w:rPr>
          <w:rStyle w:val="Hyperlink"/>
          <w:color w:val="0070C0"/>
        </w:rPr>
        <w:t>itumail@itu.int</w:t>
      </w:r>
    </w:hyperlink>
    <w:r w:rsidRPr="00CB33EF">
      <w:rPr>
        <w:color w:val="0070C0"/>
        <w:szCs w:val="18"/>
      </w:rPr>
      <w:t xml:space="preserve"> • </w:t>
    </w:r>
    <w:hyperlink r:id="rId2" w:history="1">
      <w:r w:rsidRPr="00CB33EF">
        <w:rPr>
          <w:rStyle w:val="Hyperlink"/>
          <w:color w:val="0070C0"/>
        </w:rPr>
        <w:t>www.itu.int</w:t>
      </w:r>
    </w:hyperlink>
    <w:r w:rsidRPr="00CB33EF">
      <w:rPr>
        <w:color w:val="0070C0"/>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609" w:rsidRDefault="00237609">
      <w:r>
        <w:t>____________________</w:t>
      </w:r>
    </w:p>
  </w:footnote>
  <w:footnote w:type="continuationSeparator" w:id="0">
    <w:p w:rsidR="00237609" w:rsidRDefault="00237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09" w:rsidRPr="00FD7428" w:rsidRDefault="00237609" w:rsidP="00DB01E2">
    <w:pPr>
      <w:spacing w:before="0" w:after="360"/>
      <w:jc w:val="center"/>
      <w:rPr>
        <w:rFonts w:ascii="Calibri" w:hAnsi="Calibri"/>
        <w:sz w:val="18"/>
        <w:lang w:val="en-US"/>
      </w:rPr>
    </w:pPr>
    <w:r w:rsidRPr="00696783">
      <w:rPr>
        <w:sz w:val="18"/>
        <w:szCs w:val="18"/>
      </w:rPr>
      <w:t xml:space="preserve">- </w:t>
    </w:r>
    <w:r w:rsidRPr="00696783">
      <w:rPr>
        <w:sz w:val="18"/>
        <w:szCs w:val="18"/>
      </w:rPr>
      <w:fldChar w:fldCharType="begin"/>
    </w:r>
    <w:r w:rsidRPr="00696783">
      <w:rPr>
        <w:sz w:val="18"/>
        <w:szCs w:val="18"/>
      </w:rPr>
      <w:instrText xml:space="preserve"> PAGE   \* MERGEFORMAT </w:instrText>
    </w:r>
    <w:r w:rsidRPr="00696783">
      <w:rPr>
        <w:sz w:val="18"/>
        <w:szCs w:val="18"/>
      </w:rPr>
      <w:fldChar w:fldCharType="separate"/>
    </w:r>
    <w:r w:rsidR="0040010E">
      <w:rPr>
        <w:noProof/>
        <w:sz w:val="18"/>
        <w:szCs w:val="18"/>
      </w:rPr>
      <w:t>6</w:t>
    </w:r>
    <w:r w:rsidRPr="00696783">
      <w:rPr>
        <w:noProof/>
        <w:sz w:val="18"/>
        <w:szCs w:val="18"/>
      </w:rPr>
      <w:fldChar w:fldCharType="end"/>
    </w:r>
    <w:r w:rsidRPr="00696783">
      <w:rPr>
        <w:noProof/>
        <w:sz w:val="18"/>
        <w:szCs w:val="18"/>
      </w:rPr>
      <w:t xml:space="preserve"> -</w:t>
    </w:r>
    <w:r>
      <w:rPr>
        <w:noProof/>
        <w:sz w:val="18"/>
        <w:szCs w:val="18"/>
      </w:rPr>
      <w:br/>
    </w:r>
    <w:r w:rsidRPr="004C58BA">
      <w:rPr>
        <w:rFonts w:ascii="Calibri" w:hAnsi="Calibri"/>
        <w:noProof/>
        <w:sz w:val="18"/>
        <w:lang w:val="en-GB"/>
      </w:rPr>
      <w:t xml:space="preserve">Circular TSB </w:t>
    </w:r>
    <w:r w:rsidR="00DB01E2">
      <w:rPr>
        <w:rFonts w:ascii="Calibri" w:hAnsi="Calibri"/>
        <w:noProof/>
        <w:sz w:val="18"/>
        <w:lang w:val="en-GB"/>
      </w:rPr>
      <w:t>113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3FE0AA5"/>
    <w:multiLevelType w:val="hybridMultilevel"/>
    <w:tmpl w:val="2F2AB578"/>
    <w:lvl w:ilvl="0" w:tplc="2E42E39E">
      <w:start w:val="1"/>
      <w:numFmt w:val="decimal"/>
      <w:lvlText w:val="%1."/>
      <w:lvlJc w:val="left"/>
      <w:pPr>
        <w:ind w:left="360" w:hanging="360"/>
      </w:pPr>
      <w:rPr>
        <w:b/>
        <w:bCs/>
        <w:color w:val="000000"/>
      </w:rPr>
    </w:lvl>
    <w:lvl w:ilvl="1" w:tplc="100C0019">
      <w:start w:val="1"/>
      <w:numFmt w:val="lowerLetter"/>
      <w:lvlText w:val="%2."/>
      <w:lvlJc w:val="left"/>
      <w:pPr>
        <w:ind w:left="1080" w:hanging="360"/>
      </w:pPr>
    </w:lvl>
    <w:lvl w:ilvl="2" w:tplc="100C001B">
      <w:start w:val="1"/>
      <w:numFmt w:val="lowerRoman"/>
      <w:lvlText w:val="%3."/>
      <w:lvlJc w:val="right"/>
      <w:pPr>
        <w:ind w:left="1800" w:hanging="180"/>
      </w:pPr>
    </w:lvl>
    <w:lvl w:ilvl="3" w:tplc="100C000F">
      <w:start w:val="1"/>
      <w:numFmt w:val="decimal"/>
      <w:lvlText w:val="%4."/>
      <w:lvlJc w:val="left"/>
      <w:pPr>
        <w:ind w:left="2520" w:hanging="360"/>
      </w:pPr>
    </w:lvl>
    <w:lvl w:ilvl="4" w:tplc="100C0019">
      <w:start w:val="1"/>
      <w:numFmt w:val="lowerLetter"/>
      <w:lvlText w:val="%5."/>
      <w:lvlJc w:val="left"/>
      <w:pPr>
        <w:ind w:left="3240" w:hanging="360"/>
      </w:pPr>
    </w:lvl>
    <w:lvl w:ilvl="5" w:tplc="100C001B">
      <w:start w:val="1"/>
      <w:numFmt w:val="lowerRoman"/>
      <w:lvlText w:val="%6."/>
      <w:lvlJc w:val="right"/>
      <w:pPr>
        <w:ind w:left="3960" w:hanging="180"/>
      </w:pPr>
    </w:lvl>
    <w:lvl w:ilvl="6" w:tplc="100C000F">
      <w:start w:val="1"/>
      <w:numFmt w:val="decimal"/>
      <w:lvlText w:val="%7."/>
      <w:lvlJc w:val="left"/>
      <w:pPr>
        <w:ind w:left="4680" w:hanging="360"/>
      </w:pPr>
    </w:lvl>
    <w:lvl w:ilvl="7" w:tplc="100C0019">
      <w:start w:val="1"/>
      <w:numFmt w:val="lowerLetter"/>
      <w:lvlText w:val="%8."/>
      <w:lvlJc w:val="left"/>
      <w:pPr>
        <w:ind w:left="5400" w:hanging="360"/>
      </w:pPr>
    </w:lvl>
    <w:lvl w:ilvl="8" w:tplc="100C001B">
      <w:start w:val="1"/>
      <w:numFmt w:val="lowerRoman"/>
      <w:lvlText w:val="%9."/>
      <w:lvlJc w:val="right"/>
      <w:pPr>
        <w:ind w:left="6120" w:hanging="180"/>
      </w:pPr>
    </w:lvl>
  </w:abstractNum>
  <w:abstractNum w:abstractNumId="2"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37C"/>
    <w:rsid w:val="000014BC"/>
    <w:rsid w:val="00002529"/>
    <w:rsid w:val="00004428"/>
    <w:rsid w:val="00013073"/>
    <w:rsid w:val="00020219"/>
    <w:rsid w:val="00023391"/>
    <w:rsid w:val="00066573"/>
    <w:rsid w:val="00074E76"/>
    <w:rsid w:val="00085662"/>
    <w:rsid w:val="000B6BE8"/>
    <w:rsid w:val="000B72F8"/>
    <w:rsid w:val="000C382F"/>
    <w:rsid w:val="000E53D0"/>
    <w:rsid w:val="000F09C3"/>
    <w:rsid w:val="000F0D53"/>
    <w:rsid w:val="0010395A"/>
    <w:rsid w:val="00103CCF"/>
    <w:rsid w:val="001043DC"/>
    <w:rsid w:val="001173CC"/>
    <w:rsid w:val="00137448"/>
    <w:rsid w:val="00143C4B"/>
    <w:rsid w:val="00143DDD"/>
    <w:rsid w:val="0014464D"/>
    <w:rsid w:val="00145E28"/>
    <w:rsid w:val="00146069"/>
    <w:rsid w:val="00160947"/>
    <w:rsid w:val="00162E19"/>
    <w:rsid w:val="00192C66"/>
    <w:rsid w:val="001A3544"/>
    <w:rsid w:val="001A54CC"/>
    <w:rsid w:val="001A746E"/>
    <w:rsid w:val="001D3372"/>
    <w:rsid w:val="001E38BB"/>
    <w:rsid w:val="001F17D2"/>
    <w:rsid w:val="001F62D1"/>
    <w:rsid w:val="001F74EA"/>
    <w:rsid w:val="00210274"/>
    <w:rsid w:val="00215CFD"/>
    <w:rsid w:val="0022342F"/>
    <w:rsid w:val="00227F6A"/>
    <w:rsid w:val="00231A3B"/>
    <w:rsid w:val="002337A4"/>
    <w:rsid w:val="00235C3D"/>
    <w:rsid w:val="00237609"/>
    <w:rsid w:val="002436DA"/>
    <w:rsid w:val="00252227"/>
    <w:rsid w:val="00255A6F"/>
    <w:rsid w:val="00257279"/>
    <w:rsid w:val="00257FB4"/>
    <w:rsid w:val="002652C0"/>
    <w:rsid w:val="00266A0E"/>
    <w:rsid w:val="00275D74"/>
    <w:rsid w:val="00280386"/>
    <w:rsid w:val="0028155E"/>
    <w:rsid w:val="002836A3"/>
    <w:rsid w:val="00287FF5"/>
    <w:rsid w:val="002970F1"/>
    <w:rsid w:val="002B00F0"/>
    <w:rsid w:val="002B72CB"/>
    <w:rsid w:val="002E496E"/>
    <w:rsid w:val="00303D62"/>
    <w:rsid w:val="003170F6"/>
    <w:rsid w:val="00321D03"/>
    <w:rsid w:val="0032761A"/>
    <w:rsid w:val="00335367"/>
    <w:rsid w:val="00343BBB"/>
    <w:rsid w:val="0036678C"/>
    <w:rsid w:val="00370C2D"/>
    <w:rsid w:val="00381555"/>
    <w:rsid w:val="003843A9"/>
    <w:rsid w:val="00385798"/>
    <w:rsid w:val="0039302E"/>
    <w:rsid w:val="003950F2"/>
    <w:rsid w:val="003B7220"/>
    <w:rsid w:val="003D1E8D"/>
    <w:rsid w:val="003D673B"/>
    <w:rsid w:val="003F05C4"/>
    <w:rsid w:val="003F2855"/>
    <w:rsid w:val="003F6326"/>
    <w:rsid w:val="0040010E"/>
    <w:rsid w:val="00400C94"/>
    <w:rsid w:val="00401C20"/>
    <w:rsid w:val="0041233F"/>
    <w:rsid w:val="00416D9A"/>
    <w:rsid w:val="00430378"/>
    <w:rsid w:val="00434F7D"/>
    <w:rsid w:val="004369BE"/>
    <w:rsid w:val="00437D85"/>
    <w:rsid w:val="004A1426"/>
    <w:rsid w:val="004A74D6"/>
    <w:rsid w:val="004A7957"/>
    <w:rsid w:val="004C236F"/>
    <w:rsid w:val="004C4144"/>
    <w:rsid w:val="004D4967"/>
    <w:rsid w:val="004D6B4C"/>
    <w:rsid w:val="004F0D34"/>
    <w:rsid w:val="004F2479"/>
    <w:rsid w:val="005316A8"/>
    <w:rsid w:val="005359E7"/>
    <w:rsid w:val="00535B71"/>
    <w:rsid w:val="0054013E"/>
    <w:rsid w:val="00552CED"/>
    <w:rsid w:val="00565D71"/>
    <w:rsid w:val="00570B91"/>
    <w:rsid w:val="005734F2"/>
    <w:rsid w:val="00581C9B"/>
    <w:rsid w:val="005856B1"/>
    <w:rsid w:val="005B0AC0"/>
    <w:rsid w:val="005B2217"/>
    <w:rsid w:val="005B3DB9"/>
    <w:rsid w:val="005D2A7C"/>
    <w:rsid w:val="00605D55"/>
    <w:rsid w:val="0062151E"/>
    <w:rsid w:val="00642DC4"/>
    <w:rsid w:val="00655A05"/>
    <w:rsid w:val="00695B35"/>
    <w:rsid w:val="00696783"/>
    <w:rsid w:val="006969B4"/>
    <w:rsid w:val="006A3831"/>
    <w:rsid w:val="006A4F9F"/>
    <w:rsid w:val="006D675D"/>
    <w:rsid w:val="006D6A32"/>
    <w:rsid w:val="006E4F7B"/>
    <w:rsid w:val="00701574"/>
    <w:rsid w:val="00707400"/>
    <w:rsid w:val="00707B3A"/>
    <w:rsid w:val="00735E0B"/>
    <w:rsid w:val="00743E41"/>
    <w:rsid w:val="00781E2A"/>
    <w:rsid w:val="007933A2"/>
    <w:rsid w:val="007952C3"/>
    <w:rsid w:val="007D4290"/>
    <w:rsid w:val="007E1FEF"/>
    <w:rsid w:val="00801C52"/>
    <w:rsid w:val="0080257C"/>
    <w:rsid w:val="00807BDC"/>
    <w:rsid w:val="00811DE7"/>
    <w:rsid w:val="00814503"/>
    <w:rsid w:val="008258C2"/>
    <w:rsid w:val="00830DAE"/>
    <w:rsid w:val="00832513"/>
    <w:rsid w:val="008325FF"/>
    <w:rsid w:val="008439E3"/>
    <w:rsid w:val="008505BD"/>
    <w:rsid w:val="00850C78"/>
    <w:rsid w:val="00855BDC"/>
    <w:rsid w:val="00855E3A"/>
    <w:rsid w:val="00866BAC"/>
    <w:rsid w:val="00874476"/>
    <w:rsid w:val="00884D12"/>
    <w:rsid w:val="008A5CFA"/>
    <w:rsid w:val="008A746D"/>
    <w:rsid w:val="008C17AD"/>
    <w:rsid w:val="008D02CD"/>
    <w:rsid w:val="008D54BA"/>
    <w:rsid w:val="0090137A"/>
    <w:rsid w:val="00912126"/>
    <w:rsid w:val="00921BFB"/>
    <w:rsid w:val="0092348E"/>
    <w:rsid w:val="0093316C"/>
    <w:rsid w:val="0093767D"/>
    <w:rsid w:val="00944E08"/>
    <w:rsid w:val="0094637C"/>
    <w:rsid w:val="0095172A"/>
    <w:rsid w:val="00963BBE"/>
    <w:rsid w:val="00973CF1"/>
    <w:rsid w:val="0097405D"/>
    <w:rsid w:val="009762DA"/>
    <w:rsid w:val="00981644"/>
    <w:rsid w:val="00993D80"/>
    <w:rsid w:val="0099524A"/>
    <w:rsid w:val="009A0BA0"/>
    <w:rsid w:val="009A7294"/>
    <w:rsid w:val="009B0D9C"/>
    <w:rsid w:val="009B4A41"/>
    <w:rsid w:val="009B7FCB"/>
    <w:rsid w:val="009F51D6"/>
    <w:rsid w:val="00A23999"/>
    <w:rsid w:val="00A42768"/>
    <w:rsid w:val="00A54E47"/>
    <w:rsid w:val="00A60338"/>
    <w:rsid w:val="00A712C9"/>
    <w:rsid w:val="00A71D8D"/>
    <w:rsid w:val="00A826DF"/>
    <w:rsid w:val="00A93E3B"/>
    <w:rsid w:val="00AA13ED"/>
    <w:rsid w:val="00AA3095"/>
    <w:rsid w:val="00AA3CBA"/>
    <w:rsid w:val="00AA472C"/>
    <w:rsid w:val="00AB56EA"/>
    <w:rsid w:val="00AB6E3A"/>
    <w:rsid w:val="00AC16C0"/>
    <w:rsid w:val="00AD123E"/>
    <w:rsid w:val="00AE7093"/>
    <w:rsid w:val="00B00651"/>
    <w:rsid w:val="00B14BE9"/>
    <w:rsid w:val="00B211AC"/>
    <w:rsid w:val="00B312DA"/>
    <w:rsid w:val="00B4017E"/>
    <w:rsid w:val="00B422BC"/>
    <w:rsid w:val="00B43F77"/>
    <w:rsid w:val="00B5057D"/>
    <w:rsid w:val="00B55A3E"/>
    <w:rsid w:val="00B80E33"/>
    <w:rsid w:val="00B82F7D"/>
    <w:rsid w:val="00B87E9E"/>
    <w:rsid w:val="00B90CD8"/>
    <w:rsid w:val="00B92C55"/>
    <w:rsid w:val="00B95E28"/>
    <w:rsid w:val="00B95F0A"/>
    <w:rsid w:val="00B96180"/>
    <w:rsid w:val="00BA07F1"/>
    <w:rsid w:val="00BA3874"/>
    <w:rsid w:val="00BD0B78"/>
    <w:rsid w:val="00BD56A8"/>
    <w:rsid w:val="00BD7629"/>
    <w:rsid w:val="00BE05EC"/>
    <w:rsid w:val="00BE0A9C"/>
    <w:rsid w:val="00C116FE"/>
    <w:rsid w:val="00C17AC0"/>
    <w:rsid w:val="00C20E01"/>
    <w:rsid w:val="00C25EA0"/>
    <w:rsid w:val="00C31108"/>
    <w:rsid w:val="00C34772"/>
    <w:rsid w:val="00C34E8A"/>
    <w:rsid w:val="00C4046F"/>
    <w:rsid w:val="00C47780"/>
    <w:rsid w:val="00C47C70"/>
    <w:rsid w:val="00C5465A"/>
    <w:rsid w:val="00C57F94"/>
    <w:rsid w:val="00CA4DAA"/>
    <w:rsid w:val="00CA5177"/>
    <w:rsid w:val="00CB2845"/>
    <w:rsid w:val="00CB33EF"/>
    <w:rsid w:val="00CC07F0"/>
    <w:rsid w:val="00CC5ACE"/>
    <w:rsid w:val="00CD75AB"/>
    <w:rsid w:val="00CE6747"/>
    <w:rsid w:val="00CF65ED"/>
    <w:rsid w:val="00D12F82"/>
    <w:rsid w:val="00D14A29"/>
    <w:rsid w:val="00D21DC0"/>
    <w:rsid w:val="00D263D6"/>
    <w:rsid w:val="00D35E9F"/>
    <w:rsid w:val="00D54642"/>
    <w:rsid w:val="00D7168B"/>
    <w:rsid w:val="00D720C5"/>
    <w:rsid w:val="00D7517D"/>
    <w:rsid w:val="00D94CDB"/>
    <w:rsid w:val="00DB01E2"/>
    <w:rsid w:val="00DC10A8"/>
    <w:rsid w:val="00DC1FF3"/>
    <w:rsid w:val="00DC4421"/>
    <w:rsid w:val="00DC7C75"/>
    <w:rsid w:val="00DD7018"/>
    <w:rsid w:val="00DD77C9"/>
    <w:rsid w:val="00DE1AF7"/>
    <w:rsid w:val="00DF3538"/>
    <w:rsid w:val="00DF7D57"/>
    <w:rsid w:val="00E31074"/>
    <w:rsid w:val="00E3211B"/>
    <w:rsid w:val="00E3747D"/>
    <w:rsid w:val="00E40026"/>
    <w:rsid w:val="00E52775"/>
    <w:rsid w:val="00E7319E"/>
    <w:rsid w:val="00E734C3"/>
    <w:rsid w:val="00E839B0"/>
    <w:rsid w:val="00E92C09"/>
    <w:rsid w:val="00EA0E30"/>
    <w:rsid w:val="00EE7B49"/>
    <w:rsid w:val="00EF4AA6"/>
    <w:rsid w:val="00EF6CD1"/>
    <w:rsid w:val="00F14380"/>
    <w:rsid w:val="00F275A7"/>
    <w:rsid w:val="00F42B1E"/>
    <w:rsid w:val="00F43A6B"/>
    <w:rsid w:val="00F533CD"/>
    <w:rsid w:val="00F6461F"/>
    <w:rsid w:val="00FA4B9E"/>
    <w:rsid w:val="00FD2B2D"/>
    <w:rsid w:val="00FD7428"/>
    <w:rsid w:val="00FE5F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98F700"/>
  <w15:docId w15:val="{9EA14A23-8B03-4BB4-BBF3-9066FAAF6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aliases w:val="fo,pie de página,footer odd"/>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link w:val="HeadingbChar"/>
    <w:qFormat/>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aliases w:val="fo Char,pie de página Char,footer odd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94637C"/>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ListParagraph">
    <w:name w:val="List Paragraph"/>
    <w:basedOn w:val="Normal"/>
    <w:uiPriority w:val="34"/>
    <w:qFormat/>
    <w:rsid w:val="008A5CFA"/>
    <w:pPr>
      <w:tabs>
        <w:tab w:val="clear" w:pos="794"/>
        <w:tab w:val="clear" w:pos="1191"/>
        <w:tab w:val="clear" w:pos="1588"/>
        <w:tab w:val="clear" w:pos="1985"/>
        <w:tab w:val="left" w:pos="1134"/>
        <w:tab w:val="left" w:pos="1871"/>
        <w:tab w:val="left" w:pos="2268"/>
      </w:tabs>
      <w:ind w:left="720"/>
      <w:contextualSpacing/>
    </w:pPr>
    <w:rPr>
      <w:lang w:val="en-GB"/>
    </w:rPr>
  </w:style>
  <w:style w:type="paragraph" w:customStyle="1" w:styleId="Reasons">
    <w:name w:val="Reasons"/>
    <w:basedOn w:val="Normal"/>
    <w:qFormat/>
    <w:rsid w:val="008A5CF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paragraph" w:styleId="BalloonText">
    <w:name w:val="Balloon Text"/>
    <w:basedOn w:val="Normal"/>
    <w:link w:val="BalloonTextChar"/>
    <w:semiHidden/>
    <w:unhideWhenUsed/>
    <w:rsid w:val="0062151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62151E"/>
    <w:rPr>
      <w:rFonts w:ascii="Tahoma" w:hAnsi="Tahoma" w:cs="Tahoma"/>
      <w:sz w:val="16"/>
      <w:szCs w:val="16"/>
      <w:lang w:val="es-ES_tradnl" w:eastAsia="en-US"/>
    </w:rPr>
  </w:style>
  <w:style w:type="character" w:styleId="Strong">
    <w:name w:val="Strong"/>
    <w:basedOn w:val="DefaultParagraphFont"/>
    <w:uiPriority w:val="22"/>
    <w:qFormat/>
    <w:rsid w:val="004D6B4C"/>
    <w:rPr>
      <w:b/>
      <w:bCs/>
    </w:rPr>
  </w:style>
  <w:style w:type="paragraph" w:customStyle="1" w:styleId="AnnexNo">
    <w:name w:val="Annex_No"/>
    <w:basedOn w:val="AnnexNotitle"/>
    <w:rsid w:val="002337A4"/>
    <w:pPr>
      <w:tabs>
        <w:tab w:val="center" w:pos="4819"/>
        <w:tab w:val="left" w:pos="5719"/>
      </w:tabs>
    </w:pPr>
  </w:style>
  <w:style w:type="character" w:customStyle="1" w:styleId="HeadingbChar">
    <w:name w:val="Heading_b Char"/>
    <w:link w:val="Headingb0"/>
    <w:locked/>
    <w:rsid w:val="00DB01E2"/>
    <w:rPr>
      <w:rFonts w:asciiTheme="minorHAnsi" w:hAnsiTheme="minorHAnsi"/>
      <w:b/>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826836">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 w:id="19836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dir@itu.i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T17-SG17-R-003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17-R-002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T17-SG17-R-0027"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7B0F2-9AFB-492C-9501-8B2199B7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7</TotalTime>
  <Pages>6</Pages>
  <Words>1272</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8585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Bilani, Joumana</cp:lastModifiedBy>
  <cp:revision>5</cp:revision>
  <cp:lastPrinted>2018-04-20T15:59:00Z</cp:lastPrinted>
  <dcterms:created xsi:type="dcterms:W3CDTF">2018-12-12T10:53:00Z</dcterms:created>
  <dcterms:modified xsi:type="dcterms:W3CDTF">2018-12-13T16:27:00Z</dcterms:modified>
</cp:coreProperties>
</file>