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33" w:type="dxa"/>
        <w:tblLayout w:type="fixed"/>
        <w:tblCellMar>
          <w:left w:w="0" w:type="dxa"/>
          <w:right w:w="0" w:type="dxa"/>
        </w:tblCellMar>
        <w:tblLook w:val="0000" w:firstRow="0" w:lastRow="0" w:firstColumn="0" w:lastColumn="0" w:noHBand="0" w:noVBand="0"/>
      </w:tblPr>
      <w:tblGrid>
        <w:gridCol w:w="1418"/>
        <w:gridCol w:w="7121"/>
        <w:gridCol w:w="1694"/>
      </w:tblGrid>
      <w:tr w:rsidR="00884D12" w:rsidRPr="007F650B" w:rsidTr="00724CE2">
        <w:trPr>
          <w:cantSplit/>
        </w:trPr>
        <w:tc>
          <w:tcPr>
            <w:tcW w:w="1418" w:type="dxa"/>
            <w:vAlign w:val="center"/>
          </w:tcPr>
          <w:p w:rsidR="00884D12" w:rsidRPr="007F650B" w:rsidRDefault="0055719E" w:rsidP="00C369D5">
            <w:pPr>
              <w:tabs>
                <w:tab w:val="right" w:pos="8732"/>
              </w:tabs>
              <w:spacing w:before="0"/>
              <w:rPr>
                <w:b/>
                <w:bCs/>
                <w:iCs/>
                <w:color w:val="FFFFFF"/>
                <w:sz w:val="30"/>
                <w:szCs w:val="30"/>
                <w:lang w:val="es-ES"/>
              </w:rPr>
            </w:pPr>
            <w:r w:rsidRPr="007F650B">
              <w:rPr>
                <w:noProof/>
                <w:lang w:val="en-GB" w:eastAsia="zh-CN"/>
              </w:rPr>
              <w:drawing>
                <wp:inline distT="0" distB="0" distL="0" distR="0">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7121" w:type="dxa"/>
            <w:vAlign w:val="center"/>
          </w:tcPr>
          <w:p w:rsidR="00884D12" w:rsidRPr="007F650B" w:rsidRDefault="00884D12" w:rsidP="00C369D5">
            <w:pPr>
              <w:spacing w:before="0"/>
              <w:rPr>
                <w:rFonts w:cs="Times New Roman Bold"/>
                <w:b/>
                <w:bCs/>
                <w:smallCaps/>
                <w:sz w:val="26"/>
                <w:szCs w:val="26"/>
                <w:lang w:val="es-ES"/>
              </w:rPr>
            </w:pPr>
            <w:r w:rsidRPr="007F650B">
              <w:rPr>
                <w:rFonts w:cs="Times New Roman Bold"/>
                <w:b/>
                <w:bCs/>
                <w:smallCaps/>
                <w:sz w:val="36"/>
                <w:szCs w:val="36"/>
                <w:lang w:val="es-ES"/>
              </w:rPr>
              <w:t>Unión Internacional de Telecomunicaciones</w:t>
            </w:r>
          </w:p>
          <w:p w:rsidR="00884D12" w:rsidRPr="007F650B" w:rsidRDefault="00884D12" w:rsidP="00C369D5">
            <w:pPr>
              <w:tabs>
                <w:tab w:val="right" w:pos="8732"/>
              </w:tabs>
              <w:spacing w:before="0"/>
              <w:rPr>
                <w:b/>
                <w:bCs/>
                <w:iCs/>
                <w:color w:val="FFFFFF"/>
                <w:sz w:val="30"/>
                <w:szCs w:val="30"/>
                <w:lang w:val="es-ES"/>
              </w:rPr>
            </w:pPr>
            <w:r w:rsidRPr="007F650B">
              <w:rPr>
                <w:rFonts w:cs="Times New Roman Bold"/>
                <w:b/>
                <w:bCs/>
                <w:iCs/>
                <w:smallCaps/>
                <w:sz w:val="28"/>
                <w:szCs w:val="28"/>
                <w:lang w:val="es-ES"/>
              </w:rPr>
              <w:t>Oficina de Normalización de las Telecomunicaciones</w:t>
            </w:r>
          </w:p>
        </w:tc>
        <w:tc>
          <w:tcPr>
            <w:tcW w:w="1694" w:type="dxa"/>
            <w:vAlign w:val="center"/>
          </w:tcPr>
          <w:p w:rsidR="00884D12" w:rsidRPr="007F650B" w:rsidRDefault="00884D12" w:rsidP="00C369D5">
            <w:pPr>
              <w:spacing w:before="0"/>
              <w:jc w:val="right"/>
              <w:rPr>
                <w:color w:val="FFFFFF"/>
                <w:sz w:val="26"/>
                <w:szCs w:val="26"/>
                <w:lang w:val="es-ES"/>
              </w:rPr>
            </w:pPr>
          </w:p>
        </w:tc>
      </w:tr>
    </w:tbl>
    <w:p w:rsidR="00C34772" w:rsidRPr="007F650B" w:rsidRDefault="00C34772" w:rsidP="00C369D5">
      <w:pPr>
        <w:tabs>
          <w:tab w:val="clear" w:pos="794"/>
          <w:tab w:val="clear" w:pos="1191"/>
          <w:tab w:val="clear" w:pos="1588"/>
          <w:tab w:val="clear" w:pos="1985"/>
          <w:tab w:val="left" w:pos="4962"/>
        </w:tabs>
        <w:rPr>
          <w:lang w:val="es-ES"/>
        </w:rPr>
      </w:pPr>
    </w:p>
    <w:p w:rsidR="00C34772" w:rsidRPr="007F650B" w:rsidRDefault="00C34772" w:rsidP="00C369D5">
      <w:pPr>
        <w:spacing w:before="0"/>
        <w:rPr>
          <w:lang w:val="es-ES"/>
        </w:rPr>
      </w:pPr>
    </w:p>
    <w:tbl>
      <w:tblPr>
        <w:tblW w:w="10206" w:type="dxa"/>
        <w:tblInd w:w="8" w:type="dxa"/>
        <w:tblLayout w:type="fixed"/>
        <w:tblCellMar>
          <w:left w:w="0" w:type="dxa"/>
          <w:right w:w="0" w:type="dxa"/>
        </w:tblCellMar>
        <w:tblLook w:val="0000" w:firstRow="0" w:lastRow="0" w:firstColumn="0" w:lastColumn="0" w:noHBand="0" w:noVBand="0"/>
      </w:tblPr>
      <w:tblGrid>
        <w:gridCol w:w="1042"/>
        <w:gridCol w:w="3835"/>
        <w:gridCol w:w="5329"/>
      </w:tblGrid>
      <w:tr w:rsidR="00C34772" w:rsidRPr="007F650B" w:rsidTr="00D12683">
        <w:trPr>
          <w:cantSplit/>
          <w:trHeight w:val="340"/>
        </w:trPr>
        <w:tc>
          <w:tcPr>
            <w:tcW w:w="1042" w:type="dxa"/>
          </w:tcPr>
          <w:p w:rsidR="00C34772" w:rsidRPr="007F650B" w:rsidRDefault="00C34772" w:rsidP="00C369D5">
            <w:pPr>
              <w:tabs>
                <w:tab w:val="left" w:pos="4111"/>
              </w:tabs>
              <w:spacing w:before="10"/>
              <w:ind w:left="57"/>
              <w:rPr>
                <w:sz w:val="22"/>
                <w:lang w:val="es-ES"/>
              </w:rPr>
            </w:pPr>
          </w:p>
        </w:tc>
        <w:tc>
          <w:tcPr>
            <w:tcW w:w="3835" w:type="dxa"/>
          </w:tcPr>
          <w:p w:rsidR="00C34772" w:rsidRPr="007F650B" w:rsidRDefault="00C34772" w:rsidP="00C369D5">
            <w:pPr>
              <w:tabs>
                <w:tab w:val="left" w:pos="4111"/>
              </w:tabs>
              <w:spacing w:before="0"/>
              <w:ind w:left="57"/>
              <w:rPr>
                <w:lang w:val="es-ES"/>
              </w:rPr>
            </w:pPr>
          </w:p>
        </w:tc>
        <w:tc>
          <w:tcPr>
            <w:tcW w:w="5329" w:type="dxa"/>
          </w:tcPr>
          <w:p w:rsidR="00C34772" w:rsidRPr="007F650B" w:rsidRDefault="00A6772B" w:rsidP="00551A64">
            <w:pPr>
              <w:tabs>
                <w:tab w:val="clear" w:pos="794"/>
                <w:tab w:val="clear" w:pos="1191"/>
                <w:tab w:val="clear" w:pos="1588"/>
                <w:tab w:val="clear" w:pos="1985"/>
                <w:tab w:val="left" w:pos="284"/>
              </w:tabs>
              <w:spacing w:before="0"/>
              <w:ind w:left="284" w:hanging="227"/>
              <w:rPr>
                <w:lang w:val="es-ES"/>
              </w:rPr>
            </w:pPr>
            <w:bookmarkStart w:id="0" w:name="Addressee_S"/>
            <w:bookmarkEnd w:id="0"/>
            <w:r w:rsidRPr="007F650B">
              <w:rPr>
                <w:lang w:val="es-ES"/>
              </w:rPr>
              <w:t>Ginebra, 12 de septiembre de 2018</w:t>
            </w:r>
          </w:p>
        </w:tc>
      </w:tr>
      <w:tr w:rsidR="00A6772B" w:rsidRPr="007F650B" w:rsidTr="00D12683">
        <w:trPr>
          <w:cantSplit/>
          <w:trHeight w:val="340"/>
        </w:trPr>
        <w:tc>
          <w:tcPr>
            <w:tcW w:w="1042" w:type="dxa"/>
          </w:tcPr>
          <w:p w:rsidR="00A6772B" w:rsidRPr="007F650B" w:rsidRDefault="00A6772B" w:rsidP="00FA7880">
            <w:pPr>
              <w:tabs>
                <w:tab w:val="left" w:pos="4111"/>
              </w:tabs>
              <w:ind w:left="57"/>
              <w:rPr>
                <w:sz w:val="22"/>
                <w:lang w:val="es-ES"/>
              </w:rPr>
            </w:pPr>
            <w:r w:rsidRPr="007F650B">
              <w:rPr>
                <w:sz w:val="22"/>
                <w:lang w:val="es-ES"/>
              </w:rPr>
              <w:t>Ref.:</w:t>
            </w:r>
          </w:p>
          <w:p w:rsidR="00A6772B" w:rsidRPr="007F650B" w:rsidRDefault="00A6772B" w:rsidP="00A6772B">
            <w:pPr>
              <w:tabs>
                <w:tab w:val="left" w:pos="4111"/>
              </w:tabs>
              <w:spacing w:before="10"/>
              <w:ind w:left="57"/>
              <w:rPr>
                <w:sz w:val="22"/>
                <w:lang w:val="es-ES"/>
              </w:rPr>
            </w:pPr>
          </w:p>
          <w:p w:rsidR="00A6772B" w:rsidRPr="007F650B" w:rsidRDefault="00A6772B" w:rsidP="00A6772B">
            <w:pPr>
              <w:tabs>
                <w:tab w:val="left" w:pos="4111"/>
              </w:tabs>
              <w:spacing w:before="10"/>
              <w:ind w:left="57"/>
              <w:rPr>
                <w:sz w:val="22"/>
                <w:lang w:val="es-ES"/>
              </w:rPr>
            </w:pPr>
          </w:p>
          <w:p w:rsidR="00A6772B" w:rsidRPr="007F650B" w:rsidRDefault="00A6772B" w:rsidP="00A6772B">
            <w:pPr>
              <w:tabs>
                <w:tab w:val="left" w:pos="4111"/>
              </w:tabs>
              <w:spacing w:before="10"/>
              <w:ind w:left="57"/>
              <w:rPr>
                <w:sz w:val="22"/>
                <w:lang w:val="es-ES"/>
              </w:rPr>
            </w:pPr>
            <w:r w:rsidRPr="007F650B">
              <w:rPr>
                <w:sz w:val="22"/>
                <w:lang w:val="es-ES"/>
              </w:rPr>
              <w:t>Tel.:</w:t>
            </w:r>
            <w:r w:rsidRPr="007F650B">
              <w:rPr>
                <w:sz w:val="22"/>
                <w:lang w:val="es-ES"/>
              </w:rPr>
              <w:br/>
              <w:t>Fax:</w:t>
            </w:r>
          </w:p>
        </w:tc>
        <w:tc>
          <w:tcPr>
            <w:tcW w:w="3835" w:type="dxa"/>
          </w:tcPr>
          <w:p w:rsidR="00A6772B" w:rsidRPr="007F650B" w:rsidRDefault="00A6772B" w:rsidP="00FA7880">
            <w:pPr>
              <w:tabs>
                <w:tab w:val="left" w:pos="4111"/>
              </w:tabs>
              <w:ind w:left="57"/>
              <w:rPr>
                <w:b/>
                <w:lang w:val="es-ES"/>
              </w:rPr>
            </w:pPr>
            <w:r w:rsidRPr="007F650B">
              <w:rPr>
                <w:b/>
                <w:lang w:val="es-ES"/>
              </w:rPr>
              <w:t>Circular TSB 112</w:t>
            </w:r>
            <w:r w:rsidRPr="007F650B">
              <w:rPr>
                <w:b/>
                <w:lang w:val="es-ES"/>
              </w:rPr>
              <w:br/>
            </w:r>
            <w:r w:rsidRPr="007F650B">
              <w:rPr>
                <w:lang w:val="es-ES"/>
              </w:rPr>
              <w:t>SG15/HO</w:t>
            </w:r>
          </w:p>
          <w:p w:rsidR="00A6772B" w:rsidRPr="007F650B" w:rsidRDefault="00A6772B" w:rsidP="00A6772B">
            <w:pPr>
              <w:tabs>
                <w:tab w:val="left" w:pos="4111"/>
              </w:tabs>
              <w:spacing w:before="0"/>
              <w:ind w:left="57"/>
              <w:rPr>
                <w:lang w:val="es-ES"/>
              </w:rPr>
            </w:pPr>
          </w:p>
          <w:p w:rsidR="00A6772B" w:rsidRPr="00A6772B" w:rsidRDefault="00A6772B" w:rsidP="00A6772B">
            <w:pPr>
              <w:tabs>
                <w:tab w:val="left" w:pos="4111"/>
              </w:tabs>
              <w:spacing w:before="0"/>
              <w:ind w:left="57"/>
              <w:rPr>
                <w:bCs/>
                <w:lang w:val="es-ES"/>
              </w:rPr>
            </w:pPr>
            <w:r w:rsidRPr="007F650B">
              <w:rPr>
                <w:lang w:val="es-ES"/>
              </w:rPr>
              <w:t>+41 22 730 6356</w:t>
            </w:r>
            <w:r w:rsidRPr="007F650B">
              <w:rPr>
                <w:lang w:val="es-ES"/>
              </w:rPr>
              <w:br/>
              <w:t>+41 22 730 5853</w:t>
            </w:r>
          </w:p>
        </w:tc>
        <w:tc>
          <w:tcPr>
            <w:tcW w:w="5329" w:type="dxa"/>
          </w:tcPr>
          <w:p w:rsidR="00A6772B" w:rsidRPr="007F650B" w:rsidRDefault="00A6772B" w:rsidP="00FA7880">
            <w:pPr>
              <w:tabs>
                <w:tab w:val="clear" w:pos="794"/>
                <w:tab w:val="clear" w:pos="1191"/>
                <w:tab w:val="clear" w:pos="1588"/>
                <w:tab w:val="clear" w:pos="1985"/>
                <w:tab w:val="left" w:pos="284"/>
              </w:tabs>
              <w:ind w:left="284" w:hanging="227"/>
              <w:rPr>
                <w:lang w:val="es-ES"/>
              </w:rPr>
            </w:pPr>
            <w:r w:rsidRPr="007F650B">
              <w:rPr>
                <w:lang w:val="es-ES"/>
              </w:rPr>
              <w:t>-</w:t>
            </w:r>
            <w:r w:rsidRPr="007F650B">
              <w:rPr>
                <w:lang w:val="es-ES"/>
              </w:rPr>
              <w:tab/>
              <w:t>A las Administraciones de los Estados Miembros</w:t>
            </w:r>
            <w:r>
              <w:rPr>
                <w:lang w:val="es-ES"/>
              </w:rPr>
              <w:br/>
            </w:r>
            <w:r w:rsidRPr="007F650B">
              <w:rPr>
                <w:lang w:val="es-ES"/>
              </w:rPr>
              <w:t>de la Unión</w:t>
            </w:r>
          </w:p>
        </w:tc>
      </w:tr>
      <w:tr w:rsidR="00C34772" w:rsidRPr="007F650B" w:rsidTr="00D12683">
        <w:trPr>
          <w:cantSplit/>
        </w:trPr>
        <w:tc>
          <w:tcPr>
            <w:tcW w:w="1042" w:type="dxa"/>
          </w:tcPr>
          <w:p w:rsidR="00C34772" w:rsidRPr="007F650B" w:rsidRDefault="00C34772" w:rsidP="00FA7880">
            <w:pPr>
              <w:tabs>
                <w:tab w:val="left" w:pos="4111"/>
              </w:tabs>
              <w:ind w:left="57"/>
              <w:rPr>
                <w:sz w:val="22"/>
                <w:lang w:val="es-ES"/>
              </w:rPr>
            </w:pPr>
            <w:r w:rsidRPr="007F650B">
              <w:rPr>
                <w:sz w:val="22"/>
                <w:lang w:val="es-ES"/>
              </w:rPr>
              <w:t>Correo-e:</w:t>
            </w:r>
          </w:p>
        </w:tc>
        <w:tc>
          <w:tcPr>
            <w:tcW w:w="3835" w:type="dxa"/>
          </w:tcPr>
          <w:p w:rsidR="00C34772" w:rsidRPr="007F650B" w:rsidRDefault="00517395" w:rsidP="00FA7880">
            <w:pPr>
              <w:tabs>
                <w:tab w:val="left" w:pos="4111"/>
              </w:tabs>
              <w:ind w:left="57"/>
              <w:rPr>
                <w:lang w:val="es-ES"/>
              </w:rPr>
            </w:pPr>
            <w:hyperlink r:id="rId9" w:history="1">
              <w:r w:rsidR="009975CD" w:rsidRPr="007F650B">
                <w:rPr>
                  <w:rStyle w:val="Hyperlink"/>
                  <w:lang w:val="es-ES"/>
                </w:rPr>
                <w:t>tsbsg15@itu.int</w:t>
              </w:r>
            </w:hyperlink>
          </w:p>
        </w:tc>
        <w:tc>
          <w:tcPr>
            <w:tcW w:w="5329" w:type="dxa"/>
          </w:tcPr>
          <w:p w:rsidR="00C34772" w:rsidRPr="007F650B" w:rsidRDefault="00C34772" w:rsidP="00FA7880">
            <w:pPr>
              <w:tabs>
                <w:tab w:val="left" w:pos="4111"/>
              </w:tabs>
              <w:rPr>
                <w:lang w:val="es-ES"/>
              </w:rPr>
            </w:pPr>
            <w:r w:rsidRPr="007F650B">
              <w:rPr>
                <w:b/>
                <w:lang w:val="es-ES"/>
              </w:rPr>
              <w:t>Copia</w:t>
            </w:r>
            <w:r w:rsidRPr="007F650B">
              <w:rPr>
                <w:lang w:val="es-ES"/>
              </w:rPr>
              <w:t>:</w:t>
            </w:r>
          </w:p>
          <w:p w:rsidR="00C34772" w:rsidRPr="007F650B" w:rsidRDefault="00C34772" w:rsidP="00D12683">
            <w:pPr>
              <w:tabs>
                <w:tab w:val="clear" w:pos="794"/>
                <w:tab w:val="left" w:pos="226"/>
                <w:tab w:val="left" w:pos="4111"/>
              </w:tabs>
              <w:spacing w:before="0"/>
              <w:rPr>
                <w:lang w:val="es-ES"/>
              </w:rPr>
            </w:pPr>
            <w:r w:rsidRPr="007F650B">
              <w:rPr>
                <w:lang w:val="es-ES"/>
              </w:rPr>
              <w:t>-</w:t>
            </w:r>
            <w:r w:rsidRPr="007F650B">
              <w:rPr>
                <w:lang w:val="es-ES"/>
              </w:rPr>
              <w:tab/>
              <w:t>A los Miembros de Sector</w:t>
            </w:r>
            <w:r w:rsidR="00D12683">
              <w:rPr>
                <w:lang w:val="es-ES"/>
              </w:rPr>
              <w:t xml:space="preserve"> del</w:t>
            </w:r>
            <w:r w:rsidRPr="007F650B">
              <w:rPr>
                <w:lang w:val="es-ES"/>
              </w:rPr>
              <w:t xml:space="preserve"> UIT</w:t>
            </w:r>
            <w:r w:rsidRPr="007F650B">
              <w:rPr>
                <w:lang w:val="es-ES"/>
              </w:rPr>
              <w:noBreakHyphen/>
              <w:t>T;</w:t>
            </w:r>
          </w:p>
          <w:p w:rsidR="00C34772" w:rsidRPr="007F650B" w:rsidRDefault="00C34772" w:rsidP="00C369D5">
            <w:pPr>
              <w:tabs>
                <w:tab w:val="clear" w:pos="794"/>
                <w:tab w:val="left" w:pos="226"/>
                <w:tab w:val="left" w:pos="4111"/>
              </w:tabs>
              <w:spacing w:before="0"/>
              <w:rPr>
                <w:lang w:val="es-ES"/>
              </w:rPr>
            </w:pPr>
            <w:r w:rsidRPr="007F650B">
              <w:rPr>
                <w:lang w:val="es-ES"/>
              </w:rPr>
              <w:t>-</w:t>
            </w:r>
            <w:r w:rsidRPr="007F650B">
              <w:rPr>
                <w:lang w:val="es-ES"/>
              </w:rPr>
              <w:tab/>
              <w:t>A los Asociados del UIT</w:t>
            </w:r>
            <w:r w:rsidRPr="007F650B">
              <w:rPr>
                <w:lang w:val="es-ES"/>
              </w:rPr>
              <w:noBreakHyphen/>
              <w:t>T;</w:t>
            </w:r>
          </w:p>
          <w:p w:rsidR="00C34772" w:rsidRPr="007F650B" w:rsidRDefault="00C34772" w:rsidP="00C369D5">
            <w:pPr>
              <w:tabs>
                <w:tab w:val="clear" w:pos="794"/>
                <w:tab w:val="left" w:pos="226"/>
                <w:tab w:val="left" w:pos="4111"/>
              </w:tabs>
              <w:spacing w:before="0"/>
              <w:rPr>
                <w:lang w:val="es-ES"/>
              </w:rPr>
            </w:pPr>
            <w:r w:rsidRPr="007F650B">
              <w:rPr>
                <w:lang w:val="es-ES"/>
              </w:rPr>
              <w:t>-</w:t>
            </w:r>
            <w:r w:rsidRPr="007F650B">
              <w:rPr>
                <w:lang w:val="es-ES"/>
              </w:rPr>
              <w:tab/>
              <w:t>A las Instituciones Académicas del UIT-T;</w:t>
            </w:r>
          </w:p>
          <w:p w:rsidR="00C34772" w:rsidRPr="007F650B" w:rsidRDefault="00C34772" w:rsidP="00551A64">
            <w:pPr>
              <w:tabs>
                <w:tab w:val="left" w:pos="226"/>
                <w:tab w:val="left" w:pos="4111"/>
              </w:tabs>
              <w:spacing w:before="0"/>
              <w:ind w:left="226" w:hanging="226"/>
              <w:rPr>
                <w:lang w:val="es-ES"/>
              </w:rPr>
            </w:pPr>
            <w:r w:rsidRPr="007F650B">
              <w:rPr>
                <w:lang w:val="es-ES"/>
              </w:rPr>
              <w:t>-</w:t>
            </w:r>
            <w:r w:rsidRPr="007F650B">
              <w:rPr>
                <w:lang w:val="es-ES"/>
              </w:rPr>
              <w:tab/>
              <w:t>Al Presidente y a los Vicepresidentes de la</w:t>
            </w:r>
            <w:r w:rsidR="00551A64">
              <w:rPr>
                <w:lang w:val="es-ES"/>
              </w:rPr>
              <w:br/>
            </w:r>
            <w:r w:rsidRPr="007F650B">
              <w:rPr>
                <w:lang w:val="es-ES"/>
              </w:rPr>
              <w:t xml:space="preserve">Comisión de Estudio </w:t>
            </w:r>
            <w:r w:rsidR="00C369D5" w:rsidRPr="007F650B">
              <w:rPr>
                <w:lang w:val="es-ES"/>
              </w:rPr>
              <w:t>15</w:t>
            </w:r>
            <w:r w:rsidRPr="007F650B">
              <w:rPr>
                <w:lang w:val="es-ES"/>
              </w:rPr>
              <w:t>;</w:t>
            </w:r>
          </w:p>
          <w:p w:rsidR="00C34772" w:rsidRPr="007F650B" w:rsidRDefault="00C34772" w:rsidP="00551A64">
            <w:pPr>
              <w:tabs>
                <w:tab w:val="clear" w:pos="794"/>
                <w:tab w:val="clear" w:pos="1191"/>
                <w:tab w:val="clear" w:pos="1588"/>
                <w:tab w:val="clear" w:pos="1985"/>
                <w:tab w:val="left" w:pos="226"/>
                <w:tab w:val="left" w:pos="510"/>
              </w:tabs>
              <w:spacing w:before="0"/>
              <w:ind w:left="226" w:hanging="169"/>
              <w:rPr>
                <w:lang w:val="es-ES"/>
              </w:rPr>
            </w:pPr>
            <w:r w:rsidRPr="007F650B">
              <w:rPr>
                <w:lang w:val="es-ES"/>
              </w:rPr>
              <w:t>-</w:t>
            </w:r>
            <w:r w:rsidRPr="007F650B">
              <w:rPr>
                <w:lang w:val="es-ES"/>
              </w:rPr>
              <w:tab/>
              <w:t>Al Director de la Oficina de Desarrollo de</w:t>
            </w:r>
            <w:r w:rsidR="00551A64">
              <w:rPr>
                <w:lang w:val="es-ES"/>
              </w:rPr>
              <w:br/>
            </w:r>
            <w:r w:rsidRPr="007F650B">
              <w:rPr>
                <w:lang w:val="es-ES"/>
              </w:rPr>
              <w:t>las Telecomunicaciones;</w:t>
            </w:r>
          </w:p>
          <w:p w:rsidR="00C34772" w:rsidRPr="007F650B" w:rsidRDefault="00C34772" w:rsidP="00C369D5">
            <w:pPr>
              <w:tabs>
                <w:tab w:val="clear" w:pos="794"/>
                <w:tab w:val="clear" w:pos="1191"/>
                <w:tab w:val="clear" w:pos="1588"/>
                <w:tab w:val="clear" w:pos="1985"/>
                <w:tab w:val="left" w:pos="226"/>
                <w:tab w:val="left" w:pos="510"/>
              </w:tabs>
              <w:spacing w:before="0"/>
              <w:ind w:left="226" w:hanging="169"/>
              <w:rPr>
                <w:lang w:val="es-ES"/>
              </w:rPr>
            </w:pPr>
            <w:r w:rsidRPr="007F650B">
              <w:rPr>
                <w:lang w:val="es-ES"/>
              </w:rPr>
              <w:t>-</w:t>
            </w:r>
            <w:r w:rsidRPr="007F650B">
              <w:rPr>
                <w:lang w:val="es-ES"/>
              </w:rPr>
              <w:tab/>
              <w:t>Al Director de la Oficina de Radiocomunicaciones</w:t>
            </w:r>
          </w:p>
        </w:tc>
      </w:tr>
      <w:tr w:rsidR="00D128DA" w:rsidRPr="00D128DA" w:rsidTr="00D12683">
        <w:trPr>
          <w:cantSplit/>
        </w:trPr>
        <w:tc>
          <w:tcPr>
            <w:tcW w:w="1042" w:type="dxa"/>
          </w:tcPr>
          <w:p w:rsidR="00D128DA" w:rsidRPr="00D128DA" w:rsidRDefault="00D128DA" w:rsidP="00BE6805">
            <w:pPr>
              <w:tabs>
                <w:tab w:val="left" w:pos="4111"/>
              </w:tabs>
              <w:spacing w:before="480"/>
              <w:ind w:left="57"/>
              <w:rPr>
                <w:b/>
                <w:bCs/>
                <w:sz w:val="22"/>
                <w:lang w:val="es-ES"/>
              </w:rPr>
            </w:pPr>
            <w:r w:rsidRPr="00D128DA">
              <w:rPr>
                <w:b/>
                <w:bCs/>
                <w:sz w:val="22"/>
                <w:lang w:val="es-ES"/>
              </w:rPr>
              <w:t>Asunto:</w:t>
            </w:r>
          </w:p>
        </w:tc>
        <w:tc>
          <w:tcPr>
            <w:tcW w:w="9164" w:type="dxa"/>
            <w:gridSpan w:val="2"/>
          </w:tcPr>
          <w:p w:rsidR="00D128DA" w:rsidRPr="00D128DA" w:rsidRDefault="00D128DA" w:rsidP="00BE6805">
            <w:pPr>
              <w:tabs>
                <w:tab w:val="left" w:pos="4111"/>
              </w:tabs>
              <w:spacing w:before="480"/>
              <w:rPr>
                <w:b/>
                <w:bCs/>
                <w:lang w:val="es-ES"/>
              </w:rPr>
            </w:pPr>
            <w:r w:rsidRPr="00D128DA">
              <w:rPr>
                <w:b/>
                <w:bCs/>
                <w:lang w:val="es-ES"/>
              </w:rPr>
              <w:t>Fusión de las Cuestiones C18/15 y C19/15 en la C18/15, y la C3/15</w:t>
            </w:r>
            <w:r w:rsidR="009B5906">
              <w:rPr>
                <w:b/>
                <w:bCs/>
                <w:lang w:val="es-ES"/>
              </w:rPr>
              <w:t xml:space="preserve"> </w:t>
            </w:r>
            <w:r w:rsidRPr="00D128DA">
              <w:rPr>
                <w:b/>
                <w:bCs/>
                <w:lang w:val="es-ES"/>
              </w:rPr>
              <w:t>y C12/15 en la C12/15</w:t>
            </w:r>
          </w:p>
        </w:tc>
      </w:tr>
    </w:tbl>
    <w:p w:rsidR="00C34772" w:rsidRPr="007F650B" w:rsidRDefault="00C34772" w:rsidP="00C369D5">
      <w:pPr>
        <w:rPr>
          <w:lang w:val="es-ES"/>
        </w:rPr>
      </w:pPr>
      <w:bookmarkStart w:id="1" w:name="StartTyping_S"/>
      <w:bookmarkStart w:id="2" w:name="suitetext"/>
      <w:bookmarkStart w:id="3" w:name="text"/>
      <w:bookmarkEnd w:id="1"/>
      <w:bookmarkEnd w:id="2"/>
      <w:bookmarkEnd w:id="3"/>
    </w:p>
    <w:p w:rsidR="00BE6805" w:rsidRDefault="00C34772" w:rsidP="00BE6805">
      <w:pPr>
        <w:rPr>
          <w:lang w:val="es-ES"/>
        </w:rPr>
      </w:pPr>
      <w:r w:rsidRPr="007F650B">
        <w:rPr>
          <w:lang w:val="es-ES"/>
        </w:rPr>
        <w:t>Muy Señora mía/Muy Señor mío</w:t>
      </w:r>
      <w:r w:rsidR="00BE6805">
        <w:rPr>
          <w:lang w:val="es-ES"/>
        </w:rPr>
        <w:t>,</w:t>
      </w:r>
    </w:p>
    <w:p w:rsidR="00C34772" w:rsidRPr="007F650B" w:rsidRDefault="00C34772" w:rsidP="00BE6805">
      <w:pPr>
        <w:rPr>
          <w:lang w:val="es-ES"/>
        </w:rPr>
      </w:pPr>
      <w:r w:rsidRPr="007F650B">
        <w:rPr>
          <w:bCs/>
          <w:lang w:val="es-ES"/>
        </w:rPr>
        <w:t>1</w:t>
      </w:r>
      <w:r w:rsidRPr="007F650B">
        <w:rPr>
          <w:lang w:val="es-ES"/>
        </w:rPr>
        <w:tab/>
        <w:t xml:space="preserve">A petición del Presidente de la Comisión de Estudio </w:t>
      </w:r>
      <w:r w:rsidR="00C8533C" w:rsidRPr="007F650B">
        <w:rPr>
          <w:lang w:val="es-ES"/>
        </w:rPr>
        <w:t>15</w:t>
      </w:r>
      <w:r w:rsidRPr="007F650B">
        <w:rPr>
          <w:lang w:val="es-ES"/>
        </w:rPr>
        <w:t xml:space="preserve"> </w:t>
      </w:r>
      <w:r w:rsidR="00C8533C" w:rsidRPr="000608B0">
        <w:rPr>
          <w:rFonts w:cs="Segoe UI"/>
          <w:lang w:val="es-ES"/>
        </w:rPr>
        <w:t>"</w:t>
      </w:r>
      <w:r w:rsidR="006000C8" w:rsidRPr="007F650B">
        <w:rPr>
          <w:rFonts w:cs="Segoe UI"/>
          <w:i/>
          <w:iCs/>
          <w:lang w:val="es-ES"/>
        </w:rPr>
        <w:t>Redes, tecnologías e infraestructuras de las redes de transporte, de acceso y domésticas</w:t>
      </w:r>
      <w:r w:rsidR="00C8533C" w:rsidRPr="000608B0">
        <w:rPr>
          <w:rFonts w:cs="Segoe UI"/>
          <w:lang w:val="es-ES"/>
        </w:rPr>
        <w:t>"</w:t>
      </w:r>
      <w:r w:rsidR="00C8533C" w:rsidRPr="007F650B">
        <w:rPr>
          <w:rFonts w:cs="Segoe UI"/>
          <w:i/>
          <w:iCs/>
          <w:lang w:val="es-ES"/>
        </w:rPr>
        <w:t>,</w:t>
      </w:r>
      <w:r w:rsidR="00C8533C" w:rsidRPr="007F650B">
        <w:rPr>
          <w:lang w:val="es-ES"/>
        </w:rPr>
        <w:t xml:space="preserve"> </w:t>
      </w:r>
      <w:r w:rsidR="006000C8" w:rsidRPr="007F650B">
        <w:rPr>
          <w:lang w:val="es-ES"/>
        </w:rPr>
        <w:t xml:space="preserve">tengo el honor de informarle </w:t>
      </w:r>
      <w:r w:rsidR="00C369D5" w:rsidRPr="007F650B">
        <w:rPr>
          <w:lang w:val="es-ES"/>
        </w:rPr>
        <w:t xml:space="preserve">de </w:t>
      </w:r>
      <w:r w:rsidR="006000C8" w:rsidRPr="007F650B">
        <w:rPr>
          <w:lang w:val="es-ES"/>
        </w:rPr>
        <w:t>que, de conformidad con las disposiciones de la Resolución 1, Sección 7, § 7.2.2, de la AMNT (</w:t>
      </w:r>
      <w:proofErr w:type="spellStart"/>
      <w:r w:rsidR="00C369D5" w:rsidRPr="007F650B">
        <w:rPr>
          <w:lang w:val="es-ES"/>
        </w:rPr>
        <w:t>Hammamet</w:t>
      </w:r>
      <w:proofErr w:type="spellEnd"/>
      <w:r w:rsidR="006000C8" w:rsidRPr="007F650B">
        <w:rPr>
          <w:lang w:val="es-ES"/>
        </w:rPr>
        <w:t>, 20</w:t>
      </w:r>
      <w:r w:rsidR="00C369D5" w:rsidRPr="007F650B">
        <w:rPr>
          <w:lang w:val="es-ES"/>
        </w:rPr>
        <w:t>16</w:t>
      </w:r>
      <w:r w:rsidR="006000C8" w:rsidRPr="007F650B">
        <w:rPr>
          <w:lang w:val="es-ES"/>
        </w:rPr>
        <w:t xml:space="preserve">) </w:t>
      </w:r>
      <w:r w:rsidR="00501BD6" w:rsidRPr="007F650B">
        <w:rPr>
          <w:lang w:val="es-ES"/>
        </w:rPr>
        <w:t xml:space="preserve">y </w:t>
      </w:r>
      <w:r w:rsidR="006000C8" w:rsidRPr="007F650B">
        <w:rPr>
          <w:lang w:val="es-ES"/>
        </w:rPr>
        <w:t xml:space="preserve">por consenso </w:t>
      </w:r>
      <w:r w:rsidR="00501BD6" w:rsidRPr="007F650B">
        <w:rPr>
          <w:lang w:val="es-ES"/>
        </w:rPr>
        <w:t>entre los presentes:</w:t>
      </w:r>
    </w:p>
    <w:p w:rsidR="00C8533C" w:rsidRPr="007F650B" w:rsidRDefault="00C8533C" w:rsidP="000608B0">
      <w:pPr>
        <w:ind w:left="812" w:hanging="812"/>
        <w:rPr>
          <w:bCs/>
          <w:lang w:val="es-ES"/>
        </w:rPr>
      </w:pPr>
      <w:bookmarkStart w:id="4" w:name="lt_pId050"/>
      <w:r w:rsidRPr="007F650B">
        <w:rPr>
          <w:lang w:val="es-ES"/>
        </w:rPr>
        <w:t>a</w:t>
      </w:r>
      <w:bookmarkEnd w:id="4"/>
      <w:r w:rsidR="000608B0">
        <w:rPr>
          <w:lang w:val="es-ES"/>
        </w:rPr>
        <w:t>)</w:t>
      </w:r>
      <w:r w:rsidRPr="007F650B">
        <w:rPr>
          <w:lang w:val="es-ES"/>
        </w:rPr>
        <w:tab/>
      </w:r>
      <w:bookmarkStart w:id="5" w:name="lt_pId051"/>
      <w:r w:rsidR="00501BD6" w:rsidRPr="007F650B">
        <w:rPr>
          <w:lang w:val="es-ES"/>
        </w:rPr>
        <w:t>Esta Comisión de Estudio</w:t>
      </w:r>
      <w:r w:rsidRPr="007F650B">
        <w:rPr>
          <w:lang w:val="es-ES"/>
        </w:rPr>
        <w:t xml:space="preserve">, </w:t>
      </w:r>
      <w:r w:rsidR="00501BD6" w:rsidRPr="007F650B">
        <w:rPr>
          <w:lang w:val="es-ES"/>
        </w:rPr>
        <w:t xml:space="preserve">en </w:t>
      </w:r>
      <w:r w:rsidR="009D7C8A">
        <w:rPr>
          <w:lang w:val="es-ES"/>
        </w:rPr>
        <w:t>la</w:t>
      </w:r>
      <w:r w:rsidR="00501BD6" w:rsidRPr="007F650B">
        <w:rPr>
          <w:lang w:val="es-ES"/>
        </w:rPr>
        <w:t xml:space="preserve"> reunión </w:t>
      </w:r>
      <w:r w:rsidR="009D7C8A">
        <w:rPr>
          <w:lang w:val="es-ES"/>
        </w:rPr>
        <w:t xml:space="preserve">celebrada </w:t>
      </w:r>
      <w:r w:rsidR="00501BD6" w:rsidRPr="007F650B">
        <w:rPr>
          <w:lang w:val="es-ES"/>
        </w:rPr>
        <w:t xml:space="preserve">en Ginebra del </w:t>
      </w:r>
      <w:r w:rsidRPr="007F650B">
        <w:rPr>
          <w:lang w:val="es-ES"/>
        </w:rPr>
        <w:t xml:space="preserve">19 </w:t>
      </w:r>
      <w:r w:rsidR="00501BD6" w:rsidRPr="007F650B">
        <w:rPr>
          <w:lang w:val="es-ES"/>
        </w:rPr>
        <w:t>al</w:t>
      </w:r>
      <w:r w:rsidRPr="007F650B">
        <w:rPr>
          <w:lang w:val="es-ES"/>
        </w:rPr>
        <w:t xml:space="preserve"> 30 </w:t>
      </w:r>
      <w:r w:rsidR="00501BD6" w:rsidRPr="007F650B">
        <w:rPr>
          <w:lang w:val="es-ES"/>
        </w:rPr>
        <w:t>de junio de</w:t>
      </w:r>
      <w:r w:rsidR="000608B0">
        <w:rPr>
          <w:lang w:val="es-ES"/>
        </w:rPr>
        <w:t> </w:t>
      </w:r>
      <w:r w:rsidRPr="007F650B">
        <w:rPr>
          <w:lang w:val="es-ES"/>
        </w:rPr>
        <w:t xml:space="preserve">2017, </w:t>
      </w:r>
      <w:bookmarkEnd w:id="5"/>
      <w:r w:rsidR="00C369D5" w:rsidRPr="007F650B">
        <w:rPr>
          <w:lang w:val="es-ES"/>
        </w:rPr>
        <w:t>acord</w:t>
      </w:r>
      <w:r w:rsidR="00501BD6" w:rsidRPr="007F650B">
        <w:rPr>
          <w:lang w:val="es-ES"/>
        </w:rPr>
        <w:t>ó</w:t>
      </w:r>
      <w:r w:rsidR="00C369D5" w:rsidRPr="007F650B">
        <w:rPr>
          <w:lang w:val="es-ES"/>
        </w:rPr>
        <w:t xml:space="preserve"> </w:t>
      </w:r>
      <w:r w:rsidR="00950B93" w:rsidRPr="007F650B">
        <w:rPr>
          <w:lang w:val="es-ES"/>
        </w:rPr>
        <w:t>la fusión de la Cuestión 18/15 "</w:t>
      </w:r>
      <w:r w:rsidR="00950B93" w:rsidRPr="009D7C8A">
        <w:rPr>
          <w:i/>
          <w:iCs/>
          <w:lang w:val="es-ES"/>
        </w:rPr>
        <w:t>Redes de banda ancha en los locales del cliente</w:t>
      </w:r>
      <w:r w:rsidR="00950B93" w:rsidRPr="007F650B">
        <w:rPr>
          <w:lang w:val="es-ES"/>
        </w:rPr>
        <w:t>" y la Cuestión 19/15 "</w:t>
      </w:r>
      <w:r w:rsidR="00950B93" w:rsidRPr="009D7C8A">
        <w:rPr>
          <w:i/>
          <w:iCs/>
          <w:lang w:val="es-ES"/>
        </w:rPr>
        <w:t>Requisitos de las capacidades de servicio avanzadas por redes domésticas por cable de banda ancha</w:t>
      </w:r>
      <w:r w:rsidR="00950B93" w:rsidRPr="007F650B">
        <w:rPr>
          <w:lang w:val="es-ES"/>
        </w:rPr>
        <w:t xml:space="preserve">" </w:t>
      </w:r>
      <w:r w:rsidR="00501BD6" w:rsidRPr="007F650B">
        <w:rPr>
          <w:lang w:val="es-ES"/>
        </w:rPr>
        <w:t>en la Cuestión</w:t>
      </w:r>
      <w:r w:rsidR="00950B93" w:rsidRPr="007F650B">
        <w:rPr>
          <w:lang w:val="es-ES"/>
        </w:rPr>
        <w:t xml:space="preserve"> 18/15</w:t>
      </w:r>
      <w:r w:rsidR="000608B0">
        <w:rPr>
          <w:lang w:val="es-ES"/>
        </w:rPr>
        <w:t>.</w:t>
      </w:r>
    </w:p>
    <w:p w:rsidR="00950B93" w:rsidRPr="007F650B" w:rsidRDefault="00C8533C" w:rsidP="000608B0">
      <w:pPr>
        <w:ind w:left="812" w:hanging="812"/>
        <w:rPr>
          <w:lang w:val="es-ES"/>
        </w:rPr>
      </w:pPr>
      <w:bookmarkStart w:id="6" w:name="lt_pId052"/>
      <w:r w:rsidRPr="007F650B">
        <w:rPr>
          <w:bCs/>
          <w:lang w:val="es-ES"/>
        </w:rPr>
        <w:t>b</w:t>
      </w:r>
      <w:bookmarkEnd w:id="6"/>
      <w:r w:rsidR="000608B0">
        <w:rPr>
          <w:bCs/>
          <w:lang w:val="es-ES"/>
        </w:rPr>
        <w:t>)</w:t>
      </w:r>
      <w:r w:rsidRPr="007F650B">
        <w:rPr>
          <w:bCs/>
          <w:lang w:val="es-ES"/>
        </w:rPr>
        <w:tab/>
      </w:r>
      <w:bookmarkStart w:id="7" w:name="lt_pId053"/>
      <w:r w:rsidR="00501BD6" w:rsidRPr="007F650B">
        <w:rPr>
          <w:bCs/>
          <w:lang w:val="es-ES"/>
        </w:rPr>
        <w:t xml:space="preserve">Esta </w:t>
      </w:r>
      <w:r w:rsidR="00501BD6" w:rsidRPr="000608B0">
        <w:rPr>
          <w:lang w:val="es-ES"/>
        </w:rPr>
        <w:t>Comisión</w:t>
      </w:r>
      <w:r w:rsidR="00501BD6" w:rsidRPr="007F650B">
        <w:rPr>
          <w:bCs/>
          <w:lang w:val="es-ES"/>
        </w:rPr>
        <w:t xml:space="preserve"> de Estudio, en </w:t>
      </w:r>
      <w:r w:rsidR="009D7C8A">
        <w:rPr>
          <w:bCs/>
          <w:lang w:val="es-ES"/>
        </w:rPr>
        <w:t>la</w:t>
      </w:r>
      <w:r w:rsidR="00501BD6" w:rsidRPr="007F650B">
        <w:rPr>
          <w:bCs/>
          <w:lang w:val="es-ES"/>
        </w:rPr>
        <w:t xml:space="preserve"> reunión </w:t>
      </w:r>
      <w:r w:rsidR="009D7C8A">
        <w:rPr>
          <w:bCs/>
          <w:lang w:val="es-ES"/>
        </w:rPr>
        <w:t xml:space="preserve">celebrada </w:t>
      </w:r>
      <w:r w:rsidR="00501BD6" w:rsidRPr="007F650B">
        <w:rPr>
          <w:bCs/>
          <w:lang w:val="es-ES"/>
        </w:rPr>
        <w:t>en Ginebra del 29 de enero al 9 de febrero de 2018, acord</w:t>
      </w:r>
      <w:r w:rsidR="00950B93" w:rsidRPr="007F650B">
        <w:rPr>
          <w:bCs/>
          <w:lang w:val="es-ES"/>
        </w:rPr>
        <w:t>ó la fusión de la</w:t>
      </w:r>
      <w:r w:rsidR="00501BD6" w:rsidRPr="007F650B">
        <w:rPr>
          <w:bCs/>
          <w:lang w:val="es-ES"/>
        </w:rPr>
        <w:t>s</w:t>
      </w:r>
      <w:r w:rsidR="00950B93" w:rsidRPr="007F650B">
        <w:rPr>
          <w:bCs/>
          <w:lang w:val="es-ES"/>
        </w:rPr>
        <w:t xml:space="preserve"> </w:t>
      </w:r>
      <w:r w:rsidR="00501BD6" w:rsidRPr="007F650B">
        <w:rPr>
          <w:bCs/>
          <w:lang w:val="es-ES"/>
        </w:rPr>
        <w:t xml:space="preserve">Cuestiones </w:t>
      </w:r>
      <w:r w:rsidR="00950B93" w:rsidRPr="007F650B">
        <w:rPr>
          <w:bCs/>
          <w:lang w:val="es-ES"/>
        </w:rPr>
        <w:t>3/15 "</w:t>
      </w:r>
      <w:r w:rsidR="00950B93" w:rsidRPr="009D7C8A">
        <w:rPr>
          <w:bCs/>
          <w:i/>
          <w:iCs/>
          <w:lang w:val="es-ES"/>
        </w:rPr>
        <w:t>Coordinación de las normas sobre redes de transporte por fibra óptica</w:t>
      </w:r>
      <w:r w:rsidR="00950B93" w:rsidRPr="007F650B">
        <w:rPr>
          <w:bCs/>
          <w:lang w:val="es-ES"/>
        </w:rPr>
        <w:t xml:space="preserve">" </w:t>
      </w:r>
      <w:r w:rsidR="00501BD6" w:rsidRPr="007F650B">
        <w:rPr>
          <w:bCs/>
          <w:lang w:val="es-ES"/>
        </w:rPr>
        <w:t xml:space="preserve">y </w:t>
      </w:r>
      <w:r w:rsidR="00950B93" w:rsidRPr="007F650B">
        <w:rPr>
          <w:bCs/>
          <w:lang w:val="es-ES"/>
        </w:rPr>
        <w:t>la Cuestión 12/15 "</w:t>
      </w:r>
      <w:r w:rsidR="00950B93" w:rsidRPr="009D7C8A">
        <w:rPr>
          <w:bCs/>
          <w:i/>
          <w:iCs/>
          <w:lang w:val="es-ES"/>
        </w:rPr>
        <w:t>Arquitecturas de red de transporte</w:t>
      </w:r>
      <w:r w:rsidRPr="000608B0">
        <w:rPr>
          <w:bCs/>
          <w:i/>
          <w:iCs/>
          <w:lang w:val="es-ES"/>
        </w:rPr>
        <w:t>”</w:t>
      </w:r>
      <w:r w:rsidRPr="007F650B">
        <w:rPr>
          <w:bCs/>
          <w:lang w:val="es-ES"/>
        </w:rPr>
        <w:t xml:space="preserve"> </w:t>
      </w:r>
      <w:r w:rsidR="00501BD6" w:rsidRPr="007F650B">
        <w:rPr>
          <w:bCs/>
          <w:lang w:val="es-ES"/>
        </w:rPr>
        <w:t xml:space="preserve">en la Cuestión </w:t>
      </w:r>
      <w:r w:rsidRPr="007F650B">
        <w:rPr>
          <w:bCs/>
          <w:lang w:val="es-ES"/>
        </w:rPr>
        <w:t>12/15.</w:t>
      </w:r>
      <w:bookmarkEnd w:id="7"/>
    </w:p>
    <w:p w:rsidR="00C8533C" w:rsidRPr="007F650B" w:rsidRDefault="00C8533C" w:rsidP="009D7C8A">
      <w:pPr>
        <w:rPr>
          <w:lang w:val="es-ES"/>
        </w:rPr>
      </w:pPr>
      <w:r w:rsidRPr="007F650B">
        <w:rPr>
          <w:lang w:val="es-ES"/>
        </w:rPr>
        <w:t>2</w:t>
      </w:r>
      <w:r w:rsidRPr="007F650B">
        <w:rPr>
          <w:lang w:val="es-ES"/>
        </w:rPr>
        <w:tab/>
      </w:r>
      <w:r w:rsidR="00501BD6" w:rsidRPr="007F650B">
        <w:rPr>
          <w:lang w:val="es-ES"/>
        </w:rPr>
        <w:t>El GANT, e</w:t>
      </w:r>
      <w:r w:rsidR="009D7C8A">
        <w:rPr>
          <w:lang w:val="es-ES"/>
        </w:rPr>
        <w:t>n</w:t>
      </w:r>
      <w:r w:rsidR="00501BD6" w:rsidRPr="007F650B">
        <w:rPr>
          <w:lang w:val="es-ES"/>
        </w:rPr>
        <w:t xml:space="preserve"> </w:t>
      </w:r>
      <w:r w:rsidR="009D7C8A">
        <w:rPr>
          <w:lang w:val="es-ES"/>
        </w:rPr>
        <w:t>la</w:t>
      </w:r>
      <w:r w:rsidR="00501BD6" w:rsidRPr="007F650B">
        <w:rPr>
          <w:lang w:val="es-ES"/>
        </w:rPr>
        <w:t xml:space="preserve"> reunión </w:t>
      </w:r>
      <w:r w:rsidR="009D7C8A">
        <w:rPr>
          <w:lang w:val="es-ES"/>
        </w:rPr>
        <w:t xml:space="preserve">celebrada </w:t>
      </w:r>
      <w:r w:rsidR="00501BD6" w:rsidRPr="007F650B">
        <w:rPr>
          <w:lang w:val="es-ES"/>
        </w:rPr>
        <w:t xml:space="preserve">en Ginebra del 26 de febrero al 2 de marzo de 2018, refrendó </w:t>
      </w:r>
      <w:r w:rsidR="00B64C3F" w:rsidRPr="007F650B">
        <w:rPr>
          <w:lang w:val="es-ES"/>
        </w:rPr>
        <w:t>estas</w:t>
      </w:r>
      <w:r w:rsidR="00501BD6" w:rsidRPr="007F650B">
        <w:rPr>
          <w:lang w:val="es-ES"/>
        </w:rPr>
        <w:t xml:space="preserve"> fusiones </w:t>
      </w:r>
      <w:r w:rsidR="00B64C3F" w:rsidRPr="007F650B">
        <w:rPr>
          <w:lang w:val="es-ES"/>
        </w:rPr>
        <w:t>de Cuestiones.</w:t>
      </w:r>
    </w:p>
    <w:p w:rsidR="001D2060" w:rsidRDefault="001D2060">
      <w:pPr>
        <w:tabs>
          <w:tab w:val="clear" w:pos="794"/>
          <w:tab w:val="clear" w:pos="1191"/>
          <w:tab w:val="clear" w:pos="1588"/>
          <w:tab w:val="clear" w:pos="1985"/>
        </w:tabs>
        <w:overflowPunct/>
        <w:autoSpaceDE/>
        <w:autoSpaceDN/>
        <w:adjustRightInd/>
        <w:spacing w:before="0"/>
        <w:textAlignment w:val="auto"/>
        <w:rPr>
          <w:bCs/>
          <w:lang w:val="es-ES"/>
        </w:rPr>
      </w:pPr>
      <w:r>
        <w:rPr>
          <w:bCs/>
          <w:lang w:val="es-ES"/>
        </w:rPr>
        <w:br w:type="page"/>
      </w:r>
    </w:p>
    <w:p w:rsidR="00C8533C" w:rsidRPr="007F650B" w:rsidRDefault="00C8533C" w:rsidP="009D7C8A">
      <w:pPr>
        <w:rPr>
          <w:lang w:val="es-ES"/>
        </w:rPr>
      </w:pPr>
      <w:r w:rsidRPr="007F650B">
        <w:rPr>
          <w:bCs/>
          <w:lang w:val="es-ES"/>
        </w:rPr>
        <w:lastRenderedPageBreak/>
        <w:t>3</w:t>
      </w:r>
      <w:r w:rsidRPr="007F650B">
        <w:rPr>
          <w:b/>
          <w:lang w:val="es-ES"/>
        </w:rPr>
        <w:tab/>
      </w:r>
      <w:r w:rsidR="00B64C3F" w:rsidRPr="007F650B">
        <w:rPr>
          <w:bCs/>
          <w:lang w:val="es-ES"/>
        </w:rPr>
        <w:t xml:space="preserve">Los </w:t>
      </w:r>
      <w:r w:rsidRPr="007F650B">
        <w:rPr>
          <w:b/>
          <w:lang w:val="es-ES"/>
        </w:rPr>
        <w:t>An</w:t>
      </w:r>
      <w:r w:rsidR="00B64C3F" w:rsidRPr="007F650B">
        <w:rPr>
          <w:b/>
          <w:lang w:val="es-ES"/>
        </w:rPr>
        <w:t>exos</w:t>
      </w:r>
      <w:r w:rsidRPr="007F650B">
        <w:rPr>
          <w:b/>
          <w:lang w:val="es-ES"/>
        </w:rPr>
        <w:t xml:space="preserve"> 1</w:t>
      </w:r>
      <w:r w:rsidRPr="007F650B">
        <w:rPr>
          <w:lang w:val="es-ES"/>
        </w:rPr>
        <w:t xml:space="preserve"> </w:t>
      </w:r>
      <w:r w:rsidR="00B64C3F" w:rsidRPr="007F650B">
        <w:rPr>
          <w:lang w:val="es-ES"/>
        </w:rPr>
        <w:t>y</w:t>
      </w:r>
      <w:r w:rsidRPr="007F650B">
        <w:rPr>
          <w:lang w:val="es-ES"/>
        </w:rPr>
        <w:t xml:space="preserve"> </w:t>
      </w:r>
      <w:r w:rsidRPr="007F650B">
        <w:rPr>
          <w:b/>
          <w:lang w:val="es-ES"/>
        </w:rPr>
        <w:t>2</w:t>
      </w:r>
      <w:r w:rsidRPr="007F650B">
        <w:rPr>
          <w:lang w:val="es-ES"/>
        </w:rPr>
        <w:t xml:space="preserve"> </w:t>
      </w:r>
      <w:r w:rsidR="00B64C3F" w:rsidRPr="007F650B">
        <w:rPr>
          <w:lang w:val="es-ES"/>
        </w:rPr>
        <w:t>contienen</w:t>
      </w:r>
      <w:r w:rsidR="009D7C8A" w:rsidRPr="007F650B">
        <w:rPr>
          <w:lang w:val="es-ES"/>
        </w:rPr>
        <w:t>, respectivamente</w:t>
      </w:r>
      <w:r w:rsidR="009D7C8A">
        <w:rPr>
          <w:lang w:val="es-ES"/>
        </w:rPr>
        <w:t>,</w:t>
      </w:r>
      <w:r w:rsidR="00B64C3F" w:rsidRPr="007F650B">
        <w:rPr>
          <w:lang w:val="es-ES"/>
        </w:rPr>
        <w:t xml:space="preserve"> un resumen explicativo de las razones de las fusiones de la C</w:t>
      </w:r>
      <w:r w:rsidRPr="007F650B">
        <w:rPr>
          <w:lang w:val="es-ES"/>
        </w:rPr>
        <w:t xml:space="preserve">18/15 </w:t>
      </w:r>
      <w:r w:rsidR="00B64C3F" w:rsidRPr="007F650B">
        <w:rPr>
          <w:lang w:val="es-ES"/>
        </w:rPr>
        <w:t>y la</w:t>
      </w:r>
      <w:r w:rsidRPr="007F650B">
        <w:rPr>
          <w:lang w:val="es-ES"/>
        </w:rPr>
        <w:t xml:space="preserve"> </w:t>
      </w:r>
      <w:r w:rsidR="00B64C3F" w:rsidRPr="007F650B">
        <w:rPr>
          <w:lang w:val="es-ES"/>
        </w:rPr>
        <w:t>C</w:t>
      </w:r>
      <w:r w:rsidRPr="007F650B">
        <w:rPr>
          <w:lang w:val="es-ES"/>
        </w:rPr>
        <w:t xml:space="preserve">19/15, </w:t>
      </w:r>
      <w:r w:rsidR="00B64C3F" w:rsidRPr="007F650B">
        <w:rPr>
          <w:lang w:val="es-ES"/>
        </w:rPr>
        <w:t>y de la C</w:t>
      </w:r>
      <w:r w:rsidRPr="007F650B">
        <w:rPr>
          <w:lang w:val="es-ES"/>
        </w:rPr>
        <w:t xml:space="preserve">3/15 </w:t>
      </w:r>
      <w:r w:rsidR="00B64C3F" w:rsidRPr="007F650B">
        <w:rPr>
          <w:lang w:val="es-ES"/>
        </w:rPr>
        <w:t>y la C</w:t>
      </w:r>
      <w:r w:rsidRPr="007F650B">
        <w:rPr>
          <w:lang w:val="es-ES"/>
        </w:rPr>
        <w:t>12/15.</w:t>
      </w:r>
    </w:p>
    <w:p w:rsidR="00C8533C" w:rsidRPr="007F650B" w:rsidRDefault="00C8533C" w:rsidP="009D7C8A">
      <w:pPr>
        <w:rPr>
          <w:lang w:val="es-ES"/>
        </w:rPr>
      </w:pPr>
      <w:r w:rsidRPr="007F650B">
        <w:rPr>
          <w:lang w:val="es-ES"/>
        </w:rPr>
        <w:t>4</w:t>
      </w:r>
      <w:r w:rsidRPr="007F650B">
        <w:rPr>
          <w:lang w:val="es-ES"/>
        </w:rPr>
        <w:tab/>
      </w:r>
      <w:r w:rsidR="00B64C3F" w:rsidRPr="007F650B">
        <w:rPr>
          <w:bCs/>
          <w:lang w:val="es-ES"/>
        </w:rPr>
        <w:t xml:space="preserve">Los </w:t>
      </w:r>
      <w:r w:rsidR="00B64C3F" w:rsidRPr="007F650B">
        <w:rPr>
          <w:b/>
          <w:lang w:val="es-ES"/>
        </w:rPr>
        <w:t>Anexos</w:t>
      </w:r>
      <w:r w:rsidRPr="007F650B">
        <w:rPr>
          <w:b/>
          <w:lang w:val="es-ES"/>
        </w:rPr>
        <w:t xml:space="preserve"> 3</w:t>
      </w:r>
      <w:r w:rsidRPr="007F650B">
        <w:rPr>
          <w:lang w:val="es-ES"/>
        </w:rPr>
        <w:t xml:space="preserve"> </w:t>
      </w:r>
      <w:r w:rsidR="00B64C3F" w:rsidRPr="007F650B">
        <w:rPr>
          <w:lang w:val="es-ES"/>
        </w:rPr>
        <w:t>y</w:t>
      </w:r>
      <w:r w:rsidRPr="007F650B">
        <w:rPr>
          <w:lang w:val="es-ES"/>
        </w:rPr>
        <w:t xml:space="preserve"> </w:t>
      </w:r>
      <w:r w:rsidRPr="007F650B">
        <w:rPr>
          <w:b/>
          <w:lang w:val="es-ES"/>
        </w:rPr>
        <w:t>4</w:t>
      </w:r>
      <w:r w:rsidRPr="007F650B">
        <w:rPr>
          <w:lang w:val="es-ES"/>
        </w:rPr>
        <w:t xml:space="preserve"> </w:t>
      </w:r>
      <w:r w:rsidR="00B64C3F" w:rsidRPr="007F650B">
        <w:rPr>
          <w:lang w:val="es-ES"/>
        </w:rPr>
        <w:t>contienen</w:t>
      </w:r>
      <w:r w:rsidR="009D7C8A" w:rsidRPr="007F650B">
        <w:rPr>
          <w:lang w:val="es-ES"/>
        </w:rPr>
        <w:t>, respectivamente</w:t>
      </w:r>
      <w:r w:rsidR="009D7C8A">
        <w:rPr>
          <w:lang w:val="es-ES"/>
        </w:rPr>
        <w:t>,</w:t>
      </w:r>
      <w:r w:rsidR="00B64C3F" w:rsidRPr="007F650B">
        <w:rPr>
          <w:lang w:val="es-ES"/>
        </w:rPr>
        <w:t xml:space="preserve"> las Cuestiones C</w:t>
      </w:r>
      <w:r w:rsidRPr="007F650B">
        <w:rPr>
          <w:lang w:val="es-ES"/>
        </w:rPr>
        <w:t xml:space="preserve">18/15 </w:t>
      </w:r>
      <w:r w:rsidR="00B64C3F" w:rsidRPr="007F650B">
        <w:rPr>
          <w:lang w:val="es-ES"/>
        </w:rPr>
        <w:t>y</w:t>
      </w:r>
      <w:r w:rsidRPr="007F650B">
        <w:rPr>
          <w:lang w:val="es-ES"/>
        </w:rPr>
        <w:t xml:space="preserve"> </w:t>
      </w:r>
      <w:r w:rsidR="00B64C3F" w:rsidRPr="007F650B">
        <w:rPr>
          <w:lang w:val="es-ES"/>
        </w:rPr>
        <w:t>C</w:t>
      </w:r>
      <w:r w:rsidRPr="007F650B">
        <w:rPr>
          <w:lang w:val="es-ES"/>
        </w:rPr>
        <w:t>12/15</w:t>
      </w:r>
      <w:r w:rsidR="00B64C3F" w:rsidRPr="007F650B">
        <w:rPr>
          <w:lang w:val="es-ES"/>
        </w:rPr>
        <w:t xml:space="preserve"> revisadas</w:t>
      </w:r>
      <w:r w:rsidRPr="007F650B">
        <w:rPr>
          <w:lang w:val="es-ES"/>
        </w:rPr>
        <w:t>.</w:t>
      </w:r>
    </w:p>
    <w:p w:rsidR="00C34772" w:rsidRPr="007F650B" w:rsidRDefault="00C34772" w:rsidP="00BE6805">
      <w:pPr>
        <w:spacing w:before="360"/>
        <w:ind w:right="91"/>
        <w:rPr>
          <w:lang w:val="es-ES"/>
        </w:rPr>
      </w:pPr>
      <w:r w:rsidRPr="007F650B">
        <w:rPr>
          <w:lang w:val="es-ES"/>
        </w:rPr>
        <w:t>Le saluda atentamente</w:t>
      </w:r>
      <w:r w:rsidR="00BE6805">
        <w:rPr>
          <w:lang w:val="es-ES"/>
        </w:rPr>
        <w:t>,</w:t>
      </w:r>
    </w:p>
    <w:p w:rsidR="00B64C3F" w:rsidRPr="007F650B" w:rsidRDefault="00B64C3F" w:rsidP="00BE6805">
      <w:pPr>
        <w:spacing w:before="480"/>
        <w:ind w:right="91"/>
        <w:rPr>
          <w:lang w:val="es-ES"/>
        </w:rPr>
      </w:pPr>
      <w:r w:rsidRPr="007F650B">
        <w:rPr>
          <w:lang w:val="es-ES"/>
        </w:rPr>
        <w:t>(</w:t>
      </w:r>
      <w:r w:rsidRPr="007F650B">
        <w:rPr>
          <w:i/>
          <w:iCs/>
          <w:lang w:val="es-ES"/>
        </w:rPr>
        <w:t>firmado</w:t>
      </w:r>
      <w:r w:rsidRPr="007F650B">
        <w:rPr>
          <w:lang w:val="es-ES"/>
        </w:rPr>
        <w:t>)</w:t>
      </w:r>
    </w:p>
    <w:p w:rsidR="00C34772" w:rsidRDefault="002E496E" w:rsidP="00F72D85">
      <w:pPr>
        <w:spacing w:before="360"/>
        <w:rPr>
          <w:lang w:val="es-ES"/>
        </w:rPr>
      </w:pPr>
      <w:proofErr w:type="spellStart"/>
      <w:r w:rsidRPr="007F650B">
        <w:rPr>
          <w:lang w:val="es-ES"/>
        </w:rPr>
        <w:t>Chaesub</w:t>
      </w:r>
      <w:proofErr w:type="spellEnd"/>
      <w:r w:rsidRPr="007F650B">
        <w:rPr>
          <w:lang w:val="es-ES"/>
        </w:rPr>
        <w:t xml:space="preserve"> Lee</w:t>
      </w:r>
      <w:r w:rsidR="00C34772" w:rsidRPr="007F650B">
        <w:rPr>
          <w:lang w:val="es-ES"/>
        </w:rPr>
        <w:br/>
        <w:t>Director de la Oficina de</w:t>
      </w:r>
      <w:r w:rsidR="00C34772" w:rsidRPr="007F650B">
        <w:rPr>
          <w:lang w:val="es-ES"/>
        </w:rPr>
        <w:br/>
        <w:t>Normalización de las Telecomunicaciones</w:t>
      </w:r>
    </w:p>
    <w:p w:rsidR="001D2060" w:rsidRDefault="001D2060" w:rsidP="001D2060">
      <w:pPr>
        <w:spacing w:before="0" w:after="120"/>
        <w:ind w:right="91"/>
        <w:rPr>
          <w:lang w:val="es-ES"/>
        </w:rPr>
      </w:pPr>
    </w:p>
    <w:p w:rsidR="001D2060" w:rsidRPr="007F650B" w:rsidRDefault="001D2060" w:rsidP="001D2060">
      <w:pPr>
        <w:spacing w:before="0" w:after="120"/>
        <w:ind w:right="91"/>
        <w:rPr>
          <w:lang w:val="es-ES"/>
        </w:rPr>
      </w:pPr>
    </w:p>
    <w:p w:rsidR="006000C8" w:rsidRPr="007F650B" w:rsidRDefault="006000C8">
      <w:pPr>
        <w:tabs>
          <w:tab w:val="clear" w:pos="794"/>
          <w:tab w:val="clear" w:pos="1191"/>
          <w:tab w:val="clear" w:pos="1588"/>
          <w:tab w:val="clear" w:pos="1985"/>
        </w:tabs>
        <w:overflowPunct/>
        <w:autoSpaceDE/>
        <w:autoSpaceDN/>
        <w:adjustRightInd/>
        <w:spacing w:before="0"/>
        <w:textAlignment w:val="auto"/>
        <w:rPr>
          <w:lang w:val="es-ES"/>
        </w:rPr>
      </w:pPr>
      <w:r w:rsidRPr="007F650B">
        <w:rPr>
          <w:lang w:val="es-ES"/>
        </w:rPr>
        <w:br w:type="page"/>
      </w:r>
    </w:p>
    <w:p w:rsidR="006000C8" w:rsidRPr="007F650B" w:rsidRDefault="00B64C3F" w:rsidP="00BE6805">
      <w:pPr>
        <w:pStyle w:val="AnnexNotitle"/>
        <w:spacing w:before="600"/>
        <w:rPr>
          <w:lang w:val="es-ES"/>
        </w:rPr>
      </w:pPr>
      <w:r w:rsidRPr="007F650B">
        <w:rPr>
          <w:szCs w:val="28"/>
          <w:lang w:val="es-ES"/>
        </w:rPr>
        <w:t>ANEXO</w:t>
      </w:r>
      <w:r w:rsidR="006000C8" w:rsidRPr="007F650B">
        <w:rPr>
          <w:szCs w:val="28"/>
          <w:lang w:val="es-ES"/>
        </w:rPr>
        <w:t xml:space="preserve"> 1</w:t>
      </w:r>
      <w:r w:rsidR="006000C8" w:rsidRPr="007F650B">
        <w:rPr>
          <w:lang w:val="es-ES"/>
        </w:rPr>
        <w:br/>
      </w:r>
      <w:r w:rsidRPr="007F650B">
        <w:rPr>
          <w:lang w:val="es-ES"/>
        </w:rPr>
        <w:t xml:space="preserve">Razones para la </w:t>
      </w:r>
      <w:r w:rsidR="00D04686" w:rsidRPr="007F650B">
        <w:rPr>
          <w:lang w:val="es-ES"/>
        </w:rPr>
        <w:t>fusión</w:t>
      </w:r>
      <w:r w:rsidRPr="007F650B">
        <w:rPr>
          <w:lang w:val="es-ES"/>
        </w:rPr>
        <w:t xml:space="preserve"> de la Cuestión 18/15 y la Cuestión</w:t>
      </w:r>
      <w:r w:rsidR="006000C8" w:rsidRPr="007F650B">
        <w:rPr>
          <w:lang w:val="es-ES"/>
        </w:rPr>
        <w:t xml:space="preserve"> 19/15</w:t>
      </w:r>
    </w:p>
    <w:p w:rsidR="00B64C3F" w:rsidRDefault="00B64C3F" w:rsidP="00EB14B4">
      <w:pPr>
        <w:pStyle w:val="N"/>
        <w:rPr>
          <w:lang w:val="es-ES"/>
        </w:rPr>
      </w:pPr>
      <w:r w:rsidRPr="007F650B">
        <w:rPr>
          <w:lang w:val="es-ES"/>
        </w:rPr>
        <w:t xml:space="preserve">Con el fin de investigar posibles </w:t>
      </w:r>
      <w:r w:rsidRPr="00EB14B4">
        <w:t>sinergias</w:t>
      </w:r>
      <w:r w:rsidRPr="007F650B">
        <w:rPr>
          <w:lang w:val="es-ES"/>
        </w:rPr>
        <w:t xml:space="preserve"> entre las dos cuestiones</w:t>
      </w:r>
      <w:r w:rsidR="00266EC2">
        <w:rPr>
          <w:lang w:val="es-ES"/>
        </w:rPr>
        <w:t>,</w:t>
      </w:r>
      <w:r w:rsidRPr="007F650B">
        <w:rPr>
          <w:lang w:val="es-ES"/>
        </w:rPr>
        <w:t xml:space="preserve"> </w:t>
      </w:r>
      <w:r w:rsidR="009D7C8A" w:rsidRPr="007F650B">
        <w:rPr>
          <w:lang w:val="es-ES"/>
        </w:rPr>
        <w:t>en el ámbito de las redes del hogar</w:t>
      </w:r>
      <w:r w:rsidR="00266EC2">
        <w:rPr>
          <w:lang w:val="es-ES"/>
        </w:rPr>
        <w:t>,</w:t>
      </w:r>
      <w:r w:rsidR="009D7C8A" w:rsidRPr="007F650B">
        <w:rPr>
          <w:lang w:val="es-ES"/>
        </w:rPr>
        <w:t xml:space="preserve"> </w:t>
      </w:r>
      <w:r w:rsidRPr="007F650B">
        <w:rPr>
          <w:lang w:val="es-ES"/>
        </w:rPr>
        <w:t>después de la decisión de la AMNT de transferir la C9/9 a la CE15, la CE15 decidió fusionar la Cuestión 18/15 y la Cuestión 19/15 en la Cuestión 18/15.</w:t>
      </w:r>
    </w:p>
    <w:p w:rsidR="00F753E9" w:rsidRPr="007F650B" w:rsidRDefault="00F753E9" w:rsidP="009D7C8A">
      <w:pPr>
        <w:rPr>
          <w:lang w:val="es-ES"/>
        </w:rPr>
      </w:pPr>
    </w:p>
    <w:p w:rsidR="006000C8" w:rsidRPr="007F650B" w:rsidRDefault="006000C8" w:rsidP="006000C8">
      <w:pPr>
        <w:tabs>
          <w:tab w:val="clear" w:pos="794"/>
          <w:tab w:val="clear" w:pos="1191"/>
          <w:tab w:val="clear" w:pos="1588"/>
          <w:tab w:val="clear" w:pos="1985"/>
        </w:tabs>
        <w:overflowPunct/>
        <w:autoSpaceDE/>
        <w:autoSpaceDN/>
        <w:adjustRightInd/>
        <w:spacing w:before="0"/>
        <w:textAlignment w:val="auto"/>
        <w:rPr>
          <w:lang w:val="es-ES"/>
        </w:rPr>
      </w:pPr>
      <w:r w:rsidRPr="007F650B">
        <w:rPr>
          <w:lang w:val="es-ES"/>
        </w:rPr>
        <w:br w:type="page"/>
      </w:r>
    </w:p>
    <w:p w:rsidR="006000C8" w:rsidRPr="007F650B" w:rsidRDefault="00D04686" w:rsidP="00F753E9">
      <w:pPr>
        <w:pStyle w:val="AnnexNotitle"/>
        <w:rPr>
          <w:lang w:val="es-ES"/>
        </w:rPr>
      </w:pPr>
      <w:r w:rsidRPr="007F650B">
        <w:rPr>
          <w:szCs w:val="28"/>
          <w:lang w:val="es-ES"/>
        </w:rPr>
        <w:t>ANEXO</w:t>
      </w:r>
      <w:r w:rsidR="00146C9F">
        <w:rPr>
          <w:szCs w:val="28"/>
          <w:lang w:val="es-ES"/>
        </w:rPr>
        <w:t xml:space="preserve"> </w:t>
      </w:r>
      <w:r w:rsidR="006000C8" w:rsidRPr="007F650B">
        <w:rPr>
          <w:szCs w:val="28"/>
          <w:lang w:val="es-ES"/>
        </w:rPr>
        <w:t>2</w:t>
      </w:r>
      <w:r w:rsidR="006000C8" w:rsidRPr="007F650B">
        <w:rPr>
          <w:lang w:val="es-ES"/>
        </w:rPr>
        <w:br/>
      </w:r>
      <w:r w:rsidRPr="007F650B">
        <w:rPr>
          <w:lang w:val="es-ES"/>
        </w:rPr>
        <w:t xml:space="preserve">Razones para la fusión de la Cuestión </w:t>
      </w:r>
      <w:r w:rsidR="006000C8" w:rsidRPr="007F650B">
        <w:rPr>
          <w:lang w:val="es-ES"/>
        </w:rPr>
        <w:t xml:space="preserve">3/15 </w:t>
      </w:r>
      <w:r w:rsidRPr="007F650B">
        <w:rPr>
          <w:lang w:val="es-ES"/>
        </w:rPr>
        <w:t>y la Cuestión</w:t>
      </w:r>
      <w:r w:rsidR="006000C8" w:rsidRPr="007F650B">
        <w:rPr>
          <w:lang w:val="es-ES"/>
        </w:rPr>
        <w:t xml:space="preserve"> 12/15</w:t>
      </w:r>
    </w:p>
    <w:p w:rsidR="00D04686" w:rsidRPr="007F650B" w:rsidRDefault="00D04686" w:rsidP="00EB14B4">
      <w:pPr>
        <w:pStyle w:val="Normalaftertitle"/>
        <w:rPr>
          <w:lang w:val="es-ES"/>
        </w:rPr>
      </w:pPr>
      <w:r w:rsidRPr="007F650B">
        <w:rPr>
          <w:lang w:val="es-ES"/>
        </w:rPr>
        <w:t xml:space="preserve">Desde </w:t>
      </w:r>
      <w:r w:rsidR="00266EC2">
        <w:rPr>
          <w:lang w:val="es-ES"/>
        </w:rPr>
        <w:t>la continuación de la</w:t>
      </w:r>
      <w:r w:rsidRPr="007F650B">
        <w:rPr>
          <w:lang w:val="es-ES"/>
        </w:rPr>
        <w:t xml:space="preserve"> C</w:t>
      </w:r>
      <w:r w:rsidR="006000C8" w:rsidRPr="007F650B">
        <w:rPr>
          <w:lang w:val="es-ES"/>
        </w:rPr>
        <w:t xml:space="preserve">3/15 </w:t>
      </w:r>
      <w:r w:rsidRPr="007F650B">
        <w:rPr>
          <w:lang w:val="es-ES"/>
        </w:rPr>
        <w:t xml:space="preserve">al final del último periodo de estudios, se han producido </w:t>
      </w:r>
      <w:r w:rsidR="00266EC2">
        <w:rPr>
          <w:lang w:val="es-ES"/>
        </w:rPr>
        <w:t>varios</w:t>
      </w:r>
      <w:r w:rsidRPr="007F650B">
        <w:rPr>
          <w:lang w:val="es-ES"/>
        </w:rPr>
        <w:t xml:space="preserve"> cambios con repercusión sobre los trabajos </w:t>
      </w:r>
      <w:r w:rsidR="00266EC2">
        <w:rPr>
          <w:lang w:val="es-ES"/>
        </w:rPr>
        <w:t>relativos a</w:t>
      </w:r>
      <w:r w:rsidRPr="007F650B">
        <w:rPr>
          <w:lang w:val="es-ES"/>
        </w:rPr>
        <w:t xml:space="preserve"> los principales temas</w:t>
      </w:r>
      <w:r w:rsidR="00F753E9">
        <w:rPr>
          <w:lang w:val="es-ES"/>
        </w:rPr>
        <w:t xml:space="preserve"> que son de su responsabilidad.</w:t>
      </w:r>
    </w:p>
    <w:p w:rsidR="006000C8" w:rsidRPr="007F650B" w:rsidRDefault="0085102A" w:rsidP="00FE069F">
      <w:pPr>
        <w:pStyle w:val="enumlev1"/>
        <w:rPr>
          <w:lang w:val="es-ES"/>
        </w:rPr>
      </w:pPr>
      <w:r w:rsidRPr="0085102A">
        <w:rPr>
          <w:lang w:val="es-ES"/>
        </w:rPr>
        <w:t>•</w:t>
      </w:r>
      <w:r>
        <w:rPr>
          <w:lang w:val="es-ES"/>
        </w:rPr>
        <w:tab/>
      </w:r>
      <w:r w:rsidR="00D04686" w:rsidRPr="007F650B">
        <w:rPr>
          <w:lang w:val="es-ES"/>
        </w:rPr>
        <w:t>Comunicación, publicidad y promoción</w:t>
      </w:r>
    </w:p>
    <w:p w:rsidR="00D04686" w:rsidRPr="007F650B" w:rsidRDefault="0085102A" w:rsidP="00EC2E2F">
      <w:pPr>
        <w:pStyle w:val="enumlev2"/>
        <w:rPr>
          <w:lang w:val="es-ES"/>
        </w:rPr>
      </w:pPr>
      <w:r w:rsidRPr="0085102A">
        <w:rPr>
          <w:lang w:val="es-ES"/>
        </w:rPr>
        <w:t>–</w:t>
      </w:r>
      <w:r w:rsidR="00FE069F">
        <w:rPr>
          <w:lang w:val="es-ES"/>
        </w:rPr>
        <w:tab/>
      </w:r>
      <w:r w:rsidR="00D04686" w:rsidRPr="007F650B">
        <w:rPr>
          <w:lang w:val="es-ES"/>
        </w:rPr>
        <w:t xml:space="preserve">Al principio de este periodo de estudios se creó un nuevo grupo sobre promociones y comunicación que </w:t>
      </w:r>
      <w:r w:rsidR="00266EC2">
        <w:rPr>
          <w:lang w:val="es-ES"/>
        </w:rPr>
        <w:t xml:space="preserve">se ocupa de </w:t>
      </w:r>
      <w:r w:rsidR="00D04686" w:rsidRPr="007F650B">
        <w:rPr>
          <w:lang w:val="es-ES"/>
        </w:rPr>
        <w:t>comunicación, publicidad y promoción para la CE</w:t>
      </w:r>
      <w:r w:rsidR="00EC2E2F">
        <w:rPr>
          <w:lang w:val="es-ES"/>
        </w:rPr>
        <w:t> </w:t>
      </w:r>
      <w:r w:rsidR="00D04686" w:rsidRPr="007F650B">
        <w:rPr>
          <w:lang w:val="es-ES"/>
        </w:rPr>
        <w:t>15.</w:t>
      </w:r>
    </w:p>
    <w:p w:rsidR="006000C8" w:rsidRPr="007F650B" w:rsidRDefault="0085102A" w:rsidP="00FE069F">
      <w:pPr>
        <w:pStyle w:val="enumlev1"/>
        <w:rPr>
          <w:lang w:val="es-ES"/>
        </w:rPr>
      </w:pPr>
      <w:r w:rsidRPr="0085102A">
        <w:rPr>
          <w:lang w:val="es-ES"/>
        </w:rPr>
        <w:t>•</w:t>
      </w:r>
      <w:r>
        <w:rPr>
          <w:lang w:val="es-ES"/>
        </w:rPr>
        <w:tab/>
      </w:r>
      <w:r w:rsidR="00D04686" w:rsidRPr="007F650B">
        <w:rPr>
          <w:lang w:val="es-ES"/>
        </w:rPr>
        <w:t>Terminología</w:t>
      </w:r>
    </w:p>
    <w:p w:rsidR="00D04686" w:rsidRPr="007F650B" w:rsidRDefault="0085102A" w:rsidP="00FE069F">
      <w:pPr>
        <w:pStyle w:val="enumlev2"/>
        <w:rPr>
          <w:lang w:val="es-ES"/>
        </w:rPr>
      </w:pPr>
      <w:r w:rsidRPr="0085102A">
        <w:rPr>
          <w:lang w:val="es-ES"/>
        </w:rPr>
        <w:t>–</w:t>
      </w:r>
      <w:r w:rsidR="00FE069F">
        <w:rPr>
          <w:lang w:val="es-ES"/>
        </w:rPr>
        <w:tab/>
      </w:r>
      <w:r w:rsidR="00D04686" w:rsidRPr="007F650B">
        <w:rPr>
          <w:lang w:val="es-ES"/>
        </w:rPr>
        <w:t xml:space="preserve">El GT 3/15 ha adoptado la decisión de transferir las definiciones a </w:t>
      </w:r>
      <w:r w:rsidR="005B681D" w:rsidRPr="007F650B">
        <w:rPr>
          <w:lang w:val="es-ES"/>
        </w:rPr>
        <w:t>las Recomendaciones de origen</w:t>
      </w:r>
      <w:r w:rsidR="00266EC2">
        <w:rPr>
          <w:lang w:val="es-ES"/>
        </w:rPr>
        <w:t>,</w:t>
      </w:r>
      <w:r w:rsidR="005B681D" w:rsidRPr="007F650B">
        <w:rPr>
          <w:lang w:val="es-ES"/>
        </w:rPr>
        <w:t xml:space="preserve"> en vez de seguir manteniendo Recomendaciones de terminología</w:t>
      </w:r>
      <w:r w:rsidR="00266EC2" w:rsidRPr="00266EC2">
        <w:rPr>
          <w:lang w:val="es-ES"/>
        </w:rPr>
        <w:t xml:space="preserve"> </w:t>
      </w:r>
      <w:r w:rsidR="00266EC2" w:rsidRPr="007F650B">
        <w:rPr>
          <w:lang w:val="es-ES"/>
        </w:rPr>
        <w:t>independientes</w:t>
      </w:r>
      <w:r w:rsidR="00EC2E2F">
        <w:rPr>
          <w:lang w:val="es-ES"/>
        </w:rPr>
        <w:t>.</w:t>
      </w:r>
    </w:p>
    <w:p w:rsidR="006000C8" w:rsidRPr="007F650B" w:rsidRDefault="0085102A" w:rsidP="00FE069F">
      <w:pPr>
        <w:pStyle w:val="enumlev1"/>
        <w:rPr>
          <w:lang w:val="es-ES"/>
        </w:rPr>
      </w:pPr>
      <w:r w:rsidRPr="0085102A">
        <w:rPr>
          <w:lang w:val="es-ES"/>
        </w:rPr>
        <w:t>•</w:t>
      </w:r>
      <w:r>
        <w:rPr>
          <w:lang w:val="es-ES"/>
        </w:rPr>
        <w:tab/>
      </w:r>
      <w:r w:rsidR="005B681D" w:rsidRPr="007F650B">
        <w:rPr>
          <w:lang w:val="es-ES"/>
        </w:rPr>
        <w:t xml:space="preserve">Coordinación de la elaboración de las Recomendaciones </w:t>
      </w:r>
      <w:r w:rsidR="00EC2E2F">
        <w:rPr>
          <w:lang w:val="es-ES"/>
        </w:rPr>
        <w:t>sobre la OTN</w:t>
      </w:r>
    </w:p>
    <w:p w:rsidR="00093D68" w:rsidRPr="007F650B" w:rsidRDefault="0085102A" w:rsidP="00FE069F">
      <w:pPr>
        <w:pStyle w:val="enumlev2"/>
        <w:rPr>
          <w:lang w:val="es-ES"/>
        </w:rPr>
      </w:pPr>
      <w:r w:rsidRPr="0085102A">
        <w:rPr>
          <w:lang w:val="es-ES"/>
        </w:rPr>
        <w:t>–</w:t>
      </w:r>
      <w:r w:rsidR="00FE069F">
        <w:rPr>
          <w:lang w:val="es-ES"/>
        </w:rPr>
        <w:tab/>
      </w:r>
      <w:r w:rsidR="00093D68" w:rsidRPr="007F650B">
        <w:rPr>
          <w:lang w:val="es-ES"/>
        </w:rPr>
        <w:t>Aunque la coordinación era necesaria cuando se inició la elaboración de las primeras Recomendaciones sobre OTN, ésta ha alcanzado el nivel de madurez y la necesidad de coordinación ha disminuido. No se ha considerado necesario celebrar una reunión de coordinación</w:t>
      </w:r>
      <w:r w:rsidR="00266EC2">
        <w:rPr>
          <w:lang w:val="es-ES"/>
        </w:rPr>
        <w:t xml:space="preserve"> sobre redes ópticas de transporte</w:t>
      </w:r>
      <w:r w:rsidR="00093D68" w:rsidRPr="007F650B">
        <w:rPr>
          <w:lang w:val="es-ES"/>
        </w:rPr>
        <w:t xml:space="preserve"> en las</w:t>
      </w:r>
      <w:r w:rsidR="00EC2E2F">
        <w:rPr>
          <w:lang w:val="es-ES"/>
        </w:rPr>
        <w:t xml:space="preserve"> 3 últimas sesiones plenarias.</w:t>
      </w:r>
    </w:p>
    <w:p w:rsidR="00093D68" w:rsidRPr="007F650B" w:rsidRDefault="00093D68" w:rsidP="00266EC2">
      <w:pPr>
        <w:rPr>
          <w:lang w:val="es-ES"/>
        </w:rPr>
      </w:pPr>
      <w:r w:rsidRPr="007F650B">
        <w:rPr>
          <w:lang w:val="es-ES"/>
        </w:rPr>
        <w:t xml:space="preserve">Estos cambios han tenido como </w:t>
      </w:r>
      <w:r w:rsidR="00266EC2">
        <w:rPr>
          <w:lang w:val="es-ES"/>
        </w:rPr>
        <w:t>consecuencia</w:t>
      </w:r>
      <w:r w:rsidRPr="007F650B">
        <w:rPr>
          <w:lang w:val="es-ES"/>
        </w:rPr>
        <w:t xml:space="preserve"> una baja participación en las sesiones sobre la C3/15 durante la</w:t>
      </w:r>
      <w:r w:rsidR="00EC2E2F">
        <w:rPr>
          <w:lang w:val="es-ES"/>
        </w:rPr>
        <w:t>s últimas sesiones plenarias.</w:t>
      </w:r>
    </w:p>
    <w:p w:rsidR="007D3971" w:rsidRPr="007F650B" w:rsidRDefault="007D3971" w:rsidP="007D3971">
      <w:pPr>
        <w:rPr>
          <w:lang w:val="es-ES"/>
        </w:rPr>
      </w:pPr>
      <w:r w:rsidRPr="007F650B">
        <w:rPr>
          <w:lang w:val="es-ES"/>
        </w:rPr>
        <w:t xml:space="preserve">La única actividad que </w:t>
      </w:r>
      <w:r w:rsidR="00850D6B" w:rsidRPr="007F650B">
        <w:rPr>
          <w:lang w:val="es-ES"/>
        </w:rPr>
        <w:t>queda</w:t>
      </w:r>
      <w:r w:rsidRPr="007F650B">
        <w:rPr>
          <w:lang w:val="es-ES"/>
        </w:rPr>
        <w:t xml:space="preserve"> bajo la responsabilidad de la C3/15 es el mantenimiento </w:t>
      </w:r>
      <w:r w:rsidR="00850D6B" w:rsidRPr="007F650B">
        <w:rPr>
          <w:lang w:val="es-ES"/>
        </w:rPr>
        <w:t xml:space="preserve">del </w:t>
      </w:r>
      <w:r w:rsidRPr="007F650B">
        <w:rPr>
          <w:lang w:val="es-ES"/>
        </w:rPr>
        <w:t>plan de trabajo de normalización de las tecnologías y redes ó</w:t>
      </w:r>
      <w:r w:rsidR="00EC2E2F">
        <w:rPr>
          <w:lang w:val="es-ES"/>
        </w:rPr>
        <w:t>pticas de transporte (PTN OTNT).</w:t>
      </w:r>
    </w:p>
    <w:p w:rsidR="007D3971" w:rsidRDefault="007D3971" w:rsidP="007D3971">
      <w:pPr>
        <w:rPr>
          <w:lang w:val="es-ES"/>
        </w:rPr>
      </w:pPr>
      <w:r w:rsidRPr="007F650B">
        <w:rPr>
          <w:lang w:val="es-ES"/>
        </w:rPr>
        <w:t>En consecuencia, la CE 15 ha decidido fusionar la C3/15 y la C12/15 en la C12/15 y las responsabilidades de la C3/1</w:t>
      </w:r>
      <w:r w:rsidR="00EC2E2F">
        <w:rPr>
          <w:lang w:val="es-ES"/>
        </w:rPr>
        <w:t>5 que quedan pasan a la C12/15.</w:t>
      </w:r>
    </w:p>
    <w:p w:rsidR="00EC2E2F" w:rsidRPr="007F650B" w:rsidRDefault="00EC2E2F" w:rsidP="007D3971">
      <w:pPr>
        <w:rPr>
          <w:lang w:val="es-ES"/>
        </w:rPr>
      </w:pPr>
    </w:p>
    <w:p w:rsidR="006000C8" w:rsidRPr="007F650B" w:rsidRDefault="006000C8" w:rsidP="002A6C71">
      <w:pPr>
        <w:pStyle w:val="AnnexNotitle"/>
        <w:rPr>
          <w:lang w:val="es-ES"/>
        </w:rPr>
      </w:pPr>
      <w:r w:rsidRPr="007F650B">
        <w:rPr>
          <w:lang w:val="es-ES"/>
        </w:rPr>
        <w:br w:type="page"/>
      </w:r>
      <w:r w:rsidR="00850D6B" w:rsidRPr="007F650B">
        <w:rPr>
          <w:szCs w:val="28"/>
          <w:lang w:val="es-ES"/>
        </w:rPr>
        <w:t>ANEXO</w:t>
      </w:r>
      <w:r w:rsidRPr="007F650B">
        <w:rPr>
          <w:szCs w:val="28"/>
          <w:lang w:val="es-ES"/>
        </w:rPr>
        <w:t xml:space="preserve"> 3</w:t>
      </w:r>
      <w:r w:rsidRPr="007F650B">
        <w:rPr>
          <w:lang w:val="es-ES"/>
        </w:rPr>
        <w:br/>
      </w:r>
      <w:r w:rsidR="00850D6B" w:rsidRPr="007F650B">
        <w:rPr>
          <w:lang w:val="es-ES"/>
        </w:rPr>
        <w:t>Texto revisado de la C18/15</w:t>
      </w:r>
    </w:p>
    <w:p w:rsidR="00740D02" w:rsidRPr="007F650B" w:rsidRDefault="00740D02" w:rsidP="00146C9F">
      <w:pPr>
        <w:pStyle w:val="Headingb0"/>
        <w:spacing w:before="360"/>
        <w:rPr>
          <w:lang w:val="es-ES"/>
        </w:rPr>
      </w:pPr>
      <w:r w:rsidRPr="007F650B">
        <w:rPr>
          <w:lang w:val="es-ES"/>
        </w:rPr>
        <w:t>Redes de banda ancha en los locales del cliente</w:t>
      </w:r>
    </w:p>
    <w:p w:rsidR="00740D02" w:rsidRPr="007F650B" w:rsidRDefault="00740D02" w:rsidP="00850D6B">
      <w:pPr>
        <w:rPr>
          <w:lang w:val="es-ES"/>
        </w:rPr>
      </w:pPr>
      <w:r w:rsidRPr="007F650B">
        <w:rPr>
          <w:lang w:val="es-ES"/>
        </w:rPr>
        <w:t>(Co</w:t>
      </w:r>
      <w:r w:rsidR="00126038" w:rsidRPr="007F650B">
        <w:rPr>
          <w:lang w:val="es-ES"/>
        </w:rPr>
        <w:t>ntinuación de la</w:t>
      </w:r>
      <w:r w:rsidR="00850D6B" w:rsidRPr="007F650B">
        <w:rPr>
          <w:lang w:val="es-ES"/>
        </w:rPr>
        <w:t>s</w:t>
      </w:r>
      <w:r w:rsidR="00126038" w:rsidRPr="007F650B">
        <w:rPr>
          <w:lang w:val="es-ES"/>
        </w:rPr>
        <w:t xml:space="preserve"> Cuesti</w:t>
      </w:r>
      <w:r w:rsidR="00850D6B" w:rsidRPr="007F650B">
        <w:rPr>
          <w:lang w:val="es-ES"/>
        </w:rPr>
        <w:t>ones</w:t>
      </w:r>
      <w:r w:rsidR="00126038" w:rsidRPr="007F650B">
        <w:rPr>
          <w:lang w:val="es-ES"/>
        </w:rPr>
        <w:t xml:space="preserve"> 18/15</w:t>
      </w:r>
      <w:r w:rsidR="00126038" w:rsidRPr="007F650B">
        <w:rPr>
          <w:szCs w:val="24"/>
          <w:lang w:val="es-ES"/>
        </w:rPr>
        <w:t xml:space="preserve"> </w:t>
      </w:r>
      <w:r w:rsidR="00850D6B" w:rsidRPr="007F650B">
        <w:rPr>
          <w:szCs w:val="24"/>
          <w:lang w:val="es-ES"/>
        </w:rPr>
        <w:t>y</w:t>
      </w:r>
      <w:r w:rsidR="00126038" w:rsidRPr="007F650B">
        <w:rPr>
          <w:szCs w:val="24"/>
          <w:lang w:val="es-ES"/>
        </w:rPr>
        <w:t xml:space="preserve"> 19/15 (</w:t>
      </w:r>
      <w:r w:rsidR="00850D6B" w:rsidRPr="007F650B">
        <w:rPr>
          <w:szCs w:val="24"/>
          <w:lang w:val="es-ES"/>
        </w:rPr>
        <w:t>antigua</w:t>
      </w:r>
      <w:r w:rsidR="00126038" w:rsidRPr="007F650B">
        <w:rPr>
          <w:szCs w:val="24"/>
          <w:lang w:val="es-ES"/>
        </w:rPr>
        <w:t xml:space="preserve"> </w:t>
      </w:r>
      <w:r w:rsidR="00850D6B" w:rsidRPr="007F650B">
        <w:rPr>
          <w:szCs w:val="24"/>
          <w:lang w:val="es-ES"/>
        </w:rPr>
        <w:t>C</w:t>
      </w:r>
      <w:r w:rsidR="00126038" w:rsidRPr="007F650B">
        <w:rPr>
          <w:szCs w:val="24"/>
          <w:lang w:val="es-ES"/>
        </w:rPr>
        <w:t xml:space="preserve">9/9 </w:t>
      </w:r>
      <w:r w:rsidR="00850D6B" w:rsidRPr="007F650B">
        <w:rPr>
          <w:szCs w:val="24"/>
          <w:lang w:val="es-ES"/>
        </w:rPr>
        <w:t>en</w:t>
      </w:r>
      <w:r w:rsidR="00126038" w:rsidRPr="007F650B">
        <w:rPr>
          <w:szCs w:val="24"/>
          <w:lang w:val="es-ES"/>
        </w:rPr>
        <w:t xml:space="preserve"> 2013-2016))</w:t>
      </w:r>
    </w:p>
    <w:p w:rsidR="00740D02" w:rsidRPr="007F650B" w:rsidRDefault="00740D02" w:rsidP="007A44D7">
      <w:pPr>
        <w:pStyle w:val="Headingb0"/>
        <w:rPr>
          <w:lang w:val="es-ES"/>
        </w:rPr>
      </w:pPr>
      <w:r w:rsidRPr="007F650B">
        <w:rPr>
          <w:lang w:val="es-ES"/>
        </w:rPr>
        <w:t>Motivos</w:t>
      </w:r>
    </w:p>
    <w:p w:rsidR="004C2CE2" w:rsidRPr="007F650B" w:rsidRDefault="00740D02" w:rsidP="00850D6B">
      <w:pPr>
        <w:rPr>
          <w:lang w:val="es-ES"/>
        </w:rPr>
      </w:pPr>
      <w:r w:rsidRPr="007F650B">
        <w:rPr>
          <w:lang w:val="es-ES"/>
        </w:rPr>
        <w:t xml:space="preserve">Dada la permanente demanda de servicios de datos con velocidades binarias cada vez mayores, acceso a Internet de alta velocidad y otros servicios innovadores manifestada por los clientes, así como la necesidad continua de los operadores de red de aprovechar la conectividad en los locales del cliente para distribuir en el hogar TV por IP y otras aplicaciones, será necesario elaborar nuevas Recomendaciones y mejorar las Recomendaciones ya existentes que abarcan todos los aspectos </w:t>
      </w:r>
      <w:r w:rsidR="00850D6B" w:rsidRPr="007F650B">
        <w:rPr>
          <w:lang w:val="es-ES"/>
        </w:rPr>
        <w:t xml:space="preserve">relativos a los requisitos y la implementación </w:t>
      </w:r>
      <w:r w:rsidRPr="007F650B">
        <w:rPr>
          <w:lang w:val="es-ES"/>
        </w:rPr>
        <w:t>de los transceptores de red ubicados en las instalaciones del cliente. Los estudios abarcarán diversos temas, entre otros el transporte de protocolos de capas superiores, la gestión y prueba de los sistemas de acceso en los locales del cliente, los aspectos de seguridad, los aspectos relativos a la gestión del espectro y</w:t>
      </w:r>
      <w:r w:rsidR="004C2CE2" w:rsidRPr="007F650B">
        <w:rPr>
          <w:lang w:val="es-ES"/>
        </w:rPr>
        <w:t xml:space="preserve"> técnicas de ahorro de energía.</w:t>
      </w:r>
    </w:p>
    <w:p w:rsidR="00740D02" w:rsidRPr="007F650B" w:rsidRDefault="00740D02" w:rsidP="007A44D7">
      <w:pPr>
        <w:rPr>
          <w:lang w:val="es-ES"/>
        </w:rPr>
      </w:pPr>
      <w:r w:rsidRPr="007F650B">
        <w:rPr>
          <w:lang w:val="es-ES"/>
        </w:rPr>
        <w:t xml:space="preserve">La Comisión que estudia esta Cuestión se encarga también de las siguientes Recomendaciones, que estaban en vigor cuando se aprobó esta Cuestión: </w:t>
      </w:r>
      <w:r w:rsidR="00850D6B" w:rsidRPr="007F650B">
        <w:rPr>
          <w:lang w:val="es-ES"/>
        </w:rPr>
        <w:t xml:space="preserve">de J.190 a J.192, </w:t>
      </w:r>
      <w:r w:rsidRPr="007F650B">
        <w:rPr>
          <w:lang w:val="es-ES"/>
        </w:rPr>
        <w:t>G.9951 a G.9954, G.9960 a</w:t>
      </w:r>
      <w:r w:rsidR="007A44D7">
        <w:rPr>
          <w:lang w:val="es-ES"/>
        </w:rPr>
        <w:t> </w:t>
      </w:r>
      <w:r w:rsidRPr="007F650B">
        <w:rPr>
          <w:lang w:val="es-ES"/>
        </w:rPr>
        <w:t>G.9964, G.9972</w:t>
      </w:r>
      <w:r w:rsidR="00850D6B" w:rsidRPr="007F650B">
        <w:rPr>
          <w:lang w:val="es-ES"/>
        </w:rPr>
        <w:t>, G.9973, G.9977</w:t>
      </w:r>
      <w:r w:rsidRPr="007F650B">
        <w:rPr>
          <w:lang w:val="es-ES"/>
        </w:rPr>
        <w:t xml:space="preserve"> y G.9979.</w:t>
      </w:r>
    </w:p>
    <w:p w:rsidR="006000C8" w:rsidRPr="007F650B" w:rsidRDefault="00740D02" w:rsidP="00850D6B">
      <w:pPr>
        <w:rPr>
          <w:lang w:val="es-ES"/>
        </w:rPr>
      </w:pPr>
      <w:r w:rsidRPr="007F650B">
        <w:rPr>
          <w:lang w:val="es-ES"/>
        </w:rPr>
        <w:t>Esta Cuestión se dirige a proveedores de tecnología, vendedores de microcircuitos, vendedores de equipos</w:t>
      </w:r>
      <w:r w:rsidR="00850D6B" w:rsidRPr="007F650B">
        <w:rPr>
          <w:lang w:val="es-ES"/>
        </w:rPr>
        <w:t>, operadores de cable</w:t>
      </w:r>
      <w:r w:rsidRPr="007F650B">
        <w:rPr>
          <w:lang w:val="es-ES"/>
        </w:rPr>
        <w:t xml:space="preserve"> y proveedores de servicio activos en la oferta de redes de banda ancha en los locales del cliente. Esta Cuestión se dirige a un público global para propiciar un enfoque unificado en lo relativo a las redes de banda ancha en los locales del cliente.</w:t>
      </w:r>
    </w:p>
    <w:p w:rsidR="006000C8" w:rsidRPr="007F650B" w:rsidRDefault="00740D02" w:rsidP="007A44D7">
      <w:pPr>
        <w:pStyle w:val="Headingb0"/>
        <w:rPr>
          <w:bdr w:val="none" w:sz="0" w:space="0" w:color="auto" w:frame="1"/>
          <w:lang w:val="es-ES"/>
        </w:rPr>
      </w:pPr>
      <w:r w:rsidRPr="007F650B">
        <w:rPr>
          <w:bdr w:val="none" w:sz="0" w:space="0" w:color="auto" w:frame="1"/>
          <w:lang w:val="es-ES"/>
        </w:rPr>
        <w:t>Cuestión</w:t>
      </w:r>
    </w:p>
    <w:p w:rsidR="00126038" w:rsidRPr="007F650B" w:rsidRDefault="00126038" w:rsidP="00821B85">
      <w:pPr>
        <w:rPr>
          <w:lang w:val="es-ES"/>
        </w:rPr>
      </w:pPr>
      <w:r w:rsidRPr="007F650B">
        <w:rPr>
          <w:lang w:val="es-ES"/>
        </w:rPr>
        <w:t xml:space="preserve">¿Qué características de calidad de funcionamiento deben poseer </w:t>
      </w:r>
      <w:r w:rsidR="00266EC2">
        <w:rPr>
          <w:lang w:val="es-ES"/>
        </w:rPr>
        <w:t>las r</w:t>
      </w:r>
      <w:r w:rsidR="00850D6B" w:rsidRPr="007F650B">
        <w:rPr>
          <w:lang w:val="es-ES"/>
        </w:rPr>
        <w:t>edes de banda ancha en los locales del cliente</w:t>
      </w:r>
      <w:r w:rsidRPr="007F650B">
        <w:rPr>
          <w:lang w:val="es-ES"/>
        </w:rPr>
        <w:t xml:space="preserve"> para transportar satisfactoriamente trenes de datos asociados con servicios específicos, teniendo en cuenta que esos trenes pasan </w:t>
      </w:r>
      <w:r w:rsidR="00850D6B" w:rsidRPr="007F650B">
        <w:rPr>
          <w:lang w:val="es-ES"/>
        </w:rPr>
        <w:t>de</w:t>
      </w:r>
      <w:r w:rsidRPr="007F650B">
        <w:rPr>
          <w:lang w:val="es-ES"/>
        </w:rPr>
        <w:t xml:space="preserve"> la red de acceso </w:t>
      </w:r>
      <w:r w:rsidR="00850D6B" w:rsidRPr="007F650B">
        <w:rPr>
          <w:lang w:val="es-ES"/>
        </w:rPr>
        <w:t>a</w:t>
      </w:r>
      <w:r w:rsidRPr="007F650B">
        <w:rPr>
          <w:lang w:val="es-ES"/>
        </w:rPr>
        <w:t xml:space="preserve"> la red residencial, y a través de la red residencial al dispositivo terminal?</w:t>
      </w:r>
    </w:p>
    <w:p w:rsidR="00126038" w:rsidRPr="007F650B" w:rsidRDefault="00740D02" w:rsidP="00821B85">
      <w:pPr>
        <w:rPr>
          <w:lang w:val="es-ES"/>
        </w:rPr>
      </w:pPr>
      <w:r w:rsidRPr="007F650B">
        <w:rPr>
          <w:lang w:val="es-ES"/>
        </w:rPr>
        <w:t>¿Qué mejoras habrá que introducir en las Recomendaciones G.9951 a G.9954, G.9960 a G.9964, G.9972</w:t>
      </w:r>
      <w:r w:rsidR="00126038" w:rsidRPr="007F650B">
        <w:rPr>
          <w:lang w:val="es-ES"/>
        </w:rPr>
        <w:t>, G.9973, G.9977</w:t>
      </w:r>
      <w:r w:rsidR="007A44D7">
        <w:rPr>
          <w:lang w:val="es-ES"/>
        </w:rPr>
        <w:t xml:space="preserve"> y G.9979</w:t>
      </w:r>
      <w:r w:rsidR="00EB14B4">
        <w:rPr>
          <w:lang w:val="es-ES"/>
        </w:rPr>
        <w:t>:</w:t>
      </w:r>
    </w:p>
    <w:p w:rsidR="00126038" w:rsidRPr="007F650B" w:rsidRDefault="00126038" w:rsidP="007A44D7">
      <w:pPr>
        <w:pStyle w:val="enumlev1"/>
        <w:rPr>
          <w:lang w:val="es-ES"/>
        </w:rPr>
      </w:pPr>
      <w:r w:rsidRPr="007F650B">
        <w:rPr>
          <w:lang w:val="es-ES"/>
        </w:rPr>
        <w:t>•</w:t>
      </w:r>
      <w:r w:rsidRPr="007F650B">
        <w:rPr>
          <w:lang w:val="es-ES"/>
        </w:rPr>
        <w:tab/>
      </w:r>
      <w:r w:rsidR="00740D02" w:rsidRPr="007F650B">
        <w:rPr>
          <w:lang w:val="es-ES"/>
        </w:rPr>
        <w:t>habida cuenta de la experiencia adquirida en el diseño e instalación de redes y de la evolución de los requisitos del servicio?</w:t>
      </w:r>
    </w:p>
    <w:p w:rsidR="006000C8" w:rsidRPr="007F650B" w:rsidRDefault="00126038" w:rsidP="007A44D7">
      <w:pPr>
        <w:pStyle w:val="enumlev1"/>
        <w:rPr>
          <w:lang w:val="es-ES"/>
        </w:rPr>
      </w:pPr>
      <w:r w:rsidRPr="007F650B">
        <w:rPr>
          <w:lang w:val="es-ES"/>
        </w:rPr>
        <w:t>•</w:t>
      </w:r>
      <w:r w:rsidRPr="007F650B">
        <w:rPr>
          <w:lang w:val="es-ES"/>
        </w:rPr>
        <w:tab/>
      </w:r>
      <w:r w:rsidR="00740D02" w:rsidRPr="007F650B">
        <w:rPr>
          <w:lang w:val="es-ES"/>
        </w:rPr>
        <w:t>para optimizar el transporte de servicios por IP?</w:t>
      </w:r>
    </w:p>
    <w:p w:rsidR="00740D02" w:rsidRPr="007F650B" w:rsidRDefault="00740D02" w:rsidP="00821B85">
      <w:pPr>
        <w:rPr>
          <w:lang w:val="es-ES"/>
        </w:rPr>
      </w:pPr>
      <w:r w:rsidRPr="007F650B">
        <w:rPr>
          <w:lang w:val="es-ES"/>
        </w:rPr>
        <w:t>¿Qué nuevas Recomendaciones, o revisiones de las Recomendaci</w:t>
      </w:r>
      <w:r w:rsidR="007A44D7">
        <w:rPr>
          <w:lang w:val="es-ES"/>
        </w:rPr>
        <w:t>ones existentes, son necesarias</w:t>
      </w:r>
      <w:r w:rsidR="00EB14B4">
        <w:rPr>
          <w:lang w:val="es-ES"/>
        </w:rPr>
        <w:t>:</w:t>
      </w:r>
    </w:p>
    <w:p w:rsidR="00740D02" w:rsidRPr="007F650B" w:rsidRDefault="00126038" w:rsidP="007A44D7">
      <w:pPr>
        <w:pStyle w:val="enumlev1"/>
        <w:rPr>
          <w:lang w:val="es-ES"/>
        </w:rPr>
      </w:pPr>
      <w:r w:rsidRPr="007F650B">
        <w:rPr>
          <w:szCs w:val="24"/>
          <w:lang w:val="es-ES"/>
        </w:rPr>
        <w:t>•</w:t>
      </w:r>
      <w:r w:rsidR="00740D02" w:rsidRPr="007F650B">
        <w:rPr>
          <w:szCs w:val="24"/>
          <w:lang w:val="es-ES"/>
        </w:rPr>
        <w:tab/>
      </w:r>
      <w:r w:rsidR="00740D02" w:rsidRPr="007F650B">
        <w:rPr>
          <w:lang w:val="es-ES"/>
        </w:rPr>
        <w:t xml:space="preserve">sobre transceptores de banda ancha para redes ubicadas en los locales del cliente y que utilizan medios diversos, como cables de líneas telefónicas, coaxiales, de datos (por </w:t>
      </w:r>
      <w:proofErr w:type="gramStart"/>
      <w:r w:rsidR="00740D02" w:rsidRPr="007F650B">
        <w:rPr>
          <w:lang w:val="es-ES"/>
        </w:rPr>
        <w:t>ejemplo</w:t>
      </w:r>
      <w:proofErr w:type="gramEnd"/>
      <w:r w:rsidR="00740D02" w:rsidRPr="007F650B">
        <w:rPr>
          <w:lang w:val="es-ES"/>
        </w:rPr>
        <w:t xml:space="preserve"> CAT5), eléctricos y de fibra óptica plástica?</w:t>
      </w:r>
    </w:p>
    <w:p w:rsidR="00740D02" w:rsidRPr="007F650B" w:rsidRDefault="00126038" w:rsidP="007A44D7">
      <w:pPr>
        <w:pStyle w:val="enumlev1"/>
        <w:rPr>
          <w:lang w:val="es-ES"/>
        </w:rPr>
      </w:pPr>
      <w:r w:rsidRPr="007F650B">
        <w:rPr>
          <w:lang w:val="es-ES"/>
        </w:rPr>
        <w:t>•</w:t>
      </w:r>
      <w:r w:rsidR="00740D02" w:rsidRPr="007F650B">
        <w:rPr>
          <w:lang w:val="es-ES"/>
        </w:rPr>
        <w:tab/>
        <w:t>sobre transceptores de banda ancha para redes en los locales del cliente mediante comunicación con luz visible (VLC)?</w:t>
      </w:r>
    </w:p>
    <w:p w:rsidR="00740D02" w:rsidRPr="007F650B" w:rsidRDefault="00126038" w:rsidP="007A44D7">
      <w:pPr>
        <w:pStyle w:val="enumlev1"/>
        <w:rPr>
          <w:lang w:val="es-ES"/>
        </w:rPr>
      </w:pPr>
      <w:r w:rsidRPr="007F650B">
        <w:rPr>
          <w:lang w:val="es-ES"/>
        </w:rPr>
        <w:t>•</w:t>
      </w:r>
      <w:r w:rsidR="00740D02" w:rsidRPr="007F650B">
        <w:rPr>
          <w:lang w:val="es-ES"/>
        </w:rPr>
        <w:tab/>
        <w:t>para realizar pruebas en la línea?</w:t>
      </w:r>
    </w:p>
    <w:p w:rsidR="00740D02" w:rsidRPr="007F650B" w:rsidRDefault="00126038" w:rsidP="007A44D7">
      <w:pPr>
        <w:pStyle w:val="enumlev1"/>
        <w:rPr>
          <w:lang w:val="es-ES"/>
        </w:rPr>
      </w:pPr>
      <w:r w:rsidRPr="007F650B">
        <w:rPr>
          <w:lang w:val="es-ES"/>
        </w:rPr>
        <w:t>•</w:t>
      </w:r>
      <w:r w:rsidR="00740D02" w:rsidRPr="007F650B">
        <w:rPr>
          <w:lang w:val="es-ES"/>
        </w:rPr>
        <w:tab/>
        <w:t>para alcanzar mayores velocidades binarias mediante MIMO?</w:t>
      </w:r>
    </w:p>
    <w:p w:rsidR="00740D02" w:rsidRPr="007F650B" w:rsidRDefault="00126038" w:rsidP="007A44D7">
      <w:pPr>
        <w:pStyle w:val="enumlev1"/>
        <w:rPr>
          <w:lang w:val="es-ES"/>
        </w:rPr>
      </w:pPr>
      <w:r w:rsidRPr="007F650B">
        <w:rPr>
          <w:lang w:val="es-ES"/>
        </w:rPr>
        <w:t>•</w:t>
      </w:r>
      <w:r w:rsidR="00740D02" w:rsidRPr="007F650B">
        <w:rPr>
          <w:lang w:val="es-ES"/>
        </w:rPr>
        <w:tab/>
        <w:t>para permitir el transporte de protocolos de capa superior?</w:t>
      </w:r>
    </w:p>
    <w:p w:rsidR="00740D02" w:rsidRPr="007F650B" w:rsidRDefault="00126038" w:rsidP="007A44D7">
      <w:pPr>
        <w:pStyle w:val="enumlev1"/>
        <w:rPr>
          <w:lang w:val="es-ES"/>
        </w:rPr>
      </w:pPr>
      <w:r w:rsidRPr="007F650B">
        <w:rPr>
          <w:lang w:val="es-ES"/>
        </w:rPr>
        <w:t>•</w:t>
      </w:r>
      <w:r w:rsidR="00740D02" w:rsidRPr="007F650B">
        <w:rPr>
          <w:lang w:val="es-ES"/>
        </w:rPr>
        <w:tab/>
        <w:t>para optimizar la calidad percibida del usuario final?</w:t>
      </w:r>
    </w:p>
    <w:p w:rsidR="00740D02" w:rsidRPr="007F650B" w:rsidRDefault="003600A8" w:rsidP="007A44D7">
      <w:pPr>
        <w:pStyle w:val="enumlev1"/>
        <w:rPr>
          <w:lang w:val="es-ES"/>
        </w:rPr>
      </w:pPr>
      <w:r w:rsidRPr="003600A8">
        <w:rPr>
          <w:lang w:val="es-ES"/>
        </w:rPr>
        <w:t>•</w:t>
      </w:r>
      <w:r w:rsidR="00740D02" w:rsidRPr="007F650B">
        <w:rPr>
          <w:lang w:val="es-ES"/>
        </w:rPr>
        <w:tab/>
        <w:t>para proporcionar admisión segura a una red en los locales del cliente?</w:t>
      </w:r>
    </w:p>
    <w:p w:rsidR="00740D02" w:rsidRPr="007F650B" w:rsidRDefault="00126038" w:rsidP="007A44D7">
      <w:pPr>
        <w:pStyle w:val="enumlev1"/>
        <w:rPr>
          <w:lang w:val="es-ES"/>
        </w:rPr>
      </w:pPr>
      <w:r w:rsidRPr="007F650B">
        <w:rPr>
          <w:lang w:val="es-ES"/>
        </w:rPr>
        <w:t>•</w:t>
      </w:r>
      <w:r w:rsidR="00740D02" w:rsidRPr="007F650B">
        <w:rPr>
          <w:lang w:val="es-ES"/>
        </w:rPr>
        <w:tab/>
        <w:t>para facilitar la coexistencia entre varias tecnologías que comparten el mismo espectro?</w:t>
      </w:r>
    </w:p>
    <w:p w:rsidR="00740D02" w:rsidRPr="007F650B" w:rsidRDefault="00126038" w:rsidP="007A44D7">
      <w:pPr>
        <w:pStyle w:val="enumlev1"/>
        <w:rPr>
          <w:lang w:val="es-ES"/>
        </w:rPr>
      </w:pPr>
      <w:r w:rsidRPr="007F650B">
        <w:rPr>
          <w:lang w:val="es-ES"/>
        </w:rPr>
        <w:t>•</w:t>
      </w:r>
      <w:r w:rsidR="00740D02" w:rsidRPr="007F650B">
        <w:rPr>
          <w:lang w:val="es-ES"/>
        </w:rPr>
        <w:tab/>
        <w:t xml:space="preserve">para facilitar la comunicación entre dominios entre diferentes medios a fin de optimizar la selección del trayecto de entrega para los datos y garantizar la </w:t>
      </w:r>
      <w:proofErr w:type="spellStart"/>
      <w:r w:rsidR="00740D02" w:rsidRPr="007F650B">
        <w:rPr>
          <w:lang w:val="es-ES"/>
        </w:rPr>
        <w:t>QoS</w:t>
      </w:r>
      <w:proofErr w:type="spellEnd"/>
      <w:r w:rsidR="00740D02" w:rsidRPr="007F650B">
        <w:rPr>
          <w:lang w:val="es-ES"/>
        </w:rPr>
        <w:t xml:space="preserve"> </w:t>
      </w:r>
      <w:r w:rsidR="006111FA" w:rsidRPr="007F650B">
        <w:rPr>
          <w:lang w:val="es-ES"/>
        </w:rPr>
        <w:t xml:space="preserve">y la </w:t>
      </w:r>
      <w:proofErr w:type="spellStart"/>
      <w:r w:rsidR="006111FA" w:rsidRPr="007F650B">
        <w:rPr>
          <w:lang w:val="es-ES"/>
        </w:rPr>
        <w:t>QoE</w:t>
      </w:r>
      <w:proofErr w:type="spellEnd"/>
      <w:r w:rsidR="006111FA" w:rsidRPr="007F650B">
        <w:rPr>
          <w:lang w:val="es-ES"/>
        </w:rPr>
        <w:t xml:space="preserve"> </w:t>
      </w:r>
      <w:r w:rsidR="00D00891" w:rsidRPr="007F650B">
        <w:rPr>
          <w:lang w:val="es-ES"/>
        </w:rPr>
        <w:t xml:space="preserve">de </w:t>
      </w:r>
      <w:r w:rsidR="00740D02" w:rsidRPr="007F650B">
        <w:rPr>
          <w:lang w:val="es-ES"/>
        </w:rPr>
        <w:t>extremo a extremo?</w:t>
      </w:r>
    </w:p>
    <w:p w:rsidR="00126038" w:rsidRPr="007F650B" w:rsidRDefault="00126038" w:rsidP="007A44D7">
      <w:pPr>
        <w:pStyle w:val="enumlev1"/>
        <w:rPr>
          <w:lang w:val="es-ES"/>
        </w:rPr>
      </w:pPr>
      <w:r w:rsidRPr="007F650B">
        <w:rPr>
          <w:lang w:val="es-ES"/>
        </w:rPr>
        <w:t>•</w:t>
      </w:r>
      <w:r w:rsidR="00740D02" w:rsidRPr="007F650B">
        <w:rPr>
          <w:lang w:val="es-ES"/>
        </w:rPr>
        <w:tab/>
        <w:t>para apoyar los mecanismos de sincronización temporal necesarios para la entrega de la señal de audio/vídeo?</w:t>
      </w:r>
    </w:p>
    <w:p w:rsidR="002C4E80" w:rsidRPr="007F650B" w:rsidRDefault="00740D02" w:rsidP="003600A8">
      <w:pPr>
        <w:rPr>
          <w:lang w:val="es-ES"/>
        </w:rPr>
      </w:pPr>
      <w:r w:rsidRPr="007F650B">
        <w:rPr>
          <w:lang w:val="es-ES"/>
        </w:rPr>
        <w:t>¿Qué mejoras</w:t>
      </w:r>
      <w:r w:rsidR="00EB14B4">
        <w:rPr>
          <w:lang w:val="es-ES"/>
        </w:rPr>
        <w:t>:</w:t>
      </w:r>
    </w:p>
    <w:p w:rsidR="006000C8" w:rsidRPr="007F650B" w:rsidRDefault="002C4E80" w:rsidP="003600A8">
      <w:pPr>
        <w:pStyle w:val="enumlev1"/>
        <w:rPr>
          <w:lang w:val="es-ES"/>
        </w:rPr>
      </w:pPr>
      <w:r w:rsidRPr="007F650B">
        <w:rPr>
          <w:szCs w:val="24"/>
          <w:lang w:val="es-ES"/>
        </w:rPr>
        <w:t>•</w:t>
      </w:r>
      <w:r w:rsidRPr="007F650B">
        <w:rPr>
          <w:szCs w:val="24"/>
          <w:lang w:val="es-ES"/>
        </w:rPr>
        <w:tab/>
      </w:r>
      <w:r w:rsidR="00740D02" w:rsidRPr="007F650B">
        <w:rPr>
          <w:lang w:val="es-ES"/>
        </w:rPr>
        <w:t>son necesarias en las Recomendaciones existentes para, directa o indirectamente, obtener un ahorro de energía en la industria de las tecnologías de la información y la comunicación (TIC) o en otras industrias?</w:t>
      </w:r>
    </w:p>
    <w:p w:rsidR="002C4E80" w:rsidRPr="007F650B" w:rsidRDefault="002C4E80" w:rsidP="003600A8">
      <w:pPr>
        <w:pStyle w:val="enumlev1"/>
        <w:rPr>
          <w:lang w:val="es-ES"/>
        </w:rPr>
      </w:pPr>
      <w:r w:rsidRPr="007F650B">
        <w:rPr>
          <w:lang w:val="es-ES"/>
        </w:rPr>
        <w:t>•</w:t>
      </w:r>
      <w:r w:rsidRPr="007F650B">
        <w:rPr>
          <w:lang w:val="es-ES"/>
        </w:rPr>
        <w:tab/>
        <w:t>son necesarias en las Recomendaciones nuevas o que se están elaborando para lograr dicho ahorro de energía?</w:t>
      </w:r>
    </w:p>
    <w:p w:rsidR="00740D02" w:rsidRPr="007F650B" w:rsidRDefault="006111FA" w:rsidP="003600A8">
      <w:pPr>
        <w:rPr>
          <w:lang w:val="es-ES"/>
        </w:rPr>
      </w:pPr>
      <w:bookmarkStart w:id="8" w:name="lt_pId110"/>
      <w:r w:rsidRPr="007F650B">
        <w:rPr>
          <w:lang w:val="es-ES"/>
        </w:rPr>
        <w:t>¿Qué mecanismos</w:t>
      </w:r>
      <w:bookmarkEnd w:id="8"/>
      <w:r w:rsidR="00EB14B4">
        <w:rPr>
          <w:lang w:val="es-ES"/>
        </w:rPr>
        <w:t>:</w:t>
      </w:r>
    </w:p>
    <w:p w:rsidR="00740D02" w:rsidRPr="003600A8" w:rsidRDefault="003600A8" w:rsidP="003600A8">
      <w:pPr>
        <w:pStyle w:val="enumlev1"/>
        <w:rPr>
          <w:lang w:val="es-ES"/>
        </w:rPr>
      </w:pPr>
      <w:r w:rsidRPr="003600A8">
        <w:rPr>
          <w:szCs w:val="24"/>
          <w:lang w:val="es-ES"/>
        </w:rPr>
        <w:t>•</w:t>
      </w:r>
      <w:r>
        <w:rPr>
          <w:szCs w:val="24"/>
          <w:lang w:val="es-ES"/>
        </w:rPr>
        <w:tab/>
      </w:r>
      <w:r w:rsidR="006111FA" w:rsidRPr="007F650B">
        <w:rPr>
          <w:szCs w:val="24"/>
          <w:lang w:val="es-ES"/>
        </w:rPr>
        <w:t xml:space="preserve">de </w:t>
      </w:r>
      <w:r w:rsidR="002C4E80" w:rsidRPr="007F650B">
        <w:rPr>
          <w:szCs w:val="24"/>
          <w:lang w:val="es-ES"/>
        </w:rPr>
        <w:t xml:space="preserve">gestión </w:t>
      </w:r>
      <w:r w:rsidR="002C4E80" w:rsidRPr="003600A8">
        <w:rPr>
          <w:lang w:val="es-ES"/>
        </w:rPr>
        <w:t xml:space="preserve">de red deben utilizarse para </w:t>
      </w:r>
      <w:r w:rsidR="006111FA" w:rsidRPr="003600A8">
        <w:rPr>
          <w:lang w:val="es-ES"/>
        </w:rPr>
        <w:t>establecer</w:t>
      </w:r>
      <w:r w:rsidR="002C4E80" w:rsidRPr="003600A8">
        <w:rPr>
          <w:lang w:val="es-ES"/>
        </w:rPr>
        <w:t xml:space="preserve"> nuevos servicios </w:t>
      </w:r>
      <w:r w:rsidR="006111FA" w:rsidRPr="003600A8">
        <w:rPr>
          <w:lang w:val="es-ES"/>
        </w:rPr>
        <w:t xml:space="preserve">avanzados </w:t>
      </w:r>
      <w:r w:rsidR="002C4E80" w:rsidRPr="003600A8">
        <w:rPr>
          <w:lang w:val="es-ES"/>
        </w:rPr>
        <w:t xml:space="preserve">basados en la red </w:t>
      </w:r>
      <w:r w:rsidR="00266EC2" w:rsidRPr="003600A8">
        <w:rPr>
          <w:lang w:val="es-ES"/>
        </w:rPr>
        <w:t>para los</w:t>
      </w:r>
      <w:r w:rsidR="002C4E80" w:rsidRPr="003600A8">
        <w:rPr>
          <w:lang w:val="es-ES"/>
        </w:rPr>
        <w:t xml:space="preserve"> dispositivos conectados a la red </w:t>
      </w:r>
      <w:r w:rsidR="006111FA" w:rsidRPr="003600A8">
        <w:rPr>
          <w:lang w:val="es-ES"/>
        </w:rPr>
        <w:t>de banda ancha en los locales del cliente</w:t>
      </w:r>
      <w:r w:rsidR="002C4E80" w:rsidRPr="003600A8">
        <w:rPr>
          <w:lang w:val="es-ES"/>
        </w:rPr>
        <w:t>?</w:t>
      </w:r>
    </w:p>
    <w:p w:rsidR="00740D02" w:rsidRPr="003600A8" w:rsidRDefault="003600A8" w:rsidP="003600A8">
      <w:pPr>
        <w:pStyle w:val="enumlev1"/>
        <w:rPr>
          <w:lang w:val="es-ES"/>
        </w:rPr>
      </w:pPr>
      <w:r w:rsidRPr="003600A8">
        <w:rPr>
          <w:szCs w:val="24"/>
          <w:lang w:val="es-ES"/>
        </w:rPr>
        <w:t>•</w:t>
      </w:r>
      <w:r>
        <w:rPr>
          <w:lang w:val="es-ES"/>
        </w:rPr>
        <w:tab/>
      </w:r>
      <w:r w:rsidR="006111FA" w:rsidRPr="003600A8">
        <w:rPr>
          <w:lang w:val="es-ES"/>
        </w:rPr>
        <w:t xml:space="preserve">de </w:t>
      </w:r>
      <w:r w:rsidR="002C4E80" w:rsidRPr="003600A8">
        <w:rPr>
          <w:lang w:val="es-ES"/>
        </w:rPr>
        <w:t xml:space="preserve">gestión de aplicación deben utilizarse para </w:t>
      </w:r>
      <w:r w:rsidR="004C0F11" w:rsidRPr="003600A8">
        <w:rPr>
          <w:lang w:val="es-ES"/>
        </w:rPr>
        <w:t>proporcionar</w:t>
      </w:r>
      <w:r w:rsidR="002C4E80" w:rsidRPr="003600A8">
        <w:rPr>
          <w:lang w:val="es-ES"/>
        </w:rPr>
        <w:t xml:space="preserve"> aplicaciones avanzadas a los dispositivos conectados a la red </w:t>
      </w:r>
      <w:r w:rsidR="004C0F11" w:rsidRPr="003600A8">
        <w:rPr>
          <w:lang w:val="es-ES"/>
        </w:rPr>
        <w:t>de banda ancha en los locales del cliente</w:t>
      </w:r>
      <w:r w:rsidR="002C4E80" w:rsidRPr="003600A8">
        <w:rPr>
          <w:lang w:val="es-ES"/>
        </w:rPr>
        <w:t>?</w:t>
      </w:r>
    </w:p>
    <w:p w:rsidR="00740D02" w:rsidRPr="003600A8" w:rsidRDefault="003600A8" w:rsidP="003600A8">
      <w:pPr>
        <w:pStyle w:val="enumlev1"/>
        <w:rPr>
          <w:lang w:val="es-ES"/>
        </w:rPr>
      </w:pPr>
      <w:r w:rsidRPr="003600A8">
        <w:rPr>
          <w:szCs w:val="24"/>
          <w:lang w:val="es-ES"/>
        </w:rPr>
        <w:t>•</w:t>
      </w:r>
      <w:r>
        <w:rPr>
          <w:lang w:val="es-ES"/>
        </w:rPr>
        <w:tab/>
      </w:r>
      <w:r w:rsidR="006111FA" w:rsidRPr="003600A8">
        <w:rPr>
          <w:lang w:val="es-ES"/>
        </w:rPr>
        <w:t xml:space="preserve">de </w:t>
      </w:r>
      <w:r w:rsidR="002C4E80" w:rsidRPr="003600A8">
        <w:rPr>
          <w:lang w:val="es-ES"/>
        </w:rPr>
        <w:t xml:space="preserve">seguridad deben utilizarse para </w:t>
      </w:r>
      <w:r w:rsidR="004C0F11" w:rsidRPr="003600A8">
        <w:rPr>
          <w:lang w:val="es-ES"/>
        </w:rPr>
        <w:t>facilitar</w:t>
      </w:r>
      <w:r w:rsidR="002C4E80" w:rsidRPr="003600A8">
        <w:rPr>
          <w:lang w:val="es-ES"/>
        </w:rPr>
        <w:t xml:space="preserve"> protección a la red </w:t>
      </w:r>
      <w:r w:rsidR="004C0F11" w:rsidRPr="003600A8">
        <w:rPr>
          <w:lang w:val="es-ES"/>
        </w:rPr>
        <w:t>de banda ancha en los locales del cliente</w:t>
      </w:r>
      <w:r w:rsidR="002C4E80" w:rsidRPr="003600A8">
        <w:rPr>
          <w:lang w:val="es-ES"/>
        </w:rPr>
        <w:t>?</w:t>
      </w:r>
    </w:p>
    <w:p w:rsidR="00740D02" w:rsidRPr="003600A8" w:rsidRDefault="003600A8" w:rsidP="003600A8">
      <w:pPr>
        <w:pStyle w:val="enumlev1"/>
        <w:rPr>
          <w:lang w:val="es-ES"/>
        </w:rPr>
      </w:pPr>
      <w:r w:rsidRPr="003600A8">
        <w:rPr>
          <w:szCs w:val="24"/>
          <w:lang w:val="es-ES"/>
        </w:rPr>
        <w:t>•</w:t>
      </w:r>
      <w:r>
        <w:rPr>
          <w:lang w:val="es-ES"/>
        </w:rPr>
        <w:tab/>
      </w:r>
      <w:r w:rsidR="002C4E80" w:rsidRPr="003600A8">
        <w:rPr>
          <w:lang w:val="es-ES"/>
        </w:rPr>
        <w:t xml:space="preserve">deben emplearse para lograr una interconexión </w:t>
      </w:r>
      <w:r w:rsidR="004C0F11" w:rsidRPr="003600A8">
        <w:rPr>
          <w:lang w:val="es-ES"/>
        </w:rPr>
        <w:t>fluida</w:t>
      </w:r>
      <w:r w:rsidR="002C4E80" w:rsidRPr="003600A8">
        <w:rPr>
          <w:lang w:val="es-ES"/>
        </w:rPr>
        <w:t xml:space="preserve"> entre múltiples dispositivos en las redes </w:t>
      </w:r>
      <w:r w:rsidR="004C0F11" w:rsidRPr="003600A8">
        <w:rPr>
          <w:lang w:val="es-ES"/>
        </w:rPr>
        <w:t>de banda ancha en los locales del cliente</w:t>
      </w:r>
      <w:r w:rsidR="002C4E80" w:rsidRPr="003600A8">
        <w:rPr>
          <w:lang w:val="es-ES"/>
        </w:rPr>
        <w:t>?</w:t>
      </w:r>
    </w:p>
    <w:p w:rsidR="006000C8" w:rsidRPr="007F650B" w:rsidRDefault="003600A8" w:rsidP="003600A8">
      <w:pPr>
        <w:pStyle w:val="enumlev1"/>
        <w:rPr>
          <w:szCs w:val="24"/>
          <w:lang w:val="es-ES"/>
        </w:rPr>
      </w:pPr>
      <w:r w:rsidRPr="003600A8">
        <w:rPr>
          <w:szCs w:val="24"/>
          <w:lang w:val="es-ES"/>
        </w:rPr>
        <w:t>•</w:t>
      </w:r>
      <w:r>
        <w:rPr>
          <w:lang w:val="es-ES"/>
        </w:rPr>
        <w:tab/>
      </w:r>
      <w:r w:rsidR="002C4E80" w:rsidRPr="003600A8">
        <w:rPr>
          <w:lang w:val="es-ES"/>
        </w:rPr>
        <w:t>deben empl</w:t>
      </w:r>
      <w:r w:rsidR="002C4E80" w:rsidRPr="007F650B">
        <w:rPr>
          <w:szCs w:val="24"/>
          <w:lang w:val="es-ES"/>
        </w:rPr>
        <w:t xml:space="preserve">earse para facilitar un </w:t>
      </w:r>
      <w:r w:rsidR="004C0F11" w:rsidRPr="007F650B">
        <w:rPr>
          <w:szCs w:val="24"/>
          <w:lang w:val="es-ES"/>
        </w:rPr>
        <w:t>mantenimiento eficiente, menos complicado y reducido en las redes de banda ancha en los locales del cliente</w:t>
      </w:r>
      <w:r w:rsidR="002C4E80" w:rsidRPr="007F650B">
        <w:rPr>
          <w:szCs w:val="24"/>
          <w:lang w:val="es-ES"/>
        </w:rPr>
        <w:t>?</w:t>
      </w:r>
    </w:p>
    <w:p w:rsidR="00740D02" w:rsidRPr="007F650B" w:rsidRDefault="00740D02" w:rsidP="0005400F">
      <w:pPr>
        <w:rPr>
          <w:lang w:val="es-ES"/>
        </w:rPr>
      </w:pPr>
      <w:r w:rsidRPr="007F650B">
        <w:rPr>
          <w:lang w:val="es-ES"/>
        </w:rPr>
        <w:t>Los temas de estudio que han de considerar</w:t>
      </w:r>
      <w:r w:rsidR="004C0F11" w:rsidRPr="007F650B">
        <w:rPr>
          <w:lang w:val="es-ES"/>
        </w:rPr>
        <w:t>se</w:t>
      </w:r>
      <w:r w:rsidRPr="007F650B">
        <w:rPr>
          <w:lang w:val="es-ES"/>
        </w:rPr>
        <w:t xml:space="preserve"> son, entre otros:</w:t>
      </w:r>
    </w:p>
    <w:p w:rsidR="00740D02" w:rsidRPr="007F650B" w:rsidRDefault="0005400F" w:rsidP="0005400F">
      <w:pPr>
        <w:pStyle w:val="enumlev1"/>
        <w:rPr>
          <w:lang w:val="es-ES"/>
        </w:rPr>
      </w:pPr>
      <w:bookmarkStart w:id="9" w:name="lt_pId117"/>
      <w:r w:rsidRPr="003600A8">
        <w:rPr>
          <w:szCs w:val="24"/>
          <w:lang w:val="es-ES"/>
        </w:rPr>
        <w:t>•</w:t>
      </w:r>
      <w:r>
        <w:rPr>
          <w:lang w:val="es-ES"/>
        </w:rPr>
        <w:tab/>
      </w:r>
      <w:r w:rsidR="004C0F11" w:rsidRPr="007F650B">
        <w:rPr>
          <w:lang w:val="es-ES"/>
        </w:rPr>
        <w:t>Requis</w:t>
      </w:r>
      <w:r w:rsidR="00D00891" w:rsidRPr="007F650B">
        <w:rPr>
          <w:lang w:val="es-ES"/>
        </w:rPr>
        <w:t>i</w:t>
      </w:r>
      <w:r w:rsidR="004C0F11" w:rsidRPr="007F650B">
        <w:rPr>
          <w:lang w:val="es-ES"/>
        </w:rPr>
        <w:t xml:space="preserve">tos para </w:t>
      </w:r>
      <w:r w:rsidR="00D00891" w:rsidRPr="007F650B">
        <w:rPr>
          <w:lang w:val="es-ES"/>
        </w:rPr>
        <w:t>disponer de una capacidad de servicios avanzados en las redes de banda ancha en los locales del cliente</w:t>
      </w:r>
      <w:r w:rsidR="00740D02" w:rsidRPr="007F650B">
        <w:rPr>
          <w:lang w:val="es-ES"/>
        </w:rPr>
        <w:t>.</w:t>
      </w:r>
      <w:bookmarkEnd w:id="9"/>
    </w:p>
    <w:p w:rsidR="00740D02" w:rsidRPr="007F650B" w:rsidRDefault="0005400F" w:rsidP="0005400F">
      <w:pPr>
        <w:pStyle w:val="enumlev1"/>
        <w:rPr>
          <w:lang w:val="es-ES"/>
        </w:rPr>
      </w:pPr>
      <w:r w:rsidRPr="003600A8">
        <w:rPr>
          <w:szCs w:val="24"/>
          <w:lang w:val="es-ES"/>
        </w:rPr>
        <w:t>•</w:t>
      </w:r>
      <w:r>
        <w:rPr>
          <w:lang w:val="es-ES"/>
        </w:rPr>
        <w:tab/>
      </w:r>
      <w:r w:rsidR="00740D02" w:rsidRPr="007F650B">
        <w:rPr>
          <w:lang w:val="es-ES"/>
        </w:rPr>
        <w:t>Técnicas de modulación y transporte, herramientas para la gestión del espectro (incluida la gestión dinámica del espectro), entornos reales con ruido, procedimientos de toma de contacto, procedimientos de prueba, procedimientos de gestión de la capa física, protocolos para la coexistencia con las PLC, técnicas de ahorro de energía.</w:t>
      </w:r>
    </w:p>
    <w:p w:rsidR="00740D02" w:rsidRPr="007F650B" w:rsidRDefault="0005400F" w:rsidP="0005400F">
      <w:pPr>
        <w:pStyle w:val="enumlev1"/>
        <w:rPr>
          <w:lang w:val="es-ES"/>
        </w:rPr>
      </w:pPr>
      <w:r w:rsidRPr="003600A8">
        <w:rPr>
          <w:szCs w:val="24"/>
          <w:lang w:val="es-ES"/>
        </w:rPr>
        <w:t>•</w:t>
      </w:r>
      <w:r>
        <w:rPr>
          <w:lang w:val="es-ES"/>
        </w:rPr>
        <w:tab/>
      </w:r>
      <w:r w:rsidR="00740D02" w:rsidRPr="007F650B">
        <w:rPr>
          <w:lang w:val="es-ES"/>
        </w:rPr>
        <w:t>Los estudios deben tomar en consideración los distintos entornos reglamentarios en todo el mundo.</w:t>
      </w:r>
    </w:p>
    <w:p w:rsidR="006000C8" w:rsidRPr="007F650B" w:rsidRDefault="0005400F" w:rsidP="0005400F">
      <w:pPr>
        <w:pStyle w:val="enumlev1"/>
        <w:rPr>
          <w:lang w:val="es-ES"/>
        </w:rPr>
      </w:pPr>
      <w:r w:rsidRPr="003600A8">
        <w:rPr>
          <w:szCs w:val="24"/>
          <w:lang w:val="es-ES"/>
        </w:rPr>
        <w:t>•</w:t>
      </w:r>
      <w:r>
        <w:rPr>
          <w:lang w:val="es-ES"/>
        </w:rPr>
        <w:tab/>
      </w:r>
      <w:r w:rsidR="00740D02" w:rsidRPr="007F650B">
        <w:rPr>
          <w:lang w:val="es-ES"/>
        </w:rPr>
        <w:t>Transceptores para técnicas de interconexión de capas superiores.</w:t>
      </w:r>
    </w:p>
    <w:p w:rsidR="00740D02" w:rsidRPr="007F650B" w:rsidRDefault="00740D02" w:rsidP="00850D6B">
      <w:pPr>
        <w:rPr>
          <w:lang w:val="es-ES"/>
        </w:rPr>
      </w:pPr>
      <w:r w:rsidRPr="007F650B">
        <w:rPr>
          <w:lang w:val="es-ES"/>
        </w:rPr>
        <w:t>Estos estudios incluirán requisitos específicos para:</w:t>
      </w:r>
    </w:p>
    <w:p w:rsidR="00740D02" w:rsidRPr="00F8768F" w:rsidRDefault="00F8768F" w:rsidP="00F8768F">
      <w:pPr>
        <w:pStyle w:val="enumlev1"/>
        <w:rPr>
          <w:lang w:val="es-ES"/>
        </w:rPr>
      </w:pPr>
      <w:r w:rsidRPr="003600A8">
        <w:rPr>
          <w:szCs w:val="24"/>
          <w:lang w:val="es-ES"/>
        </w:rPr>
        <w:t>•</w:t>
      </w:r>
      <w:r w:rsidR="00740D02" w:rsidRPr="007F650B">
        <w:rPr>
          <w:szCs w:val="24"/>
          <w:lang w:val="es-ES"/>
        </w:rPr>
        <w:tab/>
      </w:r>
      <w:r w:rsidR="00740D02" w:rsidRPr="00F8768F">
        <w:rPr>
          <w:lang w:val="es-ES"/>
        </w:rPr>
        <w:t>optimizar el transporte de servicios por IP;</w:t>
      </w:r>
    </w:p>
    <w:p w:rsidR="00740D02" w:rsidRPr="00F8768F" w:rsidRDefault="00F8768F" w:rsidP="00F8768F">
      <w:pPr>
        <w:pStyle w:val="enumlev1"/>
        <w:rPr>
          <w:lang w:val="es-ES"/>
        </w:rPr>
      </w:pPr>
      <w:r w:rsidRPr="003600A8">
        <w:rPr>
          <w:szCs w:val="24"/>
          <w:lang w:val="es-ES"/>
        </w:rPr>
        <w:t>•</w:t>
      </w:r>
      <w:r w:rsidR="00740D02" w:rsidRPr="00F8768F">
        <w:rPr>
          <w:lang w:val="es-ES"/>
        </w:rPr>
        <w:tab/>
        <w:t>optimizar el transporte de servicios por Ethernet;</w:t>
      </w:r>
    </w:p>
    <w:p w:rsidR="006000C8" w:rsidRPr="007F650B" w:rsidRDefault="00F8768F" w:rsidP="00F8768F">
      <w:pPr>
        <w:pStyle w:val="enumlev1"/>
        <w:rPr>
          <w:szCs w:val="24"/>
          <w:lang w:val="es-ES"/>
        </w:rPr>
      </w:pPr>
      <w:r w:rsidRPr="003600A8">
        <w:rPr>
          <w:szCs w:val="24"/>
          <w:lang w:val="es-ES"/>
        </w:rPr>
        <w:t>•</w:t>
      </w:r>
      <w:r w:rsidR="00740D02" w:rsidRPr="00F8768F">
        <w:rPr>
          <w:lang w:val="es-ES"/>
        </w:rPr>
        <w:tab/>
        <w:t>apoyar la gestión de sistemas de red en los locales que funcionan mediante conductores metál</w:t>
      </w:r>
      <w:r w:rsidR="00740D02" w:rsidRPr="007F650B">
        <w:rPr>
          <w:szCs w:val="24"/>
          <w:lang w:val="es-ES"/>
        </w:rPr>
        <w:t>icos.</w:t>
      </w:r>
    </w:p>
    <w:p w:rsidR="006641B4" w:rsidRDefault="006641B4">
      <w:pPr>
        <w:tabs>
          <w:tab w:val="clear" w:pos="794"/>
          <w:tab w:val="clear" w:pos="1191"/>
          <w:tab w:val="clear" w:pos="1588"/>
          <w:tab w:val="clear" w:pos="1985"/>
        </w:tabs>
        <w:overflowPunct/>
        <w:autoSpaceDE/>
        <w:autoSpaceDN/>
        <w:adjustRightInd/>
        <w:spacing w:before="0"/>
        <w:textAlignment w:val="auto"/>
        <w:rPr>
          <w:b/>
          <w:bdr w:val="none" w:sz="0" w:space="0" w:color="auto" w:frame="1"/>
          <w:lang w:val="es-ES"/>
        </w:rPr>
      </w:pPr>
      <w:r>
        <w:rPr>
          <w:bdr w:val="none" w:sz="0" w:space="0" w:color="auto" w:frame="1"/>
          <w:lang w:val="es-ES"/>
        </w:rPr>
        <w:br w:type="page"/>
      </w:r>
    </w:p>
    <w:p w:rsidR="00740D02" w:rsidRPr="007F650B" w:rsidRDefault="00740D02" w:rsidP="0093397D">
      <w:pPr>
        <w:pStyle w:val="Headingb0"/>
        <w:rPr>
          <w:bdr w:val="none" w:sz="0" w:space="0" w:color="auto" w:frame="1"/>
          <w:lang w:val="es-ES"/>
        </w:rPr>
      </w:pPr>
      <w:r w:rsidRPr="007F650B">
        <w:rPr>
          <w:bdr w:val="none" w:sz="0" w:space="0" w:color="auto" w:frame="1"/>
          <w:lang w:val="es-ES"/>
        </w:rPr>
        <w:t>Tareas</w:t>
      </w:r>
    </w:p>
    <w:p w:rsidR="00740D02" w:rsidRPr="007F650B" w:rsidRDefault="00740D02" w:rsidP="00850D6B">
      <w:pPr>
        <w:rPr>
          <w:bdr w:val="none" w:sz="0" w:space="0" w:color="auto" w:frame="1"/>
          <w:lang w:val="es-ES"/>
        </w:rPr>
      </w:pPr>
      <w:r w:rsidRPr="007F650B">
        <w:rPr>
          <w:bdr w:val="none" w:sz="0" w:space="0" w:color="auto" w:frame="1"/>
          <w:lang w:val="es-ES"/>
        </w:rPr>
        <w:t xml:space="preserve">Las </w:t>
      </w:r>
      <w:r w:rsidRPr="0093397D">
        <w:rPr>
          <w:lang w:val="es-ES"/>
        </w:rPr>
        <w:t>tareas</w:t>
      </w:r>
      <w:r w:rsidRPr="007F650B">
        <w:rPr>
          <w:bdr w:val="none" w:sz="0" w:space="0" w:color="auto" w:frame="1"/>
          <w:lang w:val="es-ES"/>
        </w:rPr>
        <w:t xml:space="preserve"> son, entre otras:</w:t>
      </w:r>
    </w:p>
    <w:p w:rsidR="006000C8" w:rsidRPr="007F650B" w:rsidRDefault="0093397D" w:rsidP="0093397D">
      <w:pPr>
        <w:pStyle w:val="enumlev1"/>
        <w:rPr>
          <w:lang w:val="es-ES"/>
        </w:rPr>
      </w:pPr>
      <w:r w:rsidRPr="003600A8">
        <w:rPr>
          <w:szCs w:val="24"/>
          <w:lang w:val="es-ES"/>
        </w:rPr>
        <w:t>•</w:t>
      </w:r>
      <w:r>
        <w:rPr>
          <w:lang w:val="es-ES"/>
        </w:rPr>
        <w:tab/>
      </w:r>
      <w:r w:rsidR="00740D02" w:rsidRPr="0093397D">
        <w:rPr>
          <w:lang w:val="es-ES"/>
        </w:rPr>
        <w:t>Mantenimiento</w:t>
      </w:r>
      <w:r w:rsidR="00740D02" w:rsidRPr="007F650B">
        <w:rPr>
          <w:bdr w:val="none" w:sz="0" w:space="0" w:color="auto" w:frame="1"/>
          <w:lang w:val="es-ES"/>
        </w:rPr>
        <w:t xml:space="preserve"> y mejora de las Recomendaciones existentes </w:t>
      </w:r>
      <w:r w:rsidR="004A141F">
        <w:rPr>
          <w:bdr w:val="none" w:sz="0" w:space="0" w:color="auto" w:frame="1"/>
          <w:lang w:val="es-ES"/>
        </w:rPr>
        <w:t xml:space="preserve">de J.190 a J.192, </w:t>
      </w:r>
      <w:r w:rsidR="00740D02" w:rsidRPr="007F650B">
        <w:rPr>
          <w:bdr w:val="none" w:sz="0" w:space="0" w:color="auto" w:frame="1"/>
          <w:lang w:val="es-ES"/>
        </w:rPr>
        <w:t>G.9951 a</w:t>
      </w:r>
      <w:r>
        <w:rPr>
          <w:bdr w:val="none" w:sz="0" w:space="0" w:color="auto" w:frame="1"/>
          <w:lang w:val="es-ES"/>
        </w:rPr>
        <w:t> </w:t>
      </w:r>
      <w:r w:rsidR="00740D02" w:rsidRPr="007F650B">
        <w:rPr>
          <w:bdr w:val="none" w:sz="0" w:space="0" w:color="auto" w:frame="1"/>
          <w:lang w:val="es-ES"/>
        </w:rPr>
        <w:t>G.9954, G.9960 a G.9964, G.9972</w:t>
      </w:r>
      <w:r w:rsidR="004A141F">
        <w:rPr>
          <w:bdr w:val="none" w:sz="0" w:space="0" w:color="auto" w:frame="1"/>
          <w:lang w:val="es-ES"/>
        </w:rPr>
        <w:t>,</w:t>
      </w:r>
      <w:r w:rsidR="004A141F" w:rsidRPr="004A141F">
        <w:t xml:space="preserve"> </w:t>
      </w:r>
      <w:r w:rsidR="004A141F" w:rsidRPr="004A141F">
        <w:rPr>
          <w:bdr w:val="none" w:sz="0" w:space="0" w:color="auto" w:frame="1"/>
          <w:lang w:val="es-ES"/>
        </w:rPr>
        <w:t xml:space="preserve">G.9973, G.9977 </w:t>
      </w:r>
      <w:r w:rsidR="00740D02" w:rsidRPr="007F650B">
        <w:rPr>
          <w:bdr w:val="none" w:sz="0" w:space="0" w:color="auto" w:frame="1"/>
          <w:lang w:val="es-ES"/>
        </w:rPr>
        <w:t>y G.9979 y elaboración de nuevas Recomendaciones de las series G.996x y G.997x.</w:t>
      </w:r>
    </w:p>
    <w:p w:rsidR="00740D02" w:rsidRPr="007F650B" w:rsidRDefault="0093397D" w:rsidP="0093397D">
      <w:pPr>
        <w:pStyle w:val="enumlev1"/>
        <w:rPr>
          <w:szCs w:val="24"/>
          <w:lang w:val="es-ES"/>
        </w:rPr>
      </w:pPr>
      <w:bookmarkStart w:id="10" w:name="lt_pId128"/>
      <w:r w:rsidRPr="003600A8">
        <w:rPr>
          <w:szCs w:val="24"/>
          <w:lang w:val="es-ES"/>
        </w:rPr>
        <w:t>•</w:t>
      </w:r>
      <w:r>
        <w:rPr>
          <w:szCs w:val="24"/>
          <w:lang w:val="es-ES"/>
        </w:rPr>
        <w:tab/>
      </w:r>
      <w:r w:rsidR="00D00891" w:rsidRPr="0093397D">
        <w:rPr>
          <w:lang w:val="es-ES"/>
        </w:rPr>
        <w:t>Definición</w:t>
      </w:r>
      <w:r w:rsidR="00D00891" w:rsidRPr="007F650B">
        <w:rPr>
          <w:szCs w:val="24"/>
          <w:lang w:val="es-ES"/>
        </w:rPr>
        <w:t xml:space="preserve"> de los requisitos para la prestación de servicios avanzados en los locales del cliente</w:t>
      </w:r>
      <w:bookmarkEnd w:id="10"/>
      <w:r w:rsidR="00D00891" w:rsidRPr="007F650B">
        <w:rPr>
          <w:szCs w:val="24"/>
          <w:lang w:val="es-ES"/>
        </w:rPr>
        <w:t>.</w:t>
      </w:r>
    </w:p>
    <w:p w:rsidR="006000C8" w:rsidRDefault="00740D02" w:rsidP="00821B85">
      <w:pPr>
        <w:rPr>
          <w:lang w:val="es-ES"/>
        </w:rPr>
      </w:pPr>
      <w:r w:rsidRPr="007F650B">
        <w:rPr>
          <w:lang w:val="es-ES"/>
        </w:rPr>
        <w:t xml:space="preserve">NOTA – En el </w:t>
      </w:r>
      <w:r w:rsidRPr="0093397D">
        <w:rPr>
          <w:bdr w:val="none" w:sz="0" w:space="0" w:color="auto" w:frame="1"/>
          <w:lang w:val="es-ES"/>
        </w:rPr>
        <w:t>programa</w:t>
      </w:r>
      <w:r w:rsidRPr="007F650B">
        <w:rPr>
          <w:lang w:val="es-ES"/>
        </w:rPr>
        <w:t xml:space="preserve"> de trabajo de la CE 15 se indica el estado actual del estudio de esta Cuestión en la dirección </w:t>
      </w:r>
      <w:hyperlink r:id="rId10" w:history="1">
        <w:r w:rsidR="00D00891" w:rsidRPr="007F650B">
          <w:rPr>
            <w:rStyle w:val="Hyperlink"/>
            <w:szCs w:val="24"/>
            <w:bdr w:val="none" w:sz="0" w:space="0" w:color="auto" w:frame="1"/>
            <w:lang w:val="es-ES"/>
          </w:rPr>
          <w:t>http://www.itu.int/ITU-T/workprog/wp_search.aspx?sg=15</w:t>
        </w:r>
      </w:hyperlink>
      <w:r w:rsidRPr="007F650B">
        <w:rPr>
          <w:lang w:val="es-ES"/>
        </w:rPr>
        <w:t>.</w:t>
      </w:r>
    </w:p>
    <w:p w:rsidR="0093397D" w:rsidRPr="007F650B" w:rsidRDefault="0093397D" w:rsidP="0093397D">
      <w:pPr>
        <w:rPr>
          <w:szCs w:val="24"/>
          <w:lang w:val="es-ES"/>
        </w:rPr>
      </w:pPr>
    </w:p>
    <w:p w:rsidR="006000C8" w:rsidRPr="007F650B" w:rsidRDefault="006000C8" w:rsidP="00850D6B">
      <w:pPr>
        <w:tabs>
          <w:tab w:val="clear" w:pos="794"/>
          <w:tab w:val="clear" w:pos="1191"/>
          <w:tab w:val="clear" w:pos="1588"/>
          <w:tab w:val="clear" w:pos="1985"/>
        </w:tabs>
        <w:overflowPunct/>
        <w:autoSpaceDE/>
        <w:autoSpaceDN/>
        <w:adjustRightInd/>
        <w:spacing w:before="0"/>
        <w:textAlignment w:val="auto"/>
        <w:rPr>
          <w:b/>
          <w:bCs/>
          <w:kern w:val="36"/>
          <w:szCs w:val="24"/>
          <w:lang w:val="es-ES"/>
        </w:rPr>
      </w:pPr>
      <w:r w:rsidRPr="007F650B">
        <w:rPr>
          <w:b/>
          <w:bCs/>
          <w:kern w:val="36"/>
          <w:szCs w:val="24"/>
          <w:lang w:val="es-ES"/>
        </w:rPr>
        <w:br w:type="page"/>
      </w:r>
    </w:p>
    <w:p w:rsidR="0093397D" w:rsidRDefault="001D7C2C" w:rsidP="0093397D">
      <w:pPr>
        <w:pStyle w:val="Headingb0"/>
        <w:rPr>
          <w:lang w:val="es-ES"/>
        </w:rPr>
      </w:pPr>
      <w:r w:rsidRPr="0093397D">
        <w:t>Relaciones</w:t>
      </w:r>
    </w:p>
    <w:p w:rsidR="001D7C2C" w:rsidRPr="0093397D" w:rsidRDefault="001D7C2C" w:rsidP="0093397D">
      <w:pPr>
        <w:rPr>
          <w:b/>
          <w:bCs/>
          <w:lang w:val="es-ES"/>
        </w:rPr>
      </w:pPr>
      <w:r w:rsidRPr="0093397D">
        <w:rPr>
          <w:b/>
          <w:bCs/>
          <w:lang w:val="es-ES"/>
        </w:rPr>
        <w:t>Recomendaciones:</w:t>
      </w:r>
    </w:p>
    <w:p w:rsidR="001D7C2C" w:rsidRPr="007F650B" w:rsidRDefault="001D7C2C" w:rsidP="004A141F">
      <w:pPr>
        <w:pStyle w:val="enumlev1"/>
        <w:rPr>
          <w:lang w:val="es-ES"/>
        </w:rPr>
      </w:pPr>
      <w:r w:rsidRPr="007F650B">
        <w:rPr>
          <w:lang w:val="es-ES"/>
        </w:rPr>
        <w:t>–</w:t>
      </w:r>
      <w:r w:rsidRPr="007F650B">
        <w:rPr>
          <w:lang w:val="es-ES"/>
        </w:rPr>
        <w:tab/>
        <w:t xml:space="preserve">Serie G.995x, </w:t>
      </w:r>
      <w:r w:rsidR="004A141F">
        <w:rPr>
          <w:lang w:val="es-ES"/>
        </w:rPr>
        <w:t xml:space="preserve">serie </w:t>
      </w:r>
      <w:r w:rsidRPr="007F650B">
        <w:rPr>
          <w:lang w:val="es-ES"/>
        </w:rPr>
        <w:t>G.99</w:t>
      </w:r>
      <w:r w:rsidR="00D00891" w:rsidRPr="007F650B">
        <w:rPr>
          <w:lang w:val="es-ES"/>
        </w:rPr>
        <w:t>6</w:t>
      </w:r>
      <w:r w:rsidRPr="007F650B">
        <w:rPr>
          <w:lang w:val="es-ES"/>
        </w:rPr>
        <w:t>x</w:t>
      </w:r>
      <w:r w:rsidR="004A141F">
        <w:rPr>
          <w:szCs w:val="24"/>
          <w:lang w:val="es-ES"/>
        </w:rPr>
        <w:t xml:space="preserve">, serie </w:t>
      </w:r>
      <w:r w:rsidR="004C2CE2" w:rsidRPr="007F650B">
        <w:rPr>
          <w:szCs w:val="24"/>
          <w:lang w:val="es-ES"/>
        </w:rPr>
        <w:t xml:space="preserve">G.997x, J.190 </w:t>
      </w:r>
      <w:r w:rsidR="00D00891" w:rsidRPr="007F650B">
        <w:rPr>
          <w:szCs w:val="24"/>
          <w:lang w:val="es-ES"/>
        </w:rPr>
        <w:t>a</w:t>
      </w:r>
      <w:r w:rsidR="004C2CE2" w:rsidRPr="007F650B">
        <w:rPr>
          <w:szCs w:val="24"/>
          <w:lang w:val="es-ES"/>
        </w:rPr>
        <w:t xml:space="preserve"> J.192</w:t>
      </w:r>
    </w:p>
    <w:p w:rsidR="001D7C2C" w:rsidRPr="0093397D" w:rsidRDefault="001D7C2C" w:rsidP="0093397D">
      <w:pPr>
        <w:rPr>
          <w:b/>
          <w:bCs/>
          <w:lang w:val="es-ES"/>
        </w:rPr>
      </w:pPr>
      <w:r w:rsidRPr="0093397D">
        <w:rPr>
          <w:b/>
          <w:bCs/>
          <w:lang w:val="es-ES"/>
        </w:rPr>
        <w:t>Cuestiones:</w:t>
      </w:r>
    </w:p>
    <w:p w:rsidR="001D7C2C" w:rsidRPr="00517395" w:rsidRDefault="001D7C2C" w:rsidP="0004233B">
      <w:pPr>
        <w:pStyle w:val="enumlev1"/>
      </w:pPr>
      <w:r w:rsidRPr="00517395">
        <w:t>–</w:t>
      </w:r>
      <w:r w:rsidRPr="00517395">
        <w:tab/>
      </w:r>
      <w:r w:rsidR="0004233B" w:rsidRPr="00517395">
        <w:t>1</w:t>
      </w:r>
      <w:r w:rsidRPr="00517395">
        <w:t xml:space="preserve">/15, </w:t>
      </w:r>
      <w:r w:rsidR="0004233B" w:rsidRPr="00517395">
        <w:t>2</w:t>
      </w:r>
      <w:r w:rsidRPr="00517395">
        <w:t xml:space="preserve">/15, </w:t>
      </w:r>
      <w:r w:rsidR="0004233B" w:rsidRPr="00517395">
        <w:t>4</w:t>
      </w:r>
      <w:r w:rsidRPr="00517395">
        <w:t xml:space="preserve">/15, </w:t>
      </w:r>
      <w:r w:rsidR="0004233B" w:rsidRPr="00517395">
        <w:t>15</w:t>
      </w:r>
      <w:r w:rsidRPr="00517395">
        <w:t>/15</w:t>
      </w:r>
      <w:r w:rsidR="004C2CE2" w:rsidRPr="00517395">
        <w:rPr>
          <w:szCs w:val="24"/>
        </w:rPr>
        <w:t>, 1/9, 2/9, 5/9, 6/9, 7/9, 8/9</w:t>
      </w:r>
    </w:p>
    <w:p w:rsidR="001D7C2C" w:rsidRPr="0093397D" w:rsidRDefault="001D7C2C" w:rsidP="0093397D">
      <w:pPr>
        <w:rPr>
          <w:b/>
          <w:bCs/>
          <w:lang w:val="es-ES"/>
        </w:rPr>
      </w:pPr>
      <w:r w:rsidRPr="0093397D">
        <w:rPr>
          <w:b/>
          <w:bCs/>
          <w:lang w:val="es-ES"/>
        </w:rPr>
        <w:t>Comisiones de Estudio:</w:t>
      </w:r>
    </w:p>
    <w:p w:rsidR="001D7C2C" w:rsidRPr="007F650B" w:rsidRDefault="00BE04CC" w:rsidP="007F5CA2">
      <w:pPr>
        <w:pStyle w:val="enumlev1"/>
        <w:rPr>
          <w:lang w:val="es-ES"/>
        </w:rPr>
      </w:pPr>
      <w:r w:rsidRPr="003600A8">
        <w:rPr>
          <w:szCs w:val="24"/>
          <w:lang w:val="es-ES"/>
        </w:rPr>
        <w:t>•</w:t>
      </w:r>
      <w:r w:rsidR="001D7C2C" w:rsidRPr="007F650B">
        <w:rPr>
          <w:lang w:val="es-ES"/>
        </w:rPr>
        <w:tab/>
        <w:t xml:space="preserve">CE 1 y </w:t>
      </w:r>
      <w:r w:rsidR="004A141F">
        <w:rPr>
          <w:lang w:val="es-ES"/>
        </w:rPr>
        <w:t xml:space="preserve">CE </w:t>
      </w:r>
      <w:r w:rsidR="001D7C2C" w:rsidRPr="007F650B">
        <w:rPr>
          <w:lang w:val="es-ES"/>
        </w:rPr>
        <w:t>5 del UIT-R</w:t>
      </w:r>
    </w:p>
    <w:p w:rsidR="001D7C2C" w:rsidRPr="007F650B" w:rsidRDefault="00BE04CC" w:rsidP="007F5CA2">
      <w:pPr>
        <w:pStyle w:val="enumlev1"/>
        <w:rPr>
          <w:lang w:val="es-ES"/>
        </w:rPr>
      </w:pPr>
      <w:r w:rsidRPr="003600A8">
        <w:rPr>
          <w:szCs w:val="24"/>
          <w:lang w:val="es-ES"/>
        </w:rPr>
        <w:t>•</w:t>
      </w:r>
      <w:r w:rsidR="001D7C2C" w:rsidRPr="007F650B">
        <w:rPr>
          <w:lang w:val="es-ES"/>
        </w:rPr>
        <w:tab/>
        <w:t>CE 5 del UIT-T sobre compatibilidad electromagnética y diversos temas relativos a los cables de cobre</w:t>
      </w:r>
    </w:p>
    <w:p w:rsidR="001D7C2C" w:rsidRPr="007F650B" w:rsidRDefault="00BE04CC" w:rsidP="007F5CA2">
      <w:pPr>
        <w:pStyle w:val="enumlev1"/>
        <w:rPr>
          <w:lang w:val="es-ES"/>
        </w:rPr>
      </w:pPr>
      <w:r w:rsidRPr="003600A8">
        <w:rPr>
          <w:szCs w:val="24"/>
          <w:lang w:val="es-ES"/>
        </w:rPr>
        <w:t>•</w:t>
      </w:r>
      <w:r w:rsidR="001D7C2C" w:rsidRPr="007F650B">
        <w:rPr>
          <w:lang w:val="es-ES"/>
        </w:rPr>
        <w:tab/>
        <w:t>CE 9 del UIT-T sobre el transporte de televisión y sonido</w:t>
      </w:r>
    </w:p>
    <w:p w:rsidR="001D7C2C" w:rsidRPr="007F650B" w:rsidRDefault="00BE04CC" w:rsidP="007F5CA2">
      <w:pPr>
        <w:pStyle w:val="enumlev1"/>
        <w:rPr>
          <w:lang w:val="es-ES"/>
        </w:rPr>
      </w:pPr>
      <w:r w:rsidRPr="003600A8">
        <w:rPr>
          <w:szCs w:val="24"/>
          <w:lang w:val="es-ES"/>
        </w:rPr>
        <w:t>•</w:t>
      </w:r>
      <w:r w:rsidR="001D7C2C" w:rsidRPr="007F650B">
        <w:rPr>
          <w:lang w:val="es-ES"/>
        </w:rPr>
        <w:tab/>
        <w:t>CE 16 del UIT-T sobre aspec</w:t>
      </w:r>
      <w:r w:rsidR="00C55227">
        <w:rPr>
          <w:lang w:val="es-ES"/>
        </w:rPr>
        <w:t>tos relativos a los multimedios</w:t>
      </w:r>
    </w:p>
    <w:p w:rsidR="006000C8" w:rsidRPr="007F33F0" w:rsidRDefault="001D7C2C" w:rsidP="007F33F0">
      <w:pPr>
        <w:rPr>
          <w:b/>
          <w:bCs/>
          <w:lang w:val="es-ES"/>
        </w:rPr>
      </w:pPr>
      <w:r w:rsidRPr="007F33F0">
        <w:rPr>
          <w:b/>
          <w:bCs/>
          <w:bdr w:val="none" w:sz="0" w:space="0" w:color="auto" w:frame="1"/>
          <w:lang w:val="es-ES"/>
        </w:rPr>
        <w:t>Organizaciones, foros y consorcios de normalización:</w:t>
      </w:r>
    </w:p>
    <w:p w:rsidR="001D7C2C" w:rsidRPr="007F650B" w:rsidRDefault="007F33F0" w:rsidP="007F33F0">
      <w:pPr>
        <w:pStyle w:val="enumlev1"/>
        <w:rPr>
          <w:lang w:val="es-ES"/>
        </w:rPr>
      </w:pPr>
      <w:r w:rsidRPr="003600A8">
        <w:rPr>
          <w:szCs w:val="24"/>
          <w:lang w:val="es-ES"/>
        </w:rPr>
        <w:t>•</w:t>
      </w:r>
      <w:r>
        <w:rPr>
          <w:lang w:val="es-ES"/>
        </w:rPr>
        <w:tab/>
      </w:r>
      <w:r w:rsidR="001D7C2C" w:rsidRPr="007F650B">
        <w:rPr>
          <w:lang w:val="es-ES"/>
        </w:rPr>
        <w:t>Comisión STEP de la ATIS y su subcomisión sobre eficiencia energética en las telecomunicaciones (TEE)</w:t>
      </w:r>
    </w:p>
    <w:p w:rsidR="001D7C2C" w:rsidRPr="007F650B" w:rsidRDefault="007F33F0" w:rsidP="007F33F0">
      <w:pPr>
        <w:pStyle w:val="enumlev1"/>
        <w:rPr>
          <w:lang w:val="es-ES"/>
        </w:rPr>
      </w:pPr>
      <w:r w:rsidRPr="003600A8">
        <w:rPr>
          <w:szCs w:val="24"/>
          <w:lang w:val="es-ES"/>
        </w:rPr>
        <w:t>•</w:t>
      </w:r>
      <w:r>
        <w:rPr>
          <w:lang w:val="es-ES"/>
        </w:rPr>
        <w:tab/>
      </w:r>
      <w:r w:rsidR="009D7C8A" w:rsidRPr="009D7C8A">
        <w:rPr>
          <w:lang w:val="es-ES"/>
        </w:rPr>
        <w:t>Foro de Banda Ancha</w:t>
      </w:r>
    </w:p>
    <w:p w:rsidR="001D7C2C" w:rsidRPr="007F650B" w:rsidRDefault="007F33F0" w:rsidP="007F33F0">
      <w:pPr>
        <w:pStyle w:val="enumlev1"/>
        <w:rPr>
          <w:lang w:val="es-ES"/>
        </w:rPr>
      </w:pPr>
      <w:r w:rsidRPr="003600A8">
        <w:rPr>
          <w:szCs w:val="24"/>
          <w:lang w:val="es-ES"/>
        </w:rPr>
        <w:t>•</w:t>
      </w:r>
      <w:r>
        <w:rPr>
          <w:lang w:val="es-ES"/>
        </w:rPr>
        <w:tab/>
      </w:r>
      <w:r w:rsidR="001D7C2C" w:rsidRPr="007F650B">
        <w:rPr>
          <w:lang w:val="es-ES"/>
        </w:rPr>
        <w:t>ETSI, ATTM, EE</w:t>
      </w:r>
    </w:p>
    <w:p w:rsidR="006000C8" w:rsidRPr="007F650B" w:rsidRDefault="007F33F0" w:rsidP="007F33F0">
      <w:pPr>
        <w:pStyle w:val="enumlev1"/>
        <w:rPr>
          <w:lang w:val="es-ES"/>
        </w:rPr>
      </w:pPr>
      <w:r w:rsidRPr="003600A8">
        <w:rPr>
          <w:szCs w:val="24"/>
          <w:lang w:val="es-ES"/>
        </w:rPr>
        <w:t>•</w:t>
      </w:r>
      <w:r>
        <w:rPr>
          <w:lang w:val="es-ES"/>
        </w:rPr>
        <w:tab/>
      </w:r>
      <w:r w:rsidR="001D7C2C" w:rsidRPr="007F650B">
        <w:rPr>
          <w:lang w:val="es-ES"/>
        </w:rPr>
        <w:t xml:space="preserve">Foro </w:t>
      </w:r>
      <w:proofErr w:type="spellStart"/>
      <w:r w:rsidR="001D7C2C" w:rsidRPr="007F650B">
        <w:rPr>
          <w:lang w:val="es-ES"/>
        </w:rPr>
        <w:t>HomeGrid</w:t>
      </w:r>
      <w:proofErr w:type="spellEnd"/>
    </w:p>
    <w:p w:rsidR="001D7C2C" w:rsidRPr="007F650B" w:rsidRDefault="007F33F0" w:rsidP="007F33F0">
      <w:pPr>
        <w:pStyle w:val="enumlev1"/>
        <w:rPr>
          <w:lang w:val="es-ES"/>
        </w:rPr>
      </w:pPr>
      <w:r w:rsidRPr="003600A8">
        <w:rPr>
          <w:szCs w:val="24"/>
          <w:lang w:val="es-ES"/>
        </w:rPr>
        <w:t>•</w:t>
      </w:r>
      <w:r>
        <w:rPr>
          <w:lang w:val="es-ES"/>
        </w:rPr>
        <w:tab/>
      </w:r>
      <w:r w:rsidR="001D7C2C" w:rsidRPr="007F650B">
        <w:rPr>
          <w:lang w:val="es-ES"/>
        </w:rPr>
        <w:t>CISPR I de la CEI sobre requisitos de la compatibilidad electromagnética</w:t>
      </w:r>
    </w:p>
    <w:p w:rsidR="001D7C2C" w:rsidRPr="007F650B" w:rsidRDefault="007F33F0" w:rsidP="007F33F0">
      <w:pPr>
        <w:pStyle w:val="enumlev1"/>
        <w:rPr>
          <w:lang w:val="es-ES"/>
        </w:rPr>
      </w:pPr>
      <w:r w:rsidRPr="003600A8">
        <w:rPr>
          <w:szCs w:val="24"/>
          <w:lang w:val="es-ES"/>
        </w:rPr>
        <w:t>•</w:t>
      </w:r>
      <w:r>
        <w:rPr>
          <w:lang w:val="es-ES"/>
        </w:rPr>
        <w:tab/>
      </w:r>
      <w:r w:rsidR="001D7C2C" w:rsidRPr="007F650B">
        <w:rPr>
          <w:lang w:val="es-ES"/>
        </w:rPr>
        <w:t>CEI TC57 GT20 sobre comunicación por la línea eléctrica</w:t>
      </w:r>
    </w:p>
    <w:p w:rsidR="001D7C2C" w:rsidRPr="007F650B" w:rsidRDefault="007F33F0" w:rsidP="007F33F0">
      <w:pPr>
        <w:pStyle w:val="enumlev1"/>
        <w:rPr>
          <w:lang w:val="es-ES"/>
        </w:rPr>
      </w:pPr>
      <w:r w:rsidRPr="003600A8">
        <w:rPr>
          <w:szCs w:val="24"/>
          <w:lang w:val="es-ES"/>
        </w:rPr>
        <w:t>•</w:t>
      </w:r>
      <w:r>
        <w:rPr>
          <w:lang w:val="es-ES"/>
        </w:rPr>
        <w:tab/>
      </w:r>
      <w:r w:rsidR="001D7C2C" w:rsidRPr="007F650B">
        <w:rPr>
          <w:lang w:val="es-ES"/>
        </w:rPr>
        <w:t>CEI TC69 sobre comunicación por la línea eléctrica para vehículos eléctricos</w:t>
      </w:r>
    </w:p>
    <w:p w:rsidR="006000C8" w:rsidRPr="007F650B" w:rsidRDefault="007F33F0" w:rsidP="007F33F0">
      <w:pPr>
        <w:pStyle w:val="enumlev1"/>
        <w:rPr>
          <w:lang w:val="es-ES"/>
        </w:rPr>
      </w:pPr>
      <w:r w:rsidRPr="003600A8">
        <w:rPr>
          <w:szCs w:val="24"/>
          <w:lang w:val="es-ES"/>
        </w:rPr>
        <w:t>•</w:t>
      </w:r>
      <w:r>
        <w:rPr>
          <w:lang w:val="es-ES"/>
        </w:rPr>
        <w:tab/>
      </w:r>
      <w:r w:rsidR="001D7C2C" w:rsidRPr="007F650B">
        <w:rPr>
          <w:lang w:val="es-ES"/>
        </w:rPr>
        <w:t>IEEE</w:t>
      </w:r>
    </w:p>
    <w:p w:rsidR="006000C8" w:rsidRPr="007F650B" w:rsidRDefault="007F33F0" w:rsidP="007F33F0">
      <w:pPr>
        <w:pStyle w:val="enumlev1"/>
        <w:rPr>
          <w:lang w:val="es-ES"/>
        </w:rPr>
      </w:pPr>
      <w:bookmarkStart w:id="11" w:name="lt_pId149"/>
      <w:r w:rsidRPr="003600A8">
        <w:rPr>
          <w:szCs w:val="24"/>
          <w:lang w:val="es-ES"/>
        </w:rPr>
        <w:t>•</w:t>
      </w:r>
      <w:r>
        <w:rPr>
          <w:lang w:val="es-ES"/>
        </w:rPr>
        <w:tab/>
      </w:r>
      <w:r w:rsidR="001D7C2C" w:rsidRPr="007F650B">
        <w:rPr>
          <w:lang w:val="es-ES"/>
        </w:rPr>
        <w:t>IETF</w:t>
      </w:r>
      <w:bookmarkEnd w:id="11"/>
    </w:p>
    <w:p w:rsidR="006000C8" w:rsidRPr="007F650B" w:rsidRDefault="007F33F0" w:rsidP="007F33F0">
      <w:pPr>
        <w:pStyle w:val="enumlev1"/>
        <w:rPr>
          <w:lang w:val="es-ES"/>
        </w:rPr>
      </w:pPr>
      <w:r w:rsidRPr="003600A8">
        <w:rPr>
          <w:szCs w:val="24"/>
          <w:lang w:val="es-ES"/>
        </w:rPr>
        <w:t>•</w:t>
      </w:r>
      <w:r>
        <w:rPr>
          <w:lang w:val="es-ES"/>
        </w:rPr>
        <w:tab/>
      </w:r>
      <w:r w:rsidR="001D7C2C" w:rsidRPr="007F650B">
        <w:rPr>
          <w:lang w:val="es-ES"/>
        </w:rPr>
        <w:t>JTC1/SC25 de la ISO/CEI sobre la interconexión de equipos de tecnología de la información</w:t>
      </w:r>
    </w:p>
    <w:p w:rsidR="006000C8" w:rsidRPr="007F650B" w:rsidRDefault="007F33F0" w:rsidP="007F33F0">
      <w:pPr>
        <w:pStyle w:val="enumlev1"/>
        <w:rPr>
          <w:lang w:val="es-ES"/>
        </w:rPr>
      </w:pPr>
      <w:r w:rsidRPr="003600A8">
        <w:rPr>
          <w:szCs w:val="24"/>
          <w:lang w:val="es-ES"/>
        </w:rPr>
        <w:t>•</w:t>
      </w:r>
      <w:r>
        <w:rPr>
          <w:lang w:val="es-ES"/>
        </w:rPr>
        <w:tab/>
      </w:r>
      <w:proofErr w:type="spellStart"/>
      <w:r w:rsidR="001D7C2C" w:rsidRPr="007F650B">
        <w:rPr>
          <w:lang w:val="es-ES"/>
        </w:rPr>
        <w:t>MoCA</w:t>
      </w:r>
      <w:proofErr w:type="spellEnd"/>
      <w:r w:rsidR="001D7C2C" w:rsidRPr="007F650B">
        <w:rPr>
          <w:lang w:val="es-ES"/>
        </w:rPr>
        <w:t xml:space="preserve"> sobre multimedios por cable coaxial</w:t>
      </w:r>
    </w:p>
    <w:p w:rsidR="001D7C2C" w:rsidRPr="007F650B" w:rsidRDefault="007F33F0" w:rsidP="007F33F0">
      <w:pPr>
        <w:pStyle w:val="enumlev1"/>
        <w:rPr>
          <w:lang w:val="es-ES"/>
        </w:rPr>
      </w:pPr>
      <w:r w:rsidRPr="003600A8">
        <w:rPr>
          <w:szCs w:val="24"/>
          <w:lang w:val="es-ES"/>
        </w:rPr>
        <w:t>•</w:t>
      </w:r>
      <w:r>
        <w:rPr>
          <w:lang w:val="es-ES"/>
        </w:rPr>
        <w:tab/>
      </w:r>
      <w:r w:rsidR="001D7C2C" w:rsidRPr="007F650B">
        <w:rPr>
          <w:lang w:val="es-ES"/>
        </w:rPr>
        <w:t>TIA TR-41 sobre consideraciones de gestión espectral</w:t>
      </w:r>
    </w:p>
    <w:p w:rsidR="001D7C2C" w:rsidRPr="007F650B" w:rsidRDefault="007F33F0" w:rsidP="007F33F0">
      <w:pPr>
        <w:pStyle w:val="enumlev1"/>
        <w:rPr>
          <w:lang w:val="es-ES"/>
        </w:rPr>
      </w:pPr>
      <w:r w:rsidRPr="003600A8">
        <w:rPr>
          <w:szCs w:val="24"/>
          <w:lang w:val="es-ES"/>
        </w:rPr>
        <w:t>•</w:t>
      </w:r>
      <w:r>
        <w:rPr>
          <w:lang w:val="es-ES"/>
        </w:rPr>
        <w:tab/>
      </w:r>
      <w:r w:rsidR="001D7C2C" w:rsidRPr="007F650B">
        <w:rPr>
          <w:lang w:val="es-ES"/>
        </w:rPr>
        <w:t>TTC (Japón)</w:t>
      </w:r>
    </w:p>
    <w:p w:rsidR="006000C8" w:rsidRDefault="007F33F0" w:rsidP="007F33F0">
      <w:pPr>
        <w:pStyle w:val="enumlev1"/>
        <w:rPr>
          <w:lang w:val="es-ES"/>
        </w:rPr>
      </w:pPr>
      <w:r w:rsidRPr="003600A8">
        <w:rPr>
          <w:szCs w:val="24"/>
          <w:lang w:val="es-ES"/>
        </w:rPr>
        <w:t>•</w:t>
      </w:r>
      <w:r>
        <w:rPr>
          <w:lang w:val="es-ES"/>
        </w:rPr>
        <w:tab/>
      </w:r>
      <w:r w:rsidR="001D7C2C" w:rsidRPr="007F650B">
        <w:rPr>
          <w:lang w:val="es-ES"/>
        </w:rPr>
        <w:t>TTA (Corea)</w:t>
      </w:r>
    </w:p>
    <w:p w:rsidR="007F33F0" w:rsidRPr="007F650B" w:rsidRDefault="007F33F0" w:rsidP="007F33F0">
      <w:pPr>
        <w:pStyle w:val="enumlev1"/>
        <w:rPr>
          <w:lang w:val="es-ES"/>
        </w:rPr>
      </w:pPr>
    </w:p>
    <w:p w:rsidR="006000C8" w:rsidRPr="007F650B" w:rsidRDefault="006000C8" w:rsidP="007F5CA2">
      <w:pPr>
        <w:tabs>
          <w:tab w:val="clear" w:pos="794"/>
          <w:tab w:val="clear" w:pos="1191"/>
          <w:tab w:val="clear" w:pos="1588"/>
          <w:tab w:val="clear" w:pos="1985"/>
        </w:tabs>
        <w:overflowPunct/>
        <w:autoSpaceDE/>
        <w:autoSpaceDN/>
        <w:adjustRightInd/>
        <w:spacing w:before="0"/>
        <w:textAlignment w:val="auto"/>
        <w:rPr>
          <w:lang w:val="es-ES"/>
        </w:rPr>
      </w:pPr>
      <w:r w:rsidRPr="007F650B">
        <w:rPr>
          <w:lang w:val="es-ES"/>
        </w:rPr>
        <w:br w:type="page"/>
      </w:r>
    </w:p>
    <w:p w:rsidR="006000C8" w:rsidRPr="007F650B" w:rsidRDefault="006000C8" w:rsidP="00F54341">
      <w:pPr>
        <w:pStyle w:val="AnnexNotitle"/>
        <w:rPr>
          <w:lang w:val="es-ES"/>
        </w:rPr>
      </w:pPr>
      <w:r w:rsidRPr="007F650B">
        <w:rPr>
          <w:lang w:val="es-ES"/>
        </w:rPr>
        <w:br/>
      </w:r>
      <w:r w:rsidR="007F5CA2" w:rsidRPr="007F650B">
        <w:rPr>
          <w:szCs w:val="28"/>
          <w:lang w:val="es-ES"/>
        </w:rPr>
        <w:t>ANEXO</w:t>
      </w:r>
      <w:r w:rsidRPr="007F650B">
        <w:rPr>
          <w:szCs w:val="28"/>
          <w:lang w:val="es-ES"/>
        </w:rPr>
        <w:t xml:space="preserve"> 4</w:t>
      </w:r>
      <w:r w:rsidRPr="007F650B">
        <w:rPr>
          <w:lang w:val="es-ES"/>
        </w:rPr>
        <w:br/>
      </w:r>
      <w:r w:rsidR="007F5CA2" w:rsidRPr="007F650B">
        <w:rPr>
          <w:lang w:val="es-ES"/>
        </w:rPr>
        <w:t>Texto revisado de la C12</w:t>
      </w:r>
      <w:r w:rsidRPr="007F650B">
        <w:rPr>
          <w:lang w:val="es-ES"/>
        </w:rPr>
        <w:t>/15</w:t>
      </w:r>
    </w:p>
    <w:p w:rsidR="006000C8" w:rsidRPr="007F650B" w:rsidRDefault="00196CF7" w:rsidP="00004474">
      <w:pPr>
        <w:pStyle w:val="Headingb0"/>
        <w:rPr>
          <w:lang w:val="es-ES"/>
        </w:rPr>
      </w:pPr>
      <w:r w:rsidRPr="007F650B">
        <w:rPr>
          <w:lang w:val="es-ES"/>
        </w:rPr>
        <w:t>Cuestión 12/15 – Arq</w:t>
      </w:r>
      <w:r w:rsidR="00004474">
        <w:rPr>
          <w:lang w:val="es-ES"/>
        </w:rPr>
        <w:t>uitecturas de red de transporte</w:t>
      </w:r>
    </w:p>
    <w:p w:rsidR="00196CF7" w:rsidRPr="007F650B" w:rsidRDefault="00196CF7" w:rsidP="007F5CA2">
      <w:pPr>
        <w:rPr>
          <w:lang w:val="es-ES"/>
        </w:rPr>
      </w:pPr>
      <w:r w:rsidRPr="007F650B">
        <w:rPr>
          <w:lang w:val="es-ES"/>
        </w:rPr>
        <w:t>(</w:t>
      </w:r>
      <w:r w:rsidR="007F5CA2" w:rsidRPr="007F650B">
        <w:rPr>
          <w:lang w:val="es-ES"/>
        </w:rPr>
        <w:t xml:space="preserve">Revisión </w:t>
      </w:r>
      <w:r w:rsidRPr="007F650B">
        <w:rPr>
          <w:lang w:val="es-ES"/>
        </w:rPr>
        <w:t>de la Cuestión 12/15</w:t>
      </w:r>
      <w:r w:rsidR="007F5CA2" w:rsidRPr="007F650B">
        <w:rPr>
          <w:lang w:val="es-ES"/>
        </w:rPr>
        <w:t xml:space="preserve"> para incluir el trabajo de la C3/15</w:t>
      </w:r>
      <w:r w:rsidRPr="007F650B">
        <w:rPr>
          <w:lang w:val="es-ES"/>
        </w:rPr>
        <w:t>)</w:t>
      </w:r>
    </w:p>
    <w:p w:rsidR="00196CF7" w:rsidRPr="007F650B" w:rsidRDefault="00196CF7" w:rsidP="00004474">
      <w:pPr>
        <w:pStyle w:val="Headingb0"/>
        <w:rPr>
          <w:lang w:val="es-ES"/>
        </w:rPr>
      </w:pPr>
      <w:r w:rsidRPr="007F650B">
        <w:rPr>
          <w:lang w:val="es-ES"/>
        </w:rPr>
        <w:t>Motivos</w:t>
      </w:r>
    </w:p>
    <w:p w:rsidR="00196CF7" w:rsidRPr="007F650B" w:rsidRDefault="00196CF7" w:rsidP="00EA4CCC">
      <w:pPr>
        <w:rPr>
          <w:lang w:val="es-ES"/>
        </w:rPr>
      </w:pPr>
      <w:r w:rsidRPr="007F650B">
        <w:rPr>
          <w:lang w:val="es-ES"/>
        </w:rPr>
        <w:t>Las Recomendaciones sobre arquitectura de la red de transporte (G.800, G.805 y G.809) y las Recomendaciones sobre arquitectura de la red de transporte de tecnología específica (G.803, G.872, G.8010</w:t>
      </w:r>
      <w:r w:rsidR="00F54341">
        <w:rPr>
          <w:lang w:val="es-ES"/>
        </w:rPr>
        <w:t>, G.8110.1</w:t>
      </w:r>
      <w:r w:rsidRPr="007F650B">
        <w:rPr>
          <w:lang w:val="es-ES"/>
        </w:rPr>
        <w:t xml:space="preserve"> e I.326) gozan de un sólido prestigio y su uso está muy extendido. La experiencia adquirida en la utilización de las tecnologías actuales de red de transporte y la aparición de nuevas tecnologías (por ejemplo, paquetes de tamaño variable, red de transporte de alta velocidad) obligan a elaborar nuevas Recomendaciones o a mejorar las Recomendaciones ya existentes, en estrecha colaboración con las actividades de normalización de los sistemas y equipos de la red de transporte. Cabe señalar que los aspectos relacionados con el funcionamiento de las redes están adquiriendo cada vez más importancia. Por consiguiente, es preciso examinar los aspectos operacionales de las redes ópticas combinadas de conmutación por paquetes y conmutación de circuitos para garantizar que se abordan de una manera adecuada desde el punto de vista de la arquitectura y se minimizan los enfoques discordantes.</w:t>
      </w:r>
    </w:p>
    <w:p w:rsidR="00196CF7" w:rsidRPr="007F650B" w:rsidRDefault="00196CF7" w:rsidP="00EA4CCC">
      <w:pPr>
        <w:rPr>
          <w:lang w:val="es-ES"/>
        </w:rPr>
      </w:pPr>
      <w:r w:rsidRPr="007F650B">
        <w:rPr>
          <w:lang w:val="es-ES"/>
        </w:rPr>
        <w:t>Las redes definidas por software (SDN) constituyen un sistema de arquitectura que permite gestionar los recursos de la red de transporte. Su arquitectura ha de entenderse en el contexto del control de gestión continuo que incluye la arquitectura de la red óptica con conmutación automática (G.8080). Es necesario examinar los elementos comunes y las diferencias con respecto a las arquitecturas existentes, habida cuenta de su aplicación a varias capas de transporte. También han de examinarse los requisitos para la mejora de las interfaces de control con la red de transporte y en la misma</w:t>
      </w:r>
      <w:r w:rsidR="007F5CA2" w:rsidRPr="007F650B">
        <w:rPr>
          <w:lang w:val="es-ES"/>
        </w:rPr>
        <w:t xml:space="preserve"> para soportar, por ejemplo, la segmentación de red</w:t>
      </w:r>
      <w:r w:rsidRPr="007F650B">
        <w:rPr>
          <w:lang w:val="es-ES"/>
        </w:rPr>
        <w:t>. Son necesarias interfaces para configurar y controlar los soportes físicos programables. También es necesario contar con interfaces que permitan a los clientes solicitar servicios de red, ade</w:t>
      </w:r>
      <w:r w:rsidR="00C04FD8">
        <w:rPr>
          <w:lang w:val="es-ES"/>
        </w:rPr>
        <w:t>más de la conectividad de base.</w:t>
      </w:r>
    </w:p>
    <w:p w:rsidR="006000C8" w:rsidRPr="007F650B" w:rsidRDefault="00196CF7" w:rsidP="00EA4CCC">
      <w:pPr>
        <w:rPr>
          <w:lang w:val="es-ES"/>
        </w:rPr>
      </w:pPr>
      <w:r w:rsidRPr="007F650B">
        <w:rPr>
          <w:lang w:val="es-ES"/>
        </w:rPr>
        <w:t>La virtualización de las funciones de red (NFV) constituye un sistema de arquitectura en el que se implementan algunas funciones de red como un programa en una plataforma de computación genérica. Existen grandes sinergias entre las SDN y la NFV, especialmente en lo concerniente al objetivo de proporcionar control automatizado. Ello determina la necesidad de contar con interfaces de control mejorados compatibles. También plantea la necesidad de una gran compatibilidad entre la modelización funcional aplicada actualmente en la red de transporte y el modelo funcional para la NFV.</w:t>
      </w:r>
    </w:p>
    <w:p w:rsidR="006000C8" w:rsidRPr="007F650B" w:rsidRDefault="00196CF7" w:rsidP="006641B4">
      <w:pPr>
        <w:keepNext/>
        <w:rPr>
          <w:lang w:val="es-ES"/>
        </w:rPr>
      </w:pPr>
      <w:bookmarkStart w:id="12" w:name="lt_pId174"/>
      <w:r w:rsidRPr="007F650B">
        <w:rPr>
          <w:lang w:val="es-ES"/>
        </w:rPr>
        <w:t>La evolución constante de las redes de transporte y</w:t>
      </w:r>
      <w:r w:rsidR="007F5CA2" w:rsidRPr="007F650B">
        <w:rPr>
          <w:lang w:val="es-ES"/>
        </w:rPr>
        <w:t xml:space="preserve"> de los servicios que soportan como, </w:t>
      </w:r>
      <w:r w:rsidRPr="007F650B">
        <w:rPr>
          <w:lang w:val="es-ES"/>
        </w:rPr>
        <w:t>por ejemplo</w:t>
      </w:r>
      <w:r w:rsidR="007F5CA2" w:rsidRPr="007F650B">
        <w:rPr>
          <w:lang w:val="es-ES"/>
        </w:rPr>
        <w:t>,</w:t>
      </w:r>
      <w:r w:rsidRPr="007F650B">
        <w:rPr>
          <w:lang w:val="es-ES"/>
        </w:rPr>
        <w:t xml:space="preserve"> Internet, </w:t>
      </w:r>
      <w:r w:rsidR="007F5CA2" w:rsidRPr="007F650B">
        <w:rPr>
          <w:lang w:val="es-ES"/>
        </w:rPr>
        <w:t xml:space="preserve">IMT-2020/5G, servicios basados en centros de datos y video de mayor definición, </w:t>
      </w:r>
      <w:r w:rsidRPr="007F650B">
        <w:rPr>
          <w:lang w:val="es-ES"/>
        </w:rPr>
        <w:t>ha da</w:t>
      </w:r>
      <w:r w:rsidR="007F5CA2" w:rsidRPr="007F650B">
        <w:rPr>
          <w:lang w:val="es-ES"/>
        </w:rPr>
        <w:t>do lugar a cambios drásticos en los requisitos planteados a</w:t>
      </w:r>
      <w:r w:rsidRPr="007F650B">
        <w:rPr>
          <w:lang w:val="es-ES"/>
        </w:rPr>
        <w:t xml:space="preserve"> las redes de transporte.</w:t>
      </w:r>
      <w:bookmarkEnd w:id="12"/>
      <w:r w:rsidRPr="007F650B">
        <w:rPr>
          <w:lang w:val="es-ES"/>
        </w:rPr>
        <w:t xml:space="preserve"> </w:t>
      </w:r>
      <w:bookmarkStart w:id="13" w:name="lt_pId175"/>
      <w:r w:rsidR="007F5CA2" w:rsidRPr="007F650B">
        <w:rPr>
          <w:lang w:val="es-ES"/>
        </w:rPr>
        <w:t>La</w:t>
      </w:r>
      <w:r w:rsidR="004A141F">
        <w:rPr>
          <w:lang w:val="es-ES"/>
        </w:rPr>
        <w:t>s</w:t>
      </w:r>
      <w:r w:rsidR="007F5CA2" w:rsidRPr="007F650B">
        <w:rPr>
          <w:lang w:val="es-ES"/>
        </w:rPr>
        <w:t xml:space="preserve"> red</w:t>
      </w:r>
      <w:r w:rsidR="004A141F">
        <w:rPr>
          <w:lang w:val="es-ES"/>
        </w:rPr>
        <w:t>es</w:t>
      </w:r>
      <w:r w:rsidR="007F5CA2" w:rsidRPr="007F650B">
        <w:rPr>
          <w:lang w:val="es-ES"/>
        </w:rPr>
        <w:t xml:space="preserve"> de transporte necesita</w:t>
      </w:r>
      <w:r w:rsidR="004A141F">
        <w:rPr>
          <w:lang w:val="es-ES"/>
        </w:rPr>
        <w:t>n</w:t>
      </w:r>
      <w:r w:rsidR="007F5CA2" w:rsidRPr="007F650B">
        <w:rPr>
          <w:lang w:val="es-ES"/>
        </w:rPr>
        <w:t xml:space="preserve"> evolucionar continuamente para responder a </w:t>
      </w:r>
      <w:r w:rsidR="000D741C" w:rsidRPr="007F650B">
        <w:rPr>
          <w:lang w:val="es-ES"/>
        </w:rPr>
        <w:t xml:space="preserve">estos requisitos cambiantes y proporcionar una red de transporte convergente. </w:t>
      </w:r>
      <w:bookmarkStart w:id="14" w:name="lt_pId176"/>
      <w:bookmarkEnd w:id="13"/>
      <w:r w:rsidRPr="007F650B">
        <w:rPr>
          <w:lang w:val="es-ES"/>
        </w:rPr>
        <w:t>Ante esta situación que evoluciona rápidamente, es preciso admitir que</w:t>
      </w:r>
      <w:r w:rsidR="000D741C" w:rsidRPr="007F650B">
        <w:rPr>
          <w:lang w:val="es-ES"/>
        </w:rPr>
        <w:t xml:space="preserve"> es necesaria una</w:t>
      </w:r>
      <w:r w:rsidRPr="007F650B">
        <w:rPr>
          <w:lang w:val="es-ES"/>
        </w:rPr>
        <w:t xml:space="preserve"> </w:t>
      </w:r>
      <w:r w:rsidR="000D741C" w:rsidRPr="007F650B">
        <w:rPr>
          <w:lang w:val="es-ES"/>
        </w:rPr>
        <w:t xml:space="preserve">actividad de </w:t>
      </w:r>
      <w:r w:rsidRPr="007F650B">
        <w:rPr>
          <w:lang w:val="es-ES"/>
        </w:rPr>
        <w:t xml:space="preserve">coordinación </w:t>
      </w:r>
      <w:r w:rsidR="000D741C" w:rsidRPr="007F650B">
        <w:rPr>
          <w:lang w:val="es-ES"/>
        </w:rPr>
        <w:t xml:space="preserve">y de comunicación entre las diferentes Cuestiones involucradas </w:t>
      </w:r>
      <w:r w:rsidRPr="007F650B">
        <w:rPr>
          <w:lang w:val="es-ES"/>
        </w:rPr>
        <w:t>(</w:t>
      </w:r>
      <w:r w:rsidR="000D741C" w:rsidRPr="007F650B">
        <w:rPr>
          <w:lang w:val="es-ES"/>
        </w:rPr>
        <w:t>principalmente las Cuestiones</w:t>
      </w:r>
      <w:r w:rsidRPr="007F650B">
        <w:rPr>
          <w:lang w:val="es-ES"/>
        </w:rPr>
        <w:t xml:space="preserve"> 2, 6, 7, 9, 10, 11, 12, 13 </w:t>
      </w:r>
      <w:r w:rsidR="000D741C" w:rsidRPr="007F650B">
        <w:rPr>
          <w:lang w:val="es-ES"/>
        </w:rPr>
        <w:t>y</w:t>
      </w:r>
      <w:r w:rsidRPr="007F650B">
        <w:rPr>
          <w:lang w:val="es-ES"/>
        </w:rPr>
        <w:t xml:space="preserve"> 14/15) </w:t>
      </w:r>
      <w:r w:rsidR="00897EE4" w:rsidRPr="007F650B">
        <w:rPr>
          <w:lang w:val="es-ES"/>
        </w:rPr>
        <w:t>con el fin de evitar duplicidades y facilitar la realización más eficiente de los trabajos</w:t>
      </w:r>
      <w:r w:rsidRPr="007F650B">
        <w:rPr>
          <w:lang w:val="es-ES"/>
        </w:rPr>
        <w:t>.</w:t>
      </w:r>
      <w:bookmarkEnd w:id="14"/>
      <w:r w:rsidRPr="007F650B">
        <w:rPr>
          <w:lang w:val="es-ES"/>
        </w:rPr>
        <w:t xml:space="preserve"> </w:t>
      </w:r>
      <w:bookmarkStart w:id="15" w:name="lt_pId177"/>
      <w:r w:rsidR="00897EE4" w:rsidRPr="007F650B">
        <w:rPr>
          <w:lang w:val="es-ES"/>
        </w:rPr>
        <w:t xml:space="preserve">También es necesario </w:t>
      </w:r>
      <w:r w:rsidR="006C51A2">
        <w:rPr>
          <w:lang w:val="es-ES"/>
        </w:rPr>
        <w:t>mantener</w:t>
      </w:r>
      <w:r w:rsidR="004A141F">
        <w:rPr>
          <w:lang w:val="es-ES"/>
        </w:rPr>
        <w:t xml:space="preserve"> un</w:t>
      </w:r>
      <w:r w:rsidR="00897EE4" w:rsidRPr="007F650B">
        <w:rPr>
          <w:lang w:val="es-ES"/>
        </w:rPr>
        <w:t xml:space="preserve"> plan de trabajo de las nuevas actividades sobre redes ópticas de transporte </w:t>
      </w:r>
      <w:r w:rsidRPr="007F650B">
        <w:rPr>
          <w:lang w:val="es-ES"/>
        </w:rPr>
        <w:t>(</w:t>
      </w:r>
      <w:r w:rsidR="00897EE4" w:rsidRPr="007F650B">
        <w:rPr>
          <w:lang w:val="es-ES"/>
        </w:rPr>
        <w:t>el</w:t>
      </w:r>
      <w:r w:rsidR="002F6DF3" w:rsidRPr="007F650B">
        <w:rPr>
          <w:lang w:val="es-ES"/>
        </w:rPr>
        <w:t xml:space="preserve"> plan de trabajo </w:t>
      </w:r>
      <w:r w:rsidR="006C51A2">
        <w:rPr>
          <w:lang w:val="es-ES"/>
        </w:rPr>
        <w:t>sobre la</w:t>
      </w:r>
      <w:r w:rsidR="002F6DF3" w:rsidRPr="007F650B">
        <w:rPr>
          <w:lang w:val="es-ES"/>
        </w:rPr>
        <w:t xml:space="preserve"> normalización </w:t>
      </w:r>
      <w:r w:rsidR="006C51A2">
        <w:rPr>
          <w:lang w:val="es-ES"/>
        </w:rPr>
        <w:t>de redes y tecnologías de transporte óptico</w:t>
      </w:r>
      <w:r w:rsidRPr="007F650B">
        <w:rPr>
          <w:lang w:val="es-ES"/>
        </w:rPr>
        <w:t xml:space="preserve"> (</w:t>
      </w:r>
      <w:r w:rsidR="00266EC2" w:rsidRPr="00266EC2">
        <w:rPr>
          <w:lang w:val="es-ES"/>
        </w:rPr>
        <w:t>PTN OTNT</w:t>
      </w:r>
      <w:r w:rsidRPr="007F650B">
        <w:rPr>
          <w:lang w:val="es-ES"/>
        </w:rPr>
        <w:t>)).</w:t>
      </w:r>
      <w:bookmarkEnd w:id="15"/>
      <w:r w:rsidRPr="007F650B">
        <w:rPr>
          <w:lang w:val="es-ES"/>
        </w:rPr>
        <w:t xml:space="preserve"> </w:t>
      </w:r>
      <w:r w:rsidR="002F6DF3" w:rsidRPr="007F650B">
        <w:rPr>
          <w:lang w:val="es-ES"/>
        </w:rPr>
        <w:t>Por otra parte, es necesario recoger algunos aspectos generales, como la terminología</w:t>
      </w:r>
      <w:r w:rsidR="00C04FD8">
        <w:rPr>
          <w:lang w:val="es-ES"/>
        </w:rPr>
        <w:t>.</w:t>
      </w:r>
    </w:p>
    <w:p w:rsidR="006000C8" w:rsidRPr="007F650B" w:rsidRDefault="00196CF7" w:rsidP="00F54341">
      <w:pPr>
        <w:rPr>
          <w:lang w:val="es-ES"/>
        </w:rPr>
      </w:pPr>
      <w:r w:rsidRPr="007F650B">
        <w:rPr>
          <w:lang w:val="es-ES"/>
        </w:rPr>
        <w:t>La Comisión que estudia esta Cuestión se encarga también de las siguientes Recomendaciones, que estaban en vigor cuando se aprobó esta Cuestión: G.800, G.803, G.805, G.809, G.872, G.8010/Y.1306, G.8080/Y.1304</w:t>
      </w:r>
      <w:r w:rsidR="006837D1" w:rsidRPr="007F650B">
        <w:rPr>
          <w:lang w:val="es-ES"/>
        </w:rPr>
        <w:t>, G.8081/Y.1353</w:t>
      </w:r>
      <w:r w:rsidRPr="007F650B">
        <w:rPr>
          <w:lang w:val="es-ES"/>
        </w:rPr>
        <w:t xml:space="preserve">, G.8110/Y.1370, G.8110.1/Y.1370.1 </w:t>
      </w:r>
      <w:r w:rsidR="00C04FD8">
        <w:rPr>
          <w:lang w:val="es-ES"/>
        </w:rPr>
        <w:t>e</w:t>
      </w:r>
      <w:r w:rsidRPr="007F650B">
        <w:rPr>
          <w:lang w:val="es-ES"/>
        </w:rPr>
        <w:t xml:space="preserve"> I.326.</w:t>
      </w:r>
    </w:p>
    <w:p w:rsidR="002F6DF3" w:rsidRPr="007F650B" w:rsidRDefault="002F6DF3" w:rsidP="00DA1C2F">
      <w:pPr>
        <w:pStyle w:val="Headingb0"/>
        <w:rPr>
          <w:lang w:val="es-ES"/>
        </w:rPr>
      </w:pPr>
      <w:r w:rsidRPr="007F650B">
        <w:rPr>
          <w:lang w:val="es-ES"/>
        </w:rPr>
        <w:t>Cuestión</w:t>
      </w:r>
    </w:p>
    <w:p w:rsidR="002F6DF3" w:rsidRPr="007F650B" w:rsidRDefault="002F6DF3" w:rsidP="00DA1C2F">
      <w:pPr>
        <w:rPr>
          <w:b/>
          <w:lang w:val="es-ES"/>
        </w:rPr>
      </w:pPr>
      <w:r w:rsidRPr="007F650B">
        <w:rPr>
          <w:lang w:val="es-ES"/>
        </w:rPr>
        <w:t>¿Qué modificaciones habrá que introducir en las Recomendaciones existentes o qué nuevas Recomendaciones se han de elaborar para:</w:t>
      </w:r>
    </w:p>
    <w:p w:rsidR="002F6DF3" w:rsidRPr="007F650B" w:rsidRDefault="00D938BB" w:rsidP="00D938BB">
      <w:pPr>
        <w:pStyle w:val="enumlev1"/>
        <w:rPr>
          <w:lang w:val="es-ES"/>
        </w:rPr>
      </w:pPr>
      <w:r w:rsidRPr="003600A8">
        <w:rPr>
          <w:szCs w:val="24"/>
          <w:lang w:val="es-ES"/>
        </w:rPr>
        <w:t>•</w:t>
      </w:r>
      <w:r>
        <w:rPr>
          <w:lang w:val="es-ES"/>
        </w:rPr>
        <w:tab/>
      </w:r>
      <w:r w:rsidR="002F6DF3" w:rsidRPr="007F650B">
        <w:rPr>
          <w:lang w:val="es-ES"/>
        </w:rPr>
        <w:t xml:space="preserve">perfeccionar y mejorar la especificación de la arquitectura de la red de transporte, en particular mejorar las Recomendaciones G.800, G.872, G.8010, G.8080, G.8110 y G.8110.1, incluidos los aspectos operativos y las implicaciones de la evolución de las tecnologías </w:t>
      </w:r>
      <w:proofErr w:type="spellStart"/>
      <w:r w:rsidR="002F6DF3" w:rsidRPr="007F650B">
        <w:rPr>
          <w:lang w:val="es-ES"/>
        </w:rPr>
        <w:t>fotónicas</w:t>
      </w:r>
      <w:proofErr w:type="spellEnd"/>
      <w:r w:rsidR="002F6DF3" w:rsidRPr="007F650B">
        <w:rPr>
          <w:lang w:val="es-ES"/>
        </w:rPr>
        <w:t xml:space="preserve"> para mejorar la flexibilidad de la red de transporte?</w:t>
      </w:r>
    </w:p>
    <w:p w:rsidR="002F6DF3" w:rsidRPr="007F650B" w:rsidRDefault="00D938BB" w:rsidP="00D938BB">
      <w:pPr>
        <w:pStyle w:val="enumlev1"/>
        <w:rPr>
          <w:lang w:val="es-ES"/>
        </w:rPr>
      </w:pPr>
      <w:r w:rsidRPr="003600A8">
        <w:rPr>
          <w:szCs w:val="24"/>
          <w:lang w:val="es-ES"/>
        </w:rPr>
        <w:t>•</w:t>
      </w:r>
      <w:r>
        <w:rPr>
          <w:lang w:val="es-ES"/>
        </w:rPr>
        <w:tab/>
      </w:r>
      <w:r w:rsidR="002F6DF3" w:rsidRPr="007F650B">
        <w:rPr>
          <w:lang w:val="es-ES"/>
        </w:rPr>
        <w:t xml:space="preserve">definir la arquitectura relativa al control </w:t>
      </w:r>
      <w:r>
        <w:rPr>
          <w:lang w:val="es-ES"/>
        </w:rPr>
        <w:t>SDN de las redes de transporte?</w:t>
      </w:r>
    </w:p>
    <w:p w:rsidR="006000C8" w:rsidRPr="007F650B" w:rsidRDefault="00D938BB" w:rsidP="00517395">
      <w:pPr>
        <w:pStyle w:val="enumlev1"/>
        <w:rPr>
          <w:lang w:val="es-ES"/>
        </w:rPr>
      </w:pPr>
      <w:r w:rsidRPr="003600A8">
        <w:rPr>
          <w:szCs w:val="24"/>
          <w:lang w:val="es-ES"/>
        </w:rPr>
        <w:t>•</w:t>
      </w:r>
      <w:r>
        <w:rPr>
          <w:lang w:val="es-ES"/>
        </w:rPr>
        <w:tab/>
      </w:r>
      <w:r w:rsidR="002F6DF3" w:rsidRPr="007F650B">
        <w:rPr>
          <w:lang w:val="es-ES"/>
        </w:rPr>
        <w:t>comprender la uniformidad y las diferencias entre las arquitecturas de la SDN y la red óptica co</w:t>
      </w:r>
      <w:r w:rsidR="00517395">
        <w:rPr>
          <w:lang w:val="es-ES"/>
        </w:rPr>
        <w:t>n conmutación automática (ASON)?</w:t>
      </w:r>
      <w:bookmarkStart w:id="16" w:name="_GoBack"/>
      <w:bookmarkEnd w:id="16"/>
    </w:p>
    <w:p w:rsidR="002F6DF3" w:rsidRPr="007F650B" w:rsidRDefault="00D938BB" w:rsidP="00D938BB">
      <w:pPr>
        <w:pStyle w:val="enumlev1"/>
        <w:rPr>
          <w:lang w:val="es-ES"/>
        </w:rPr>
      </w:pPr>
      <w:r w:rsidRPr="003600A8">
        <w:rPr>
          <w:szCs w:val="24"/>
          <w:lang w:val="es-ES"/>
        </w:rPr>
        <w:t>•</w:t>
      </w:r>
      <w:r>
        <w:rPr>
          <w:lang w:val="es-ES"/>
        </w:rPr>
        <w:tab/>
      </w:r>
      <w:r w:rsidR="002F6DF3" w:rsidRPr="007F650B">
        <w:rPr>
          <w:lang w:val="es-ES"/>
        </w:rPr>
        <w:t>explorar la relación entre la arquitectura de la red de transporte y aplicaciones como la computación y el almacenamiento, incluida la NFV?</w:t>
      </w:r>
    </w:p>
    <w:p w:rsidR="002F6DF3" w:rsidRPr="007F650B" w:rsidRDefault="00D938BB" w:rsidP="00D938BB">
      <w:pPr>
        <w:pStyle w:val="enumlev1"/>
        <w:rPr>
          <w:lang w:val="es-ES"/>
        </w:rPr>
      </w:pPr>
      <w:r w:rsidRPr="003600A8">
        <w:rPr>
          <w:szCs w:val="24"/>
          <w:lang w:val="es-ES"/>
        </w:rPr>
        <w:t>•</w:t>
      </w:r>
      <w:r>
        <w:rPr>
          <w:lang w:val="es-ES"/>
        </w:rPr>
        <w:tab/>
      </w:r>
      <w:r w:rsidR="002F6DF3" w:rsidRPr="007F650B">
        <w:rPr>
          <w:lang w:val="es-ES"/>
        </w:rPr>
        <w:t xml:space="preserve">explorar las implicaciones de la integración </w:t>
      </w:r>
      <w:proofErr w:type="spellStart"/>
      <w:r w:rsidR="002F6DF3" w:rsidRPr="007F650B">
        <w:rPr>
          <w:lang w:val="es-ES"/>
        </w:rPr>
        <w:t>multitecnología</w:t>
      </w:r>
      <w:proofErr w:type="spellEnd"/>
      <w:r w:rsidR="002F6DF3" w:rsidRPr="007F650B">
        <w:rPr>
          <w:lang w:val="es-ES"/>
        </w:rPr>
        <w:t xml:space="preserve"> y multicapa, la posibilidad de simplificar la red y el impacto consiguiente en la arquitectura de la red y las normas existentes?</w:t>
      </w:r>
    </w:p>
    <w:p w:rsidR="006000C8" w:rsidRPr="007F650B" w:rsidRDefault="00D938BB" w:rsidP="00D938BB">
      <w:pPr>
        <w:pStyle w:val="enumlev1"/>
        <w:rPr>
          <w:lang w:val="es-ES"/>
        </w:rPr>
      </w:pPr>
      <w:r w:rsidRPr="003600A8">
        <w:rPr>
          <w:szCs w:val="24"/>
          <w:lang w:val="es-ES"/>
        </w:rPr>
        <w:t>•</w:t>
      </w:r>
      <w:r>
        <w:rPr>
          <w:lang w:val="es-ES"/>
        </w:rPr>
        <w:tab/>
      </w:r>
      <w:r w:rsidR="002F6DF3" w:rsidRPr="007F650B">
        <w:rPr>
          <w:lang w:val="es-ES"/>
        </w:rPr>
        <w:t>desarrollar la arquitectura de las redes de medios con arreglo a la evolución de su modo de utilización en las capas de información?</w:t>
      </w:r>
    </w:p>
    <w:p w:rsidR="002F6DF3" w:rsidRPr="007F650B" w:rsidRDefault="00D938BB" w:rsidP="00D938BB">
      <w:pPr>
        <w:pStyle w:val="enumlev1"/>
        <w:rPr>
          <w:lang w:val="es-ES"/>
        </w:rPr>
      </w:pPr>
      <w:r w:rsidRPr="003600A8">
        <w:rPr>
          <w:szCs w:val="24"/>
          <w:lang w:val="es-ES"/>
        </w:rPr>
        <w:t>•</w:t>
      </w:r>
      <w:r>
        <w:rPr>
          <w:lang w:val="es-ES"/>
        </w:rPr>
        <w:tab/>
      </w:r>
      <w:r w:rsidR="002F6DF3" w:rsidRPr="007F650B">
        <w:rPr>
          <w:lang w:val="es-ES"/>
        </w:rPr>
        <w:t>explorar la relación entre las funciones SDN y ASON y la relación de las funciones de control con los modelos de información elaborados en la C14/15?</w:t>
      </w:r>
    </w:p>
    <w:p w:rsidR="006000C8" w:rsidRPr="007F650B" w:rsidRDefault="00D938BB" w:rsidP="00D938BB">
      <w:pPr>
        <w:pStyle w:val="enumlev1"/>
        <w:rPr>
          <w:lang w:val="es-ES"/>
        </w:rPr>
      </w:pPr>
      <w:r w:rsidRPr="003600A8">
        <w:rPr>
          <w:szCs w:val="24"/>
          <w:lang w:val="es-ES"/>
        </w:rPr>
        <w:t>•</w:t>
      </w:r>
      <w:r>
        <w:rPr>
          <w:lang w:val="es-ES"/>
        </w:rPr>
        <w:tab/>
      </w:r>
      <w:r w:rsidR="002F6DF3" w:rsidRPr="007F650B">
        <w:rPr>
          <w:lang w:val="es-ES"/>
        </w:rPr>
        <w:t>estudiar la mejora de la arquitectura de las redes de transporte para satisfacer las nuevas necesidades de las IMT-2020?</w:t>
      </w:r>
    </w:p>
    <w:p w:rsidR="00CD13FF" w:rsidRPr="007F650B" w:rsidRDefault="00D938BB" w:rsidP="00D938BB">
      <w:pPr>
        <w:pStyle w:val="enumlev1"/>
        <w:rPr>
          <w:lang w:val="es-ES"/>
        </w:rPr>
      </w:pPr>
      <w:r w:rsidRPr="003600A8">
        <w:rPr>
          <w:szCs w:val="24"/>
          <w:lang w:val="es-ES"/>
        </w:rPr>
        <w:t>•</w:t>
      </w:r>
      <w:r>
        <w:rPr>
          <w:lang w:val="es-ES"/>
        </w:rPr>
        <w:tab/>
      </w:r>
      <w:r w:rsidR="00CD13FF" w:rsidRPr="007F650B">
        <w:rPr>
          <w:lang w:val="es-ES"/>
        </w:rPr>
        <w:t xml:space="preserve">especificar los requisitos para la mejora de las interfaces de control con la red de transporte y en la misma? Son necesarias interfaces de configuración y control </w:t>
      </w:r>
      <w:r w:rsidR="00C31CCF">
        <w:rPr>
          <w:lang w:val="es-ES"/>
        </w:rPr>
        <w:t>del soporte físico programable.</w:t>
      </w:r>
    </w:p>
    <w:p w:rsidR="00CD13FF" w:rsidRPr="007F650B" w:rsidRDefault="00D938BB" w:rsidP="00D938BB">
      <w:pPr>
        <w:pStyle w:val="enumlev1"/>
        <w:rPr>
          <w:lang w:val="es-ES"/>
        </w:rPr>
      </w:pPr>
      <w:r w:rsidRPr="003600A8">
        <w:rPr>
          <w:szCs w:val="24"/>
          <w:lang w:val="es-ES"/>
        </w:rPr>
        <w:t>•</w:t>
      </w:r>
      <w:r>
        <w:rPr>
          <w:lang w:val="es-ES"/>
        </w:rPr>
        <w:tab/>
      </w:r>
      <w:r w:rsidR="00CD13FF" w:rsidRPr="007F650B">
        <w:rPr>
          <w:lang w:val="es-ES"/>
        </w:rPr>
        <w:t>definir las interfaces que permiten a los clientes solicitar servicios de red, además de la conectividad de base?</w:t>
      </w:r>
    </w:p>
    <w:p w:rsidR="00CD13FF" w:rsidRPr="007F650B" w:rsidRDefault="00D938BB" w:rsidP="00D938BB">
      <w:pPr>
        <w:pStyle w:val="enumlev1"/>
        <w:rPr>
          <w:lang w:val="es-ES"/>
        </w:rPr>
      </w:pPr>
      <w:r w:rsidRPr="003600A8">
        <w:rPr>
          <w:szCs w:val="24"/>
          <w:lang w:val="es-ES"/>
        </w:rPr>
        <w:t>•</w:t>
      </w:r>
      <w:r>
        <w:rPr>
          <w:lang w:val="es-ES"/>
        </w:rPr>
        <w:tab/>
      </w:r>
      <w:r w:rsidR="00CD13FF" w:rsidRPr="007F650B">
        <w:rPr>
          <w:lang w:val="es-ES"/>
        </w:rPr>
        <w:t>examinar el control SDN de las redes de transporte, las repercusiones de las arquitecturas centralizadas con respecto a las de control distribuido (gestión/control continuados)?</w:t>
      </w:r>
    </w:p>
    <w:p w:rsidR="00CD13FF" w:rsidRPr="007F650B" w:rsidRDefault="00D938BB" w:rsidP="00D938BB">
      <w:pPr>
        <w:pStyle w:val="enumlev1"/>
        <w:rPr>
          <w:lang w:val="es-ES"/>
        </w:rPr>
      </w:pPr>
      <w:r w:rsidRPr="003600A8">
        <w:rPr>
          <w:szCs w:val="24"/>
          <w:lang w:val="es-ES"/>
        </w:rPr>
        <w:t>•</w:t>
      </w:r>
      <w:r>
        <w:rPr>
          <w:lang w:val="es-ES"/>
        </w:rPr>
        <w:tab/>
      </w:r>
      <w:r w:rsidR="00CD13FF" w:rsidRPr="007F650B">
        <w:rPr>
          <w:lang w:val="es-ES"/>
        </w:rPr>
        <w:t>reflejar la sincronización (con arreglo a los estudios en la C13/15) en las Recomendaciones sobre arquitectura?</w:t>
      </w:r>
    </w:p>
    <w:p w:rsidR="006000C8" w:rsidRPr="004A141F" w:rsidRDefault="00CD13FF" w:rsidP="007801D0">
      <w:pPr>
        <w:rPr>
          <w:lang w:val="es-ES"/>
        </w:rPr>
      </w:pPr>
      <w:r w:rsidRPr="004A141F">
        <w:rPr>
          <w:lang w:val="es-ES"/>
        </w:rPr>
        <w:t>Los temas de estudio que se han de considerar son, entre otros:</w:t>
      </w:r>
    </w:p>
    <w:p w:rsidR="00CD13FF" w:rsidRPr="007801D0" w:rsidRDefault="007801D0" w:rsidP="007801D0">
      <w:pPr>
        <w:pStyle w:val="enumlev1"/>
        <w:rPr>
          <w:lang w:val="es-ES"/>
        </w:rPr>
      </w:pPr>
      <w:r w:rsidRPr="003600A8">
        <w:rPr>
          <w:szCs w:val="24"/>
          <w:lang w:val="es-ES"/>
        </w:rPr>
        <w:t>•</w:t>
      </w:r>
      <w:r>
        <w:rPr>
          <w:szCs w:val="24"/>
          <w:lang w:val="es-ES"/>
        </w:rPr>
        <w:tab/>
      </w:r>
      <w:r w:rsidR="00CD13FF" w:rsidRPr="007F650B">
        <w:rPr>
          <w:szCs w:val="24"/>
          <w:lang w:val="es-ES"/>
        </w:rPr>
        <w:t xml:space="preserve">Redes </w:t>
      </w:r>
      <w:r w:rsidR="00CD13FF" w:rsidRPr="007801D0">
        <w:rPr>
          <w:lang w:val="es-ES"/>
        </w:rPr>
        <w:t xml:space="preserve">de transporte aptas para la conmutación de circuitos, en particular la tecnología de conmutación </w:t>
      </w:r>
      <w:proofErr w:type="spellStart"/>
      <w:r w:rsidR="00CD13FF" w:rsidRPr="007801D0">
        <w:rPr>
          <w:lang w:val="es-ES"/>
        </w:rPr>
        <w:t>fotónica</w:t>
      </w:r>
      <w:proofErr w:type="spellEnd"/>
      <w:r w:rsidR="00CD13FF" w:rsidRPr="007801D0">
        <w:rPr>
          <w:lang w:val="es-ES"/>
        </w:rPr>
        <w:t>.</w:t>
      </w:r>
    </w:p>
    <w:p w:rsidR="00CD13FF" w:rsidRPr="007801D0" w:rsidRDefault="007801D0" w:rsidP="007801D0">
      <w:pPr>
        <w:pStyle w:val="enumlev1"/>
        <w:rPr>
          <w:lang w:val="es-ES"/>
        </w:rPr>
      </w:pPr>
      <w:r w:rsidRPr="003600A8">
        <w:rPr>
          <w:szCs w:val="24"/>
          <w:lang w:val="es-ES"/>
        </w:rPr>
        <w:t>•</w:t>
      </w:r>
      <w:r>
        <w:rPr>
          <w:szCs w:val="24"/>
          <w:lang w:val="es-ES"/>
        </w:rPr>
        <w:tab/>
      </w:r>
      <w:r w:rsidR="00CD13FF" w:rsidRPr="007801D0">
        <w:rPr>
          <w:lang w:val="es-ES"/>
        </w:rPr>
        <w:t xml:space="preserve">Redes de transporte aptas para la conmutación de paquetes, incluida la conmutación de paquetes en la capa </w:t>
      </w:r>
      <w:proofErr w:type="spellStart"/>
      <w:r w:rsidR="00CD13FF" w:rsidRPr="007801D0">
        <w:rPr>
          <w:lang w:val="es-ES"/>
        </w:rPr>
        <w:t>fotónica</w:t>
      </w:r>
      <w:proofErr w:type="spellEnd"/>
      <w:r w:rsidR="00CD13FF" w:rsidRPr="007801D0">
        <w:rPr>
          <w:lang w:val="es-ES"/>
        </w:rPr>
        <w:t>.</w:t>
      </w:r>
    </w:p>
    <w:p w:rsidR="00CD13FF" w:rsidRPr="007801D0" w:rsidRDefault="007801D0" w:rsidP="007801D0">
      <w:pPr>
        <w:pStyle w:val="enumlev1"/>
        <w:rPr>
          <w:lang w:val="es-ES"/>
        </w:rPr>
      </w:pPr>
      <w:r w:rsidRPr="003600A8">
        <w:rPr>
          <w:szCs w:val="24"/>
          <w:lang w:val="es-ES"/>
        </w:rPr>
        <w:t>•</w:t>
      </w:r>
      <w:r>
        <w:rPr>
          <w:szCs w:val="24"/>
          <w:lang w:val="es-ES"/>
        </w:rPr>
        <w:tab/>
      </w:r>
      <w:r w:rsidR="00CD13FF" w:rsidRPr="007801D0">
        <w:rPr>
          <w:lang w:val="es-ES"/>
        </w:rPr>
        <w:t>Redes de transporte convergentes multicapas y que incorporan numerosas tecnologías.</w:t>
      </w:r>
    </w:p>
    <w:p w:rsidR="00CD13FF" w:rsidRPr="007801D0" w:rsidRDefault="007801D0" w:rsidP="007801D0">
      <w:pPr>
        <w:pStyle w:val="enumlev1"/>
        <w:rPr>
          <w:lang w:val="es-ES"/>
        </w:rPr>
      </w:pPr>
      <w:r w:rsidRPr="003600A8">
        <w:rPr>
          <w:szCs w:val="24"/>
          <w:lang w:val="es-ES"/>
        </w:rPr>
        <w:t>•</w:t>
      </w:r>
      <w:r>
        <w:rPr>
          <w:lang w:val="es-ES"/>
        </w:rPr>
        <w:tab/>
      </w:r>
      <w:r w:rsidR="00CD13FF" w:rsidRPr="007801D0">
        <w:rPr>
          <w:lang w:val="es-ES"/>
        </w:rPr>
        <w:t>La arquitectura de la capa de medios y las nuevas formas de soporte de las capas de información en los medios.</w:t>
      </w:r>
    </w:p>
    <w:p w:rsidR="00CD13FF" w:rsidRPr="007801D0" w:rsidRDefault="007801D0" w:rsidP="007801D0">
      <w:pPr>
        <w:pStyle w:val="enumlev1"/>
        <w:rPr>
          <w:lang w:val="es-ES"/>
        </w:rPr>
      </w:pPr>
      <w:r w:rsidRPr="003600A8">
        <w:rPr>
          <w:szCs w:val="24"/>
          <w:lang w:val="es-ES"/>
        </w:rPr>
        <w:t>•</w:t>
      </w:r>
      <w:r>
        <w:rPr>
          <w:lang w:val="es-ES"/>
        </w:rPr>
        <w:tab/>
      </w:r>
      <w:r w:rsidR="00CD13FF" w:rsidRPr="007801D0">
        <w:rPr>
          <w:lang w:val="es-ES"/>
        </w:rPr>
        <w:t>El soporte de servicios de transporte punto a multipunto y multipunto a multipunto</w:t>
      </w:r>
    </w:p>
    <w:p w:rsidR="00CD13FF" w:rsidRPr="007801D0" w:rsidRDefault="007801D0" w:rsidP="007801D0">
      <w:pPr>
        <w:pStyle w:val="enumlev1"/>
        <w:rPr>
          <w:lang w:val="es-ES"/>
        </w:rPr>
      </w:pPr>
      <w:r w:rsidRPr="003600A8">
        <w:rPr>
          <w:szCs w:val="24"/>
          <w:lang w:val="es-ES"/>
        </w:rPr>
        <w:t>•</w:t>
      </w:r>
      <w:r>
        <w:rPr>
          <w:lang w:val="es-ES"/>
        </w:rPr>
        <w:tab/>
      </w:r>
      <w:r w:rsidR="00CD13FF" w:rsidRPr="007801D0">
        <w:rPr>
          <w:lang w:val="es-ES"/>
        </w:rPr>
        <w:t>El comportamiento dinámico de los recursos de red (por ejemplo, cambios en la velocidad del enlace).</w:t>
      </w:r>
    </w:p>
    <w:p w:rsidR="00CD13FF" w:rsidRPr="007801D0" w:rsidRDefault="00161332" w:rsidP="00161332">
      <w:pPr>
        <w:pStyle w:val="enumlev1"/>
        <w:rPr>
          <w:lang w:val="es-ES"/>
        </w:rPr>
      </w:pPr>
      <w:r w:rsidRPr="003600A8">
        <w:rPr>
          <w:szCs w:val="24"/>
          <w:lang w:val="es-ES"/>
        </w:rPr>
        <w:t>•</w:t>
      </w:r>
      <w:r>
        <w:rPr>
          <w:szCs w:val="24"/>
          <w:lang w:val="es-ES"/>
        </w:rPr>
        <w:tab/>
      </w:r>
      <w:r w:rsidR="00CD13FF" w:rsidRPr="007801D0">
        <w:rPr>
          <w:lang w:val="es-ES"/>
        </w:rPr>
        <w:t>La relación con la modelización funcional necesaria en la NFV.</w:t>
      </w:r>
    </w:p>
    <w:p w:rsidR="00CD13FF" w:rsidRDefault="00161332" w:rsidP="007801D0">
      <w:pPr>
        <w:pStyle w:val="enumlev1"/>
        <w:rPr>
          <w:szCs w:val="24"/>
          <w:lang w:val="es-ES"/>
        </w:rPr>
      </w:pPr>
      <w:r w:rsidRPr="003600A8">
        <w:rPr>
          <w:szCs w:val="24"/>
          <w:lang w:val="es-ES"/>
        </w:rPr>
        <w:t>•</w:t>
      </w:r>
      <w:r>
        <w:rPr>
          <w:lang w:val="es-ES"/>
        </w:rPr>
        <w:tab/>
      </w:r>
      <w:r w:rsidR="00CD13FF" w:rsidRPr="007801D0">
        <w:rPr>
          <w:lang w:val="es-ES"/>
        </w:rPr>
        <w:t>El enfoque sobre la arquitectura de las redes definidas por software (SDN) y su función para proporcionar</w:t>
      </w:r>
      <w:r w:rsidR="00CD13FF" w:rsidRPr="007F650B">
        <w:rPr>
          <w:szCs w:val="24"/>
          <w:lang w:val="es-ES"/>
        </w:rPr>
        <w:t xml:space="preserve"> un control más flexible.</w:t>
      </w:r>
    </w:p>
    <w:p w:rsidR="006000C8" w:rsidRPr="007F650B" w:rsidRDefault="00C31CCF" w:rsidP="00C31CCF">
      <w:pPr>
        <w:pStyle w:val="enumlev1"/>
        <w:rPr>
          <w:szCs w:val="24"/>
          <w:lang w:val="es-ES"/>
        </w:rPr>
      </w:pPr>
      <w:r w:rsidRPr="003600A8">
        <w:rPr>
          <w:szCs w:val="24"/>
          <w:lang w:val="es-ES"/>
        </w:rPr>
        <w:t>•</w:t>
      </w:r>
      <w:r>
        <w:rPr>
          <w:szCs w:val="24"/>
          <w:lang w:val="es-ES"/>
        </w:rPr>
        <w:tab/>
      </w:r>
      <w:r w:rsidR="00CD13FF" w:rsidRPr="007F650B">
        <w:rPr>
          <w:szCs w:val="24"/>
          <w:lang w:val="es-ES"/>
        </w:rPr>
        <w:t xml:space="preserve">¿Qué </w:t>
      </w:r>
      <w:r w:rsidR="00D005FB" w:rsidRPr="00C31CCF">
        <w:rPr>
          <w:lang w:val="es-ES"/>
        </w:rPr>
        <w:t>modificaciones</w:t>
      </w:r>
      <w:r w:rsidR="00CD13FF" w:rsidRPr="007F650B">
        <w:rPr>
          <w:szCs w:val="24"/>
          <w:lang w:val="es-ES"/>
        </w:rPr>
        <w:t xml:space="preserve"> deben introducirse en el plan de normalización de las OTNT</w:t>
      </w:r>
      <w:r w:rsidR="00D005FB" w:rsidRPr="007F650B">
        <w:rPr>
          <w:szCs w:val="24"/>
          <w:lang w:val="es-ES"/>
        </w:rPr>
        <w:t xml:space="preserve"> (</w:t>
      </w:r>
      <w:r w:rsidR="00266EC2" w:rsidRPr="00266EC2">
        <w:rPr>
          <w:szCs w:val="24"/>
          <w:lang w:val="es-ES"/>
        </w:rPr>
        <w:t>PTN</w:t>
      </w:r>
      <w:r>
        <w:rPr>
          <w:szCs w:val="24"/>
          <w:lang w:val="es-ES"/>
        </w:rPr>
        <w:t> </w:t>
      </w:r>
      <w:r w:rsidR="00266EC2" w:rsidRPr="00266EC2">
        <w:rPr>
          <w:szCs w:val="24"/>
          <w:lang w:val="es-ES"/>
        </w:rPr>
        <w:t>OTNT</w:t>
      </w:r>
      <w:r w:rsidR="00D005FB" w:rsidRPr="007F650B">
        <w:rPr>
          <w:szCs w:val="24"/>
          <w:lang w:val="es-ES"/>
        </w:rPr>
        <w:t>),</w:t>
      </w:r>
      <w:r w:rsidR="00CD13FF" w:rsidRPr="007F650B">
        <w:rPr>
          <w:szCs w:val="24"/>
          <w:lang w:val="es-ES"/>
        </w:rPr>
        <w:t xml:space="preserve"> o qué nuevas Recomendaciones o mecanismos es preciso elaborar</w:t>
      </w:r>
      <w:r w:rsidR="00D005FB" w:rsidRPr="007F650B">
        <w:rPr>
          <w:szCs w:val="24"/>
          <w:lang w:val="es-ES"/>
        </w:rPr>
        <w:t>,</w:t>
      </w:r>
      <w:r w:rsidR="00CD13FF" w:rsidRPr="007F650B">
        <w:rPr>
          <w:szCs w:val="24"/>
          <w:lang w:val="es-ES"/>
        </w:rPr>
        <w:t xml:space="preserve"> en </w:t>
      </w:r>
      <w:r w:rsidR="00D005FB" w:rsidRPr="007F650B">
        <w:rPr>
          <w:szCs w:val="24"/>
          <w:lang w:val="es-ES"/>
        </w:rPr>
        <w:t>este</w:t>
      </w:r>
      <w:r w:rsidR="00CD13FF" w:rsidRPr="007F650B">
        <w:rPr>
          <w:szCs w:val="24"/>
          <w:lang w:val="es-ES"/>
        </w:rPr>
        <w:t xml:space="preserve"> marco</w:t>
      </w:r>
      <w:r w:rsidR="00D005FB" w:rsidRPr="007F650B">
        <w:rPr>
          <w:szCs w:val="24"/>
          <w:lang w:val="es-ES"/>
        </w:rPr>
        <w:t>,</w:t>
      </w:r>
      <w:r w:rsidR="00CD13FF" w:rsidRPr="007F650B">
        <w:rPr>
          <w:szCs w:val="24"/>
          <w:lang w:val="es-ES"/>
        </w:rPr>
        <w:t xml:space="preserve"> para tener en cuenta aspectos novedosos de las redes ópticas de transporte, su terminología general y las características de fiabilidad/disponibilidad?</w:t>
      </w:r>
    </w:p>
    <w:p w:rsidR="006000C8" w:rsidRPr="007F650B" w:rsidRDefault="00CD13FF" w:rsidP="00C31CCF">
      <w:pPr>
        <w:pStyle w:val="Headingb0"/>
        <w:rPr>
          <w:lang w:val="es-ES"/>
        </w:rPr>
      </w:pPr>
      <w:r w:rsidRPr="007F650B">
        <w:rPr>
          <w:lang w:val="es-ES"/>
        </w:rPr>
        <w:t>Tareas</w:t>
      </w:r>
    </w:p>
    <w:p w:rsidR="00CD13FF" w:rsidRPr="007F650B" w:rsidRDefault="00CD13FF" w:rsidP="00C31CCF">
      <w:pPr>
        <w:rPr>
          <w:lang w:val="es-ES"/>
        </w:rPr>
      </w:pPr>
      <w:r w:rsidRPr="007F650B">
        <w:rPr>
          <w:lang w:val="es-ES"/>
        </w:rPr>
        <w:t>Las tareas son, entre otras:</w:t>
      </w:r>
    </w:p>
    <w:p w:rsidR="00CD13FF" w:rsidRPr="007F650B" w:rsidRDefault="00C31CCF" w:rsidP="00C31CCF">
      <w:pPr>
        <w:pStyle w:val="enumlev1"/>
        <w:rPr>
          <w:szCs w:val="24"/>
          <w:lang w:val="es-ES"/>
        </w:rPr>
      </w:pPr>
      <w:r w:rsidRPr="003600A8">
        <w:rPr>
          <w:szCs w:val="24"/>
          <w:lang w:val="es-ES"/>
        </w:rPr>
        <w:t>•</w:t>
      </w:r>
      <w:r>
        <w:rPr>
          <w:szCs w:val="24"/>
          <w:lang w:val="es-ES"/>
        </w:rPr>
        <w:tab/>
      </w:r>
      <w:r w:rsidR="00CD13FF" w:rsidRPr="007F650B">
        <w:rPr>
          <w:szCs w:val="24"/>
          <w:lang w:val="es-ES"/>
        </w:rPr>
        <w:t>Mantener las Recomendaciones I.326, G.803 y G.805.</w:t>
      </w:r>
    </w:p>
    <w:p w:rsidR="00CD13FF" w:rsidRPr="007F650B" w:rsidRDefault="00C31CCF" w:rsidP="00D12683">
      <w:pPr>
        <w:pStyle w:val="enumlev1"/>
        <w:rPr>
          <w:szCs w:val="24"/>
          <w:lang w:val="es-ES"/>
        </w:rPr>
      </w:pPr>
      <w:r w:rsidRPr="003600A8">
        <w:rPr>
          <w:szCs w:val="24"/>
          <w:lang w:val="es-ES"/>
        </w:rPr>
        <w:t>•</w:t>
      </w:r>
      <w:r>
        <w:rPr>
          <w:szCs w:val="24"/>
          <w:lang w:val="es-ES"/>
        </w:rPr>
        <w:tab/>
      </w:r>
      <w:r w:rsidR="00CD13FF" w:rsidRPr="007F650B">
        <w:rPr>
          <w:szCs w:val="24"/>
          <w:lang w:val="es-ES"/>
        </w:rPr>
        <w:t>Perfeccionar y mejorar las Recomendaciones G.800, G.872, G.8010, G.8080, G.8110 y</w:t>
      </w:r>
      <w:r w:rsidR="00D12683">
        <w:rPr>
          <w:szCs w:val="24"/>
          <w:lang w:val="es-ES"/>
        </w:rPr>
        <w:t> </w:t>
      </w:r>
      <w:r w:rsidR="00CD13FF" w:rsidRPr="007F650B">
        <w:rPr>
          <w:szCs w:val="24"/>
          <w:lang w:val="es-ES"/>
        </w:rPr>
        <w:t>G.8110.1.</w:t>
      </w:r>
    </w:p>
    <w:p w:rsidR="006000C8" w:rsidRPr="007F650B" w:rsidRDefault="00C31CCF" w:rsidP="00C31CCF">
      <w:pPr>
        <w:pStyle w:val="enumlev1"/>
        <w:rPr>
          <w:szCs w:val="24"/>
          <w:lang w:val="es-ES"/>
        </w:rPr>
      </w:pPr>
      <w:r w:rsidRPr="003600A8">
        <w:rPr>
          <w:szCs w:val="24"/>
          <w:lang w:val="es-ES"/>
        </w:rPr>
        <w:t>•</w:t>
      </w:r>
      <w:r>
        <w:rPr>
          <w:szCs w:val="24"/>
          <w:lang w:val="es-ES"/>
        </w:rPr>
        <w:tab/>
      </w:r>
      <w:r w:rsidR="00CD13FF" w:rsidRPr="007F650B">
        <w:rPr>
          <w:szCs w:val="24"/>
          <w:lang w:val="es-ES"/>
        </w:rPr>
        <w:t>Finalizar las G.</w:t>
      </w:r>
      <w:r w:rsidR="00D005FB" w:rsidRPr="007F650B">
        <w:rPr>
          <w:szCs w:val="24"/>
          <w:lang w:val="es-ES"/>
        </w:rPr>
        <w:t>7701</w:t>
      </w:r>
      <w:r w:rsidR="00CD13FF" w:rsidRPr="007F650B">
        <w:rPr>
          <w:szCs w:val="24"/>
          <w:lang w:val="es-ES"/>
        </w:rPr>
        <w:t xml:space="preserve"> y G.</w:t>
      </w:r>
      <w:r w:rsidR="00D005FB" w:rsidRPr="007F650B">
        <w:rPr>
          <w:szCs w:val="24"/>
          <w:lang w:val="es-ES"/>
        </w:rPr>
        <w:t>7702</w:t>
      </w:r>
      <w:r>
        <w:rPr>
          <w:szCs w:val="24"/>
          <w:lang w:val="es-ES"/>
        </w:rPr>
        <w:t>.</w:t>
      </w:r>
    </w:p>
    <w:p w:rsidR="006000C8" w:rsidRPr="007F650B" w:rsidRDefault="00C31CCF" w:rsidP="00C31CCF">
      <w:pPr>
        <w:pStyle w:val="enumlev1"/>
        <w:rPr>
          <w:szCs w:val="24"/>
          <w:lang w:val="es-ES"/>
        </w:rPr>
      </w:pPr>
      <w:r w:rsidRPr="003600A8">
        <w:rPr>
          <w:szCs w:val="24"/>
          <w:lang w:val="es-ES"/>
        </w:rPr>
        <w:t>•</w:t>
      </w:r>
      <w:r>
        <w:rPr>
          <w:szCs w:val="24"/>
          <w:lang w:val="es-ES"/>
        </w:rPr>
        <w:tab/>
      </w:r>
      <w:r w:rsidR="00D005FB" w:rsidRPr="007F650B">
        <w:rPr>
          <w:szCs w:val="24"/>
          <w:lang w:val="es-ES"/>
        </w:rPr>
        <w:t>Facilitar el debate entre las Cuestiones</w:t>
      </w:r>
      <w:r w:rsidR="00694063" w:rsidRPr="007F650B">
        <w:rPr>
          <w:szCs w:val="24"/>
          <w:lang w:val="es-ES"/>
        </w:rPr>
        <w:t xml:space="preserve"> durante la</w:t>
      </w:r>
      <w:r w:rsidR="00D005FB" w:rsidRPr="007F650B">
        <w:rPr>
          <w:szCs w:val="24"/>
          <w:lang w:val="es-ES"/>
        </w:rPr>
        <w:t>s</w:t>
      </w:r>
      <w:r w:rsidR="00694063" w:rsidRPr="007F650B">
        <w:rPr>
          <w:szCs w:val="24"/>
          <w:lang w:val="es-ES"/>
        </w:rPr>
        <w:t xml:space="preserve"> reuni</w:t>
      </w:r>
      <w:r w:rsidR="00D005FB" w:rsidRPr="007F650B">
        <w:rPr>
          <w:szCs w:val="24"/>
          <w:lang w:val="es-ES"/>
        </w:rPr>
        <w:t>ones</w:t>
      </w:r>
      <w:r w:rsidR="00694063" w:rsidRPr="007F650B">
        <w:rPr>
          <w:szCs w:val="24"/>
          <w:lang w:val="es-ES"/>
        </w:rPr>
        <w:t xml:space="preserve"> de la CE 15 a fin de facilitar</w:t>
      </w:r>
      <w:r w:rsidR="006C51A2">
        <w:rPr>
          <w:szCs w:val="24"/>
          <w:lang w:val="es-ES"/>
        </w:rPr>
        <w:t xml:space="preserve"> </w:t>
      </w:r>
      <w:r w:rsidR="00D005FB" w:rsidRPr="007F650B">
        <w:rPr>
          <w:szCs w:val="24"/>
          <w:lang w:val="es-ES"/>
        </w:rPr>
        <w:t>la coordinación de las actividades sobre el transporte óptico, incluida la armonización de la terminología</w:t>
      </w:r>
      <w:r w:rsidR="00694063" w:rsidRPr="007F650B">
        <w:rPr>
          <w:szCs w:val="24"/>
          <w:lang w:val="es-ES"/>
        </w:rPr>
        <w:t>.</w:t>
      </w:r>
    </w:p>
    <w:p w:rsidR="006000C8" w:rsidRPr="007F650B" w:rsidRDefault="00C31CCF" w:rsidP="00C31CCF">
      <w:pPr>
        <w:pStyle w:val="enumlev1"/>
        <w:rPr>
          <w:szCs w:val="24"/>
          <w:lang w:val="es-ES"/>
        </w:rPr>
      </w:pPr>
      <w:r w:rsidRPr="003600A8">
        <w:rPr>
          <w:szCs w:val="24"/>
          <w:lang w:val="es-ES"/>
        </w:rPr>
        <w:t>•</w:t>
      </w:r>
      <w:r>
        <w:rPr>
          <w:szCs w:val="24"/>
          <w:lang w:val="es-ES"/>
        </w:rPr>
        <w:tab/>
      </w:r>
      <w:r w:rsidR="00CD13FF" w:rsidRPr="007F650B">
        <w:rPr>
          <w:szCs w:val="24"/>
          <w:lang w:val="es-ES"/>
        </w:rPr>
        <w:t xml:space="preserve">Elaborar, mantener y distribuir regularmente el </w:t>
      </w:r>
      <w:r w:rsidR="00D005FB" w:rsidRPr="007F650B">
        <w:rPr>
          <w:szCs w:val="24"/>
          <w:lang w:val="es-ES"/>
        </w:rPr>
        <w:t>plan de trabajo</w:t>
      </w:r>
      <w:r w:rsidR="00CD13FF" w:rsidRPr="007F650B">
        <w:rPr>
          <w:szCs w:val="24"/>
          <w:lang w:val="es-ES"/>
        </w:rPr>
        <w:t xml:space="preserve"> que documenta la labor y los plazos de las principales actividades relacionadas con las redes ópticas de transporte (</w:t>
      </w:r>
      <w:r w:rsidR="00266EC2" w:rsidRPr="00266EC2">
        <w:rPr>
          <w:szCs w:val="24"/>
          <w:lang w:val="es-ES"/>
        </w:rPr>
        <w:t>PTN OTNT</w:t>
      </w:r>
      <w:r w:rsidR="00CD13FF" w:rsidRPr="007F650B">
        <w:rPr>
          <w:szCs w:val="24"/>
          <w:lang w:val="es-ES"/>
        </w:rPr>
        <w:t>).</w:t>
      </w:r>
    </w:p>
    <w:p w:rsidR="00694063" w:rsidRPr="007F650B" w:rsidRDefault="00694063" w:rsidP="00C31CCF">
      <w:pPr>
        <w:rPr>
          <w:rFonts w:eastAsia="MS PGothic"/>
          <w:b/>
          <w:lang w:val="es-ES"/>
        </w:rPr>
      </w:pPr>
      <w:r w:rsidRPr="007F650B">
        <w:rPr>
          <w:rFonts w:eastAsia="MS PGothic"/>
          <w:lang w:val="es-ES"/>
        </w:rPr>
        <w:t xml:space="preserve">NOTA – En el programa de trabajo de la CE 15 se indica el estado actual del estudio de esta Cuestión en la dirección </w:t>
      </w:r>
      <w:hyperlink r:id="rId11" w:history="1">
        <w:r w:rsidRPr="007F650B">
          <w:rPr>
            <w:rStyle w:val="Hyperlink"/>
            <w:rFonts w:eastAsia="MS PGothic"/>
            <w:szCs w:val="24"/>
            <w:lang w:val="es-ES"/>
          </w:rPr>
          <w:t>http://itu.int/ITU-T/workprog/wp_search.aspx?sg=15</w:t>
        </w:r>
      </w:hyperlink>
      <w:r w:rsidRPr="007F650B">
        <w:rPr>
          <w:rFonts w:eastAsia="MS PGothic"/>
          <w:lang w:val="es-ES"/>
        </w:rPr>
        <w:t>.</w:t>
      </w:r>
    </w:p>
    <w:p w:rsidR="006000C8" w:rsidRPr="007F650B" w:rsidRDefault="00694063" w:rsidP="00C31CCF">
      <w:pPr>
        <w:pStyle w:val="Headingb0"/>
        <w:rPr>
          <w:szCs w:val="24"/>
          <w:lang w:val="es-ES"/>
        </w:rPr>
      </w:pPr>
      <w:r w:rsidRPr="007F650B">
        <w:rPr>
          <w:lang w:val="es-ES"/>
        </w:rPr>
        <w:t>Relaciones</w:t>
      </w:r>
    </w:p>
    <w:p w:rsidR="006000C8" w:rsidRPr="00CB0DEB" w:rsidRDefault="00694063" w:rsidP="00CB0DEB">
      <w:pPr>
        <w:rPr>
          <w:b/>
          <w:bCs/>
          <w:lang w:val="es-ES"/>
        </w:rPr>
      </w:pPr>
      <w:r w:rsidRPr="00CB0DEB">
        <w:rPr>
          <w:b/>
          <w:bCs/>
          <w:lang w:val="es-ES"/>
        </w:rPr>
        <w:t>Recomendaciones:</w:t>
      </w:r>
    </w:p>
    <w:p w:rsidR="00694063" w:rsidRPr="00CB0DEB" w:rsidRDefault="00694063" w:rsidP="00CB0DEB">
      <w:pPr>
        <w:rPr>
          <w:b/>
          <w:bCs/>
          <w:lang w:val="es-ES"/>
        </w:rPr>
      </w:pPr>
      <w:r w:rsidRPr="00CB0DEB">
        <w:rPr>
          <w:b/>
          <w:bCs/>
          <w:lang w:val="es-ES"/>
        </w:rPr>
        <w:t>Cuestiones:</w:t>
      </w:r>
    </w:p>
    <w:p w:rsidR="00694063" w:rsidRPr="007F650B" w:rsidRDefault="00824569" w:rsidP="00CB0DEB">
      <w:pPr>
        <w:pStyle w:val="enumlev1"/>
        <w:rPr>
          <w:lang w:val="es-ES"/>
        </w:rPr>
      </w:pPr>
      <w:r w:rsidRPr="007F650B">
        <w:rPr>
          <w:lang w:val="es-ES"/>
        </w:rPr>
        <w:t>•</w:t>
      </w:r>
      <w:r w:rsidR="00694063" w:rsidRPr="007F650B">
        <w:rPr>
          <w:sz w:val="22"/>
          <w:szCs w:val="22"/>
          <w:lang w:val="es-ES"/>
        </w:rPr>
        <w:tab/>
      </w:r>
      <w:bookmarkStart w:id="17" w:name="lt_pId479"/>
      <w:r w:rsidR="00694063" w:rsidRPr="007F650B">
        <w:rPr>
          <w:lang w:val="es-ES"/>
        </w:rPr>
        <w:t>C2/15, C6/15, C7/15, C9/15, C10/15, C11/15, C12/15, C13/15 y C14/15</w:t>
      </w:r>
      <w:bookmarkEnd w:id="17"/>
    </w:p>
    <w:p w:rsidR="006000C8" w:rsidRPr="00BC0C29" w:rsidRDefault="00694063" w:rsidP="00BC0C29">
      <w:pPr>
        <w:rPr>
          <w:b/>
          <w:bCs/>
          <w:lang w:val="es-ES"/>
        </w:rPr>
      </w:pPr>
      <w:r w:rsidRPr="00BC0C29">
        <w:rPr>
          <w:b/>
          <w:bCs/>
          <w:lang w:val="es-ES"/>
        </w:rPr>
        <w:t>Comisiones de Estudio:</w:t>
      </w:r>
    </w:p>
    <w:p w:rsidR="00413236" w:rsidRPr="007F650B" w:rsidRDefault="00BC0C29" w:rsidP="00BC0C29">
      <w:pPr>
        <w:pStyle w:val="enumlev1"/>
        <w:rPr>
          <w:lang w:val="es-ES"/>
        </w:rPr>
      </w:pPr>
      <w:r w:rsidRPr="003600A8">
        <w:rPr>
          <w:szCs w:val="24"/>
          <w:lang w:val="es-ES"/>
        </w:rPr>
        <w:t>•</w:t>
      </w:r>
      <w:r>
        <w:rPr>
          <w:lang w:val="es-ES"/>
        </w:rPr>
        <w:tab/>
      </w:r>
      <w:r w:rsidR="00413236" w:rsidRPr="007F650B">
        <w:rPr>
          <w:lang w:val="es-ES"/>
        </w:rPr>
        <w:t>CE 2 del UIT-T sobre gestión de telecomunicaciones</w:t>
      </w:r>
    </w:p>
    <w:p w:rsidR="00413236" w:rsidRPr="007F650B" w:rsidRDefault="00BC0C29" w:rsidP="00BC0C29">
      <w:pPr>
        <w:pStyle w:val="enumlev1"/>
        <w:rPr>
          <w:lang w:val="es-ES"/>
        </w:rPr>
      </w:pPr>
      <w:r w:rsidRPr="003600A8">
        <w:rPr>
          <w:szCs w:val="24"/>
          <w:lang w:val="es-ES"/>
        </w:rPr>
        <w:t>•</w:t>
      </w:r>
      <w:r>
        <w:rPr>
          <w:lang w:val="es-ES"/>
        </w:rPr>
        <w:tab/>
      </w:r>
      <w:r w:rsidR="00413236" w:rsidRPr="007F650B">
        <w:rPr>
          <w:lang w:val="es-ES"/>
        </w:rPr>
        <w:t>Trabajos de la CE 13 del UIT-T sobre SDN</w:t>
      </w:r>
      <w:r w:rsidR="00D005FB" w:rsidRPr="007F650B">
        <w:rPr>
          <w:lang w:val="es-ES"/>
        </w:rPr>
        <w:t xml:space="preserve"> y </w:t>
      </w:r>
      <w:r w:rsidR="00413236" w:rsidRPr="007F650B">
        <w:rPr>
          <w:lang w:val="es-ES"/>
        </w:rPr>
        <w:t>las IMT-2020</w:t>
      </w:r>
      <w:r w:rsidR="00D005FB" w:rsidRPr="007F650B">
        <w:rPr>
          <w:lang w:val="es-ES"/>
        </w:rPr>
        <w:t>/</w:t>
      </w:r>
      <w:r w:rsidR="00413236" w:rsidRPr="007F650B">
        <w:rPr>
          <w:lang w:val="es-ES"/>
        </w:rPr>
        <w:t>5G</w:t>
      </w:r>
    </w:p>
    <w:p w:rsidR="00413236" w:rsidRPr="007F650B" w:rsidRDefault="00BC0C29" w:rsidP="00BC0C29">
      <w:pPr>
        <w:pStyle w:val="enumlev1"/>
        <w:rPr>
          <w:lang w:val="es-ES"/>
        </w:rPr>
      </w:pPr>
      <w:bookmarkStart w:id="18" w:name="lt_pId220"/>
      <w:r w:rsidRPr="003600A8">
        <w:rPr>
          <w:szCs w:val="24"/>
          <w:lang w:val="es-ES"/>
        </w:rPr>
        <w:t>•</w:t>
      </w:r>
      <w:r>
        <w:rPr>
          <w:lang w:val="es-ES"/>
        </w:rPr>
        <w:tab/>
      </w:r>
      <w:r w:rsidR="00413236" w:rsidRPr="007F650B">
        <w:rPr>
          <w:lang w:val="es-ES"/>
        </w:rPr>
        <w:t>JCA-IMT2020</w:t>
      </w:r>
      <w:r w:rsidR="00413236" w:rsidRPr="009D7C8A">
        <w:rPr>
          <w:lang w:val="es-ES"/>
        </w:rPr>
        <w:t xml:space="preserve"> </w:t>
      </w:r>
      <w:r w:rsidR="00D005FB" w:rsidRPr="007F650B">
        <w:rPr>
          <w:lang w:val="es-ES"/>
        </w:rPr>
        <w:t>sobre</w:t>
      </w:r>
      <w:r w:rsidR="00413236" w:rsidRPr="009D7C8A">
        <w:rPr>
          <w:lang w:val="es-ES"/>
        </w:rPr>
        <w:t xml:space="preserve"> 5G</w:t>
      </w:r>
      <w:bookmarkEnd w:id="18"/>
    </w:p>
    <w:p w:rsidR="006000C8" w:rsidRPr="007F650B" w:rsidRDefault="00BC0C29" w:rsidP="00BC0C29">
      <w:pPr>
        <w:pStyle w:val="enumlev1"/>
        <w:rPr>
          <w:lang w:val="es-ES"/>
        </w:rPr>
      </w:pPr>
      <w:r w:rsidRPr="003600A8">
        <w:rPr>
          <w:szCs w:val="24"/>
          <w:lang w:val="es-ES"/>
        </w:rPr>
        <w:t>•</w:t>
      </w:r>
      <w:r>
        <w:rPr>
          <w:lang w:val="es-ES"/>
        </w:rPr>
        <w:tab/>
      </w:r>
      <w:r w:rsidR="00413236" w:rsidRPr="007F650B">
        <w:rPr>
          <w:lang w:val="es-ES"/>
        </w:rPr>
        <w:t xml:space="preserve">Requisitos de la CE 20 del UIT-T sobre la </w:t>
      </w:r>
      <w:proofErr w:type="spellStart"/>
      <w:r w:rsidR="00413236" w:rsidRPr="007F650B">
        <w:rPr>
          <w:lang w:val="es-ES"/>
        </w:rPr>
        <w:t>IoT</w:t>
      </w:r>
      <w:proofErr w:type="spellEnd"/>
    </w:p>
    <w:p w:rsidR="00D12683" w:rsidRDefault="00D12683">
      <w:pPr>
        <w:tabs>
          <w:tab w:val="clear" w:pos="794"/>
          <w:tab w:val="clear" w:pos="1191"/>
          <w:tab w:val="clear" w:pos="1588"/>
          <w:tab w:val="clear" w:pos="1985"/>
        </w:tabs>
        <w:overflowPunct/>
        <w:autoSpaceDE/>
        <w:autoSpaceDN/>
        <w:adjustRightInd/>
        <w:spacing w:before="0"/>
        <w:textAlignment w:val="auto"/>
        <w:rPr>
          <w:b/>
          <w:bCs/>
          <w:lang w:val="es-ES"/>
        </w:rPr>
      </w:pPr>
      <w:r>
        <w:rPr>
          <w:b/>
          <w:bCs/>
          <w:lang w:val="es-ES"/>
        </w:rPr>
        <w:br w:type="page"/>
      </w:r>
    </w:p>
    <w:p w:rsidR="006000C8" w:rsidRPr="00BC0C29" w:rsidRDefault="00694063" w:rsidP="00BC0C29">
      <w:pPr>
        <w:rPr>
          <w:b/>
          <w:bCs/>
          <w:lang w:val="es-ES"/>
        </w:rPr>
      </w:pPr>
      <w:r w:rsidRPr="00BC0C29">
        <w:rPr>
          <w:b/>
          <w:bCs/>
          <w:lang w:val="es-ES"/>
        </w:rPr>
        <w:t>Organizaciones, foros y consorcios de normalización:</w:t>
      </w:r>
    </w:p>
    <w:p w:rsidR="00413236" w:rsidRPr="009D52F8" w:rsidRDefault="009D52F8" w:rsidP="009D52F8">
      <w:pPr>
        <w:pStyle w:val="enumlev1"/>
        <w:rPr>
          <w:lang w:val="es-ES"/>
        </w:rPr>
      </w:pPr>
      <w:r w:rsidRPr="003600A8">
        <w:rPr>
          <w:szCs w:val="24"/>
          <w:lang w:val="es-ES"/>
        </w:rPr>
        <w:t>•</w:t>
      </w:r>
      <w:r>
        <w:rPr>
          <w:szCs w:val="24"/>
          <w:lang w:val="es-ES"/>
        </w:rPr>
        <w:tab/>
      </w:r>
      <w:r w:rsidR="00413236" w:rsidRPr="009D52F8">
        <w:rPr>
          <w:lang w:val="es-ES"/>
        </w:rPr>
        <w:t>IETF sobr</w:t>
      </w:r>
      <w:r w:rsidRPr="009D52F8">
        <w:rPr>
          <w:lang w:val="es-ES"/>
        </w:rPr>
        <w:t>e aspectos del plano de control</w:t>
      </w:r>
    </w:p>
    <w:p w:rsidR="00413236" w:rsidRPr="009D52F8" w:rsidRDefault="009D52F8" w:rsidP="009D52F8">
      <w:pPr>
        <w:pStyle w:val="enumlev1"/>
        <w:rPr>
          <w:lang w:val="es-ES"/>
        </w:rPr>
      </w:pPr>
      <w:r w:rsidRPr="003600A8">
        <w:rPr>
          <w:szCs w:val="24"/>
          <w:lang w:val="es-ES"/>
        </w:rPr>
        <w:t>•</w:t>
      </w:r>
      <w:r>
        <w:rPr>
          <w:lang w:val="es-ES"/>
        </w:rPr>
        <w:tab/>
      </w:r>
      <w:r w:rsidR="00413236" w:rsidRPr="009D52F8">
        <w:rPr>
          <w:lang w:val="es-ES"/>
        </w:rPr>
        <w:t>IEEE 802 sobre Ethernet</w:t>
      </w:r>
    </w:p>
    <w:p w:rsidR="00413236" w:rsidRPr="009D52F8" w:rsidRDefault="009D52F8" w:rsidP="009D52F8">
      <w:pPr>
        <w:pStyle w:val="enumlev1"/>
        <w:rPr>
          <w:lang w:val="es-ES"/>
        </w:rPr>
      </w:pPr>
      <w:r w:rsidRPr="003600A8">
        <w:rPr>
          <w:szCs w:val="24"/>
          <w:lang w:val="es-ES"/>
        </w:rPr>
        <w:t>•</w:t>
      </w:r>
      <w:r>
        <w:rPr>
          <w:lang w:val="es-ES"/>
        </w:rPr>
        <w:tab/>
      </w:r>
      <w:r w:rsidR="00413236" w:rsidRPr="009D52F8">
        <w:rPr>
          <w:lang w:val="es-ES"/>
        </w:rPr>
        <w:t xml:space="preserve">OIF sobre el plano de control óptico y </w:t>
      </w:r>
      <w:proofErr w:type="spellStart"/>
      <w:r w:rsidR="00413236" w:rsidRPr="009D52F8">
        <w:rPr>
          <w:lang w:val="es-ES"/>
        </w:rPr>
        <w:t>FlexEthernet</w:t>
      </w:r>
      <w:proofErr w:type="spellEnd"/>
    </w:p>
    <w:p w:rsidR="00413236" w:rsidRPr="009D52F8" w:rsidRDefault="009D52F8" w:rsidP="009D52F8">
      <w:pPr>
        <w:pStyle w:val="enumlev1"/>
        <w:rPr>
          <w:lang w:val="es-ES"/>
        </w:rPr>
      </w:pPr>
      <w:r w:rsidRPr="003600A8">
        <w:rPr>
          <w:szCs w:val="24"/>
          <w:lang w:val="es-ES"/>
        </w:rPr>
        <w:t>•</w:t>
      </w:r>
      <w:r>
        <w:rPr>
          <w:lang w:val="es-ES"/>
        </w:rPr>
        <w:tab/>
      </w:r>
      <w:r w:rsidR="00413236" w:rsidRPr="009D52F8">
        <w:rPr>
          <w:lang w:val="es-ES"/>
        </w:rPr>
        <w:t>ONF en SDN</w:t>
      </w:r>
    </w:p>
    <w:p w:rsidR="006000C8" w:rsidRPr="009D52F8" w:rsidRDefault="009D52F8" w:rsidP="009D52F8">
      <w:pPr>
        <w:pStyle w:val="enumlev1"/>
        <w:rPr>
          <w:lang w:val="es-ES"/>
        </w:rPr>
      </w:pPr>
      <w:r w:rsidRPr="003600A8">
        <w:rPr>
          <w:szCs w:val="24"/>
          <w:lang w:val="es-ES"/>
        </w:rPr>
        <w:t>•</w:t>
      </w:r>
      <w:r>
        <w:rPr>
          <w:szCs w:val="24"/>
          <w:lang w:val="es-ES"/>
        </w:rPr>
        <w:tab/>
      </w:r>
      <w:r w:rsidR="00413236" w:rsidRPr="009D52F8">
        <w:rPr>
          <w:lang w:val="es-ES"/>
        </w:rPr>
        <w:t>ISG NFV de la ETSI</w:t>
      </w:r>
    </w:p>
    <w:p w:rsidR="00413236" w:rsidRPr="009D52F8" w:rsidRDefault="009D52F8" w:rsidP="009D52F8">
      <w:pPr>
        <w:pStyle w:val="enumlev1"/>
        <w:rPr>
          <w:lang w:val="es-ES"/>
        </w:rPr>
      </w:pPr>
      <w:bookmarkStart w:id="19" w:name="lt_pId228"/>
      <w:r w:rsidRPr="003600A8">
        <w:rPr>
          <w:szCs w:val="24"/>
          <w:lang w:val="es-ES"/>
        </w:rPr>
        <w:t>•</w:t>
      </w:r>
      <w:r>
        <w:rPr>
          <w:szCs w:val="24"/>
          <w:lang w:val="es-ES"/>
        </w:rPr>
        <w:tab/>
      </w:r>
      <w:r w:rsidR="00413236" w:rsidRPr="009D52F8">
        <w:rPr>
          <w:lang w:val="es-ES"/>
        </w:rPr>
        <w:t xml:space="preserve">3GPP </w:t>
      </w:r>
      <w:r w:rsidR="00D005FB" w:rsidRPr="009D52F8">
        <w:rPr>
          <w:lang w:val="es-ES"/>
        </w:rPr>
        <w:t>sobre</w:t>
      </w:r>
      <w:r w:rsidR="00413236" w:rsidRPr="009D52F8">
        <w:rPr>
          <w:lang w:val="es-ES"/>
        </w:rPr>
        <w:t xml:space="preserve"> IMT-2020/5G</w:t>
      </w:r>
      <w:bookmarkEnd w:id="19"/>
    </w:p>
    <w:p w:rsidR="006000C8" w:rsidRPr="007F650B" w:rsidRDefault="009D52F8" w:rsidP="009D52F8">
      <w:pPr>
        <w:pStyle w:val="enumlev1"/>
        <w:rPr>
          <w:szCs w:val="24"/>
          <w:lang w:val="es-ES"/>
        </w:rPr>
      </w:pPr>
      <w:bookmarkStart w:id="20" w:name="lt_pId229"/>
      <w:r w:rsidRPr="003600A8">
        <w:rPr>
          <w:szCs w:val="24"/>
          <w:lang w:val="es-ES"/>
        </w:rPr>
        <w:t>•</w:t>
      </w:r>
      <w:r>
        <w:rPr>
          <w:szCs w:val="24"/>
          <w:lang w:val="es-ES"/>
        </w:rPr>
        <w:tab/>
      </w:r>
      <w:r w:rsidR="00413236" w:rsidRPr="009D52F8">
        <w:rPr>
          <w:lang w:val="es-ES"/>
        </w:rPr>
        <w:t xml:space="preserve">BBF </w:t>
      </w:r>
      <w:r w:rsidR="00D005FB" w:rsidRPr="009D52F8">
        <w:rPr>
          <w:lang w:val="es-ES"/>
        </w:rPr>
        <w:t>sobre</w:t>
      </w:r>
      <w:r w:rsidR="00413236" w:rsidRPr="007F650B">
        <w:rPr>
          <w:szCs w:val="24"/>
          <w:lang w:val="es-ES"/>
        </w:rPr>
        <w:t xml:space="preserve"> IMT-2020/5G</w:t>
      </w:r>
      <w:bookmarkEnd w:id="20"/>
    </w:p>
    <w:p w:rsidR="006000C8" w:rsidRDefault="006000C8" w:rsidP="009D52F8">
      <w:pPr>
        <w:rPr>
          <w:lang w:val="es-ES"/>
        </w:rPr>
      </w:pPr>
    </w:p>
    <w:p w:rsidR="009D52F8" w:rsidRDefault="009D52F8">
      <w:pPr>
        <w:jc w:val="center"/>
      </w:pPr>
      <w:r>
        <w:t>______________</w:t>
      </w:r>
    </w:p>
    <w:p w:rsidR="009D52F8" w:rsidRPr="007F650B" w:rsidRDefault="009D52F8" w:rsidP="009D52F8">
      <w:pPr>
        <w:rPr>
          <w:lang w:val="es-ES"/>
        </w:rPr>
      </w:pPr>
    </w:p>
    <w:sectPr w:rsidR="009D52F8" w:rsidRPr="007F650B" w:rsidSect="00B87E9E">
      <w:headerReference w:type="default" r:id="rId12"/>
      <w:footerReference w:type="first" r:id="rId13"/>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75CD" w:rsidRDefault="009975CD">
      <w:r>
        <w:separator/>
      </w:r>
    </w:p>
  </w:endnote>
  <w:endnote w:type="continuationSeparator" w:id="0">
    <w:p w:rsidR="009975CD" w:rsidRDefault="0099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 w:name="MS PGothic">
    <w:panose1 w:val="020B0600070205080204"/>
    <w:charset w:val="80"/>
    <w:family w:val="swiss"/>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464D" w:rsidRDefault="0014464D" w:rsidP="00FC416A">
    <w:pPr>
      <w:pStyle w:val="FirstFooter"/>
      <w:ind w:left="-397" w:right="-397"/>
      <w:jc w:val="center"/>
      <w:rPr>
        <w:szCs w:val="18"/>
        <w:lang w:val="es-ES"/>
      </w:rPr>
    </w:pPr>
    <w:r w:rsidRPr="0055719E">
      <w:rPr>
        <w:szCs w:val="18"/>
        <w:lang w:val="es-ES"/>
      </w:rPr>
      <w:t xml:space="preserve">Unión Internacional de Telecomunicaciones • Place des </w:t>
    </w:r>
    <w:proofErr w:type="spellStart"/>
    <w:r w:rsidRPr="0055719E">
      <w:rPr>
        <w:szCs w:val="18"/>
        <w:lang w:val="es-ES"/>
      </w:rPr>
      <w:t>Nations</w:t>
    </w:r>
    <w:proofErr w:type="spellEnd"/>
    <w:r w:rsidRPr="0055719E">
      <w:rPr>
        <w:szCs w:val="18"/>
        <w:lang w:val="es-ES"/>
      </w:rPr>
      <w:t>, CH</w:t>
    </w:r>
    <w:r w:rsidRPr="0055719E">
      <w:rPr>
        <w:szCs w:val="18"/>
        <w:lang w:val="es-ES"/>
      </w:rPr>
      <w:noBreakHyphen/>
      <w:t xml:space="preserve">1211 Ginebra 20, Suiza </w:t>
    </w:r>
    <w:r w:rsidRPr="0055719E">
      <w:rPr>
        <w:szCs w:val="18"/>
        <w:lang w:val="es-ES"/>
      </w:rPr>
      <w:br/>
      <w:t xml:space="preserve">Tel: +41 22 730 5111 • Fax: +41 22 733 7256 • Correo-e: </w:t>
    </w:r>
    <w:hyperlink r:id="rId1" w:history="1">
      <w:r w:rsidRPr="0055719E">
        <w:rPr>
          <w:rStyle w:val="Hyperlink"/>
          <w:lang w:val="es-ES"/>
        </w:rPr>
        <w:t>itumail@itu.int</w:t>
      </w:r>
    </w:hyperlink>
    <w:r w:rsidRPr="0055719E">
      <w:rPr>
        <w:szCs w:val="18"/>
        <w:lang w:val="es-ES"/>
      </w:rPr>
      <w:t xml:space="preserve"> • </w:t>
    </w:r>
    <w:hyperlink r:id="rId2" w:history="1">
      <w:r w:rsidRPr="0055719E">
        <w:rPr>
          <w:rStyle w:val="Hyperlink"/>
          <w:lang w:val="es-E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75CD" w:rsidRDefault="009975CD">
      <w:r>
        <w:t>____________________</w:t>
      </w:r>
    </w:p>
  </w:footnote>
  <w:footnote w:type="continuationSeparator" w:id="0">
    <w:p w:rsidR="009975CD" w:rsidRDefault="0099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B4" w:rsidRPr="00303D62" w:rsidRDefault="006969B4" w:rsidP="00BE6805">
    <w:pPr>
      <w:pStyle w:val="Header"/>
      <w:spacing w:after="240"/>
      <w:rPr>
        <w:sz w:val="18"/>
        <w:szCs w:val="18"/>
      </w:rPr>
    </w:pPr>
    <w:r w:rsidRPr="00303D62">
      <w:rPr>
        <w:sz w:val="18"/>
        <w:szCs w:val="18"/>
      </w:rPr>
      <w:t xml:space="preserve">- </w:t>
    </w:r>
    <w:r w:rsidR="00B87E9E" w:rsidRPr="00303D62">
      <w:rPr>
        <w:rStyle w:val="PageNumber"/>
        <w:sz w:val="18"/>
        <w:szCs w:val="18"/>
      </w:rPr>
      <w:fldChar w:fldCharType="begin"/>
    </w:r>
    <w:r w:rsidRPr="00303D62">
      <w:rPr>
        <w:rStyle w:val="PageNumber"/>
        <w:sz w:val="18"/>
        <w:szCs w:val="18"/>
      </w:rPr>
      <w:instrText xml:space="preserve"> PAGE </w:instrText>
    </w:r>
    <w:r w:rsidR="00B87E9E" w:rsidRPr="00303D62">
      <w:rPr>
        <w:rStyle w:val="PageNumber"/>
        <w:sz w:val="18"/>
        <w:szCs w:val="18"/>
      </w:rPr>
      <w:fldChar w:fldCharType="separate"/>
    </w:r>
    <w:r w:rsidR="00517395">
      <w:rPr>
        <w:rStyle w:val="PageNumber"/>
        <w:noProof/>
        <w:sz w:val="18"/>
        <w:szCs w:val="18"/>
      </w:rPr>
      <w:t>12</w:t>
    </w:r>
    <w:r w:rsidR="00B87E9E"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1" w15:restartNumberingAfterBreak="0">
    <w:nsid w:val="023D0D29"/>
    <w:multiLevelType w:val="multilevel"/>
    <w:tmpl w:val="D6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571D4F"/>
    <w:multiLevelType w:val="multilevel"/>
    <w:tmpl w:val="D6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D758D4"/>
    <w:multiLevelType w:val="multilevel"/>
    <w:tmpl w:val="D6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BD4A0D"/>
    <w:multiLevelType w:val="hybridMultilevel"/>
    <w:tmpl w:val="147E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D722DB"/>
    <w:multiLevelType w:val="multilevel"/>
    <w:tmpl w:val="D6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6A68A3"/>
    <w:multiLevelType w:val="hybridMultilevel"/>
    <w:tmpl w:val="1390E2D4"/>
    <w:lvl w:ilvl="0" w:tplc="BAD4114C">
      <w:start w:val="3"/>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162A2A"/>
    <w:multiLevelType w:val="hybridMultilevel"/>
    <w:tmpl w:val="A790A8B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0" w15:restartNumberingAfterBreak="0">
    <w:nsid w:val="5F5A4994"/>
    <w:multiLevelType w:val="multilevel"/>
    <w:tmpl w:val="D6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84F0F"/>
    <w:multiLevelType w:val="hybridMultilevel"/>
    <w:tmpl w:val="95101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310C79"/>
    <w:multiLevelType w:val="multilevel"/>
    <w:tmpl w:val="D6DEA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8"/>
  </w:num>
  <w:num w:numId="2">
    <w:abstractNumId w:val="14"/>
  </w:num>
  <w:num w:numId="3">
    <w:abstractNumId w:val="11"/>
  </w:num>
  <w:num w:numId="4">
    <w:abstractNumId w:val="9"/>
  </w:num>
  <w:num w:numId="5">
    <w:abstractNumId w:val="7"/>
  </w:num>
  <w:num w:numId="6">
    <w:abstractNumId w:val="12"/>
  </w:num>
  <w:num w:numId="7">
    <w:abstractNumId w:val="4"/>
  </w:num>
  <w:num w:numId="8">
    <w:abstractNumId w:val="13"/>
  </w:num>
  <w:num w:numId="9">
    <w:abstractNumId w:val="2"/>
  </w:num>
  <w:num w:numId="10">
    <w:abstractNumId w:val="10"/>
  </w:num>
  <w:num w:numId="11">
    <w:abstractNumId w:val="5"/>
  </w:num>
  <w:num w:numId="12">
    <w:abstractNumId w:val="1"/>
  </w:num>
  <w:num w:numId="13">
    <w:abstractNumId w:val="3"/>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5CD"/>
    <w:rsid w:val="00002529"/>
    <w:rsid w:val="00004474"/>
    <w:rsid w:val="0004233B"/>
    <w:rsid w:val="0005400F"/>
    <w:rsid w:val="000608B0"/>
    <w:rsid w:val="00085662"/>
    <w:rsid w:val="00093D68"/>
    <w:rsid w:val="000C382F"/>
    <w:rsid w:val="000D741C"/>
    <w:rsid w:val="001173CC"/>
    <w:rsid w:val="00126038"/>
    <w:rsid w:val="0014464D"/>
    <w:rsid w:val="00146C9F"/>
    <w:rsid w:val="00161332"/>
    <w:rsid w:val="00172403"/>
    <w:rsid w:val="00196CF7"/>
    <w:rsid w:val="001A54CC"/>
    <w:rsid w:val="001D2060"/>
    <w:rsid w:val="001D7C2C"/>
    <w:rsid w:val="00257FB4"/>
    <w:rsid w:val="00266EC2"/>
    <w:rsid w:val="002A6C71"/>
    <w:rsid w:val="002C4E80"/>
    <w:rsid w:val="002E496E"/>
    <w:rsid w:val="002F6DF3"/>
    <w:rsid w:val="00303D62"/>
    <w:rsid w:val="00335367"/>
    <w:rsid w:val="003600A8"/>
    <w:rsid w:val="00360C55"/>
    <w:rsid w:val="00370C2D"/>
    <w:rsid w:val="003D1E8D"/>
    <w:rsid w:val="003D673B"/>
    <w:rsid w:val="003E1551"/>
    <w:rsid w:val="003F2855"/>
    <w:rsid w:val="00401C20"/>
    <w:rsid w:val="00413236"/>
    <w:rsid w:val="004A141F"/>
    <w:rsid w:val="004A7957"/>
    <w:rsid w:val="004C0F11"/>
    <w:rsid w:val="004C2CE2"/>
    <w:rsid w:val="004C4144"/>
    <w:rsid w:val="004F076D"/>
    <w:rsid w:val="00501BD6"/>
    <w:rsid w:val="00517395"/>
    <w:rsid w:val="00551A64"/>
    <w:rsid w:val="0055719E"/>
    <w:rsid w:val="005B681D"/>
    <w:rsid w:val="006000C8"/>
    <w:rsid w:val="006111FA"/>
    <w:rsid w:val="006641B4"/>
    <w:rsid w:val="006837D1"/>
    <w:rsid w:val="00694063"/>
    <w:rsid w:val="006969B4"/>
    <w:rsid w:val="006C51A2"/>
    <w:rsid w:val="006E4F7B"/>
    <w:rsid w:val="00724CE2"/>
    <w:rsid w:val="00740D02"/>
    <w:rsid w:val="007801D0"/>
    <w:rsid w:val="00781E2A"/>
    <w:rsid w:val="007933A2"/>
    <w:rsid w:val="007A44D7"/>
    <w:rsid w:val="007D3971"/>
    <w:rsid w:val="007F33F0"/>
    <w:rsid w:val="007F5CA2"/>
    <w:rsid w:val="007F650B"/>
    <w:rsid w:val="00814503"/>
    <w:rsid w:val="00821B85"/>
    <w:rsid w:val="00824569"/>
    <w:rsid w:val="008258C2"/>
    <w:rsid w:val="00846447"/>
    <w:rsid w:val="008505BD"/>
    <w:rsid w:val="00850C78"/>
    <w:rsid w:val="00850D6B"/>
    <w:rsid w:val="0085102A"/>
    <w:rsid w:val="00884D12"/>
    <w:rsid w:val="00897EE4"/>
    <w:rsid w:val="008C17AD"/>
    <w:rsid w:val="008D02CD"/>
    <w:rsid w:val="0091370C"/>
    <w:rsid w:val="0093397D"/>
    <w:rsid w:val="00937EBA"/>
    <w:rsid w:val="00950B93"/>
    <w:rsid w:val="0095172A"/>
    <w:rsid w:val="009975CD"/>
    <w:rsid w:val="009A0BA0"/>
    <w:rsid w:val="009B5906"/>
    <w:rsid w:val="009D52F8"/>
    <w:rsid w:val="009D7C8A"/>
    <w:rsid w:val="00A54E47"/>
    <w:rsid w:val="00A6772B"/>
    <w:rsid w:val="00AB6E3A"/>
    <w:rsid w:val="00AE7093"/>
    <w:rsid w:val="00B422BC"/>
    <w:rsid w:val="00B43F77"/>
    <w:rsid w:val="00B55A3E"/>
    <w:rsid w:val="00B64C3F"/>
    <w:rsid w:val="00B87E9E"/>
    <w:rsid w:val="00B95F0A"/>
    <w:rsid w:val="00B96180"/>
    <w:rsid w:val="00BC0C29"/>
    <w:rsid w:val="00BE04CC"/>
    <w:rsid w:val="00BE6805"/>
    <w:rsid w:val="00C04FD8"/>
    <w:rsid w:val="00C116FE"/>
    <w:rsid w:val="00C17AC0"/>
    <w:rsid w:val="00C31CCF"/>
    <w:rsid w:val="00C34772"/>
    <w:rsid w:val="00C369D5"/>
    <w:rsid w:val="00C5465A"/>
    <w:rsid w:val="00C55227"/>
    <w:rsid w:val="00C8533C"/>
    <w:rsid w:val="00CB0DEB"/>
    <w:rsid w:val="00CD13FF"/>
    <w:rsid w:val="00D005FB"/>
    <w:rsid w:val="00D00891"/>
    <w:rsid w:val="00D02BC2"/>
    <w:rsid w:val="00D04686"/>
    <w:rsid w:val="00D12683"/>
    <w:rsid w:val="00D128DA"/>
    <w:rsid w:val="00D54642"/>
    <w:rsid w:val="00D901C4"/>
    <w:rsid w:val="00D938BB"/>
    <w:rsid w:val="00DA1C2F"/>
    <w:rsid w:val="00DD77C9"/>
    <w:rsid w:val="00DF3538"/>
    <w:rsid w:val="00E839B0"/>
    <w:rsid w:val="00E92C09"/>
    <w:rsid w:val="00EA4CCC"/>
    <w:rsid w:val="00EB14B4"/>
    <w:rsid w:val="00EC2E2F"/>
    <w:rsid w:val="00F14380"/>
    <w:rsid w:val="00F27C5A"/>
    <w:rsid w:val="00F54341"/>
    <w:rsid w:val="00F6461F"/>
    <w:rsid w:val="00F72D85"/>
    <w:rsid w:val="00F753E9"/>
    <w:rsid w:val="00F8768F"/>
    <w:rsid w:val="00FA7880"/>
    <w:rsid w:val="00FC416A"/>
    <w:rsid w:val="00FD2B2D"/>
    <w:rsid w:val="00FE06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216B6C50"/>
  <w15:docId w15:val="{952A7DA6-8B49-4D58-A8CC-E55E1CA97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496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qFormat/>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link w:val="HeadingbChar"/>
    <w:qFormat/>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ListParagraph">
    <w:name w:val="List Paragraph"/>
    <w:basedOn w:val="Normal"/>
    <w:uiPriority w:val="34"/>
    <w:qFormat/>
    <w:rsid w:val="006000C8"/>
    <w:pPr>
      <w:ind w:left="720"/>
      <w:contextualSpacing/>
    </w:pPr>
    <w:rPr>
      <w:rFonts w:ascii="Calibri" w:hAnsi="Calibri"/>
      <w:lang w:val="en-GB"/>
    </w:rPr>
  </w:style>
  <w:style w:type="paragraph" w:customStyle="1" w:styleId="Reasons">
    <w:name w:val="Reasons"/>
    <w:basedOn w:val="Normal"/>
    <w:qFormat/>
    <w:rsid w:val="006000C8"/>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Listpar">
    <w:name w:val="List_par"/>
    <w:basedOn w:val="Normal"/>
    <w:rsid w:val="00740D02"/>
    <w:pPr>
      <w:shd w:val="clear" w:color="auto" w:fill="FFFFFF"/>
      <w:tabs>
        <w:tab w:val="left" w:pos="708"/>
      </w:tabs>
      <w:overflowPunct/>
      <w:autoSpaceDE/>
      <w:adjustRightInd/>
      <w:textAlignment w:val="auto"/>
    </w:pPr>
    <w:rPr>
      <w:b/>
      <w:bCs/>
      <w:szCs w:val="24"/>
      <w:bdr w:val="none" w:sz="0" w:space="0" w:color="auto" w:frame="1"/>
    </w:rPr>
  </w:style>
  <w:style w:type="character" w:customStyle="1" w:styleId="HeadingbChar">
    <w:name w:val="Heading_b Char"/>
    <w:link w:val="Headingb0"/>
    <w:locked/>
    <w:rsid w:val="001D7C2C"/>
    <w:rPr>
      <w:rFonts w:asciiTheme="minorHAnsi" w:hAnsiTheme="minorHAnsi"/>
      <w:b/>
      <w:sz w:val="24"/>
      <w:lang w:val="es-ES_tradnl" w:eastAsia="en-US"/>
    </w:rPr>
  </w:style>
  <w:style w:type="character" w:customStyle="1" w:styleId="enumlev1Char">
    <w:name w:val="enumlev1 Char"/>
    <w:link w:val="enumlev1"/>
    <w:rsid w:val="001D7C2C"/>
    <w:rPr>
      <w:rFonts w:asciiTheme="minorHAnsi" w:hAnsiTheme="minorHAnsi"/>
      <w:sz w:val="24"/>
      <w:lang w:val="es-ES_tradnl" w:eastAsia="en-US"/>
    </w:rPr>
  </w:style>
  <w:style w:type="paragraph" w:styleId="BalloonText">
    <w:name w:val="Balloon Text"/>
    <w:basedOn w:val="Normal"/>
    <w:link w:val="BalloonTextChar"/>
    <w:semiHidden/>
    <w:unhideWhenUsed/>
    <w:rsid w:val="00D02BC2"/>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02BC2"/>
    <w:rPr>
      <w:rFonts w:ascii="Segoe UI" w:hAnsi="Segoe UI" w:cs="Segoe UI"/>
      <w:sz w:val="18"/>
      <w:szCs w:val="18"/>
      <w:lang w:val="es-ES_tradnl" w:eastAsia="en-US"/>
    </w:rPr>
  </w:style>
  <w:style w:type="paragraph" w:customStyle="1" w:styleId="N">
    <w:name w:val="N"/>
    <w:basedOn w:val="Normalaftertitle"/>
    <w:rsid w:val="00EB1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ITU-T/workprog/wp_search.aspx?sg=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tu.int/ITU-T/workprog/wp_search.aspx?sg=15" TargetMode="External"/><Relationship Id="rId4" Type="http://schemas.openxmlformats.org/officeDocument/2006/relationships/settings" Target="settings.xml"/><Relationship Id="rId9" Type="http://schemas.openxmlformats.org/officeDocument/2006/relationships/hyperlink" Target="mailto:tsbsg15@itu.in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nmat\AppData\Roaming\Microsoft\Templates\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D676A8-5814-46DD-A5F7-71E217E8E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3</TotalTime>
  <Pages>12</Pages>
  <Words>3065</Words>
  <Characters>16936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19962</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Marin Matas, Juan Gabriel</dc:creator>
  <cp:lastModifiedBy>SG Assistants</cp:lastModifiedBy>
  <cp:revision>3</cp:revision>
  <cp:lastPrinted>2018-10-04T08:52:00Z</cp:lastPrinted>
  <dcterms:created xsi:type="dcterms:W3CDTF">2018-10-17T06:53:00Z</dcterms:created>
  <dcterms:modified xsi:type="dcterms:W3CDTF">2018-10-18T09:58:00Z</dcterms:modified>
</cp:coreProperties>
</file>