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754E83" w:rsidTr="00C95F49">
        <w:trPr>
          <w:cantSplit/>
        </w:trPr>
        <w:tc>
          <w:tcPr>
            <w:tcW w:w="1418" w:type="dxa"/>
            <w:vAlign w:val="center"/>
          </w:tcPr>
          <w:p w:rsidR="00341117" w:rsidRPr="00754E83" w:rsidRDefault="00341117" w:rsidP="005A4433">
            <w:pPr>
              <w:tabs>
                <w:tab w:val="right" w:pos="8732"/>
              </w:tabs>
              <w:spacing w:before="0"/>
              <w:rPr>
                <w:rFonts w:asciiTheme="minorHAnsi" w:hAnsiTheme="minorHAnsi"/>
                <w:b/>
                <w:bCs/>
                <w:iCs/>
                <w:color w:val="FFFFFF"/>
                <w:sz w:val="30"/>
                <w:szCs w:val="30"/>
              </w:rPr>
            </w:pPr>
            <w:r w:rsidRPr="00754E83">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754E83" w:rsidRDefault="00341117" w:rsidP="005A4433">
            <w:pPr>
              <w:spacing w:before="0"/>
              <w:rPr>
                <w:rFonts w:asciiTheme="minorHAnsi" w:hAnsiTheme="minorHAnsi" w:cs="Times New Roman Bold"/>
                <w:b/>
                <w:bCs/>
                <w:iCs/>
                <w:smallCaps/>
                <w:sz w:val="34"/>
                <w:szCs w:val="34"/>
              </w:rPr>
            </w:pPr>
            <w:r w:rsidRPr="00754E83">
              <w:rPr>
                <w:rFonts w:asciiTheme="minorHAnsi" w:hAnsiTheme="minorHAnsi" w:cs="Times New Roman Bold"/>
                <w:b/>
                <w:bCs/>
                <w:iCs/>
                <w:smallCaps/>
                <w:sz w:val="34"/>
                <w:szCs w:val="34"/>
              </w:rPr>
              <w:t>Union internationale des télécommunications</w:t>
            </w:r>
          </w:p>
          <w:p w:rsidR="00341117" w:rsidRPr="00754E83" w:rsidRDefault="00341117" w:rsidP="005A4433">
            <w:pPr>
              <w:tabs>
                <w:tab w:val="right" w:pos="8732"/>
              </w:tabs>
              <w:spacing w:before="0"/>
              <w:rPr>
                <w:rFonts w:asciiTheme="minorHAnsi" w:hAnsiTheme="minorHAnsi"/>
                <w:b/>
                <w:bCs/>
                <w:iCs/>
                <w:color w:val="FFFFFF"/>
                <w:sz w:val="30"/>
                <w:szCs w:val="30"/>
              </w:rPr>
            </w:pPr>
            <w:r w:rsidRPr="00754E83">
              <w:rPr>
                <w:rFonts w:asciiTheme="minorHAnsi" w:hAnsiTheme="minorHAnsi" w:cs="Times New Roman Bold"/>
                <w:b/>
                <w:bCs/>
                <w:iCs/>
                <w:smallCaps/>
                <w:sz w:val="28"/>
                <w:szCs w:val="28"/>
              </w:rPr>
              <w:t>B</w:t>
            </w:r>
            <w:r w:rsidRPr="00754E83">
              <w:rPr>
                <w:rFonts w:asciiTheme="minorHAnsi" w:hAnsiTheme="minorHAnsi"/>
                <w:b/>
                <w:bCs/>
                <w:iCs/>
                <w:smallCaps/>
                <w:sz w:val="28"/>
                <w:szCs w:val="28"/>
              </w:rPr>
              <w:t>ureau de la Normalisation des Télécommunications</w:t>
            </w:r>
          </w:p>
        </w:tc>
        <w:tc>
          <w:tcPr>
            <w:tcW w:w="1984" w:type="dxa"/>
            <w:vAlign w:val="center"/>
          </w:tcPr>
          <w:p w:rsidR="00341117" w:rsidRPr="00754E83" w:rsidRDefault="00341117" w:rsidP="005A4433">
            <w:pPr>
              <w:spacing w:before="0"/>
              <w:jc w:val="right"/>
              <w:rPr>
                <w:rFonts w:asciiTheme="minorHAnsi" w:hAnsiTheme="minorHAnsi"/>
                <w:color w:val="FFFFFF"/>
                <w:sz w:val="26"/>
                <w:szCs w:val="26"/>
              </w:rPr>
            </w:pPr>
          </w:p>
        </w:tc>
      </w:tr>
    </w:tbl>
    <w:p w:rsidR="00341117" w:rsidRPr="00754E83" w:rsidRDefault="00341117" w:rsidP="005A4433">
      <w:pPr>
        <w:tabs>
          <w:tab w:val="clear" w:pos="794"/>
          <w:tab w:val="clear" w:pos="1191"/>
          <w:tab w:val="clear" w:pos="1588"/>
          <w:tab w:val="clear" w:pos="1985"/>
          <w:tab w:val="left" w:pos="4962"/>
        </w:tabs>
        <w:spacing w:before="0"/>
        <w:rPr>
          <w:rFonts w:asciiTheme="minorHAnsi" w:hAnsiTheme="minorHAnsi"/>
        </w:rPr>
      </w:pPr>
    </w:p>
    <w:p w:rsidR="00517A03" w:rsidRPr="00754E83" w:rsidRDefault="00517A03" w:rsidP="005A4433">
      <w:pPr>
        <w:tabs>
          <w:tab w:val="clear" w:pos="794"/>
          <w:tab w:val="clear" w:pos="1191"/>
          <w:tab w:val="clear" w:pos="1588"/>
          <w:tab w:val="clear" w:pos="1985"/>
          <w:tab w:val="left" w:pos="4962"/>
        </w:tabs>
        <w:spacing w:before="0"/>
        <w:rPr>
          <w:rFonts w:asciiTheme="minorHAnsi" w:hAnsiTheme="minorHAnsi"/>
        </w:rPr>
      </w:pPr>
      <w:r w:rsidRPr="00754E83">
        <w:rPr>
          <w:rFonts w:asciiTheme="minorHAnsi" w:hAnsiTheme="minorHAnsi"/>
        </w:rPr>
        <w:tab/>
        <w:t xml:space="preserve">Genève, le </w:t>
      </w:r>
      <w:r w:rsidR="000F10BB" w:rsidRPr="00754E83">
        <w:rPr>
          <w:rFonts w:asciiTheme="minorHAnsi" w:hAnsiTheme="minorHAnsi"/>
        </w:rPr>
        <w:t xml:space="preserve">8 août </w:t>
      </w:r>
      <w:r w:rsidR="008314F5" w:rsidRPr="00754E83">
        <w:rPr>
          <w:rFonts w:asciiTheme="minorHAnsi" w:hAnsiTheme="minorHAnsi"/>
        </w:rPr>
        <w:t>201</w:t>
      </w:r>
      <w:r w:rsidR="000F10BB" w:rsidRPr="00754E83">
        <w:rPr>
          <w:rFonts w:asciiTheme="minorHAnsi" w:hAnsiTheme="minorHAnsi"/>
        </w:rPr>
        <w:t>8</w:t>
      </w:r>
    </w:p>
    <w:p w:rsidR="00517A03" w:rsidRPr="00754E83" w:rsidRDefault="00517A03" w:rsidP="005A4433">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754E83" w:rsidTr="00697BC1">
        <w:trPr>
          <w:cantSplit/>
          <w:trHeight w:val="340"/>
        </w:trPr>
        <w:tc>
          <w:tcPr>
            <w:tcW w:w="822" w:type="dxa"/>
          </w:tcPr>
          <w:p w:rsidR="00517A03" w:rsidRPr="00754E83" w:rsidRDefault="00517A03" w:rsidP="005A4433">
            <w:pPr>
              <w:tabs>
                <w:tab w:val="left" w:pos="4111"/>
              </w:tabs>
              <w:spacing w:before="10"/>
              <w:ind w:left="57"/>
              <w:rPr>
                <w:rFonts w:asciiTheme="minorHAnsi" w:hAnsiTheme="minorHAnsi"/>
                <w:b/>
                <w:bCs/>
              </w:rPr>
            </w:pPr>
            <w:r w:rsidRPr="00754E83">
              <w:rPr>
                <w:rFonts w:asciiTheme="minorHAnsi" w:hAnsiTheme="minorHAnsi"/>
                <w:b/>
                <w:bCs/>
              </w:rPr>
              <w:t>Réf.:</w:t>
            </w:r>
          </w:p>
          <w:p w:rsidR="00517A03" w:rsidRPr="00754E83" w:rsidRDefault="00517A03" w:rsidP="005A4433">
            <w:pPr>
              <w:tabs>
                <w:tab w:val="left" w:pos="4111"/>
              </w:tabs>
              <w:spacing w:before="10"/>
              <w:ind w:left="57"/>
              <w:rPr>
                <w:rFonts w:asciiTheme="minorHAnsi" w:hAnsiTheme="minorHAnsi"/>
              </w:rPr>
            </w:pPr>
          </w:p>
          <w:p w:rsidR="00517A03" w:rsidRPr="00754E83" w:rsidRDefault="00517A03" w:rsidP="005A4433">
            <w:pPr>
              <w:tabs>
                <w:tab w:val="left" w:pos="4111"/>
              </w:tabs>
              <w:spacing w:before="10"/>
              <w:ind w:left="57"/>
              <w:rPr>
                <w:rFonts w:asciiTheme="minorHAnsi" w:hAnsiTheme="minorHAnsi"/>
              </w:rPr>
            </w:pPr>
          </w:p>
          <w:p w:rsidR="00517A03" w:rsidRPr="00754E83" w:rsidRDefault="00517A03" w:rsidP="005A4433">
            <w:pPr>
              <w:tabs>
                <w:tab w:val="left" w:pos="4111"/>
              </w:tabs>
              <w:spacing w:before="10"/>
              <w:ind w:left="57"/>
              <w:rPr>
                <w:rFonts w:asciiTheme="minorHAnsi" w:hAnsiTheme="minorHAnsi"/>
              </w:rPr>
            </w:pPr>
            <w:r w:rsidRPr="00754E83">
              <w:rPr>
                <w:rFonts w:asciiTheme="minorHAnsi" w:hAnsiTheme="minorHAnsi"/>
                <w:b/>
                <w:bCs/>
              </w:rPr>
              <w:t>Tél.:</w:t>
            </w:r>
            <w:r w:rsidRPr="00754E83">
              <w:rPr>
                <w:rFonts w:asciiTheme="minorHAnsi" w:hAnsiTheme="minorHAnsi"/>
              </w:rPr>
              <w:br/>
            </w:r>
            <w:r w:rsidRPr="00754E83">
              <w:rPr>
                <w:rFonts w:asciiTheme="minorHAnsi" w:hAnsiTheme="minorHAnsi"/>
                <w:b/>
                <w:bCs/>
              </w:rPr>
              <w:t>Fax:</w:t>
            </w:r>
            <w:r w:rsidRPr="00754E83">
              <w:rPr>
                <w:rFonts w:asciiTheme="minorHAnsi" w:hAnsiTheme="minorHAnsi"/>
              </w:rPr>
              <w:br/>
            </w:r>
            <w:r w:rsidRPr="00754E83">
              <w:rPr>
                <w:rFonts w:asciiTheme="minorHAnsi" w:hAnsiTheme="minorHAnsi"/>
                <w:b/>
                <w:bCs/>
              </w:rPr>
              <w:t>E-mail:</w:t>
            </w:r>
          </w:p>
        </w:tc>
        <w:tc>
          <w:tcPr>
            <w:tcW w:w="4055" w:type="dxa"/>
          </w:tcPr>
          <w:p w:rsidR="00517A03" w:rsidRPr="00754E83" w:rsidRDefault="00047A60" w:rsidP="005A4433">
            <w:pPr>
              <w:tabs>
                <w:tab w:val="left" w:pos="4111"/>
              </w:tabs>
              <w:spacing w:before="10"/>
              <w:ind w:left="57"/>
              <w:rPr>
                <w:rFonts w:asciiTheme="minorHAnsi" w:hAnsiTheme="minorHAnsi"/>
                <w:b/>
              </w:rPr>
            </w:pPr>
            <w:r w:rsidRPr="00754E83">
              <w:rPr>
                <w:rFonts w:asciiTheme="minorHAnsi" w:hAnsiTheme="minorHAnsi"/>
                <w:b/>
              </w:rPr>
              <w:t xml:space="preserve">Circulaire TSB </w:t>
            </w:r>
            <w:r w:rsidR="000F10BB" w:rsidRPr="00754E83">
              <w:rPr>
                <w:rFonts w:asciiTheme="minorHAnsi" w:hAnsiTheme="minorHAnsi"/>
                <w:b/>
              </w:rPr>
              <w:t>109</w:t>
            </w:r>
          </w:p>
          <w:p w:rsidR="00517A03" w:rsidRPr="00754E83" w:rsidRDefault="00517A03" w:rsidP="005A4433">
            <w:pPr>
              <w:tabs>
                <w:tab w:val="left" w:pos="4111"/>
              </w:tabs>
              <w:spacing w:before="10"/>
              <w:ind w:left="57"/>
              <w:rPr>
                <w:rFonts w:asciiTheme="minorHAnsi" w:hAnsiTheme="minorHAnsi"/>
                <w:b/>
              </w:rPr>
            </w:pPr>
          </w:p>
          <w:p w:rsidR="00517A03" w:rsidRPr="00754E83" w:rsidRDefault="00517A03" w:rsidP="005A4433">
            <w:pPr>
              <w:tabs>
                <w:tab w:val="left" w:pos="4111"/>
              </w:tabs>
              <w:spacing w:before="10"/>
              <w:ind w:left="57"/>
              <w:rPr>
                <w:rFonts w:asciiTheme="minorHAnsi" w:hAnsiTheme="minorHAnsi"/>
              </w:rPr>
            </w:pPr>
          </w:p>
          <w:p w:rsidR="00517A03" w:rsidRPr="00754E83" w:rsidRDefault="00517A03" w:rsidP="005A4433">
            <w:pPr>
              <w:tabs>
                <w:tab w:val="left" w:pos="4111"/>
              </w:tabs>
              <w:spacing w:before="10"/>
              <w:ind w:left="57"/>
              <w:rPr>
                <w:rFonts w:asciiTheme="minorHAnsi" w:hAnsiTheme="minorHAnsi"/>
              </w:rPr>
            </w:pPr>
            <w:r w:rsidRPr="00754E83">
              <w:rPr>
                <w:rFonts w:asciiTheme="minorHAnsi" w:hAnsiTheme="minorHAnsi"/>
              </w:rPr>
              <w:t xml:space="preserve">+41 22 730 </w:t>
            </w:r>
            <w:r w:rsidR="000F10BB" w:rsidRPr="00754E83">
              <w:rPr>
                <w:rFonts w:asciiTheme="minorHAnsi" w:hAnsiTheme="minorHAnsi"/>
              </w:rPr>
              <w:t>6805</w:t>
            </w:r>
            <w:r w:rsidRPr="00754E83">
              <w:rPr>
                <w:rFonts w:asciiTheme="minorHAnsi" w:hAnsiTheme="minorHAnsi"/>
              </w:rPr>
              <w:br/>
              <w:t>+41 22 730 5853</w:t>
            </w:r>
            <w:r w:rsidRPr="00754E83">
              <w:rPr>
                <w:rFonts w:asciiTheme="minorHAnsi" w:hAnsiTheme="minorHAnsi"/>
              </w:rPr>
              <w:br/>
            </w:r>
            <w:hyperlink r:id="rId9" w:history="1">
              <w:r w:rsidR="000F10BB" w:rsidRPr="00754E83">
                <w:rPr>
                  <w:rStyle w:val="Hyperlink"/>
                </w:rPr>
                <w:t>tsbfgai4h@itu.int</w:t>
              </w:r>
            </w:hyperlink>
          </w:p>
        </w:tc>
        <w:tc>
          <w:tcPr>
            <w:tcW w:w="5046" w:type="dxa"/>
            <w:gridSpan w:val="2"/>
          </w:tcPr>
          <w:p w:rsidR="00517A03" w:rsidRPr="00754E83" w:rsidRDefault="00517A03" w:rsidP="005A4433">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754E83">
              <w:rPr>
                <w:rFonts w:asciiTheme="minorHAnsi" w:hAnsiTheme="minorHAnsi"/>
              </w:rPr>
              <w:t>-</w:t>
            </w:r>
            <w:r w:rsidRPr="00754E83">
              <w:rPr>
                <w:rFonts w:asciiTheme="minorHAnsi" w:hAnsiTheme="minorHAnsi"/>
              </w:rPr>
              <w:tab/>
              <w:t>Aux administrations des Etats Membres de l</w:t>
            </w:r>
            <w:r w:rsidR="00E15F0E">
              <w:rPr>
                <w:rFonts w:asciiTheme="minorHAnsi" w:hAnsiTheme="minorHAnsi"/>
              </w:rPr>
              <w:t>'</w:t>
            </w:r>
            <w:r w:rsidRPr="00754E83">
              <w:rPr>
                <w:rFonts w:asciiTheme="minorHAnsi" w:hAnsiTheme="minorHAnsi"/>
              </w:rPr>
              <w:t>Union</w:t>
            </w:r>
            <w:r w:rsidR="00047A60" w:rsidRPr="00754E83">
              <w:rPr>
                <w:rFonts w:asciiTheme="minorHAnsi" w:hAnsiTheme="minorHAnsi"/>
              </w:rPr>
              <w:t>;</w:t>
            </w:r>
          </w:p>
          <w:p w:rsidR="00047A60" w:rsidRPr="00754E83" w:rsidRDefault="00047A60" w:rsidP="005A4433">
            <w:pPr>
              <w:tabs>
                <w:tab w:val="clear" w:pos="794"/>
                <w:tab w:val="clear" w:pos="1191"/>
                <w:tab w:val="clear" w:pos="1588"/>
                <w:tab w:val="clear" w:pos="1985"/>
                <w:tab w:val="left" w:pos="284"/>
              </w:tabs>
              <w:spacing w:before="0"/>
              <w:ind w:left="284" w:hanging="227"/>
              <w:rPr>
                <w:rFonts w:asciiTheme="minorHAnsi" w:hAnsiTheme="minorHAnsi"/>
              </w:rPr>
            </w:pPr>
            <w:r w:rsidRPr="00754E83">
              <w:rPr>
                <w:rFonts w:asciiTheme="minorHAnsi" w:hAnsiTheme="minorHAnsi"/>
              </w:rPr>
              <w:t>-</w:t>
            </w:r>
            <w:r w:rsidRPr="00754E83">
              <w:rPr>
                <w:rFonts w:asciiTheme="minorHAnsi" w:hAnsiTheme="minorHAnsi"/>
              </w:rPr>
              <w:tab/>
              <w:t>Aux Membres du Secteur UIT-T;</w:t>
            </w:r>
          </w:p>
          <w:p w:rsidR="00047A60" w:rsidRPr="00754E83" w:rsidRDefault="00047A60" w:rsidP="005A4433">
            <w:pPr>
              <w:tabs>
                <w:tab w:val="clear" w:pos="794"/>
                <w:tab w:val="clear" w:pos="1191"/>
                <w:tab w:val="clear" w:pos="1588"/>
                <w:tab w:val="clear" w:pos="1985"/>
                <w:tab w:val="left" w:pos="284"/>
              </w:tabs>
              <w:spacing w:before="0"/>
              <w:ind w:left="284" w:hanging="227"/>
              <w:rPr>
                <w:rFonts w:asciiTheme="minorHAnsi" w:hAnsiTheme="minorHAnsi"/>
              </w:rPr>
            </w:pPr>
            <w:r w:rsidRPr="00754E83">
              <w:rPr>
                <w:rFonts w:asciiTheme="minorHAnsi" w:hAnsiTheme="minorHAnsi"/>
              </w:rPr>
              <w:t>-</w:t>
            </w:r>
            <w:r w:rsidRPr="00754E83">
              <w:rPr>
                <w:rFonts w:asciiTheme="minorHAnsi" w:hAnsiTheme="minorHAnsi"/>
              </w:rPr>
              <w:tab/>
              <w:t>Aux Associés de l</w:t>
            </w:r>
            <w:r w:rsidR="00E15F0E">
              <w:rPr>
                <w:rFonts w:asciiTheme="minorHAnsi" w:hAnsiTheme="minorHAnsi"/>
              </w:rPr>
              <w:t>'</w:t>
            </w:r>
            <w:r w:rsidRPr="00754E83">
              <w:rPr>
                <w:rFonts w:asciiTheme="minorHAnsi" w:hAnsiTheme="minorHAnsi"/>
              </w:rPr>
              <w:t>UIT-T;</w:t>
            </w:r>
          </w:p>
          <w:p w:rsidR="008249C0" w:rsidRPr="00754E83" w:rsidRDefault="00047A60" w:rsidP="005A4433">
            <w:pPr>
              <w:tabs>
                <w:tab w:val="clear" w:pos="794"/>
                <w:tab w:val="clear" w:pos="1191"/>
                <w:tab w:val="clear" w:pos="1588"/>
                <w:tab w:val="clear" w:pos="1985"/>
                <w:tab w:val="left" w:pos="284"/>
              </w:tabs>
              <w:spacing w:before="0"/>
              <w:ind w:left="284" w:hanging="227"/>
              <w:rPr>
                <w:rFonts w:asciiTheme="minorHAnsi" w:hAnsiTheme="minorHAnsi"/>
              </w:rPr>
            </w:pPr>
            <w:r w:rsidRPr="00754E83">
              <w:rPr>
                <w:rFonts w:asciiTheme="minorHAnsi" w:hAnsiTheme="minorHAnsi"/>
              </w:rPr>
              <w:t>-</w:t>
            </w:r>
            <w:r w:rsidRPr="00754E83">
              <w:rPr>
                <w:rFonts w:asciiTheme="minorHAnsi" w:hAnsiTheme="minorHAnsi"/>
              </w:rPr>
              <w:tab/>
              <w:t>Aux établissements universitaires participant aux travaux de l</w:t>
            </w:r>
            <w:r w:rsidR="00E15F0E">
              <w:rPr>
                <w:rFonts w:asciiTheme="minorHAnsi" w:hAnsiTheme="minorHAnsi"/>
              </w:rPr>
              <w:t>'</w:t>
            </w:r>
            <w:r w:rsidRPr="00754E83">
              <w:rPr>
                <w:rFonts w:asciiTheme="minorHAnsi" w:hAnsiTheme="minorHAnsi"/>
              </w:rPr>
              <w:t>UIT</w:t>
            </w:r>
          </w:p>
        </w:tc>
      </w:tr>
      <w:tr w:rsidR="00517A03" w:rsidRPr="00754E83" w:rsidTr="00697BC1">
        <w:trPr>
          <w:cantSplit/>
        </w:trPr>
        <w:tc>
          <w:tcPr>
            <w:tcW w:w="822" w:type="dxa"/>
          </w:tcPr>
          <w:p w:rsidR="00517A03" w:rsidRPr="00754E83" w:rsidRDefault="00517A03" w:rsidP="005A4433">
            <w:pPr>
              <w:tabs>
                <w:tab w:val="left" w:pos="4111"/>
              </w:tabs>
              <w:spacing w:before="10"/>
              <w:ind w:left="57"/>
              <w:rPr>
                <w:rFonts w:asciiTheme="minorHAnsi" w:hAnsiTheme="minorHAnsi"/>
                <w:sz w:val="20"/>
              </w:rPr>
            </w:pPr>
          </w:p>
        </w:tc>
        <w:tc>
          <w:tcPr>
            <w:tcW w:w="4055" w:type="dxa"/>
          </w:tcPr>
          <w:p w:rsidR="00517A03" w:rsidRPr="00754E83" w:rsidRDefault="00517A03" w:rsidP="005A4433">
            <w:pPr>
              <w:tabs>
                <w:tab w:val="left" w:pos="4111"/>
              </w:tabs>
              <w:spacing w:before="0"/>
              <w:ind w:left="57"/>
              <w:rPr>
                <w:rFonts w:asciiTheme="minorHAnsi" w:hAnsiTheme="minorHAnsi"/>
              </w:rPr>
            </w:pPr>
          </w:p>
        </w:tc>
        <w:tc>
          <w:tcPr>
            <w:tcW w:w="5046" w:type="dxa"/>
            <w:gridSpan w:val="2"/>
          </w:tcPr>
          <w:p w:rsidR="00517A03" w:rsidRPr="00754E83" w:rsidRDefault="00517A03" w:rsidP="005A4433">
            <w:pPr>
              <w:tabs>
                <w:tab w:val="left" w:pos="4111"/>
              </w:tabs>
              <w:rPr>
                <w:rFonts w:asciiTheme="minorHAnsi" w:hAnsiTheme="minorHAnsi"/>
              </w:rPr>
            </w:pPr>
            <w:r w:rsidRPr="00754E83">
              <w:rPr>
                <w:rFonts w:asciiTheme="minorHAnsi" w:hAnsiTheme="minorHAnsi"/>
                <w:b/>
              </w:rPr>
              <w:t>Copie</w:t>
            </w:r>
            <w:r w:rsidRPr="00754E83">
              <w:rPr>
                <w:rFonts w:asciiTheme="minorHAnsi" w:hAnsiTheme="minorHAnsi"/>
              </w:rPr>
              <w:t>:</w:t>
            </w:r>
          </w:p>
          <w:p w:rsidR="00517A03" w:rsidRPr="00754E83" w:rsidRDefault="00517A03" w:rsidP="005A4433">
            <w:pPr>
              <w:tabs>
                <w:tab w:val="clear" w:pos="794"/>
                <w:tab w:val="left" w:pos="226"/>
                <w:tab w:val="left" w:pos="4111"/>
              </w:tabs>
              <w:spacing w:before="0"/>
              <w:ind w:left="226" w:hanging="226"/>
              <w:rPr>
                <w:rFonts w:asciiTheme="minorHAnsi" w:hAnsiTheme="minorHAnsi"/>
              </w:rPr>
            </w:pPr>
            <w:r w:rsidRPr="00754E83">
              <w:rPr>
                <w:rFonts w:asciiTheme="minorHAnsi" w:hAnsiTheme="minorHAnsi"/>
              </w:rPr>
              <w:t>-</w:t>
            </w:r>
            <w:r w:rsidRPr="00754E83">
              <w:rPr>
                <w:rFonts w:asciiTheme="minorHAnsi" w:hAnsiTheme="minorHAnsi"/>
              </w:rPr>
              <w:tab/>
              <w:t>Au</w:t>
            </w:r>
            <w:r w:rsidR="00ED60C5" w:rsidRPr="00754E83">
              <w:rPr>
                <w:rFonts w:asciiTheme="minorHAnsi" w:hAnsiTheme="minorHAnsi"/>
              </w:rPr>
              <w:t>x</w:t>
            </w:r>
            <w:r w:rsidRPr="00754E83">
              <w:rPr>
                <w:rFonts w:asciiTheme="minorHAnsi" w:hAnsiTheme="minorHAnsi"/>
              </w:rPr>
              <w:t xml:space="preserve"> Président</w:t>
            </w:r>
            <w:r w:rsidR="00ED60C5" w:rsidRPr="00754E83">
              <w:rPr>
                <w:rFonts w:asciiTheme="minorHAnsi" w:hAnsiTheme="minorHAnsi"/>
              </w:rPr>
              <w:t>s</w:t>
            </w:r>
            <w:r w:rsidRPr="00754E83">
              <w:rPr>
                <w:rFonts w:asciiTheme="minorHAnsi" w:hAnsiTheme="minorHAnsi"/>
              </w:rPr>
              <w:t xml:space="preserve"> e</w:t>
            </w:r>
            <w:r w:rsidR="00ED60C5" w:rsidRPr="00754E83">
              <w:rPr>
                <w:rFonts w:asciiTheme="minorHAnsi" w:hAnsiTheme="minorHAnsi"/>
              </w:rPr>
              <w:t>t</w:t>
            </w:r>
            <w:r w:rsidR="004F5BE9" w:rsidRPr="00754E83">
              <w:rPr>
                <w:rFonts w:asciiTheme="minorHAnsi" w:hAnsiTheme="minorHAnsi"/>
              </w:rPr>
              <w:t xml:space="preserve"> </w:t>
            </w:r>
            <w:r w:rsidRPr="00754E83">
              <w:rPr>
                <w:rFonts w:asciiTheme="minorHAnsi" w:hAnsiTheme="minorHAnsi"/>
              </w:rPr>
              <w:t>Vice-Présidents de</w:t>
            </w:r>
            <w:r w:rsidR="00A90C58" w:rsidRPr="00754E83">
              <w:rPr>
                <w:rFonts w:asciiTheme="minorHAnsi" w:hAnsiTheme="minorHAnsi"/>
              </w:rPr>
              <w:t>s</w:t>
            </w:r>
            <w:r w:rsidRPr="00754E83">
              <w:rPr>
                <w:rFonts w:asciiTheme="minorHAnsi" w:hAnsiTheme="minorHAnsi"/>
              </w:rPr>
              <w:t xml:space="preserve"> </w:t>
            </w:r>
            <w:r w:rsidR="00A90C58" w:rsidRPr="00754E83">
              <w:rPr>
                <w:rFonts w:asciiTheme="minorHAnsi" w:hAnsiTheme="minorHAnsi"/>
              </w:rPr>
              <w:t xml:space="preserve">Commissions </w:t>
            </w:r>
            <w:r w:rsidRPr="00754E83">
              <w:rPr>
                <w:rFonts w:asciiTheme="minorHAnsi" w:hAnsiTheme="minorHAnsi"/>
              </w:rPr>
              <w:t>d</w:t>
            </w:r>
            <w:r w:rsidR="00E15F0E">
              <w:rPr>
                <w:rFonts w:asciiTheme="minorHAnsi" w:hAnsiTheme="minorHAnsi"/>
              </w:rPr>
              <w:t>'</w:t>
            </w:r>
            <w:r w:rsidRPr="00754E83">
              <w:rPr>
                <w:rFonts w:asciiTheme="minorHAnsi" w:hAnsiTheme="minorHAnsi"/>
              </w:rPr>
              <w:t>études</w:t>
            </w:r>
            <w:r w:rsidR="00200B7D" w:rsidRPr="00754E83">
              <w:rPr>
                <w:rFonts w:asciiTheme="minorHAnsi" w:hAnsiTheme="minorHAnsi"/>
              </w:rPr>
              <w:t xml:space="preserve"> de l</w:t>
            </w:r>
            <w:r w:rsidR="00E15F0E">
              <w:rPr>
                <w:rFonts w:asciiTheme="minorHAnsi" w:hAnsiTheme="minorHAnsi"/>
              </w:rPr>
              <w:t>'</w:t>
            </w:r>
            <w:r w:rsidR="00200B7D" w:rsidRPr="00754E83">
              <w:rPr>
                <w:rFonts w:asciiTheme="minorHAnsi" w:hAnsiTheme="minorHAnsi"/>
              </w:rPr>
              <w:t>UIT</w:t>
            </w:r>
            <w:r w:rsidR="00200B7D" w:rsidRPr="00754E83">
              <w:rPr>
                <w:rFonts w:asciiTheme="minorHAnsi" w:hAnsiTheme="minorHAnsi"/>
              </w:rPr>
              <w:noBreakHyphen/>
              <w:t>T</w:t>
            </w:r>
            <w:r w:rsidRPr="00754E83">
              <w:rPr>
                <w:rFonts w:asciiTheme="minorHAnsi" w:hAnsiTheme="minorHAnsi"/>
              </w:rPr>
              <w:t>;</w:t>
            </w:r>
          </w:p>
          <w:p w:rsidR="00517A03" w:rsidRDefault="00517A03" w:rsidP="0069462A">
            <w:pPr>
              <w:tabs>
                <w:tab w:val="clear" w:pos="794"/>
                <w:tab w:val="left" w:pos="226"/>
                <w:tab w:val="left" w:pos="4111"/>
              </w:tabs>
              <w:spacing w:before="0"/>
              <w:ind w:left="226" w:hanging="226"/>
              <w:rPr>
                <w:rFonts w:asciiTheme="minorHAnsi" w:hAnsiTheme="minorHAnsi"/>
              </w:rPr>
            </w:pPr>
            <w:r w:rsidRPr="00754E83">
              <w:rPr>
                <w:rFonts w:asciiTheme="minorHAnsi" w:hAnsiTheme="minorHAnsi"/>
              </w:rPr>
              <w:t>-</w:t>
            </w:r>
            <w:r w:rsidRPr="00754E83">
              <w:rPr>
                <w:rFonts w:asciiTheme="minorHAnsi" w:hAnsiTheme="minorHAnsi"/>
              </w:rPr>
              <w:tab/>
              <w:t>Au Directeur du Bureau des</w:t>
            </w:r>
            <w:r w:rsidR="0069462A">
              <w:rPr>
                <w:rFonts w:asciiTheme="minorHAnsi" w:hAnsiTheme="minorHAnsi"/>
              </w:rPr>
              <w:t xml:space="preserve"> </w:t>
            </w:r>
            <w:r w:rsidRPr="00754E83">
              <w:rPr>
                <w:rFonts w:asciiTheme="minorHAnsi" w:hAnsiTheme="minorHAnsi"/>
              </w:rPr>
              <w:t>radiocommunications</w:t>
            </w:r>
            <w:r w:rsidR="0069462A">
              <w:rPr>
                <w:rFonts w:asciiTheme="minorHAnsi" w:hAnsiTheme="minorHAnsi"/>
              </w:rPr>
              <w:t>;</w:t>
            </w:r>
          </w:p>
          <w:p w:rsidR="00E15F0E" w:rsidRPr="00754E83" w:rsidRDefault="00E15F0E" w:rsidP="0069462A">
            <w:pPr>
              <w:tabs>
                <w:tab w:val="clear" w:pos="794"/>
                <w:tab w:val="left" w:pos="226"/>
                <w:tab w:val="left" w:pos="4111"/>
              </w:tabs>
              <w:spacing w:before="0"/>
              <w:ind w:left="226" w:hanging="226"/>
              <w:rPr>
                <w:rFonts w:asciiTheme="minorHAnsi" w:hAnsiTheme="minorHAnsi"/>
              </w:rPr>
            </w:pPr>
            <w:r w:rsidRPr="00754E83">
              <w:rPr>
                <w:rFonts w:asciiTheme="minorHAnsi" w:hAnsiTheme="minorHAnsi"/>
              </w:rPr>
              <w:t>-</w:t>
            </w:r>
            <w:r w:rsidRPr="00754E83">
              <w:rPr>
                <w:rFonts w:asciiTheme="minorHAnsi" w:hAnsiTheme="minorHAnsi"/>
              </w:rPr>
              <w:tab/>
              <w:t>Au Directeur</w:t>
            </w:r>
            <w:r w:rsidR="0069462A">
              <w:rPr>
                <w:rFonts w:asciiTheme="minorHAnsi" w:hAnsiTheme="minorHAnsi"/>
              </w:rPr>
              <w:t xml:space="preserve"> du Bureau de développement des </w:t>
            </w:r>
            <w:r w:rsidRPr="00754E83">
              <w:rPr>
                <w:rFonts w:asciiTheme="minorHAnsi" w:hAnsiTheme="minorHAnsi"/>
              </w:rPr>
              <w:t>télécommunications</w:t>
            </w:r>
          </w:p>
        </w:tc>
      </w:tr>
      <w:tr w:rsidR="00517A03" w:rsidRPr="00754E83" w:rsidTr="00697BC1">
        <w:trPr>
          <w:gridAfter w:val="1"/>
          <w:wAfter w:w="8" w:type="dxa"/>
          <w:cantSplit/>
          <w:trHeight w:val="680"/>
        </w:trPr>
        <w:tc>
          <w:tcPr>
            <w:tcW w:w="822" w:type="dxa"/>
          </w:tcPr>
          <w:p w:rsidR="00517A03" w:rsidRPr="00754E83" w:rsidRDefault="00517A03" w:rsidP="005A4433">
            <w:pPr>
              <w:tabs>
                <w:tab w:val="left" w:pos="4111"/>
              </w:tabs>
              <w:ind w:left="57"/>
              <w:rPr>
                <w:rFonts w:asciiTheme="minorHAnsi" w:hAnsiTheme="minorHAnsi"/>
                <w:b/>
                <w:bCs/>
                <w:sz w:val="22"/>
              </w:rPr>
            </w:pPr>
            <w:r w:rsidRPr="00754E83">
              <w:rPr>
                <w:rFonts w:asciiTheme="minorHAnsi" w:hAnsiTheme="minorHAnsi"/>
                <w:b/>
                <w:bCs/>
                <w:szCs w:val="22"/>
              </w:rPr>
              <w:t>Objet:</w:t>
            </w:r>
          </w:p>
        </w:tc>
        <w:tc>
          <w:tcPr>
            <w:tcW w:w="9093" w:type="dxa"/>
            <w:gridSpan w:val="2"/>
          </w:tcPr>
          <w:p w:rsidR="00517A03" w:rsidRPr="00754E83" w:rsidRDefault="00A90C58" w:rsidP="005A4433">
            <w:pPr>
              <w:tabs>
                <w:tab w:val="left" w:pos="4111"/>
              </w:tabs>
              <w:ind w:left="57"/>
              <w:rPr>
                <w:rFonts w:asciiTheme="minorHAnsi" w:hAnsiTheme="minorHAnsi"/>
              </w:rPr>
            </w:pPr>
            <w:r w:rsidRPr="00754E83">
              <w:rPr>
                <w:b/>
                <w:bCs/>
              </w:rPr>
              <w:t>Création d</w:t>
            </w:r>
            <w:r w:rsidR="00E15F0E">
              <w:rPr>
                <w:b/>
                <w:bCs/>
              </w:rPr>
              <w:t>'</w:t>
            </w:r>
            <w:r w:rsidRPr="00754E83">
              <w:rPr>
                <w:b/>
                <w:bCs/>
              </w:rPr>
              <w:t>un nouveau Groupe spécialisé de l</w:t>
            </w:r>
            <w:r w:rsidR="00E15F0E">
              <w:rPr>
                <w:b/>
                <w:bCs/>
              </w:rPr>
              <w:t>'</w:t>
            </w:r>
            <w:r w:rsidRPr="00754E83">
              <w:rPr>
                <w:b/>
                <w:bCs/>
              </w:rPr>
              <w:t xml:space="preserve">UIT-T sur </w:t>
            </w:r>
            <w:r w:rsidR="004F5BE9" w:rsidRPr="00754E83">
              <w:rPr>
                <w:b/>
                <w:bCs/>
              </w:rPr>
              <w:t>l</w:t>
            </w:r>
            <w:r w:rsidR="00E15F0E">
              <w:rPr>
                <w:b/>
                <w:bCs/>
              </w:rPr>
              <w:t>'</w:t>
            </w:r>
            <w:r w:rsidR="000F10BB" w:rsidRPr="00754E83">
              <w:rPr>
                <w:b/>
                <w:bCs/>
              </w:rPr>
              <w:t xml:space="preserve">intelligence artificielle au service de la santé </w:t>
            </w:r>
            <w:r w:rsidR="008249C0" w:rsidRPr="00754E83">
              <w:rPr>
                <w:b/>
                <w:bCs/>
              </w:rPr>
              <w:t>(</w:t>
            </w:r>
            <w:r w:rsidR="000F10BB" w:rsidRPr="00754E83">
              <w:rPr>
                <w:b/>
                <w:bCs/>
              </w:rPr>
              <w:t>FG-AI4H</w:t>
            </w:r>
            <w:r w:rsidR="008249C0" w:rsidRPr="00754E83">
              <w:rPr>
                <w:b/>
                <w:bCs/>
              </w:rPr>
              <w:t>)</w:t>
            </w:r>
            <w:r w:rsidR="00AA142C">
              <w:rPr>
                <w:b/>
                <w:bCs/>
              </w:rPr>
              <w:t xml:space="preserve"> et </w:t>
            </w:r>
            <w:r w:rsidR="004F5BE9" w:rsidRPr="00754E83">
              <w:rPr>
                <w:b/>
                <w:bCs/>
              </w:rPr>
              <w:t xml:space="preserve">première réunion </w:t>
            </w:r>
            <w:r w:rsidR="00AA142C">
              <w:rPr>
                <w:b/>
                <w:bCs/>
              </w:rPr>
              <w:t>de ce Groupe, ainsi qu</w:t>
            </w:r>
            <w:r w:rsidR="00E15F0E">
              <w:rPr>
                <w:b/>
                <w:bCs/>
              </w:rPr>
              <w:t>'</w:t>
            </w:r>
            <w:r w:rsidR="00AA142C">
              <w:rPr>
                <w:b/>
                <w:bCs/>
              </w:rPr>
              <w:t>un atelier sur l</w:t>
            </w:r>
            <w:r w:rsidR="00E15F0E">
              <w:rPr>
                <w:b/>
                <w:bCs/>
              </w:rPr>
              <w:t>'</w:t>
            </w:r>
            <w:r w:rsidR="00AA142C">
              <w:rPr>
                <w:b/>
                <w:bCs/>
              </w:rPr>
              <w:t>intelligence artificielle au service de la santé: siège de l</w:t>
            </w:r>
            <w:r w:rsidR="00E15F0E">
              <w:rPr>
                <w:b/>
                <w:bCs/>
              </w:rPr>
              <w:t>'</w:t>
            </w:r>
            <w:r w:rsidR="00AA142C">
              <w:rPr>
                <w:b/>
                <w:bCs/>
              </w:rPr>
              <w:t>Organisation mondiale de la santé, Genève (Suisse), 25-27 septembre 2018</w:t>
            </w:r>
          </w:p>
        </w:tc>
      </w:tr>
    </w:tbl>
    <w:p w:rsidR="00517A03" w:rsidRPr="00754E83" w:rsidRDefault="00517A03" w:rsidP="005A4433">
      <w:pPr>
        <w:spacing w:before="360"/>
        <w:rPr>
          <w:rFonts w:asciiTheme="minorHAnsi" w:hAnsiTheme="minorHAnsi"/>
        </w:rPr>
      </w:pPr>
      <w:bookmarkStart w:id="1" w:name="StartTyping_F"/>
      <w:bookmarkEnd w:id="1"/>
      <w:r w:rsidRPr="00754E83">
        <w:rPr>
          <w:rFonts w:asciiTheme="minorHAnsi" w:hAnsiTheme="minorHAnsi"/>
        </w:rPr>
        <w:t>Madame, Monsieur,</w:t>
      </w:r>
    </w:p>
    <w:p w:rsidR="00A90C58" w:rsidRPr="00754E83" w:rsidRDefault="00200B7D" w:rsidP="005A4433">
      <w:r w:rsidRPr="00754E83">
        <w:t>1</w:t>
      </w:r>
      <w:r w:rsidRPr="00754E83">
        <w:tab/>
      </w:r>
      <w:r w:rsidR="004F5BE9" w:rsidRPr="00754E83">
        <w:t>A la suite de l</w:t>
      </w:r>
      <w:r w:rsidR="00E15F0E">
        <w:t>'</w:t>
      </w:r>
      <w:r w:rsidR="004F5BE9" w:rsidRPr="00754E83">
        <w:t>accord donné par la Commission d</w:t>
      </w:r>
      <w:r w:rsidR="00E15F0E">
        <w:t>'</w:t>
      </w:r>
      <w:r w:rsidR="004F5BE9" w:rsidRPr="00754E83">
        <w:t>études 1</w:t>
      </w:r>
      <w:r w:rsidR="000F10BB" w:rsidRPr="00754E83">
        <w:t>6</w:t>
      </w:r>
      <w:r w:rsidR="004F5BE9" w:rsidRPr="00754E83">
        <w:t xml:space="preserve"> de l</w:t>
      </w:r>
      <w:r w:rsidR="00E15F0E">
        <w:t>'</w:t>
      </w:r>
      <w:r w:rsidR="004F5BE9" w:rsidRPr="00754E83">
        <w:t>UIT-T à la réunion qu</w:t>
      </w:r>
      <w:r w:rsidR="00E15F0E">
        <w:t>'</w:t>
      </w:r>
      <w:r w:rsidR="004F5BE9" w:rsidRPr="00754E83">
        <w:t xml:space="preserve">elle a tenue à </w:t>
      </w:r>
      <w:r w:rsidR="000F10BB" w:rsidRPr="00754E83">
        <w:t xml:space="preserve">Ljubljana </w:t>
      </w:r>
      <w:r w:rsidR="004F5BE9" w:rsidRPr="00754E83">
        <w:t xml:space="preserve">du </w:t>
      </w:r>
      <w:r w:rsidR="000F10BB" w:rsidRPr="00754E83">
        <w:t>9</w:t>
      </w:r>
      <w:r w:rsidR="004F5BE9" w:rsidRPr="00754E83">
        <w:t xml:space="preserve"> au </w:t>
      </w:r>
      <w:r w:rsidR="000F10BB" w:rsidRPr="00754E83">
        <w:t xml:space="preserve">20 juillet </w:t>
      </w:r>
      <w:r w:rsidR="004F5BE9" w:rsidRPr="00754E83">
        <w:t>201</w:t>
      </w:r>
      <w:r w:rsidR="000F10BB" w:rsidRPr="00754E83">
        <w:t>8</w:t>
      </w:r>
      <w:r w:rsidR="00A90C58" w:rsidRPr="00754E83">
        <w:t xml:space="preserve">, </w:t>
      </w:r>
      <w:r w:rsidR="00207180" w:rsidRPr="00754E83">
        <w:t>j</w:t>
      </w:r>
      <w:r w:rsidR="00E15F0E">
        <w:t>'</w:t>
      </w:r>
      <w:r w:rsidR="00207180" w:rsidRPr="00754E83">
        <w:t>ai l</w:t>
      </w:r>
      <w:r w:rsidR="00E15F0E">
        <w:t>'</w:t>
      </w:r>
      <w:r w:rsidR="00207180" w:rsidRPr="00754E83">
        <w:t>honneur de vous annoncer la création du</w:t>
      </w:r>
      <w:r w:rsidR="000F10BB" w:rsidRPr="00754E83">
        <w:t xml:space="preserve"> Groupe spécialisé de l</w:t>
      </w:r>
      <w:r w:rsidR="00E15F0E">
        <w:t>'</w:t>
      </w:r>
      <w:r w:rsidR="000F10BB" w:rsidRPr="00754E83">
        <w:t>UIT-T sur l</w:t>
      </w:r>
      <w:r w:rsidR="00E15F0E">
        <w:t>'</w:t>
      </w:r>
      <w:r w:rsidR="000F10BB" w:rsidRPr="00754E83">
        <w:t>intelligence artificielle au service de la santé (FG-AI4H), avec M. Thomas Wiegand (Fraunhofer HHI, Allemagne) comme Président et</w:t>
      </w:r>
      <w:r w:rsidR="0069462A">
        <w:t xml:space="preserve"> M. Min Dong (CAICT, Chine), M. </w:t>
      </w:r>
      <w:r w:rsidR="000F10BB" w:rsidRPr="00754E83">
        <w:t>Ramesh Krishnamurthy (OMS, Suisse) et M. Marcel Sa</w:t>
      </w:r>
      <w:r w:rsidR="0069462A">
        <w:t>lathé (EPFL, Suisse) comme Vice</w:t>
      </w:r>
      <w:r w:rsidR="0069462A">
        <w:noBreakHyphen/>
      </w:r>
      <w:r w:rsidR="000F10BB" w:rsidRPr="00754E83">
        <w:t>Présidents</w:t>
      </w:r>
      <w:r w:rsidR="00A90C58" w:rsidRPr="00754E83">
        <w:t>.</w:t>
      </w:r>
    </w:p>
    <w:p w:rsidR="00312EEB" w:rsidRPr="00754E83" w:rsidRDefault="000F10BB" w:rsidP="005A4433">
      <w:r w:rsidRPr="00754E83">
        <w:t>2</w:t>
      </w:r>
      <w:r w:rsidRPr="00754E83">
        <w:tab/>
      </w:r>
      <w:r w:rsidR="00312EEB" w:rsidRPr="00754E83">
        <w:t>Le Groupe spécialisé élaborera des rapports et des spécifications techniques sur l</w:t>
      </w:r>
      <w:r w:rsidR="00E15F0E">
        <w:t>'</w:t>
      </w:r>
      <w:r w:rsidR="00312EEB" w:rsidRPr="00754E83">
        <w:t xml:space="preserve">intelligence artificielle </w:t>
      </w:r>
      <w:r w:rsidRPr="00754E83">
        <w:t>(</w:t>
      </w:r>
      <w:r w:rsidR="00312EEB" w:rsidRPr="00754E83">
        <w:t>IA</w:t>
      </w:r>
      <w:r w:rsidRPr="00754E83">
        <w:t xml:space="preserve">) </w:t>
      </w:r>
      <w:r w:rsidR="00312EEB" w:rsidRPr="00754E83">
        <w:t>au service de la santé</w:t>
      </w:r>
      <w:r w:rsidRPr="00754E83">
        <w:t xml:space="preserve">, </w:t>
      </w:r>
      <w:r w:rsidR="00A11DA2" w:rsidRPr="00754E83">
        <w:t>et notamment sur un cadre de référence</w:t>
      </w:r>
      <w:r w:rsidRPr="00754E83">
        <w:t xml:space="preserve">, </w:t>
      </w:r>
      <w:r w:rsidR="00A11DA2" w:rsidRPr="00754E83">
        <w:t xml:space="preserve">des </w:t>
      </w:r>
      <w:r w:rsidRPr="00754E83">
        <w:t>algorithm</w:t>
      </w:r>
      <w:r w:rsidR="00A11DA2" w:rsidRPr="00754E83">
        <w:t>e</w:t>
      </w:r>
      <w:r w:rsidRPr="00754E83">
        <w:t xml:space="preserve">s </w:t>
      </w:r>
      <w:r w:rsidR="00A11DA2" w:rsidRPr="00754E83">
        <w:t xml:space="preserve">et des </w:t>
      </w:r>
      <w:r w:rsidRPr="00754E83">
        <w:t>formats</w:t>
      </w:r>
      <w:r w:rsidR="00A11DA2" w:rsidRPr="00754E83">
        <w:t xml:space="preserve"> de données</w:t>
      </w:r>
      <w:r w:rsidRPr="00754E83">
        <w:t xml:space="preserve">, </w:t>
      </w:r>
      <w:r w:rsidR="00312EEB" w:rsidRPr="00754E83">
        <w:t xml:space="preserve">et travaillera en </w:t>
      </w:r>
      <w:r w:rsidRPr="00754E83">
        <w:t>part</w:t>
      </w:r>
      <w:r w:rsidR="00312EEB" w:rsidRPr="00754E83">
        <w:t>e</w:t>
      </w:r>
      <w:r w:rsidRPr="00754E83">
        <w:t>n</w:t>
      </w:r>
      <w:r w:rsidR="00312EEB" w:rsidRPr="00754E83">
        <w:t>ariat avec l</w:t>
      </w:r>
      <w:r w:rsidR="00E15F0E">
        <w:t>'</w:t>
      </w:r>
      <w:r w:rsidR="00AA142C" w:rsidRPr="00754E83">
        <w:t>Organisation</w:t>
      </w:r>
      <w:r w:rsidR="00312EEB" w:rsidRPr="00754E83">
        <w:t xml:space="preserve"> mondiale de la santé </w:t>
      </w:r>
      <w:r w:rsidRPr="00754E83">
        <w:t>(</w:t>
      </w:r>
      <w:r w:rsidR="00312EEB" w:rsidRPr="00754E83">
        <w:t>OMS</w:t>
      </w:r>
      <w:r w:rsidRPr="00754E83">
        <w:t xml:space="preserve">) </w:t>
      </w:r>
      <w:r w:rsidR="00312EEB" w:rsidRPr="00754E83">
        <w:t xml:space="preserve">à </w:t>
      </w:r>
      <w:r w:rsidR="00A11DA2" w:rsidRPr="00754E83">
        <w:t>l</w:t>
      </w:r>
      <w:r w:rsidR="00E15F0E">
        <w:t>'</w:t>
      </w:r>
      <w:r w:rsidR="00A11DA2" w:rsidRPr="00754E83">
        <w:t>élaboration d</w:t>
      </w:r>
      <w:r w:rsidR="00E15F0E">
        <w:t>'</w:t>
      </w:r>
      <w:r w:rsidR="00312EEB" w:rsidRPr="00754E83">
        <w:t xml:space="preserve">une méthodologie commune </w:t>
      </w:r>
      <w:r w:rsidR="00E15F0E">
        <w:t xml:space="preserve">relative à la normalisation </w:t>
      </w:r>
      <w:r w:rsidR="00312EEB" w:rsidRPr="00754E83">
        <w:t xml:space="preserve">à utiliser pour </w:t>
      </w:r>
      <w:r w:rsidR="00E15F0E">
        <w:t>l'</w:t>
      </w:r>
      <w:r w:rsidR="00312EEB" w:rsidRPr="00754E83">
        <w:t xml:space="preserve">évaluation et </w:t>
      </w:r>
      <w:r w:rsidR="00E15F0E">
        <w:t>l'</w:t>
      </w:r>
      <w:r w:rsidR="00312EEB" w:rsidRPr="00754E83">
        <w:t>analyse comparative des solutions</w:t>
      </w:r>
      <w:r w:rsidR="00E15F0E">
        <w:t xml:space="preserve"> d'intelligence artificielle au service de la santé</w:t>
      </w:r>
      <w:r w:rsidR="00312EEB" w:rsidRPr="00754E83">
        <w:t xml:space="preserve"> </w:t>
      </w:r>
      <w:r w:rsidR="00E15F0E">
        <w:t>(</w:t>
      </w:r>
      <w:r w:rsidR="00312EEB" w:rsidRPr="00754E83">
        <w:t>AI4H</w:t>
      </w:r>
      <w:r w:rsidR="00E15F0E">
        <w:t>)</w:t>
      </w:r>
      <w:r w:rsidR="00312EEB" w:rsidRPr="00754E83">
        <w:t xml:space="preserve"> dans l</w:t>
      </w:r>
      <w:r w:rsidR="00E15F0E">
        <w:t>'</w:t>
      </w:r>
      <w:r w:rsidR="00312EEB" w:rsidRPr="00754E83">
        <w:t>intérêt de tous.</w:t>
      </w:r>
    </w:p>
    <w:p w:rsidR="000F10BB" w:rsidRPr="00754E83" w:rsidRDefault="000F10BB" w:rsidP="005A4433">
      <w:r w:rsidRPr="00754E83">
        <w:t>3</w:t>
      </w:r>
      <w:r w:rsidRPr="00754E83">
        <w:tab/>
      </w:r>
      <w:r w:rsidR="00A11DA2" w:rsidRPr="00754E83">
        <w:t>La p</w:t>
      </w:r>
      <w:r w:rsidRPr="00754E83">
        <w:t xml:space="preserve">articipation </w:t>
      </w:r>
      <w:r w:rsidR="00A11DA2" w:rsidRPr="00754E83">
        <w:t xml:space="preserve">aux travaux du Groupe </w:t>
      </w:r>
      <w:r w:rsidRPr="00754E83">
        <w:t xml:space="preserve">FG-AI4H </w:t>
      </w:r>
      <w:r w:rsidR="00A11DA2" w:rsidRPr="00754E83">
        <w:t>est gratuite et ouverte à tous les acteurs intéressés</w:t>
      </w:r>
      <w:r w:rsidRPr="00754E83">
        <w:t xml:space="preserve">, </w:t>
      </w:r>
      <w:r w:rsidR="00A11DA2" w:rsidRPr="00754E83">
        <w:t xml:space="preserve">tels que des experts en </w:t>
      </w:r>
      <w:r w:rsidR="006B1F6B" w:rsidRPr="00754E83">
        <w:t>intelligence artificielle</w:t>
      </w:r>
      <w:r w:rsidR="00A11DA2" w:rsidRPr="00754E83">
        <w:t xml:space="preserve"> et en santé issus de </w:t>
      </w:r>
      <w:r w:rsidRPr="00754E83">
        <w:t>go</w:t>
      </w:r>
      <w:r w:rsidR="00A11DA2" w:rsidRPr="00754E83">
        <w:t>u</w:t>
      </w:r>
      <w:r w:rsidRPr="00754E83">
        <w:t>vern</w:t>
      </w:r>
      <w:r w:rsidR="00A11DA2" w:rsidRPr="00754E83">
        <w:t>e</w:t>
      </w:r>
      <w:r w:rsidRPr="00754E83">
        <w:t xml:space="preserve">ments, </w:t>
      </w:r>
      <w:r w:rsidR="00A11DA2" w:rsidRPr="00754E83">
        <w:t>d</w:t>
      </w:r>
      <w:r w:rsidR="00E15F0E">
        <w:t>'</w:t>
      </w:r>
      <w:r w:rsidR="00A11DA2" w:rsidRPr="00754E83">
        <w:t xml:space="preserve">organisations </w:t>
      </w:r>
      <w:r w:rsidRPr="00754E83">
        <w:t>international</w:t>
      </w:r>
      <w:r w:rsidR="00A11DA2" w:rsidRPr="00754E83">
        <w:t>es</w:t>
      </w:r>
      <w:r w:rsidRPr="00754E83">
        <w:t xml:space="preserve"> </w:t>
      </w:r>
      <w:r w:rsidR="00A11DA2" w:rsidRPr="00754E83">
        <w:t>et d</w:t>
      </w:r>
      <w:r w:rsidR="00E15F0E">
        <w:t>'</w:t>
      </w:r>
      <w:r w:rsidR="00A11DA2" w:rsidRPr="00754E83">
        <w:t>établissements universitaires</w:t>
      </w:r>
      <w:r w:rsidRPr="00754E83">
        <w:t xml:space="preserve">. </w:t>
      </w:r>
      <w:r w:rsidR="00A11DA2" w:rsidRPr="00754E83">
        <w:t>Les personnes qui souhaitent recevoir les mises à jour et les annonces relatives à ce Groupe sont invitées à s</w:t>
      </w:r>
      <w:r w:rsidR="00E15F0E">
        <w:t>'</w:t>
      </w:r>
      <w:r w:rsidR="00A11DA2" w:rsidRPr="00754E83">
        <w:t>inscrire sur la liste de diffusion du Groupe FG-AI4H. Des précisions sur les modalités d</w:t>
      </w:r>
      <w:r w:rsidR="00E15F0E">
        <w:t>'</w:t>
      </w:r>
      <w:r w:rsidR="00A11DA2" w:rsidRPr="00754E83">
        <w:t>inscription sont disponibles sur la page d</w:t>
      </w:r>
      <w:r w:rsidR="00E15F0E">
        <w:t>'</w:t>
      </w:r>
      <w:r w:rsidR="00A11DA2" w:rsidRPr="00754E83">
        <w:t xml:space="preserve">accueil du Groupe </w:t>
      </w:r>
      <w:r w:rsidRPr="00754E83">
        <w:t>FG-AI4H</w:t>
      </w:r>
      <w:r w:rsidR="00A11DA2" w:rsidRPr="00754E83">
        <w:t>, à l</w:t>
      </w:r>
      <w:r w:rsidR="00E15F0E">
        <w:t>'</w:t>
      </w:r>
      <w:r w:rsidR="00A11DA2" w:rsidRPr="00754E83">
        <w:t>adresse:</w:t>
      </w:r>
      <w:r w:rsidRPr="00754E83">
        <w:t xml:space="preserve"> </w:t>
      </w:r>
      <w:hyperlink r:id="rId10" w:history="1">
        <w:r w:rsidRPr="00754E83">
          <w:rPr>
            <w:rStyle w:val="Hyperlink"/>
          </w:rPr>
          <w:t>https://itu.int/go/fgai4h</w:t>
        </w:r>
      </w:hyperlink>
      <w:r w:rsidRPr="00754E83">
        <w:t>.</w:t>
      </w:r>
    </w:p>
    <w:p w:rsidR="00A11DA2" w:rsidRPr="00754E83" w:rsidRDefault="00A11DA2" w:rsidP="005A4433">
      <w:r w:rsidRPr="00754E83">
        <w:lastRenderedPageBreak/>
        <w:t>4</w:t>
      </w:r>
      <w:r w:rsidRPr="00754E83">
        <w:tab/>
        <w:t xml:space="preserve">Le Groupe spécialisé exercera ses activités conformément aux procédures exposées dans la </w:t>
      </w:r>
      <w:hyperlink r:id="rId11" w:history="1">
        <w:r w:rsidRPr="00754E83">
          <w:rPr>
            <w:color w:val="0000FF"/>
            <w:u w:val="single"/>
          </w:rPr>
          <w:t>Recommandation UIT-T A.7</w:t>
        </w:r>
      </w:hyperlink>
      <w:r w:rsidRPr="00754E83">
        <w:t xml:space="preserve"> et dans le cadre du mandat approuvé reproduit à l</w:t>
      </w:r>
      <w:r w:rsidR="00E15F0E">
        <w:t>'</w:t>
      </w:r>
      <w:r w:rsidRPr="00754E83">
        <w:rPr>
          <w:b/>
          <w:bCs/>
        </w:rPr>
        <w:t>Annexe 1.</w:t>
      </w:r>
    </w:p>
    <w:p w:rsidR="00A11DA2" w:rsidRPr="00754E83" w:rsidRDefault="00A11DA2" w:rsidP="005A4433">
      <w:pPr>
        <w:pStyle w:val="headingb"/>
        <w:keepNext w:val="0"/>
        <w:keepLines w:val="0"/>
        <w:rPr>
          <w:b w:val="0"/>
          <w:bCs/>
        </w:rPr>
      </w:pPr>
      <w:r w:rsidRPr="00754E83">
        <w:rPr>
          <w:b w:val="0"/>
          <w:bCs/>
        </w:rPr>
        <w:t>5</w:t>
      </w:r>
      <w:r w:rsidRPr="00754E83">
        <w:rPr>
          <w:b w:val="0"/>
          <w:bCs/>
        </w:rPr>
        <w:tab/>
        <w:t xml:space="preserve">La </w:t>
      </w:r>
      <w:r w:rsidRPr="00754E83">
        <w:t>première réunion du Groupe FG-AI4H</w:t>
      </w:r>
      <w:r w:rsidRPr="00754E83">
        <w:rPr>
          <w:b w:val="0"/>
          <w:bCs/>
        </w:rPr>
        <w:t xml:space="preserve"> se tiendra au siège de l</w:t>
      </w:r>
      <w:r w:rsidR="00E15F0E">
        <w:rPr>
          <w:b w:val="0"/>
          <w:bCs/>
        </w:rPr>
        <w:t>'</w:t>
      </w:r>
      <w:r w:rsidRPr="00754E83">
        <w:rPr>
          <w:b w:val="0"/>
          <w:bCs/>
        </w:rPr>
        <w:t xml:space="preserve">Organisation mondiale de la santé, à Genève (Suisse), les 26 et 27 septembre 2018. </w:t>
      </w:r>
      <w:bookmarkStart w:id="2" w:name="lt_pId062"/>
      <w:r w:rsidRPr="00754E83">
        <w:rPr>
          <w:b w:val="0"/>
          <w:bCs/>
        </w:rPr>
        <w:t>Les objectifs de la première réunion seront les suivants:</w:t>
      </w:r>
      <w:bookmarkEnd w:id="2"/>
    </w:p>
    <w:p w:rsidR="00A11DA2" w:rsidRPr="00754E83" w:rsidRDefault="00A11DA2" w:rsidP="005A4433">
      <w:pPr>
        <w:pStyle w:val="enumlev1"/>
      </w:pPr>
      <w:r w:rsidRPr="00754E83">
        <w:t>–</w:t>
      </w:r>
      <w:r w:rsidRPr="00754E83">
        <w:tab/>
      </w:r>
      <w:bookmarkStart w:id="3" w:name="lt_pId063"/>
      <w:r w:rsidRPr="00754E83">
        <w:t>discussion sur l</w:t>
      </w:r>
      <w:r w:rsidR="00E15F0E">
        <w:t>'</w:t>
      </w:r>
      <w:r w:rsidR="006B1F6B" w:rsidRPr="00754E83">
        <w:t>intelligence artificielle</w:t>
      </w:r>
      <w:r w:rsidRPr="00754E83">
        <w:t xml:space="preserve"> au service de la santé: exigences, cas d</w:t>
      </w:r>
      <w:r w:rsidR="00E15F0E">
        <w:t>'</w:t>
      </w:r>
      <w:r w:rsidRPr="00754E83">
        <w:t>utilisation et données, ensembles de données disponibles, attentes, enjeux, évaluation et validation par rapport à des éléments de référence ouverts, lacunes en matière de recherche et besoins et possibilités de normalisation;</w:t>
      </w:r>
      <w:bookmarkEnd w:id="3"/>
    </w:p>
    <w:p w:rsidR="00A11DA2" w:rsidRPr="00754E83" w:rsidRDefault="00A11DA2" w:rsidP="005A4433">
      <w:pPr>
        <w:pStyle w:val="enumlev1"/>
      </w:pPr>
      <w:r w:rsidRPr="00754E83">
        <w:t>–</w:t>
      </w:r>
      <w:r w:rsidRPr="00754E83">
        <w:tab/>
      </w:r>
      <w:bookmarkStart w:id="4" w:name="lt_pId064"/>
      <w:r w:rsidRPr="00754E83">
        <w:t>approbation du domaine de compétence et des objectifs précis du Groupe spécialisé;</w:t>
      </w:r>
      <w:bookmarkEnd w:id="4"/>
    </w:p>
    <w:p w:rsidR="00A11DA2" w:rsidRPr="00754E83" w:rsidRDefault="00A11DA2" w:rsidP="005A4433">
      <w:pPr>
        <w:pStyle w:val="enumlev1"/>
      </w:pPr>
      <w:r w:rsidRPr="00754E83">
        <w:t>–</w:t>
      </w:r>
      <w:r w:rsidRPr="00754E83">
        <w:tab/>
      </w:r>
      <w:r w:rsidRPr="00754E83">
        <w:rPr>
          <w:rFonts w:asciiTheme="minorHAnsi" w:hAnsiTheme="minorHAnsi"/>
        </w:rPr>
        <w:t>approbation de la structure du Groupe, des résultats attendus, des responsabilités, du calendrier; et</w:t>
      </w:r>
    </w:p>
    <w:p w:rsidR="00A11DA2" w:rsidRPr="00754E83" w:rsidRDefault="00A11DA2" w:rsidP="005A4433">
      <w:pPr>
        <w:pStyle w:val="enumlev1"/>
      </w:pPr>
      <w:r w:rsidRPr="00754E83">
        <w:t>–</w:t>
      </w:r>
      <w:r w:rsidRPr="00754E83">
        <w:tab/>
      </w:r>
      <w:r w:rsidRPr="00754E83">
        <w:rPr>
          <w:rFonts w:asciiTheme="minorHAnsi" w:hAnsiTheme="minorHAnsi"/>
        </w:rPr>
        <w:t xml:space="preserve">examen des contributions écrites (voir le § 7 ci-dessous) et début de </w:t>
      </w:r>
      <w:r w:rsidR="00AA142C">
        <w:rPr>
          <w:rFonts w:asciiTheme="minorHAnsi" w:hAnsiTheme="minorHAnsi"/>
        </w:rPr>
        <w:t>l</w:t>
      </w:r>
      <w:r w:rsidR="00E15F0E">
        <w:rPr>
          <w:rFonts w:asciiTheme="minorHAnsi" w:hAnsiTheme="minorHAnsi"/>
        </w:rPr>
        <w:t>'</w:t>
      </w:r>
      <w:r w:rsidRPr="00754E83">
        <w:rPr>
          <w:rFonts w:asciiTheme="minorHAnsi" w:hAnsiTheme="minorHAnsi"/>
        </w:rPr>
        <w:t>élaboration des résultats.</w:t>
      </w:r>
    </w:p>
    <w:p w:rsidR="000F10BB" w:rsidRPr="00754E83" w:rsidRDefault="000F10BB" w:rsidP="005A4433">
      <w:r w:rsidRPr="00754E83">
        <w:t>6</w:t>
      </w:r>
      <w:r w:rsidRPr="00754E83">
        <w:tab/>
      </w:r>
      <w:r w:rsidR="005D2B84" w:rsidRPr="00754E83">
        <w:t xml:space="preserve">Un </w:t>
      </w:r>
      <w:r w:rsidR="005D2B84" w:rsidRPr="00754E83">
        <w:rPr>
          <w:b/>
        </w:rPr>
        <w:t>atelier sur l</w:t>
      </w:r>
      <w:r w:rsidR="00E15F0E">
        <w:rPr>
          <w:b/>
        </w:rPr>
        <w:t>'</w:t>
      </w:r>
      <w:r w:rsidR="005D2B84" w:rsidRPr="00754E83">
        <w:rPr>
          <w:b/>
        </w:rPr>
        <w:t>i</w:t>
      </w:r>
      <w:r w:rsidRPr="00754E83">
        <w:rPr>
          <w:b/>
        </w:rPr>
        <w:t xml:space="preserve">ntelligence </w:t>
      </w:r>
      <w:r w:rsidR="005D2B84" w:rsidRPr="00754E83">
        <w:rPr>
          <w:b/>
        </w:rPr>
        <w:t>artificielle au service de la santé</w:t>
      </w:r>
      <w:r w:rsidRPr="00754E83">
        <w:rPr>
          <w:b/>
        </w:rPr>
        <w:t xml:space="preserve"> </w:t>
      </w:r>
      <w:r w:rsidR="00A11DA2" w:rsidRPr="00754E83">
        <w:t>aura lieu la veille de l</w:t>
      </w:r>
      <w:r w:rsidR="00E15F0E">
        <w:t>'</w:t>
      </w:r>
      <w:r w:rsidR="00A11DA2" w:rsidRPr="00754E83">
        <w:t xml:space="preserve">ouverture de la première réunion du Groupe </w:t>
      </w:r>
      <w:r w:rsidRPr="00754E83">
        <w:t xml:space="preserve">FG-AI4H, </w:t>
      </w:r>
      <w:r w:rsidR="00A11DA2" w:rsidRPr="00754E83">
        <w:t xml:space="preserve">le </w:t>
      </w:r>
      <w:r w:rsidRPr="00754E83">
        <w:t xml:space="preserve">25 </w:t>
      </w:r>
      <w:r w:rsidR="00A11DA2" w:rsidRPr="00754E83">
        <w:t>septembre</w:t>
      </w:r>
      <w:r w:rsidRPr="00754E83">
        <w:t xml:space="preserve"> 2018, </w:t>
      </w:r>
      <w:r w:rsidR="00A11DA2" w:rsidRPr="00754E83">
        <w:t>au même endroit</w:t>
      </w:r>
      <w:r w:rsidRPr="00754E83">
        <w:t xml:space="preserve">. </w:t>
      </w:r>
      <w:r w:rsidR="005D2B84" w:rsidRPr="00754E83">
        <w:t>Vous trouverez de plus amples informations à l</w:t>
      </w:r>
      <w:r w:rsidR="00E15F0E">
        <w:t>'</w:t>
      </w:r>
      <w:r w:rsidR="005D2B84" w:rsidRPr="00754E83">
        <w:t xml:space="preserve">adresse: </w:t>
      </w:r>
      <w:hyperlink r:id="rId12" w:history="1">
        <w:r w:rsidRPr="00754E83">
          <w:rPr>
            <w:rStyle w:val="Hyperlink"/>
          </w:rPr>
          <w:t>https://itu.int/en/ITU-T/Workshops-and-Seminars/20180925</w:t>
        </w:r>
      </w:hyperlink>
      <w:r w:rsidRPr="00754E83">
        <w:t>.</w:t>
      </w:r>
    </w:p>
    <w:p w:rsidR="000F10BB" w:rsidRPr="00754E83" w:rsidRDefault="000F10BB" w:rsidP="005A4433">
      <w:r w:rsidRPr="00754E83">
        <w:t>7</w:t>
      </w:r>
      <w:r w:rsidRPr="00754E83">
        <w:tab/>
      </w:r>
      <w:r w:rsidR="005D2B84" w:rsidRPr="00754E83">
        <w:rPr>
          <w:rFonts w:asciiTheme="minorHAnsi" w:hAnsiTheme="minorHAnsi"/>
        </w:rPr>
        <w:t xml:space="preserve">Des </w:t>
      </w:r>
      <w:r w:rsidR="005D2B84" w:rsidRPr="00754E83">
        <w:rPr>
          <w:rFonts w:asciiTheme="minorHAnsi" w:hAnsiTheme="minorHAnsi"/>
          <w:b/>
          <w:bCs/>
        </w:rPr>
        <w:t xml:space="preserve">contributions écrites sont sollicitées </w:t>
      </w:r>
      <w:r w:rsidR="005D2B84" w:rsidRPr="00754E83">
        <w:t xml:space="preserve">pour la réunion du Groupe spécialisé, entre autres, sur: </w:t>
      </w:r>
      <w:r w:rsidRPr="00754E83">
        <w:t xml:space="preserve">1) </w:t>
      </w:r>
      <w:r w:rsidR="005D2B84" w:rsidRPr="00754E83">
        <w:rPr>
          <w:rFonts w:asciiTheme="minorHAnsi" w:hAnsiTheme="minorHAnsi"/>
        </w:rPr>
        <w:t>l</w:t>
      </w:r>
      <w:r w:rsidR="00E15F0E">
        <w:rPr>
          <w:rFonts w:asciiTheme="minorHAnsi" w:hAnsiTheme="minorHAnsi"/>
        </w:rPr>
        <w:t>'</w:t>
      </w:r>
      <w:r w:rsidR="005D2B84" w:rsidRPr="00754E83">
        <w:rPr>
          <w:rFonts w:asciiTheme="minorHAnsi" w:hAnsiTheme="minorHAnsi"/>
        </w:rPr>
        <w:t>état des connaissances dans le domaine de l</w:t>
      </w:r>
      <w:r w:rsidR="00E15F0E">
        <w:rPr>
          <w:rFonts w:asciiTheme="minorHAnsi" w:hAnsiTheme="minorHAnsi"/>
        </w:rPr>
        <w:t>'</w:t>
      </w:r>
      <w:r w:rsidR="005D2B84" w:rsidRPr="00754E83">
        <w:rPr>
          <w:rFonts w:asciiTheme="minorHAnsi" w:hAnsiTheme="minorHAnsi"/>
        </w:rPr>
        <w:t>intelligence artificielle</w:t>
      </w:r>
      <w:r w:rsidR="0069462A">
        <w:rPr>
          <w:rFonts w:asciiTheme="minorHAnsi" w:hAnsiTheme="minorHAnsi"/>
        </w:rPr>
        <w:t xml:space="preserve"> au service de la santé (par exemple</w:t>
      </w:r>
      <w:r w:rsidR="005D2B84" w:rsidRPr="00754E83">
        <w:rPr>
          <w:rFonts w:asciiTheme="minorHAnsi" w:hAnsiTheme="minorHAnsi"/>
        </w:rPr>
        <w:t xml:space="preserve"> termes, définitions, concepts, exigences, lacunes en matière de recherche, méthodes, formats, écosystème des normes, cadres d</w:t>
      </w:r>
      <w:r w:rsidR="00E15F0E">
        <w:rPr>
          <w:rFonts w:asciiTheme="minorHAnsi" w:hAnsiTheme="minorHAnsi"/>
        </w:rPr>
        <w:t>'</w:t>
      </w:r>
      <w:r w:rsidR="005D2B84" w:rsidRPr="00754E83">
        <w:rPr>
          <w:rFonts w:asciiTheme="minorHAnsi" w:hAnsiTheme="minorHAnsi"/>
        </w:rPr>
        <w:t>évaluation/d</w:t>
      </w:r>
      <w:r w:rsidR="00E15F0E">
        <w:rPr>
          <w:rFonts w:asciiTheme="minorHAnsi" w:hAnsiTheme="minorHAnsi"/>
        </w:rPr>
        <w:t>'</w:t>
      </w:r>
      <w:r w:rsidR="005D2B84" w:rsidRPr="00754E83">
        <w:rPr>
          <w:rFonts w:asciiTheme="minorHAnsi" w:hAnsiTheme="minorHAnsi"/>
        </w:rPr>
        <w:t>ana</w:t>
      </w:r>
      <w:r w:rsidR="00E15F0E">
        <w:rPr>
          <w:rFonts w:asciiTheme="minorHAnsi" w:hAnsiTheme="minorHAnsi"/>
        </w:rPr>
        <w:t xml:space="preserve">lyse comparative applicables); </w:t>
      </w:r>
      <w:r w:rsidR="005D2B84" w:rsidRPr="00754E83">
        <w:rPr>
          <w:rFonts w:asciiTheme="minorHAnsi" w:hAnsiTheme="minorHAnsi"/>
        </w:rPr>
        <w:t>2) des cas d</w:t>
      </w:r>
      <w:r w:rsidR="00E15F0E">
        <w:rPr>
          <w:rFonts w:asciiTheme="minorHAnsi" w:hAnsiTheme="minorHAnsi"/>
        </w:rPr>
        <w:t>'</w:t>
      </w:r>
      <w:r w:rsidR="005D2B84" w:rsidRPr="00754E83">
        <w:rPr>
          <w:rFonts w:asciiTheme="minorHAnsi" w:hAnsiTheme="minorHAnsi"/>
        </w:rPr>
        <w:t>utilisation précis et leur normalisation</w:t>
      </w:r>
      <w:r w:rsidR="00E15F0E">
        <w:t xml:space="preserve">; </w:t>
      </w:r>
      <w:r w:rsidRPr="00754E83">
        <w:t xml:space="preserve">3) </w:t>
      </w:r>
      <w:r w:rsidR="00E32764" w:rsidRPr="00754E83">
        <w:t>la recherche sur l</w:t>
      </w:r>
      <w:r w:rsidR="00E15F0E">
        <w:t>'</w:t>
      </w:r>
      <w:r w:rsidR="006B1F6B" w:rsidRPr="00754E83">
        <w:t>intelligence artificielle</w:t>
      </w:r>
      <w:r w:rsidR="00E32764" w:rsidRPr="00754E83">
        <w:t xml:space="preserve"> </w:t>
      </w:r>
      <w:r w:rsidR="00163A81" w:rsidRPr="00754E83">
        <w:t xml:space="preserve">dans le domaine médical </w:t>
      </w:r>
      <w:r w:rsidR="00E32764" w:rsidRPr="00754E83">
        <w:t xml:space="preserve">et </w:t>
      </w:r>
      <w:r w:rsidR="00163A81" w:rsidRPr="00754E83">
        <w:t xml:space="preserve">la </w:t>
      </w:r>
      <w:r w:rsidR="00E32764" w:rsidRPr="00754E83">
        <w:t>normalisation de l</w:t>
      </w:r>
      <w:r w:rsidR="00E15F0E">
        <w:t>'</w:t>
      </w:r>
      <w:r w:rsidR="00E32764" w:rsidRPr="00754E83">
        <w:t>utilisation de l</w:t>
      </w:r>
      <w:r w:rsidR="00E15F0E">
        <w:t>'</w:t>
      </w:r>
      <w:r w:rsidR="006B1F6B" w:rsidRPr="00754E83">
        <w:t>intelligence artificielle</w:t>
      </w:r>
      <w:r w:rsidR="00E32764" w:rsidRPr="00754E83">
        <w:t xml:space="preserve"> dans les dispositifs médicaux et </w:t>
      </w:r>
      <w:r w:rsidR="006B1F6B" w:rsidRPr="00754E83">
        <w:t xml:space="preserve">pour </w:t>
      </w:r>
      <w:r w:rsidR="00163A81" w:rsidRPr="00754E83">
        <w:t xml:space="preserve">les </w:t>
      </w:r>
      <w:r w:rsidR="00E32764" w:rsidRPr="00754E83">
        <w:t>diagnostic</w:t>
      </w:r>
      <w:r w:rsidR="00163A81" w:rsidRPr="00754E83">
        <w:t>s</w:t>
      </w:r>
      <w:r w:rsidR="00E32764" w:rsidRPr="00754E83">
        <w:t xml:space="preserve"> </w:t>
      </w:r>
      <w:r w:rsidR="00163A81" w:rsidRPr="00754E83">
        <w:t>médicaux</w:t>
      </w:r>
      <w:r w:rsidR="00E15F0E">
        <w:t xml:space="preserve">; </w:t>
      </w:r>
      <w:r w:rsidRPr="00754E83">
        <w:t xml:space="preserve">4) </w:t>
      </w:r>
      <w:r w:rsidR="00E32764" w:rsidRPr="00754E83">
        <w:t>les principaux problèmes dans le secteur de la santé</w:t>
      </w:r>
      <w:r w:rsidRPr="00754E83">
        <w:t>/</w:t>
      </w:r>
      <w:r w:rsidR="00E32764" w:rsidRPr="00754E83">
        <w:t>les urgences sanitaires et l</w:t>
      </w:r>
      <w:r w:rsidR="006B1F6B" w:rsidRPr="00754E83">
        <w:t xml:space="preserve">es solutions que </w:t>
      </w:r>
      <w:r w:rsidR="00E32764" w:rsidRPr="00754E83">
        <w:t>l</w:t>
      </w:r>
      <w:r w:rsidR="00E15F0E">
        <w:t>'</w:t>
      </w:r>
      <w:r w:rsidR="006B1F6B" w:rsidRPr="00754E83">
        <w:t>intelligence artificielle</w:t>
      </w:r>
      <w:r w:rsidR="00E32764" w:rsidRPr="00754E83">
        <w:t xml:space="preserve"> pourrait </w:t>
      </w:r>
      <w:r w:rsidR="006B1F6B" w:rsidRPr="00754E83">
        <w:t xml:space="preserve">apporter </w:t>
      </w:r>
      <w:r w:rsidR="000F2852" w:rsidRPr="00754E83">
        <w:t>dans le cadre d</w:t>
      </w:r>
      <w:r w:rsidR="00E15F0E">
        <w:t>'</w:t>
      </w:r>
      <w:r w:rsidR="000F2852" w:rsidRPr="00754E83">
        <w:t>une démarche de normalisation</w:t>
      </w:r>
      <w:r w:rsidR="00E15F0E">
        <w:t xml:space="preserve">; </w:t>
      </w:r>
      <w:r w:rsidRPr="00754E83">
        <w:t>5)</w:t>
      </w:r>
      <w:r w:rsidR="00E32764" w:rsidRPr="00754E83">
        <w:t xml:space="preserve"> les données médicales nécessaires pour les tests</w:t>
      </w:r>
      <w:r w:rsidRPr="00754E83">
        <w:t xml:space="preserve">, </w:t>
      </w:r>
      <w:r w:rsidR="00E32764" w:rsidRPr="00754E83">
        <w:t>l</w:t>
      </w:r>
      <w:r w:rsidR="00E15F0E">
        <w:t>'</w:t>
      </w:r>
      <w:r w:rsidR="00E32764" w:rsidRPr="00754E83">
        <w:t>entraînement et l</w:t>
      </w:r>
      <w:r w:rsidR="00E15F0E">
        <w:t>'</w:t>
      </w:r>
      <w:r w:rsidR="00E32764" w:rsidRPr="00754E83">
        <w:t>é</w:t>
      </w:r>
      <w:r w:rsidRPr="00754E83">
        <w:t xml:space="preserve">valuation </w:t>
      </w:r>
      <w:r w:rsidR="00E32764" w:rsidRPr="00754E83">
        <w:t>des algorithmes</w:t>
      </w:r>
      <w:r w:rsidR="00E15F0E">
        <w:t xml:space="preserve"> </w:t>
      </w:r>
      <w:r w:rsidR="00E15F0E" w:rsidRPr="00754E83">
        <w:t>AI4H</w:t>
      </w:r>
      <w:r w:rsidRPr="00754E83">
        <w:t xml:space="preserve">, </w:t>
      </w:r>
      <w:r w:rsidR="00E32764" w:rsidRPr="00754E83">
        <w:t xml:space="preserve">compte tenu de diverses </w:t>
      </w:r>
      <w:r w:rsidRPr="00754E83">
        <w:t xml:space="preserve">dimensions, </w:t>
      </w:r>
      <w:r w:rsidR="00E32764" w:rsidRPr="00754E83">
        <w:t>par exemple la disponibilité</w:t>
      </w:r>
      <w:r w:rsidRPr="00754E83">
        <w:t xml:space="preserve">, </w:t>
      </w:r>
      <w:r w:rsidR="00E32764" w:rsidRPr="00754E83">
        <w:t>la normalisation</w:t>
      </w:r>
      <w:r w:rsidRPr="00754E83">
        <w:t xml:space="preserve">, </w:t>
      </w:r>
      <w:r w:rsidR="00E15F0E">
        <w:t>le respect</w:t>
      </w:r>
      <w:r w:rsidR="00E32764" w:rsidRPr="00754E83">
        <w:t xml:space="preserve"> de</w:t>
      </w:r>
      <w:r w:rsidR="00AA142C">
        <w:t xml:space="preserve"> </w:t>
      </w:r>
      <w:r w:rsidR="00E32764" w:rsidRPr="00754E83">
        <w:t>la sphère privée et la propriété</w:t>
      </w:r>
      <w:r w:rsidRPr="00754E83">
        <w:t>.</w:t>
      </w:r>
    </w:p>
    <w:p w:rsidR="000F10BB" w:rsidRPr="00754E83" w:rsidRDefault="000F10BB" w:rsidP="005A4433">
      <w:r w:rsidRPr="00754E83">
        <w:t>8</w:t>
      </w:r>
      <w:r w:rsidRPr="00754E83">
        <w:tab/>
      </w:r>
      <w:r w:rsidR="00163A81" w:rsidRPr="00754E83">
        <w:t xml:space="preserve">Les </w:t>
      </w:r>
      <w:r w:rsidRPr="00754E83">
        <w:t xml:space="preserve">contributions </w:t>
      </w:r>
      <w:r w:rsidR="00163A81" w:rsidRPr="00754E83">
        <w:t xml:space="preserve">écrites doivent être soumises au </w:t>
      </w:r>
      <w:r w:rsidRPr="00754E83">
        <w:t>secr</w:t>
      </w:r>
      <w:r w:rsidR="00163A81" w:rsidRPr="00754E83">
        <w:t>é</w:t>
      </w:r>
      <w:r w:rsidRPr="00754E83">
        <w:t>tariat (</w:t>
      </w:r>
      <w:hyperlink r:id="rId13" w:history="1">
        <w:r w:rsidRPr="00754E83">
          <w:rPr>
            <w:rStyle w:val="Hyperlink"/>
          </w:rPr>
          <w:t>tsbfgai4h@itu.int</w:t>
        </w:r>
      </w:hyperlink>
      <w:r w:rsidRPr="00754E83">
        <w:t xml:space="preserve">) </w:t>
      </w:r>
      <w:r w:rsidR="00163A81" w:rsidRPr="00754E83">
        <w:t xml:space="preserve">sous forme électronique. </w:t>
      </w:r>
      <w:r w:rsidR="00163A81" w:rsidRPr="00754E83">
        <w:rPr>
          <w:bCs/>
        </w:rPr>
        <w:t xml:space="preserve">Le </w:t>
      </w:r>
      <w:hyperlink r:id="rId14" w:history="1">
        <w:r w:rsidR="00163A81" w:rsidRPr="00754E83">
          <w:rPr>
            <w:rStyle w:val="Hyperlink"/>
          </w:rPr>
          <w:t>gabarit</w:t>
        </w:r>
      </w:hyperlink>
      <w:r w:rsidR="00163A81" w:rsidRPr="00754E83">
        <w:t xml:space="preserve"> </w:t>
      </w:r>
      <w:r w:rsidR="00163A81" w:rsidRPr="00754E83">
        <w:rPr>
          <w:bCs/>
        </w:rPr>
        <w:t xml:space="preserve">à utiliser </w:t>
      </w:r>
      <w:r w:rsidR="00163A81" w:rsidRPr="00754E83">
        <w:t>se trouve sur la page d</w:t>
      </w:r>
      <w:r w:rsidR="00E15F0E">
        <w:t>'</w:t>
      </w:r>
      <w:r w:rsidR="00163A81" w:rsidRPr="00754E83">
        <w:t xml:space="preserve">accueil du Groupe </w:t>
      </w:r>
      <w:r w:rsidRPr="00754E83">
        <w:t xml:space="preserve">FG-AI4H. </w:t>
      </w:r>
      <w:r w:rsidR="00163A81" w:rsidRPr="00754E83">
        <w:rPr>
          <w:b/>
          <w:bCs/>
        </w:rPr>
        <w:t xml:space="preserve">La date limite de soumission est le </w:t>
      </w:r>
      <w:r w:rsidRPr="00754E83">
        <w:rPr>
          <w:b/>
          <w:bCs/>
        </w:rPr>
        <w:t>19 </w:t>
      </w:r>
      <w:r w:rsidR="00163A81" w:rsidRPr="00754E83">
        <w:rPr>
          <w:b/>
          <w:bCs/>
        </w:rPr>
        <w:t xml:space="preserve">septembre </w:t>
      </w:r>
      <w:r w:rsidRPr="00754E83">
        <w:rPr>
          <w:b/>
          <w:bCs/>
        </w:rPr>
        <w:t>2018.</w:t>
      </w:r>
    </w:p>
    <w:p w:rsidR="00125341" w:rsidRPr="00754E83" w:rsidRDefault="000F10BB" w:rsidP="005A4433">
      <w:r w:rsidRPr="00754E83">
        <w:t>9</w:t>
      </w:r>
      <w:r w:rsidRPr="00754E83">
        <w:tab/>
      </w:r>
      <w:r w:rsidR="00125341" w:rsidRPr="00754E83">
        <w:rPr>
          <w:rFonts w:asciiTheme="minorHAnsi" w:hAnsiTheme="minorHAnsi"/>
        </w:rPr>
        <w:t xml:space="preserve">La réunion </w:t>
      </w:r>
      <w:r w:rsidR="00125341" w:rsidRPr="00754E83">
        <w:rPr>
          <w:rFonts w:asciiTheme="minorHAnsi" w:hAnsiTheme="minorHAnsi"/>
          <w:b/>
          <w:bCs/>
        </w:rPr>
        <w:t>commencera à 9 h 30</w:t>
      </w:r>
      <w:r w:rsidR="00125341" w:rsidRPr="00754E83">
        <w:rPr>
          <w:rFonts w:asciiTheme="minorHAnsi" w:hAnsiTheme="minorHAnsi"/>
        </w:rPr>
        <w:t xml:space="preserve"> le premier jour. L</w:t>
      </w:r>
      <w:r w:rsidR="00E15F0E">
        <w:rPr>
          <w:rFonts w:asciiTheme="minorHAnsi" w:hAnsiTheme="minorHAnsi"/>
        </w:rPr>
        <w:t>'</w:t>
      </w:r>
      <w:r w:rsidR="00125341" w:rsidRPr="00754E83">
        <w:rPr>
          <w:rFonts w:asciiTheme="minorHAnsi" w:hAnsiTheme="minorHAnsi"/>
        </w:rPr>
        <w:t>enregistrement des participants débutera</w:t>
      </w:r>
      <w:r w:rsidR="00E15F0E">
        <w:rPr>
          <w:rFonts w:asciiTheme="minorHAnsi" w:hAnsiTheme="minorHAnsi"/>
        </w:rPr>
        <w:t xml:space="preserve"> à 8 h 30</w:t>
      </w:r>
      <w:r w:rsidR="00125341" w:rsidRPr="00754E83">
        <w:rPr>
          <w:rFonts w:asciiTheme="minorHAnsi" w:hAnsiTheme="minorHAnsi"/>
        </w:rPr>
        <w:t xml:space="preserve"> </w:t>
      </w:r>
      <w:r w:rsidR="00125341" w:rsidRPr="00754E83">
        <w:t xml:space="preserve">au </w:t>
      </w:r>
      <w:r w:rsidR="00125341" w:rsidRPr="00E15F0E">
        <w:rPr>
          <w:rStyle w:val="Hyperlink"/>
          <w:color w:val="auto"/>
          <w:u w:val="none"/>
        </w:rPr>
        <w:t>siège de l</w:t>
      </w:r>
      <w:r w:rsidR="00E15F0E">
        <w:rPr>
          <w:rStyle w:val="Hyperlink"/>
          <w:color w:val="auto"/>
          <w:u w:val="none"/>
        </w:rPr>
        <w:t>'</w:t>
      </w:r>
      <w:r w:rsidR="00125341" w:rsidRPr="00E15F0E">
        <w:rPr>
          <w:rStyle w:val="Hyperlink"/>
          <w:color w:val="auto"/>
          <w:u w:val="none"/>
        </w:rPr>
        <w:t>Organisation mondiale de la santé</w:t>
      </w:r>
      <w:r w:rsidRPr="00E15F0E">
        <w:rPr>
          <w:rStyle w:val="Hyperlink"/>
          <w:color w:val="auto"/>
          <w:u w:val="none"/>
        </w:rPr>
        <w:t>, Avenue Appia 20, Gen</w:t>
      </w:r>
      <w:r w:rsidR="00125341" w:rsidRPr="00E15F0E">
        <w:rPr>
          <w:rStyle w:val="Hyperlink"/>
          <w:color w:val="auto"/>
          <w:u w:val="none"/>
        </w:rPr>
        <w:t>è</w:t>
      </w:r>
      <w:r w:rsidRPr="00E15F0E">
        <w:rPr>
          <w:rStyle w:val="Hyperlink"/>
          <w:color w:val="auto"/>
          <w:u w:val="none"/>
        </w:rPr>
        <w:t>v</w:t>
      </w:r>
      <w:r w:rsidR="00125341" w:rsidRPr="00E15F0E">
        <w:rPr>
          <w:rStyle w:val="Hyperlink"/>
          <w:color w:val="auto"/>
          <w:u w:val="none"/>
        </w:rPr>
        <w:t>e</w:t>
      </w:r>
      <w:r w:rsidRPr="00754E83">
        <w:t xml:space="preserve">. </w:t>
      </w:r>
      <w:r w:rsidR="00125341" w:rsidRPr="00754E83">
        <w:rPr>
          <w:rFonts w:asciiTheme="minorHAnsi" w:hAnsiTheme="minorHAnsi"/>
        </w:rPr>
        <w:t>Des informations pratiques concernant la réunion sont données à l</w:t>
      </w:r>
      <w:r w:rsidR="00E15F0E">
        <w:rPr>
          <w:rFonts w:asciiTheme="minorHAnsi" w:hAnsiTheme="minorHAnsi"/>
        </w:rPr>
        <w:t>'</w:t>
      </w:r>
      <w:r w:rsidR="00125341" w:rsidRPr="00754E83">
        <w:rPr>
          <w:rFonts w:asciiTheme="minorHAnsi" w:hAnsiTheme="minorHAnsi"/>
          <w:b/>
          <w:bCs/>
        </w:rPr>
        <w:t>Annexe 2</w:t>
      </w:r>
      <w:r w:rsidR="00125341" w:rsidRPr="00754E83">
        <w:rPr>
          <w:rFonts w:asciiTheme="minorHAnsi" w:hAnsiTheme="minorHAnsi"/>
        </w:rPr>
        <w:t>. L</w:t>
      </w:r>
      <w:r w:rsidR="00E15F0E">
        <w:rPr>
          <w:rFonts w:asciiTheme="minorHAnsi" w:hAnsiTheme="minorHAnsi"/>
        </w:rPr>
        <w:t>'</w:t>
      </w:r>
      <w:r w:rsidR="00125341" w:rsidRPr="00754E83">
        <w:rPr>
          <w:rFonts w:asciiTheme="minorHAnsi" w:hAnsiTheme="minorHAnsi"/>
        </w:rPr>
        <w:t>ordre du jour de la réunion sera disponible depuis la page d</w:t>
      </w:r>
      <w:r w:rsidR="00E15F0E">
        <w:rPr>
          <w:rFonts w:asciiTheme="minorHAnsi" w:hAnsiTheme="minorHAnsi"/>
        </w:rPr>
        <w:t>'</w:t>
      </w:r>
      <w:r w:rsidR="00125341" w:rsidRPr="00754E83">
        <w:rPr>
          <w:rFonts w:asciiTheme="minorHAnsi" w:hAnsiTheme="minorHAnsi"/>
        </w:rPr>
        <w:t xml:space="preserve">accueil du Groupe FG-AI4H avant la réunion. Les discussions se dérouleront en anglais uniquement. Il sera possible de </w:t>
      </w:r>
      <w:r w:rsidR="00125341" w:rsidRPr="00754E83">
        <w:rPr>
          <w:rFonts w:asciiTheme="minorHAnsi" w:hAnsiTheme="minorHAnsi"/>
          <w:b/>
          <w:bCs/>
        </w:rPr>
        <w:t xml:space="preserve">participer à distance </w:t>
      </w:r>
      <w:r w:rsidR="00125341" w:rsidRPr="00754E83">
        <w:rPr>
          <w:rFonts w:asciiTheme="minorHAnsi" w:hAnsiTheme="minorHAnsi"/>
        </w:rPr>
        <w:t>à la réunion</w:t>
      </w:r>
      <w:r w:rsidR="00DC1B28" w:rsidRPr="00754E83">
        <w:t>;</w:t>
      </w:r>
      <w:r w:rsidR="00125341" w:rsidRPr="00754E83">
        <w:t xml:space="preserve"> </w:t>
      </w:r>
      <w:r w:rsidR="00DC1B28" w:rsidRPr="00754E83">
        <w:rPr>
          <w:rFonts w:asciiTheme="minorHAnsi" w:hAnsiTheme="minorHAnsi"/>
        </w:rPr>
        <w:t>d</w:t>
      </w:r>
      <w:r w:rsidR="00125341" w:rsidRPr="00754E83">
        <w:rPr>
          <w:rFonts w:asciiTheme="minorHAnsi" w:hAnsiTheme="minorHAnsi"/>
        </w:rPr>
        <w:t xml:space="preserve">es informations détaillées seront publiées sur </w:t>
      </w:r>
      <w:r w:rsidR="00DC1B28" w:rsidRPr="00754E83">
        <w:rPr>
          <w:rFonts w:asciiTheme="minorHAnsi" w:hAnsiTheme="minorHAnsi"/>
        </w:rPr>
        <w:t>la page d</w:t>
      </w:r>
      <w:r w:rsidR="00E15F0E">
        <w:rPr>
          <w:rFonts w:asciiTheme="minorHAnsi" w:hAnsiTheme="minorHAnsi"/>
        </w:rPr>
        <w:t>'</w:t>
      </w:r>
      <w:r w:rsidR="00DC1B28" w:rsidRPr="00754E83">
        <w:rPr>
          <w:rFonts w:asciiTheme="minorHAnsi" w:hAnsiTheme="minorHAnsi"/>
        </w:rPr>
        <w:t>accueil du Groupe FG-AI4H</w:t>
      </w:r>
      <w:r w:rsidR="00125341" w:rsidRPr="00754E83">
        <w:rPr>
          <w:rFonts w:asciiTheme="minorHAnsi" w:hAnsiTheme="minorHAnsi"/>
        </w:rPr>
        <w:t>.</w:t>
      </w:r>
    </w:p>
    <w:p w:rsidR="00A90C58" w:rsidRPr="00754E83" w:rsidRDefault="00DC1B28" w:rsidP="005A4433">
      <w:r w:rsidRPr="00754E83">
        <w:t>10</w:t>
      </w:r>
      <w:r w:rsidR="00A90C58" w:rsidRPr="00754E83">
        <w:tab/>
      </w:r>
      <w:r w:rsidR="00EA0E6E" w:rsidRPr="00754E83">
        <w:rPr>
          <w:rFonts w:asciiTheme="minorHAnsi" w:hAnsiTheme="minorHAnsi"/>
        </w:rPr>
        <w:t>Pour permettre à l</w:t>
      </w:r>
      <w:r w:rsidR="00E15F0E">
        <w:rPr>
          <w:rFonts w:asciiTheme="minorHAnsi" w:hAnsiTheme="minorHAnsi"/>
        </w:rPr>
        <w:t>'</w:t>
      </w:r>
      <w:r w:rsidR="00EA0E6E" w:rsidRPr="00754E83">
        <w:rPr>
          <w:rFonts w:asciiTheme="minorHAnsi" w:hAnsiTheme="minorHAnsi"/>
        </w:rPr>
        <w:t xml:space="preserve">UIT de prévoir la logistique nécessaire, </w:t>
      </w:r>
      <w:r w:rsidRPr="00754E83">
        <w:rPr>
          <w:rFonts w:asciiTheme="minorHAnsi" w:hAnsiTheme="minorHAnsi"/>
        </w:rPr>
        <w:t xml:space="preserve">il est demandé aux </w:t>
      </w:r>
      <w:r w:rsidR="00EA0E6E" w:rsidRPr="00754E83">
        <w:rPr>
          <w:rFonts w:asciiTheme="minorHAnsi" w:hAnsiTheme="minorHAnsi"/>
        </w:rPr>
        <w:t xml:space="preserve">participants </w:t>
      </w:r>
      <w:r w:rsidRPr="00754E83">
        <w:rPr>
          <w:rFonts w:asciiTheme="minorHAnsi" w:hAnsiTheme="minorHAnsi"/>
        </w:rPr>
        <w:t xml:space="preserve">de </w:t>
      </w:r>
      <w:r w:rsidR="00EA0E6E" w:rsidRPr="00754E83">
        <w:rPr>
          <w:rFonts w:asciiTheme="minorHAnsi" w:hAnsiTheme="minorHAnsi"/>
          <w:b/>
          <w:bCs/>
        </w:rPr>
        <w:t>s</w:t>
      </w:r>
      <w:r w:rsidR="00E15F0E">
        <w:rPr>
          <w:rFonts w:asciiTheme="minorHAnsi" w:hAnsiTheme="minorHAnsi"/>
          <w:b/>
          <w:bCs/>
        </w:rPr>
        <w:t>'</w:t>
      </w:r>
      <w:r w:rsidR="00EA0E6E" w:rsidRPr="00754E83">
        <w:rPr>
          <w:rFonts w:asciiTheme="minorHAnsi" w:hAnsiTheme="minorHAnsi"/>
          <w:b/>
          <w:bCs/>
        </w:rPr>
        <w:t xml:space="preserve">inscrire </w:t>
      </w:r>
      <w:r w:rsidRPr="00754E83">
        <w:rPr>
          <w:rFonts w:asciiTheme="minorHAnsi" w:hAnsiTheme="minorHAnsi"/>
          <w:b/>
          <w:bCs/>
        </w:rPr>
        <w:t xml:space="preserve">par avance </w:t>
      </w:r>
      <w:r w:rsidR="00EA0E6E" w:rsidRPr="00754E83">
        <w:rPr>
          <w:rFonts w:asciiTheme="minorHAnsi" w:hAnsiTheme="minorHAnsi"/>
          <w:b/>
          <w:bCs/>
        </w:rPr>
        <w:t>en ligne</w:t>
      </w:r>
      <w:r w:rsidR="00EA0E6E" w:rsidRPr="00754E83">
        <w:rPr>
          <w:rFonts w:asciiTheme="minorHAnsi" w:hAnsiTheme="minorHAnsi"/>
        </w:rPr>
        <w:t xml:space="preserve"> via la </w:t>
      </w:r>
      <w:r w:rsidRPr="00754E83">
        <w:rPr>
          <w:rFonts w:asciiTheme="minorHAnsi" w:hAnsiTheme="minorHAnsi"/>
        </w:rPr>
        <w:t>page d</w:t>
      </w:r>
      <w:r w:rsidR="00E15F0E">
        <w:rPr>
          <w:rFonts w:asciiTheme="minorHAnsi" w:hAnsiTheme="minorHAnsi"/>
        </w:rPr>
        <w:t>'</w:t>
      </w:r>
      <w:r w:rsidRPr="00754E83">
        <w:rPr>
          <w:rFonts w:asciiTheme="minorHAnsi" w:hAnsiTheme="minorHAnsi"/>
        </w:rPr>
        <w:t xml:space="preserve">accueil du Groupe FG-AI4H </w:t>
      </w:r>
      <w:r w:rsidR="00EA0E6E" w:rsidRPr="00754E83">
        <w:rPr>
          <w:rFonts w:asciiTheme="minorHAnsi" w:hAnsiTheme="minorHAnsi"/>
        </w:rPr>
        <w:t xml:space="preserve">dès que possible, et </w:t>
      </w:r>
      <w:r w:rsidR="00EA0E6E" w:rsidRPr="00754E83">
        <w:rPr>
          <w:rFonts w:asciiTheme="minorHAnsi" w:hAnsiTheme="minorHAnsi"/>
          <w:b/>
          <w:bCs/>
        </w:rPr>
        <w:t xml:space="preserve">au plus tard le 19 </w:t>
      </w:r>
      <w:r w:rsidRPr="00754E83">
        <w:rPr>
          <w:rFonts w:asciiTheme="minorHAnsi" w:hAnsiTheme="minorHAnsi"/>
          <w:b/>
          <w:bCs/>
        </w:rPr>
        <w:t xml:space="preserve">septembre </w:t>
      </w:r>
      <w:r w:rsidR="00EA0E6E" w:rsidRPr="00754E83">
        <w:rPr>
          <w:rFonts w:asciiTheme="minorHAnsi" w:hAnsiTheme="minorHAnsi"/>
          <w:b/>
          <w:bCs/>
        </w:rPr>
        <w:t>2018</w:t>
      </w:r>
      <w:r w:rsidR="00EA0E6E" w:rsidRPr="00754E83">
        <w:rPr>
          <w:rFonts w:asciiTheme="minorHAnsi" w:hAnsiTheme="minorHAnsi"/>
        </w:rPr>
        <w:t xml:space="preserve">. </w:t>
      </w:r>
      <w:r w:rsidRPr="00754E83">
        <w:rPr>
          <w:rFonts w:asciiTheme="minorHAnsi" w:hAnsiTheme="minorHAnsi"/>
        </w:rPr>
        <w:t xml:space="preserve">Le nombre de places est limité et les inscriptions seront traitées </w:t>
      </w:r>
      <w:r w:rsidRPr="00754E83">
        <w:rPr>
          <w:rFonts w:asciiTheme="minorHAnsi" w:hAnsiTheme="minorHAnsi"/>
          <w:b/>
          <w:bCs/>
        </w:rPr>
        <w:t>dans l</w:t>
      </w:r>
      <w:r w:rsidR="00E15F0E">
        <w:rPr>
          <w:rFonts w:asciiTheme="minorHAnsi" w:hAnsiTheme="minorHAnsi"/>
          <w:b/>
          <w:bCs/>
        </w:rPr>
        <w:t>'</w:t>
      </w:r>
      <w:r w:rsidRPr="00754E83">
        <w:rPr>
          <w:rFonts w:asciiTheme="minorHAnsi" w:hAnsiTheme="minorHAnsi"/>
          <w:b/>
          <w:bCs/>
        </w:rPr>
        <w:t>ordre des demandes</w:t>
      </w:r>
      <w:r w:rsidRPr="00754E83">
        <w:rPr>
          <w:rFonts w:asciiTheme="minorHAnsi" w:hAnsiTheme="minorHAnsi"/>
        </w:rPr>
        <w:t xml:space="preserve">. </w:t>
      </w:r>
      <w:r w:rsidR="00EA0E6E" w:rsidRPr="00754E83">
        <w:rPr>
          <w:rFonts w:asciiTheme="minorHAnsi" w:hAnsiTheme="minorHAnsi"/>
        </w:rPr>
        <w:t>L</w:t>
      </w:r>
      <w:r w:rsidR="00E15F0E">
        <w:rPr>
          <w:rFonts w:asciiTheme="minorHAnsi" w:hAnsiTheme="minorHAnsi"/>
        </w:rPr>
        <w:t>'</w:t>
      </w:r>
      <w:r w:rsidR="00EA0E6E" w:rsidRPr="00754E83">
        <w:rPr>
          <w:rFonts w:asciiTheme="minorHAnsi" w:hAnsiTheme="minorHAnsi"/>
        </w:rPr>
        <w:t xml:space="preserve">inscription </w:t>
      </w:r>
      <w:r w:rsidR="00EA0E6E" w:rsidRPr="00754E83">
        <w:rPr>
          <w:rFonts w:asciiTheme="minorHAnsi" w:hAnsiTheme="minorHAnsi"/>
          <w:u w:val="single"/>
        </w:rPr>
        <w:t>est obligatoire</w:t>
      </w:r>
      <w:r w:rsidR="00EA0E6E" w:rsidRPr="00754E83">
        <w:rPr>
          <w:rFonts w:asciiTheme="minorHAnsi" w:hAnsiTheme="minorHAnsi"/>
        </w:rPr>
        <w:t xml:space="preserve"> à la fois </w:t>
      </w:r>
      <w:r w:rsidR="00EA0E6E" w:rsidRPr="00754E83">
        <w:rPr>
          <w:rFonts w:asciiTheme="minorHAnsi" w:hAnsiTheme="minorHAnsi"/>
          <w:u w:val="single"/>
        </w:rPr>
        <w:t>pour la participation à distance</w:t>
      </w:r>
      <w:r w:rsidR="00EA0E6E" w:rsidRPr="00754E83">
        <w:rPr>
          <w:rFonts w:asciiTheme="minorHAnsi" w:hAnsiTheme="minorHAnsi"/>
        </w:rPr>
        <w:t xml:space="preserve"> et pour la participation sur place. </w:t>
      </w:r>
    </w:p>
    <w:p w:rsidR="00A90C58" w:rsidRPr="00754E83" w:rsidRDefault="00AF1C98" w:rsidP="005A4433">
      <w:pPr>
        <w:pStyle w:val="headingb"/>
        <w:spacing w:after="240"/>
      </w:pPr>
      <w:r w:rsidRPr="00754E83">
        <w:t>Principales échéances</w:t>
      </w:r>
      <w:r w:rsidR="00A90C58" w:rsidRPr="00754E83">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4"/>
      </w:tblGrid>
      <w:tr w:rsidR="00A90C58" w:rsidRPr="00754E83" w:rsidTr="000F10BB">
        <w:tc>
          <w:tcPr>
            <w:tcW w:w="1980" w:type="dxa"/>
            <w:shd w:val="clear" w:color="auto" w:fill="auto"/>
            <w:vAlign w:val="center"/>
          </w:tcPr>
          <w:p w:rsidR="00A90C58" w:rsidRPr="00754E83" w:rsidRDefault="000F10BB" w:rsidP="005A4433">
            <w:pPr>
              <w:pStyle w:val="TableText"/>
            </w:pPr>
            <w:r w:rsidRPr="00754E83">
              <w:t xml:space="preserve">25 août </w:t>
            </w:r>
            <w:r w:rsidR="00EA0E6E" w:rsidRPr="00754E83">
              <w:t>2018</w:t>
            </w:r>
          </w:p>
        </w:tc>
        <w:tc>
          <w:tcPr>
            <w:tcW w:w="7744" w:type="dxa"/>
            <w:shd w:val="clear" w:color="auto" w:fill="auto"/>
            <w:vAlign w:val="center"/>
          </w:tcPr>
          <w:p w:rsidR="00A90C58" w:rsidRPr="00754E83" w:rsidRDefault="006160D2" w:rsidP="005A4433">
            <w:pPr>
              <w:pStyle w:val="TableText"/>
              <w:ind w:left="284" w:hanging="284"/>
            </w:pPr>
            <w:r w:rsidRPr="00754E83">
              <w:t>–</w:t>
            </w:r>
            <w:r w:rsidRPr="00754E83">
              <w:tab/>
            </w:r>
            <w:r w:rsidR="00AF1C98" w:rsidRPr="00754E83">
              <w:t>Soumission des demandes de lettres pour faciliter l</w:t>
            </w:r>
            <w:r w:rsidR="00E15F0E">
              <w:t>'</w:t>
            </w:r>
            <w:r w:rsidR="00AF1C98" w:rsidRPr="00754E83">
              <w:t xml:space="preserve">obtention du visa (un modèle de demande est disponible </w:t>
            </w:r>
            <w:hyperlink r:id="rId15" w:history="1">
              <w:r w:rsidR="00AF1C98" w:rsidRPr="00754E83">
                <w:rPr>
                  <w:color w:val="0000FF"/>
                  <w:u w:val="single"/>
                </w:rPr>
                <w:t>ici</w:t>
              </w:r>
            </w:hyperlink>
            <w:r w:rsidR="00A90C58" w:rsidRPr="00754E83">
              <w:t>)</w:t>
            </w:r>
          </w:p>
        </w:tc>
      </w:tr>
      <w:tr w:rsidR="00A90C58" w:rsidRPr="00754E83" w:rsidTr="000F10BB">
        <w:tc>
          <w:tcPr>
            <w:tcW w:w="1980" w:type="dxa"/>
            <w:shd w:val="clear" w:color="auto" w:fill="auto"/>
            <w:vAlign w:val="center"/>
          </w:tcPr>
          <w:p w:rsidR="00A90C58" w:rsidRPr="00754E83" w:rsidRDefault="00EA0E6E" w:rsidP="005A4433">
            <w:pPr>
              <w:pStyle w:val="TableText"/>
              <w:rPr>
                <w:highlight w:val="yellow"/>
              </w:rPr>
            </w:pPr>
            <w:r w:rsidRPr="00754E83">
              <w:t xml:space="preserve">19 </w:t>
            </w:r>
            <w:r w:rsidR="000F10BB" w:rsidRPr="00754E83">
              <w:t xml:space="preserve">septembre </w:t>
            </w:r>
            <w:r w:rsidRPr="00754E83">
              <w:t>2018</w:t>
            </w:r>
          </w:p>
        </w:tc>
        <w:tc>
          <w:tcPr>
            <w:tcW w:w="7744" w:type="dxa"/>
            <w:shd w:val="clear" w:color="auto" w:fill="auto"/>
            <w:vAlign w:val="center"/>
          </w:tcPr>
          <w:p w:rsidR="00A90C58" w:rsidRPr="00754E83" w:rsidRDefault="006160D2" w:rsidP="005A4433">
            <w:pPr>
              <w:pStyle w:val="TableText"/>
            </w:pPr>
            <w:r w:rsidRPr="00754E83">
              <w:t>–</w:t>
            </w:r>
            <w:r w:rsidRPr="00754E83">
              <w:tab/>
            </w:r>
            <w:r w:rsidR="00AF1C98" w:rsidRPr="00754E83">
              <w:t xml:space="preserve">Inscription préalable </w:t>
            </w:r>
            <w:r w:rsidR="00A90C58" w:rsidRPr="00754E83">
              <w:t>(</w:t>
            </w:r>
            <w:r w:rsidR="00AF1C98" w:rsidRPr="00754E83">
              <w:t xml:space="preserve">en ligne </w:t>
            </w:r>
            <w:r w:rsidR="00672956" w:rsidRPr="00754E83">
              <w:t>via</w:t>
            </w:r>
            <w:r w:rsidR="00AF1C98" w:rsidRPr="00754E83">
              <w:t xml:space="preserve"> la</w:t>
            </w:r>
            <w:r w:rsidR="000F10BB" w:rsidRPr="0069462A">
              <w:rPr>
                <w:rFonts w:asciiTheme="minorHAnsi" w:hAnsiTheme="minorHAnsi"/>
              </w:rPr>
              <w:t xml:space="preserve"> </w:t>
            </w:r>
            <w:hyperlink r:id="rId16" w:history="1">
              <w:r w:rsidR="000F10BB" w:rsidRPr="00754E83">
                <w:rPr>
                  <w:rStyle w:val="Hyperlink"/>
                  <w:szCs w:val="22"/>
                </w:rPr>
                <w:t>page d</w:t>
              </w:r>
              <w:r w:rsidR="00E15F0E">
                <w:rPr>
                  <w:rStyle w:val="Hyperlink"/>
                  <w:szCs w:val="22"/>
                </w:rPr>
                <w:t>'</w:t>
              </w:r>
              <w:r w:rsidR="000F10BB" w:rsidRPr="00754E83">
                <w:rPr>
                  <w:rStyle w:val="Hyperlink"/>
                  <w:szCs w:val="22"/>
                </w:rPr>
                <w:t>accueil du Groupe FG-AI4H</w:t>
              </w:r>
            </w:hyperlink>
            <w:r w:rsidR="00A90C58" w:rsidRPr="00754E83">
              <w:t>)</w:t>
            </w:r>
          </w:p>
          <w:p w:rsidR="00A90C58" w:rsidRPr="00754E83" w:rsidRDefault="006160D2" w:rsidP="005A4433">
            <w:pPr>
              <w:pStyle w:val="TableText"/>
              <w:ind w:left="284" w:hanging="284"/>
            </w:pPr>
            <w:r w:rsidRPr="00754E83">
              <w:t>–</w:t>
            </w:r>
            <w:r w:rsidRPr="00754E83">
              <w:tab/>
            </w:r>
            <w:r w:rsidR="00A90C58" w:rsidRPr="00754E83">
              <w:t>S</w:t>
            </w:r>
            <w:r w:rsidR="00AF1C98" w:rsidRPr="00754E83">
              <w:t xml:space="preserve">oumission des </w:t>
            </w:r>
            <w:r w:rsidR="00A90C58" w:rsidRPr="00754E83">
              <w:t xml:space="preserve">contributions </w:t>
            </w:r>
            <w:r w:rsidR="00AF1C98" w:rsidRPr="00754E83">
              <w:t xml:space="preserve">écrites </w:t>
            </w:r>
            <w:r w:rsidR="00A90C58" w:rsidRPr="00754E83">
              <w:t>(</w:t>
            </w:r>
            <w:r w:rsidR="00AF1C98" w:rsidRPr="00754E83">
              <w:t>par courrier électronique à l</w:t>
            </w:r>
            <w:r w:rsidR="00E15F0E">
              <w:t>'</w:t>
            </w:r>
            <w:r w:rsidR="00AF1C98" w:rsidRPr="00754E83">
              <w:t>adresse</w:t>
            </w:r>
            <w:r w:rsidR="000F10BB" w:rsidRPr="00754E83">
              <w:t xml:space="preserve"> </w:t>
            </w:r>
            <w:hyperlink r:id="rId17" w:history="1">
              <w:r w:rsidR="000F10BB" w:rsidRPr="00754E83">
                <w:rPr>
                  <w:rStyle w:val="Hyperlink"/>
                  <w:szCs w:val="22"/>
                </w:rPr>
                <w:t>tsbfgai4h@itu.int</w:t>
              </w:r>
            </w:hyperlink>
            <w:r w:rsidR="00A90C58" w:rsidRPr="00754E83">
              <w:t xml:space="preserve">) </w:t>
            </w:r>
          </w:p>
        </w:tc>
      </w:tr>
    </w:tbl>
    <w:p w:rsidR="00A90C58" w:rsidRPr="00754E83" w:rsidRDefault="00AF1C98" w:rsidP="005A4433">
      <w:pPr>
        <w:spacing w:before="240"/>
      </w:pPr>
      <w:r w:rsidRPr="00754E83">
        <w:t>Je vous souhaite une réunion constructive et agréable.</w:t>
      </w:r>
    </w:p>
    <w:p w:rsidR="003371B1" w:rsidRDefault="003371B1" w:rsidP="005A4433">
      <w:pPr>
        <w:spacing w:after="120"/>
      </w:pPr>
      <w:r w:rsidRPr="00754E83">
        <w:t>Veuillez agréer, Madame, Monsieur, l</w:t>
      </w:r>
      <w:r w:rsidR="00E15F0E">
        <w:t>'</w:t>
      </w:r>
      <w:r w:rsidRPr="00754E83">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754E83" w:rsidTr="006160D2">
        <w:trPr>
          <w:trHeight w:val="1955"/>
        </w:trPr>
        <w:tc>
          <w:tcPr>
            <w:tcW w:w="6618" w:type="dxa"/>
            <w:tcBorders>
              <w:right w:val="single" w:sz="4" w:space="0" w:color="auto"/>
            </w:tcBorders>
            <w:tcMar>
              <w:left w:w="0" w:type="dxa"/>
              <w:right w:w="0" w:type="dxa"/>
            </w:tcMar>
          </w:tcPr>
          <w:p w:rsidR="00E15F0E" w:rsidRPr="00E15F0E" w:rsidRDefault="00E15F0E" w:rsidP="005A4433">
            <w:pPr>
              <w:spacing w:before="480"/>
              <w:rPr>
                <w:i/>
                <w:iCs/>
                <w:szCs w:val="24"/>
              </w:rPr>
            </w:pPr>
            <w:r w:rsidRPr="00E15F0E">
              <w:rPr>
                <w:i/>
                <w:iCs/>
                <w:szCs w:val="24"/>
              </w:rPr>
              <w:t>(signé)</w:t>
            </w:r>
          </w:p>
          <w:p w:rsidR="00A90C58" w:rsidRPr="00754E83" w:rsidRDefault="00A90C58" w:rsidP="005A4433">
            <w:pPr>
              <w:spacing w:before="480"/>
            </w:pPr>
            <w:proofErr w:type="spellStart"/>
            <w:r w:rsidRPr="00754E83">
              <w:rPr>
                <w:szCs w:val="24"/>
              </w:rPr>
              <w:t>Chaesub</w:t>
            </w:r>
            <w:proofErr w:type="spellEnd"/>
            <w:r w:rsidRPr="00754E83">
              <w:rPr>
                <w:szCs w:val="24"/>
              </w:rPr>
              <w:t xml:space="preserve"> Lee</w:t>
            </w:r>
            <w:r w:rsidRPr="00754E83">
              <w:br/>
            </w:r>
            <w:r w:rsidR="00AF1C98" w:rsidRPr="00754E83">
              <w:t xml:space="preserve">Directeur du Bureau de la normalisation </w:t>
            </w:r>
            <w:r w:rsidRPr="00754E83">
              <w:br/>
            </w:r>
            <w:r w:rsidR="00AF1C98" w:rsidRPr="00754E83">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rsidR="00A90C58" w:rsidRPr="00754E83" w:rsidRDefault="00312EEB" w:rsidP="005A4433">
            <w:pPr>
              <w:spacing w:before="0"/>
              <w:jc w:val="center"/>
              <w:rPr>
                <w:highlight w:val="yellow"/>
              </w:rPr>
            </w:pPr>
            <w:r w:rsidRPr="00754E83">
              <w:rPr>
                <w:noProof/>
                <w:lang w:val="en-GB" w:eastAsia="zh-CN"/>
              </w:rPr>
              <w:drawing>
                <wp:inline distT="0" distB="0" distL="0" distR="0" wp14:anchorId="4092BD0B" wp14:editId="586B1368">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A90C58" w:rsidRPr="00E15F0E" w:rsidRDefault="00AF1C98" w:rsidP="005A4433">
            <w:pPr>
              <w:spacing w:before="0"/>
              <w:jc w:val="center"/>
              <w:rPr>
                <w:sz w:val="20"/>
              </w:rPr>
            </w:pPr>
            <w:r w:rsidRPr="00E15F0E">
              <w:rPr>
                <w:sz w:val="20"/>
              </w:rPr>
              <w:t>I</w:t>
            </w:r>
            <w:r w:rsidR="00A90C58" w:rsidRPr="00E15F0E">
              <w:rPr>
                <w:sz w:val="20"/>
              </w:rPr>
              <w:t>nformation</w:t>
            </w:r>
            <w:r w:rsidRPr="00E15F0E">
              <w:rPr>
                <w:sz w:val="20"/>
              </w:rPr>
              <w:t>s les plus récentes concernant la réunion</w:t>
            </w:r>
          </w:p>
        </w:tc>
      </w:tr>
    </w:tbl>
    <w:p w:rsidR="00A90C58" w:rsidRPr="00754E83" w:rsidRDefault="00A90C58" w:rsidP="005A4433">
      <w:pPr>
        <w:spacing w:before="1800"/>
        <w:rPr>
          <w:b/>
          <w:bCs/>
        </w:rPr>
      </w:pPr>
      <w:r w:rsidRPr="00754E83">
        <w:rPr>
          <w:b/>
          <w:bCs/>
        </w:rPr>
        <w:t>Annexes</w:t>
      </w:r>
      <w:r w:rsidRPr="00754E83">
        <w:t>: 2</w:t>
      </w:r>
      <w:r w:rsidRPr="00754E83">
        <w:rPr>
          <w:b/>
          <w:bCs/>
        </w:rPr>
        <w:br w:type="page"/>
      </w:r>
      <w:bookmarkStart w:id="5" w:name="_GoBack"/>
      <w:bookmarkEnd w:id="5"/>
    </w:p>
    <w:p w:rsidR="00A90C58" w:rsidRPr="00754E83" w:rsidRDefault="00A90C58" w:rsidP="005A4433">
      <w:pPr>
        <w:pStyle w:val="Annex"/>
        <w:rPr>
          <w:b/>
          <w:bCs/>
          <w:sz w:val="28"/>
          <w:szCs w:val="28"/>
        </w:rPr>
      </w:pPr>
      <w:r w:rsidRPr="00754E83">
        <w:rPr>
          <w:b/>
          <w:bCs/>
          <w:sz w:val="28"/>
          <w:szCs w:val="28"/>
        </w:rPr>
        <w:t>ANNEX</w:t>
      </w:r>
      <w:r w:rsidR="007C1EC3" w:rsidRPr="00754E83">
        <w:rPr>
          <w:b/>
          <w:bCs/>
          <w:sz w:val="28"/>
          <w:szCs w:val="28"/>
        </w:rPr>
        <w:t>E</w:t>
      </w:r>
      <w:r w:rsidRPr="00754E83">
        <w:rPr>
          <w:b/>
          <w:bCs/>
          <w:sz w:val="28"/>
          <w:szCs w:val="28"/>
        </w:rPr>
        <w:t xml:space="preserve"> 1</w:t>
      </w:r>
    </w:p>
    <w:p w:rsidR="00A90C58" w:rsidRPr="00754E83" w:rsidRDefault="00BC0268" w:rsidP="005A4433">
      <w:pPr>
        <w:pStyle w:val="AnnexTitle"/>
        <w:rPr>
          <w:caps/>
          <w:sz w:val="28"/>
          <w:szCs w:val="28"/>
        </w:rPr>
      </w:pPr>
      <w:r w:rsidRPr="00754E83">
        <w:rPr>
          <w:sz w:val="28"/>
          <w:szCs w:val="28"/>
        </w:rPr>
        <w:t>Mandat:</w:t>
      </w:r>
      <w:r w:rsidR="005E10D7" w:rsidRPr="00754E83">
        <w:rPr>
          <w:sz w:val="28"/>
          <w:szCs w:val="28"/>
        </w:rPr>
        <w:br/>
        <w:t>Groupe spécialisé de l</w:t>
      </w:r>
      <w:r w:rsidR="00E15F0E">
        <w:rPr>
          <w:sz w:val="28"/>
          <w:szCs w:val="28"/>
        </w:rPr>
        <w:t>'</w:t>
      </w:r>
      <w:r w:rsidR="005E10D7" w:rsidRPr="00754E83">
        <w:rPr>
          <w:sz w:val="28"/>
          <w:szCs w:val="28"/>
        </w:rPr>
        <w:t xml:space="preserve">UIT-T sur </w:t>
      </w:r>
      <w:r w:rsidR="00DC1B28" w:rsidRPr="00754E83">
        <w:rPr>
          <w:sz w:val="28"/>
          <w:szCs w:val="28"/>
        </w:rPr>
        <w:t>l</w:t>
      </w:r>
      <w:r w:rsidR="00E15F0E">
        <w:rPr>
          <w:sz w:val="28"/>
          <w:szCs w:val="28"/>
        </w:rPr>
        <w:t>'</w:t>
      </w:r>
      <w:r w:rsidR="00DC1B28" w:rsidRPr="00754E83">
        <w:rPr>
          <w:sz w:val="28"/>
          <w:szCs w:val="28"/>
        </w:rPr>
        <w:t xml:space="preserve">intelligence artificielle </w:t>
      </w:r>
      <w:r w:rsidR="00DC1B28" w:rsidRPr="00754E83">
        <w:rPr>
          <w:sz w:val="28"/>
          <w:szCs w:val="28"/>
        </w:rPr>
        <w:br/>
        <w:t xml:space="preserve">au service de la santé </w:t>
      </w:r>
      <w:r w:rsidR="00250049" w:rsidRPr="00754E83">
        <w:rPr>
          <w:sz w:val="28"/>
          <w:szCs w:val="28"/>
        </w:rPr>
        <w:t>(FG-</w:t>
      </w:r>
      <w:r w:rsidR="00DC1B28" w:rsidRPr="00754E83">
        <w:rPr>
          <w:sz w:val="28"/>
          <w:szCs w:val="28"/>
        </w:rPr>
        <w:t>AI4H</w:t>
      </w:r>
      <w:r w:rsidR="00250049" w:rsidRPr="00754E83">
        <w:rPr>
          <w:sz w:val="28"/>
          <w:szCs w:val="28"/>
        </w:rPr>
        <w:t>)</w:t>
      </w:r>
    </w:p>
    <w:p w:rsidR="00A90C58" w:rsidRPr="00754E83" w:rsidRDefault="00A90C58" w:rsidP="005A4433">
      <w:pPr>
        <w:pStyle w:val="Heading1"/>
        <w:rPr>
          <w:rFonts w:eastAsia="SimSun"/>
          <w:lang w:eastAsia="ja-JP"/>
        </w:rPr>
      </w:pPr>
      <w:r w:rsidRPr="00754E83">
        <w:rPr>
          <w:rFonts w:eastAsia="SimSun"/>
          <w:lang w:eastAsia="ja-JP"/>
        </w:rPr>
        <w:t>1</w:t>
      </w:r>
      <w:r w:rsidRPr="00754E83">
        <w:rPr>
          <w:rFonts w:eastAsia="SimSun"/>
          <w:lang w:eastAsia="ja-JP"/>
        </w:rPr>
        <w:tab/>
      </w:r>
      <w:r w:rsidR="00DB6E7C" w:rsidRPr="00754E83">
        <w:rPr>
          <w:rFonts w:eastAsia="SimSun"/>
          <w:lang w:eastAsia="ja-JP"/>
        </w:rPr>
        <w:t>Justification et domaine de compétence</w:t>
      </w:r>
    </w:p>
    <w:p w:rsidR="00FB680C" w:rsidRPr="00754E83" w:rsidRDefault="00FB680C" w:rsidP="005A4433">
      <w:r w:rsidRPr="00754E83">
        <w:t>L</w:t>
      </w:r>
      <w:r w:rsidR="00E15F0E">
        <w:t>'</w:t>
      </w:r>
      <w:r w:rsidRPr="00754E83">
        <w:t>intelligence artificielle (IA) est susceptible d</w:t>
      </w:r>
      <w:r w:rsidR="00E15F0E">
        <w:t>'</w:t>
      </w:r>
      <w:r w:rsidRPr="00754E83">
        <w:t xml:space="preserve">améliorer considérablement la santé numérique en améliorant les diagnostics médicaux et </w:t>
      </w:r>
      <w:r w:rsidR="00E15F0E">
        <w:t>la prise de décisions</w:t>
      </w:r>
      <w:r w:rsidRPr="00754E83">
        <w:t xml:space="preserve"> en matière de traitement </w:t>
      </w:r>
      <w:r w:rsidR="00E15F0E">
        <w:t xml:space="preserve">grâce aux </w:t>
      </w:r>
      <w:r w:rsidRPr="00754E83">
        <w:t>données numériques. Par exemple, dans la recherche sur le traitement des images médicales, les systèmes d</w:t>
      </w:r>
      <w:r w:rsidR="00E15F0E">
        <w:t>'</w:t>
      </w:r>
      <w:r w:rsidRPr="00754E83">
        <w:t xml:space="preserve">apprentissage automatique atteignent de plus en plus, voire dépassent parfois, la précision humaine pour certaines tâches de classification ou de détection (par exemple pour les maladies de la peau, le rétinoblastome et </w:t>
      </w:r>
      <w:r w:rsidR="00E15F0E">
        <w:t xml:space="preserve">la </w:t>
      </w:r>
      <w:r w:rsidRPr="00754E83">
        <w:t>dysgraphie) et peuvent donc servir d</w:t>
      </w:r>
      <w:r w:rsidR="00E15F0E">
        <w:t>'</w:t>
      </w:r>
      <w:r w:rsidRPr="00754E83">
        <w:t>outils de prédépistage.</w:t>
      </w:r>
    </w:p>
    <w:p w:rsidR="00FB680C" w:rsidRPr="00754E83" w:rsidRDefault="00E15F0E" w:rsidP="005A4433">
      <w:r>
        <w:t>D</w:t>
      </w:r>
      <w:r w:rsidR="00FB680C" w:rsidRPr="00754E83">
        <w:t>es applications et services de santé basés sur l</w:t>
      </w:r>
      <w:r>
        <w:t>'</w:t>
      </w:r>
      <w:r w:rsidR="006B1F6B" w:rsidRPr="00754E83">
        <w:t>intelligence artificielle</w:t>
      </w:r>
      <w:r w:rsidR="00FB680C" w:rsidRPr="00754E83">
        <w:t xml:space="preserve"> </w:t>
      </w:r>
      <w:r>
        <w:t xml:space="preserve">pourraient également être utilisés par les patients </w:t>
      </w:r>
      <w:r w:rsidR="00FB680C" w:rsidRPr="00754E83">
        <w:t xml:space="preserve">pour évaluer </w:t>
      </w:r>
      <w:r w:rsidR="00BC6F60" w:rsidRPr="00754E83">
        <w:t>d</w:t>
      </w:r>
      <w:r w:rsidR="00FB680C" w:rsidRPr="00754E83">
        <w:t xml:space="preserve">es symptômes ou pour décider </w:t>
      </w:r>
      <w:r w:rsidR="00BC6F60" w:rsidRPr="00754E83">
        <w:t xml:space="preserve">ou non </w:t>
      </w:r>
      <w:r w:rsidR="00FB680C" w:rsidRPr="00754E83">
        <w:t xml:space="preserve">de contacter un professionnel de la santé. En </w:t>
      </w:r>
      <w:r>
        <w:t xml:space="preserve">situation </w:t>
      </w:r>
      <w:r w:rsidR="00FB680C" w:rsidRPr="00754E83">
        <w:t>d</w:t>
      </w:r>
      <w:r>
        <w:t>'</w:t>
      </w:r>
      <w:r w:rsidR="00FB680C" w:rsidRPr="00754E83">
        <w:t>urgence, les données collectées par l</w:t>
      </w:r>
      <w:r>
        <w:t>'</w:t>
      </w:r>
      <w:r w:rsidR="00FB680C" w:rsidRPr="00754E83">
        <w:t xml:space="preserve">utilisateur </w:t>
      </w:r>
      <w:r w:rsidR="00BC6F60" w:rsidRPr="00754E83">
        <w:t>ainsi qu</w:t>
      </w:r>
      <w:r>
        <w:t>'</w:t>
      </w:r>
      <w:r w:rsidR="00FB680C" w:rsidRPr="00754E83">
        <w:t xml:space="preserve">un diagnostic médical généré </w:t>
      </w:r>
      <w:r>
        <w:t>via</w:t>
      </w:r>
      <w:r w:rsidR="00FB680C" w:rsidRPr="00754E83">
        <w:t xml:space="preserve"> l</w:t>
      </w:r>
      <w:r>
        <w:t>'</w:t>
      </w:r>
      <w:r w:rsidR="006B1F6B" w:rsidRPr="00754E83">
        <w:t>intelligence artificielle</w:t>
      </w:r>
      <w:r w:rsidR="00FB680C" w:rsidRPr="00754E83">
        <w:t xml:space="preserve"> peuvent être envoyés </w:t>
      </w:r>
      <w:r w:rsidR="00BC6F60" w:rsidRPr="00754E83">
        <w:t xml:space="preserve">par avance </w:t>
      </w:r>
      <w:r w:rsidR="00FB680C" w:rsidRPr="00754E83">
        <w:t xml:space="preserve">à </w:t>
      </w:r>
      <w:r>
        <w:t>l'</w:t>
      </w:r>
      <w:r w:rsidR="00FB680C" w:rsidRPr="00754E83">
        <w:t>hôpital. Dans les régions où l</w:t>
      </w:r>
      <w:r>
        <w:t>'</w:t>
      </w:r>
      <w:r w:rsidR="00FB680C" w:rsidRPr="00754E83">
        <w:t xml:space="preserve">accès à des soins de santé de qualité est limité, ces outils pourraient grandement aider les médecins, </w:t>
      </w:r>
      <w:r w:rsidR="00BC6F60" w:rsidRPr="00754E83">
        <w:t xml:space="preserve">en </w:t>
      </w:r>
      <w:r w:rsidR="00FB680C" w:rsidRPr="00754E83">
        <w:t>leur permettant de se concentrer sur les cas critiques. Toutefois, en raison de contraintes commerciales, juridiques, techniques ou autres, ces solutions sont rarement déployées dans la pratique à l</w:t>
      </w:r>
      <w:r>
        <w:t>'</w:t>
      </w:r>
      <w:r w:rsidR="00FB680C" w:rsidRPr="00754E83">
        <w:t>échelle mondiale.</w:t>
      </w:r>
    </w:p>
    <w:p w:rsidR="00FB680C" w:rsidRPr="00754E83" w:rsidRDefault="00FB680C" w:rsidP="005A4433">
      <w:r w:rsidRPr="00754E83">
        <w:t xml:space="preserve">Le </w:t>
      </w:r>
      <w:r w:rsidR="00BC6F60" w:rsidRPr="00754E83">
        <w:t>G</w:t>
      </w:r>
      <w:r w:rsidRPr="00754E83">
        <w:t xml:space="preserve">roupe </w:t>
      </w:r>
      <w:r w:rsidR="00BC6F60" w:rsidRPr="00754E83">
        <w:t xml:space="preserve">spécialisé </w:t>
      </w:r>
      <w:r w:rsidRPr="00754E83">
        <w:t>de l</w:t>
      </w:r>
      <w:r w:rsidR="00E15F0E">
        <w:t>'</w:t>
      </w:r>
      <w:r w:rsidRPr="00754E83">
        <w:t>UIT-T sur l</w:t>
      </w:r>
      <w:r w:rsidR="00E15F0E">
        <w:t>'</w:t>
      </w:r>
      <w:r w:rsidRPr="00754E83">
        <w:t xml:space="preserve">intelligence artificielle </w:t>
      </w:r>
      <w:r w:rsidR="00BC6F60" w:rsidRPr="00754E83">
        <w:t xml:space="preserve">au service de </w:t>
      </w:r>
      <w:r w:rsidRPr="00754E83">
        <w:t xml:space="preserve">la santé (FG-AI4H) fait appel à des chercheurs, à des ingénieurs, à des praticiens, à des entrepreneurs et à des décideurs </w:t>
      </w:r>
      <w:r w:rsidR="00BC6F60" w:rsidRPr="00754E83">
        <w:t xml:space="preserve">afin de pouvoir exploiter </w:t>
      </w:r>
      <w:r w:rsidRPr="00754E83">
        <w:t>ces solutions dans la pratique.</w:t>
      </w:r>
    </w:p>
    <w:p w:rsidR="00FB680C" w:rsidRPr="00754E83" w:rsidRDefault="00FB680C" w:rsidP="005A4433">
      <w:r w:rsidRPr="00754E83">
        <w:t xml:space="preserve">Un grand nombre des propositions </w:t>
      </w:r>
      <w:r w:rsidR="00BC6F60" w:rsidRPr="00754E83">
        <w:t xml:space="preserve">présentées lors </w:t>
      </w:r>
      <w:r w:rsidRPr="00754E83">
        <w:t xml:space="preserve">de la session </w:t>
      </w:r>
      <w:r w:rsidR="00BC6F60" w:rsidRPr="00754E83">
        <w:t>sur l</w:t>
      </w:r>
      <w:r w:rsidR="00E15F0E">
        <w:t>'</w:t>
      </w:r>
      <w:r w:rsidR="006B1F6B" w:rsidRPr="00754E83">
        <w:t>intelligence artificielle</w:t>
      </w:r>
      <w:r w:rsidR="00BC6F60" w:rsidRPr="00754E83">
        <w:t xml:space="preserve"> et la santé pendant le </w:t>
      </w:r>
      <w:r w:rsidRPr="00754E83">
        <w:t xml:space="preserve">Sommet mondial sur </w:t>
      </w:r>
      <w:r w:rsidR="00BC6F60" w:rsidRPr="00754E83">
        <w:t>l</w:t>
      </w:r>
      <w:r w:rsidR="00E15F0E">
        <w:t>'</w:t>
      </w:r>
      <w:r w:rsidR="00BC6F60" w:rsidRPr="00754E83">
        <w:t xml:space="preserve">intelligence artificielle au service du bien social </w:t>
      </w:r>
      <w:r w:rsidRPr="00754E83">
        <w:t xml:space="preserve">(2018) ont </w:t>
      </w:r>
      <w:r w:rsidR="00BC6F60" w:rsidRPr="00754E83">
        <w:t xml:space="preserve">recensé </w:t>
      </w:r>
      <w:r w:rsidRPr="00754E83">
        <w:t xml:space="preserve">des problèmes </w:t>
      </w:r>
      <w:r w:rsidR="00E15F0E">
        <w:t>courant</w:t>
      </w:r>
      <w:r w:rsidRPr="00754E83">
        <w:t xml:space="preserve">s </w:t>
      </w:r>
      <w:r w:rsidR="00BC6F60" w:rsidRPr="00754E83">
        <w:t xml:space="preserve">pour lesquels </w:t>
      </w:r>
      <w:r w:rsidRPr="00754E83">
        <w:t xml:space="preserve">une structure permettant </w:t>
      </w:r>
      <w:r w:rsidR="00BC6F60" w:rsidRPr="00754E83">
        <w:t>d</w:t>
      </w:r>
      <w:r w:rsidR="00E15F0E">
        <w:t>'</w:t>
      </w:r>
      <w:r w:rsidR="00BC6F60" w:rsidRPr="00754E83">
        <w:t xml:space="preserve">échanger </w:t>
      </w:r>
      <w:r w:rsidRPr="00754E83">
        <w:t>des informations, de collaborer et d</w:t>
      </w:r>
      <w:r w:rsidR="00E15F0E">
        <w:t>'</w:t>
      </w:r>
      <w:r w:rsidRPr="00754E83">
        <w:t xml:space="preserve">atteindre </w:t>
      </w:r>
      <w:r w:rsidR="00FB3C85" w:rsidRPr="00754E83">
        <w:t xml:space="preserve">les </w:t>
      </w:r>
      <w:r w:rsidRPr="00754E83">
        <w:t>objectifs</w:t>
      </w:r>
      <w:r w:rsidR="00BC6F60" w:rsidRPr="00754E83">
        <w:t xml:space="preserve"> </w:t>
      </w:r>
      <w:r w:rsidR="00FB3C85" w:rsidRPr="00754E83">
        <w:t xml:space="preserve">fixés </w:t>
      </w:r>
      <w:r w:rsidR="00BC6F60" w:rsidRPr="00754E83">
        <w:t>serait utile</w:t>
      </w:r>
      <w:r w:rsidRPr="00754E83">
        <w:t>.</w:t>
      </w:r>
    </w:p>
    <w:p w:rsidR="00A90C58" w:rsidRPr="00754E83" w:rsidRDefault="004D4E5C" w:rsidP="005A4433">
      <w:pPr>
        <w:pStyle w:val="Heading1"/>
        <w:rPr>
          <w:rFonts w:eastAsia="SimSun"/>
          <w:lang w:eastAsia="ja-JP"/>
        </w:rPr>
      </w:pPr>
      <w:r w:rsidRPr="00754E83">
        <w:rPr>
          <w:rFonts w:eastAsia="SimSun"/>
          <w:lang w:eastAsia="ja-JP"/>
        </w:rPr>
        <w:t>2</w:t>
      </w:r>
      <w:r w:rsidRPr="00754E83">
        <w:rPr>
          <w:rFonts w:eastAsia="SimSun"/>
          <w:lang w:eastAsia="ja-JP"/>
        </w:rPr>
        <w:tab/>
      </w:r>
      <w:r w:rsidR="00DC1B28" w:rsidRPr="00754E83">
        <w:rPr>
          <w:rFonts w:eastAsia="SimSun"/>
          <w:lang w:eastAsia="ja-JP"/>
        </w:rPr>
        <w:t>Buts et o</w:t>
      </w:r>
      <w:r w:rsidRPr="00754E83">
        <w:rPr>
          <w:rFonts w:eastAsia="SimSun"/>
          <w:lang w:eastAsia="ja-JP"/>
        </w:rPr>
        <w:t>bjectif</w:t>
      </w:r>
      <w:r w:rsidR="00A90C58" w:rsidRPr="00754E83">
        <w:rPr>
          <w:rFonts w:eastAsia="SimSun"/>
          <w:lang w:eastAsia="ja-JP"/>
        </w:rPr>
        <w:t>s</w:t>
      </w:r>
      <w:r w:rsidR="00DC1B28" w:rsidRPr="00754E83">
        <w:rPr>
          <w:rFonts w:eastAsia="SimSun"/>
          <w:lang w:eastAsia="ja-JP"/>
        </w:rPr>
        <w:t xml:space="preserve"> du Groupe FG-AI4H</w:t>
      </w:r>
    </w:p>
    <w:p w:rsidR="00DC1B28" w:rsidRPr="00754E83" w:rsidRDefault="00FB3C85" w:rsidP="005A4433">
      <w:r w:rsidRPr="00754E83">
        <w:t xml:space="preserve">Le Groupe </w:t>
      </w:r>
      <w:r w:rsidR="00DC1B28" w:rsidRPr="00754E83">
        <w:t xml:space="preserve">FG-AI4H </w:t>
      </w:r>
      <w:r w:rsidRPr="00754E83">
        <w:t xml:space="preserve">poursuivra les objectifs généraux suivants: </w:t>
      </w:r>
    </w:p>
    <w:p w:rsidR="00DC1B28" w:rsidRPr="00754E83" w:rsidRDefault="00E15F0E" w:rsidP="005A4433">
      <w:pPr>
        <w:pStyle w:val="enumlev1"/>
      </w:pPr>
      <w:r>
        <w:t>1)</w:t>
      </w:r>
      <w:r w:rsidR="00DC1B28" w:rsidRPr="00754E83">
        <w:tab/>
      </w:r>
      <w:r w:rsidR="00FB3C85" w:rsidRPr="00754E83">
        <w:t xml:space="preserve">Servir de </w:t>
      </w:r>
      <w:r w:rsidR="00DC1B28" w:rsidRPr="00754E83">
        <w:t>plat</w:t>
      </w:r>
      <w:r w:rsidR="00FB3C85" w:rsidRPr="00754E83">
        <w:t>e-</w:t>
      </w:r>
      <w:r w:rsidR="00DC1B28" w:rsidRPr="00754E83">
        <w:t>form</w:t>
      </w:r>
      <w:r w:rsidR="00FB3C85" w:rsidRPr="00754E83">
        <w:t>e</w:t>
      </w:r>
      <w:r w:rsidR="00DC1B28" w:rsidRPr="00754E83">
        <w:t xml:space="preserve"> </w:t>
      </w:r>
      <w:r w:rsidR="00FB3C85" w:rsidRPr="00754E83">
        <w:t>pour faciliter un dialogue mondial sur l</w:t>
      </w:r>
      <w:r>
        <w:t>'</w:t>
      </w:r>
      <w:r w:rsidR="006B1F6B" w:rsidRPr="00754E83">
        <w:t>intelligence artificielle</w:t>
      </w:r>
      <w:r w:rsidR="00FB3C85" w:rsidRPr="00754E83">
        <w:t xml:space="preserve"> au service de la santé</w:t>
      </w:r>
      <w:r w:rsidR="00DC1B28" w:rsidRPr="00754E83">
        <w:t>.</w:t>
      </w:r>
    </w:p>
    <w:p w:rsidR="00FB3C85" w:rsidRPr="00754E83" w:rsidRDefault="00E15F0E" w:rsidP="005A4433">
      <w:pPr>
        <w:pStyle w:val="enumlev1"/>
      </w:pPr>
      <w:r>
        <w:t>2)</w:t>
      </w:r>
      <w:r w:rsidR="00DC1B28" w:rsidRPr="00754E83">
        <w:tab/>
      </w:r>
      <w:r w:rsidR="00FB3C85" w:rsidRPr="00754E83">
        <w:t>Collaborer avec l</w:t>
      </w:r>
      <w:r>
        <w:t>'</w:t>
      </w:r>
      <w:r w:rsidR="00FB3C85" w:rsidRPr="00754E83">
        <w:t>OMS à l</w:t>
      </w:r>
      <w:r>
        <w:t>'</w:t>
      </w:r>
      <w:r w:rsidR="00FB3C85" w:rsidRPr="00754E83">
        <w:t>élaboration de documents d</w:t>
      </w:r>
      <w:r>
        <w:t>'</w:t>
      </w:r>
      <w:r w:rsidR="00FB3C85" w:rsidRPr="00754E83">
        <w:t xml:space="preserve">orientation nationaux appropriés pour créer un environnement </w:t>
      </w:r>
      <w:r w:rsidR="000F2852" w:rsidRPr="00754E83">
        <w:t xml:space="preserve">stratégique </w:t>
      </w:r>
      <w:r w:rsidR="00FB3C85" w:rsidRPr="00754E83">
        <w:t>propre à garantir une utilisation sûre et appropriée de l</w:t>
      </w:r>
      <w:r>
        <w:t>'</w:t>
      </w:r>
      <w:r w:rsidR="006B1F6B" w:rsidRPr="00754E83">
        <w:t>intelligence artificielle</w:t>
      </w:r>
      <w:r w:rsidR="00FB3C85" w:rsidRPr="00754E83">
        <w:t xml:space="preserve"> dans le domaine de la santé.</w:t>
      </w:r>
    </w:p>
    <w:p w:rsidR="00DC1B28" w:rsidRPr="00754E83" w:rsidRDefault="00E15F0E" w:rsidP="005A4433">
      <w:pPr>
        <w:pStyle w:val="enumlev1"/>
      </w:pPr>
      <w:r>
        <w:t>3)</w:t>
      </w:r>
      <w:r w:rsidR="00DC1B28" w:rsidRPr="00754E83">
        <w:tab/>
      </w:r>
      <w:r w:rsidR="000F2852" w:rsidRPr="00754E83">
        <w:t>Recenser les possibilités de normalisation d</w:t>
      </w:r>
      <w:r>
        <w:t>'</w:t>
      </w:r>
      <w:r w:rsidR="000F2852" w:rsidRPr="00754E83">
        <w:t>un cadre de référence qui permettra une large utilisation de l</w:t>
      </w:r>
      <w:r>
        <w:t>'</w:t>
      </w:r>
      <w:r w:rsidR="006B1F6B" w:rsidRPr="00754E83">
        <w:t>intelligence artificielle</w:t>
      </w:r>
      <w:r w:rsidR="000F2852" w:rsidRPr="00754E83">
        <w:t xml:space="preserve"> au service de la santé</w:t>
      </w:r>
      <w:r w:rsidR="00DC1B28" w:rsidRPr="00754E83">
        <w:t>.</w:t>
      </w:r>
    </w:p>
    <w:p w:rsidR="000F2852" w:rsidRPr="00754E83" w:rsidRDefault="00E15F0E" w:rsidP="005A4433">
      <w:pPr>
        <w:pStyle w:val="enumlev1"/>
      </w:pPr>
      <w:r>
        <w:t>4)</w:t>
      </w:r>
      <w:r w:rsidR="00DC1B28" w:rsidRPr="00754E83">
        <w:tab/>
      </w:r>
      <w:r>
        <w:t>Elaborer</w:t>
      </w:r>
      <w:r w:rsidR="000F2852" w:rsidRPr="00754E83">
        <w:t xml:space="preserve"> un cadre technique et une approche de normalisation pour l</w:t>
      </w:r>
      <w:r>
        <w:t>'</w:t>
      </w:r>
      <w:r w:rsidR="000F2852" w:rsidRPr="00754E83">
        <w:t>évaluation et la validation des algorithmes d</w:t>
      </w:r>
      <w:r>
        <w:t>'</w:t>
      </w:r>
      <w:r w:rsidR="006B1F6B" w:rsidRPr="00754E83">
        <w:t>intelligence artificielle</w:t>
      </w:r>
      <w:r w:rsidR="000F2852" w:rsidRPr="00754E83">
        <w:t xml:space="preserve"> au service de la santé.</w:t>
      </w:r>
    </w:p>
    <w:p w:rsidR="000F2852" w:rsidRPr="00754E83" w:rsidRDefault="00DC1B28" w:rsidP="005A4433">
      <w:pPr>
        <w:pStyle w:val="enumlev1"/>
      </w:pPr>
      <w:r w:rsidRPr="00754E83">
        <w:t>5</w:t>
      </w:r>
      <w:r w:rsidR="00E15F0E">
        <w:t>)</w:t>
      </w:r>
      <w:r w:rsidRPr="00754E83">
        <w:tab/>
      </w:r>
      <w:r w:rsidR="000F2852" w:rsidRPr="00754E83">
        <w:t xml:space="preserve">Mettre au point des éléments de référence ouverts, destinés à devenir des normes internationales, et </w:t>
      </w:r>
      <w:r w:rsidR="00E15F0E">
        <w:t xml:space="preserve">à </w:t>
      </w:r>
      <w:r w:rsidR="000F2852" w:rsidRPr="00754E83">
        <w:t>servir de guide pour l</w:t>
      </w:r>
      <w:r w:rsidR="00E15F0E">
        <w:t>'</w:t>
      </w:r>
      <w:r w:rsidR="000F2852" w:rsidRPr="00754E83">
        <w:t>évaluation des nouveaux algorithmes d</w:t>
      </w:r>
      <w:r w:rsidR="00E15F0E">
        <w:t>'</w:t>
      </w:r>
      <w:r w:rsidR="006B1F6B" w:rsidRPr="00754E83">
        <w:t>intelligence artificielle</w:t>
      </w:r>
      <w:r w:rsidR="000F2852" w:rsidRPr="00754E83">
        <w:t xml:space="preserve"> au service de la santé.</w:t>
      </w:r>
    </w:p>
    <w:p w:rsidR="00DC1B28" w:rsidRPr="00754E83" w:rsidRDefault="00E15F0E" w:rsidP="005A4433">
      <w:pPr>
        <w:pStyle w:val="enumlev1"/>
      </w:pPr>
      <w:r>
        <w:t>6)</w:t>
      </w:r>
      <w:r w:rsidR="00DC1B28" w:rsidRPr="00754E83">
        <w:tab/>
      </w:r>
      <w:r w:rsidR="000F2852" w:rsidRPr="00754E83">
        <w:t>Etablir</w:t>
      </w:r>
      <w:r w:rsidR="00DC1B28" w:rsidRPr="00754E83">
        <w:t xml:space="preserve">, </w:t>
      </w:r>
      <w:r w:rsidR="000F2852" w:rsidRPr="00754E83">
        <w:t>en collaboration avec l</w:t>
      </w:r>
      <w:r>
        <w:t>'</w:t>
      </w:r>
      <w:r w:rsidR="000F2852" w:rsidRPr="00754E83">
        <w:t>OMS</w:t>
      </w:r>
      <w:r w:rsidR="00DC1B28" w:rsidRPr="00754E83">
        <w:t xml:space="preserve">, </w:t>
      </w:r>
      <w:r w:rsidR="00E62B85" w:rsidRPr="00754E83">
        <w:t>un cadre d</w:t>
      </w:r>
      <w:r>
        <w:t>'</w:t>
      </w:r>
      <w:r w:rsidR="00E62B85" w:rsidRPr="00754E83">
        <w:t>évaluation à utiliser pour l</w:t>
      </w:r>
      <w:r>
        <w:t>'</w:t>
      </w:r>
      <w:r w:rsidR="00E62B85" w:rsidRPr="00754E83">
        <w:t xml:space="preserve">évaluation et la </w:t>
      </w:r>
      <w:r w:rsidR="00DC1B28" w:rsidRPr="00754E83">
        <w:t xml:space="preserve">validation </w:t>
      </w:r>
      <w:r w:rsidR="00E62B85" w:rsidRPr="00754E83">
        <w:t>des algorithmes d</w:t>
      </w:r>
      <w:r>
        <w:t>'</w:t>
      </w:r>
      <w:r w:rsidR="006B1F6B" w:rsidRPr="00754E83">
        <w:t>intelligence artificielle</w:t>
      </w:r>
      <w:r w:rsidR="00E62B85" w:rsidRPr="00754E83">
        <w:t xml:space="preserve"> au service de la santé</w:t>
      </w:r>
      <w:r w:rsidR="00DC1B28" w:rsidRPr="00754E83">
        <w:t>.</w:t>
      </w:r>
    </w:p>
    <w:p w:rsidR="00E62B85" w:rsidRPr="00754E83" w:rsidRDefault="00E15F0E" w:rsidP="005A4433">
      <w:pPr>
        <w:pStyle w:val="enumlev1"/>
      </w:pPr>
      <w:r>
        <w:t>7)</w:t>
      </w:r>
      <w:r w:rsidR="00DC1B28" w:rsidRPr="00754E83">
        <w:tab/>
      </w:r>
      <w:r w:rsidR="00E62B85" w:rsidRPr="00754E83">
        <w:t xml:space="preserve">Collaborer avec les parties prenantes pour le suivi </w:t>
      </w:r>
      <w:r>
        <w:t xml:space="preserve">et </w:t>
      </w:r>
      <w:r w:rsidR="00E62B85" w:rsidRPr="00754E83">
        <w:t>le recueil de commentaires concernant l</w:t>
      </w:r>
      <w:r>
        <w:t>'</w:t>
      </w:r>
      <w:r w:rsidR="00E62B85" w:rsidRPr="00754E83">
        <w:t>utilisation des algorithmes d</w:t>
      </w:r>
      <w:r>
        <w:t>'</w:t>
      </w:r>
      <w:r w:rsidR="006B1F6B" w:rsidRPr="00754E83">
        <w:t>intelligence artificielle</w:t>
      </w:r>
      <w:r w:rsidR="00E62B85" w:rsidRPr="00754E83">
        <w:t xml:space="preserve"> dans le cadre de la prestation de soins de santé, et fournir des informations en retour en vue de l</w:t>
      </w:r>
      <w:r>
        <w:t>'</w:t>
      </w:r>
      <w:r w:rsidR="00E62B85" w:rsidRPr="00754E83">
        <w:t>élaboration de normes internationales améliorées.</w:t>
      </w:r>
    </w:p>
    <w:p w:rsidR="00E62B85" w:rsidRPr="00754E83" w:rsidRDefault="00E15F0E" w:rsidP="005A4433">
      <w:pPr>
        <w:pStyle w:val="enumlev1"/>
      </w:pPr>
      <w:r>
        <w:t>8)</w:t>
      </w:r>
      <w:r w:rsidR="00DC1B28" w:rsidRPr="00754E83">
        <w:tab/>
      </w:r>
      <w:r>
        <w:t>Produite</w:t>
      </w:r>
      <w:r w:rsidR="00E62B85" w:rsidRPr="00754E83">
        <w:t xml:space="preserve"> une documentation transparente en </w:t>
      </w:r>
      <w:r>
        <w:t>élaborant</w:t>
      </w:r>
      <w:r w:rsidR="00E62B85" w:rsidRPr="00754E83">
        <w:t xml:space="preserve"> des rapports et des spécifications qui permettront de procéder à une évaluation externe du cadre de référence et des méthodes relatives à l</w:t>
      </w:r>
      <w:r>
        <w:t>'</w:t>
      </w:r>
      <w:r w:rsidR="006B1F6B" w:rsidRPr="00754E83">
        <w:t>intelligence artificielle</w:t>
      </w:r>
      <w:r w:rsidR="00E62B85" w:rsidRPr="00754E83">
        <w:t xml:space="preserve"> au service de la santé</w:t>
      </w:r>
      <w:r>
        <w:t xml:space="preserve"> soumises à une analyse comparative</w:t>
      </w:r>
      <w:r w:rsidR="00E62B85" w:rsidRPr="00754E83">
        <w:t>.</w:t>
      </w:r>
    </w:p>
    <w:p w:rsidR="00250049" w:rsidRPr="00754E83" w:rsidRDefault="00250049" w:rsidP="005A4433">
      <w:pPr>
        <w:pStyle w:val="Heading1"/>
        <w:rPr>
          <w:rFonts w:eastAsia="SimSun"/>
          <w:lang w:eastAsia="ja-JP"/>
        </w:rPr>
      </w:pPr>
      <w:r w:rsidRPr="00754E83">
        <w:rPr>
          <w:rFonts w:eastAsia="SimSun"/>
          <w:lang w:eastAsia="ja-JP"/>
        </w:rPr>
        <w:t>3</w:t>
      </w:r>
      <w:r w:rsidRPr="00754E83">
        <w:rPr>
          <w:rFonts w:eastAsia="SimSun"/>
          <w:lang w:eastAsia="ja-JP"/>
        </w:rPr>
        <w:tab/>
        <w:t>Structure</w:t>
      </w:r>
    </w:p>
    <w:p w:rsidR="00250049" w:rsidRPr="00754E83" w:rsidRDefault="00250049" w:rsidP="005A4433">
      <w:pPr>
        <w:rPr>
          <w:rFonts w:eastAsia="SimSun"/>
          <w:lang w:eastAsia="ja-JP"/>
        </w:rPr>
      </w:pPr>
      <w:r w:rsidRPr="00754E83">
        <w:rPr>
          <w:rFonts w:eastAsia="SimSun"/>
          <w:lang w:eastAsia="ja-JP"/>
        </w:rPr>
        <w:t xml:space="preserve">Le Groupe </w:t>
      </w:r>
      <w:r w:rsidR="00DC1B28" w:rsidRPr="00754E83">
        <w:t xml:space="preserve">FG-AI4H </w:t>
      </w:r>
      <w:r w:rsidRPr="00754E83">
        <w:rPr>
          <w:rFonts w:eastAsia="SimSun"/>
          <w:lang w:eastAsia="ja-JP"/>
        </w:rPr>
        <w:t>peut créer des sous-groupes si nécessaire.</w:t>
      </w:r>
    </w:p>
    <w:p w:rsidR="00250049" w:rsidRPr="00754E83" w:rsidRDefault="00250049" w:rsidP="005A4433">
      <w:pPr>
        <w:pStyle w:val="Heading1"/>
        <w:rPr>
          <w:rFonts w:eastAsia="SimSun"/>
          <w:lang w:eastAsia="ja-JP"/>
        </w:rPr>
      </w:pPr>
      <w:r w:rsidRPr="00754E83">
        <w:rPr>
          <w:rFonts w:eastAsia="SimSun"/>
          <w:lang w:eastAsia="ja-JP"/>
        </w:rPr>
        <w:t>4</w:t>
      </w:r>
      <w:r w:rsidRPr="00754E83">
        <w:rPr>
          <w:rFonts w:eastAsia="SimSun"/>
          <w:lang w:eastAsia="ja-JP"/>
        </w:rPr>
        <w:tab/>
        <w:t>Tâches spécifiques et résultats</w:t>
      </w:r>
    </w:p>
    <w:p w:rsidR="00DC1B28" w:rsidRPr="00754E83" w:rsidRDefault="00DE7961" w:rsidP="005A4433">
      <w:pPr>
        <w:jc w:val="both"/>
      </w:pPr>
      <w:bookmarkStart w:id="6" w:name="lt_pId135"/>
      <w:r w:rsidRPr="00754E83">
        <w:t xml:space="preserve">Les tâches du Groupe </w:t>
      </w:r>
      <w:r w:rsidR="00DC1B28" w:rsidRPr="00754E83">
        <w:t xml:space="preserve">FG-AI4H </w:t>
      </w:r>
      <w:r w:rsidRPr="00754E83">
        <w:t>et les résultats attendus pourront notamment être les suivants</w:t>
      </w:r>
      <w:r w:rsidR="00DC1B28" w:rsidRPr="00754E83">
        <w:t>:</w:t>
      </w:r>
    </w:p>
    <w:p w:rsidR="00DE7961" w:rsidRPr="00754E83" w:rsidRDefault="00DE7961" w:rsidP="005A4433">
      <w:pPr>
        <w:pStyle w:val="enumlev1"/>
      </w:pPr>
      <w:r w:rsidRPr="00754E83">
        <w:t>–</w:t>
      </w:r>
      <w:r w:rsidRPr="00754E83">
        <w:tab/>
        <w:t>Dresser une liste des organismes de normalisation, forums, consortiums</w:t>
      </w:r>
      <w:r w:rsidR="003872DA" w:rsidRPr="00754E83">
        <w:t>, régulateurs,</w:t>
      </w:r>
      <w:r w:rsidRPr="00754E83">
        <w:t xml:space="preserve"> </w:t>
      </w:r>
      <w:r w:rsidR="003872DA" w:rsidRPr="00754E83">
        <w:t>principaux organismes de recherche</w:t>
      </w:r>
      <w:r w:rsidRPr="00754E83">
        <w:t xml:space="preserve">, </w:t>
      </w:r>
      <w:r w:rsidR="003872DA" w:rsidRPr="00754E83">
        <w:t>équipes d</w:t>
      </w:r>
      <w:r w:rsidR="00E15F0E">
        <w:t>'</w:t>
      </w:r>
      <w:r w:rsidR="003872DA" w:rsidRPr="00754E83">
        <w:t>ingénierie</w:t>
      </w:r>
      <w:r w:rsidRPr="00754E83">
        <w:t xml:space="preserve">, </w:t>
      </w:r>
      <w:r w:rsidR="003872DA" w:rsidRPr="00754E83">
        <w:t>professionnels de la santé</w:t>
      </w:r>
      <w:r w:rsidRPr="00754E83">
        <w:t xml:space="preserve">, entrepreneurs, </w:t>
      </w:r>
      <w:r w:rsidR="003872DA" w:rsidRPr="00754E83">
        <w:t xml:space="preserve">décideurs en matière de santé numérique </w:t>
      </w:r>
      <w:r w:rsidRPr="00754E83">
        <w:t>et au</w:t>
      </w:r>
      <w:r w:rsidR="00E15F0E">
        <w:t>tres entités qui s'occupent d'</w:t>
      </w:r>
      <w:r w:rsidRPr="00754E83">
        <w:t>aspects liés à l</w:t>
      </w:r>
      <w:r w:rsidR="00E15F0E">
        <w:t>'</w:t>
      </w:r>
      <w:r w:rsidRPr="00754E83">
        <w:t>intelligence artificielle</w:t>
      </w:r>
      <w:r w:rsidR="003872DA" w:rsidRPr="00754E83">
        <w:t>,</w:t>
      </w:r>
      <w:r w:rsidRPr="00754E83">
        <w:t xml:space="preserve"> et établir une liaison et des relations avec </w:t>
      </w:r>
      <w:r w:rsidR="003872DA" w:rsidRPr="00754E83">
        <w:t>certains organismes listés</w:t>
      </w:r>
      <w:r w:rsidRPr="00754E83">
        <w:t>.</w:t>
      </w:r>
    </w:p>
    <w:p w:rsidR="00DE7961" w:rsidRPr="00754E83" w:rsidRDefault="00DE7961" w:rsidP="005A4433">
      <w:pPr>
        <w:pStyle w:val="enumlev1"/>
      </w:pPr>
      <w:r w:rsidRPr="00754E83">
        <w:t>–</w:t>
      </w:r>
      <w:r w:rsidRPr="00754E83">
        <w:tab/>
        <w:t>Organiser des ateliers et des forums thématiques sur l</w:t>
      </w:r>
      <w:r w:rsidR="00E15F0E">
        <w:t>'</w:t>
      </w:r>
      <w:r w:rsidR="003872DA" w:rsidRPr="00754E83">
        <w:t>intelligence artificielle au service de la santé</w:t>
      </w:r>
      <w:r w:rsidRPr="00754E83">
        <w:t>, afin de rassembler toutes les parties prenantes, et promouvoir les activités du Groupe spécialisé et encourager les membres de l</w:t>
      </w:r>
      <w:r w:rsidR="00E15F0E">
        <w:t>'</w:t>
      </w:r>
      <w:r w:rsidR="00E12A23">
        <w:t>UIT et les entités non-</w:t>
      </w:r>
      <w:r w:rsidRPr="00754E83">
        <w:t>membres de l</w:t>
      </w:r>
      <w:r w:rsidR="00E15F0E">
        <w:t>'</w:t>
      </w:r>
      <w:r w:rsidRPr="00754E83">
        <w:t xml:space="preserve">UIT à participer à ses travaux. </w:t>
      </w:r>
    </w:p>
    <w:p w:rsidR="003872DA" w:rsidRPr="00754E83" w:rsidRDefault="003872DA" w:rsidP="005A4433">
      <w:pPr>
        <w:pStyle w:val="enumlev1"/>
      </w:pPr>
      <w:r w:rsidRPr="00754E83">
        <w:t>–</w:t>
      </w:r>
      <w:r w:rsidRPr="00754E83">
        <w:tab/>
        <w:t>Rassembler des informations sur les initiatives menées dans le domaine de l</w:t>
      </w:r>
      <w:r w:rsidR="00E15F0E">
        <w:t>'</w:t>
      </w:r>
      <w:r w:rsidRPr="00754E83">
        <w:t>intelligence artificielle au service de la santé et recenser les normes existantes, les méthodes relatives à l</w:t>
      </w:r>
      <w:r w:rsidR="00E15F0E">
        <w:t>'</w:t>
      </w:r>
      <w:r w:rsidR="002465D4">
        <w:t xml:space="preserve">intelligence artificielle, </w:t>
      </w:r>
      <w:r w:rsidRPr="00754E83">
        <w:t>les bonnes pratiques et les enjeux liés à l</w:t>
      </w:r>
      <w:r w:rsidR="00E15F0E">
        <w:t>'</w:t>
      </w:r>
      <w:r w:rsidRPr="00754E83">
        <w:t>adoption de l</w:t>
      </w:r>
      <w:r w:rsidR="00E15F0E">
        <w:t>'</w:t>
      </w:r>
      <w:r w:rsidRPr="00754E83">
        <w:t>intelligence artificielle.</w:t>
      </w:r>
      <w:r w:rsidR="00DC1B28" w:rsidRPr="00754E83">
        <w:t xml:space="preserve"> </w:t>
      </w:r>
      <w:r w:rsidRPr="00754E83">
        <w:t>Examiner les technologies, plates-formes, lignes directrices, normes et applications existantes dans le domaine de l</w:t>
      </w:r>
      <w:r w:rsidR="00E15F0E">
        <w:t>'</w:t>
      </w:r>
      <w:r w:rsidR="006B1F6B" w:rsidRPr="00754E83">
        <w:t>intelligence artificielle</w:t>
      </w:r>
      <w:r w:rsidRPr="00754E83">
        <w:t xml:space="preserve"> au service de la santé.</w:t>
      </w:r>
    </w:p>
    <w:p w:rsidR="003872DA"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3872DA" w:rsidRPr="00754E83">
        <w:t>Recenser diverses descriptions de cas d</w:t>
      </w:r>
      <w:r w:rsidR="00E15F0E">
        <w:t>'</w:t>
      </w:r>
      <w:r w:rsidR="003872DA" w:rsidRPr="00754E83">
        <w:t>utilisation de méthodes basées sur l</w:t>
      </w:r>
      <w:r w:rsidR="00E15F0E">
        <w:t>'</w:t>
      </w:r>
      <w:r w:rsidR="006B1F6B" w:rsidRPr="00754E83">
        <w:t>intelligence artificielle</w:t>
      </w:r>
      <w:r w:rsidR="003872DA" w:rsidRPr="00754E83">
        <w:t xml:space="preserve"> au service de la santé, y compris la description des problèmes. Recenser </w:t>
      </w:r>
      <w:r w:rsidR="00EF409B" w:rsidRPr="00754E83">
        <w:t>d</w:t>
      </w:r>
      <w:r w:rsidR="00E15F0E">
        <w:t>'</w:t>
      </w:r>
      <w:r w:rsidR="00EF409B" w:rsidRPr="00754E83">
        <w:t xml:space="preserve">éventuels </w:t>
      </w:r>
      <w:r w:rsidR="003872DA" w:rsidRPr="00754E83">
        <w:t xml:space="preserve">problèmes de santé </w:t>
      </w:r>
      <w:r w:rsidR="00EF409B" w:rsidRPr="00754E83">
        <w:t>pour lesquels on peut utiliser et évaluer d</w:t>
      </w:r>
      <w:r w:rsidR="003872DA" w:rsidRPr="00754E83">
        <w:t xml:space="preserve">es </w:t>
      </w:r>
      <w:r w:rsidR="00EF409B" w:rsidRPr="00754E83">
        <w:t>solutions évolutives basées sur l</w:t>
      </w:r>
      <w:r w:rsidR="00E15F0E">
        <w:t>'</w:t>
      </w:r>
      <w:r w:rsidR="00EF409B" w:rsidRPr="00754E83">
        <w:t xml:space="preserve">intelligence artificielle </w:t>
      </w:r>
      <w:r w:rsidR="003872DA" w:rsidRPr="00754E83">
        <w:t>et l</w:t>
      </w:r>
      <w:r w:rsidR="00E15F0E">
        <w:t>'</w:t>
      </w:r>
      <w:r w:rsidR="003872DA" w:rsidRPr="00754E83">
        <w:t>apprentissage automatique.</w:t>
      </w:r>
    </w:p>
    <w:p w:rsidR="00EF409B"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EF409B" w:rsidRPr="00754E83">
        <w:t>Identifier les données médicales structurées et normalisées nécessaires pour tester les algorithmes d</w:t>
      </w:r>
      <w:r w:rsidR="00E15F0E">
        <w:t>'</w:t>
      </w:r>
      <w:r w:rsidR="006B1F6B" w:rsidRPr="00754E83">
        <w:t>intelligence artificielle</w:t>
      </w:r>
      <w:r w:rsidR="00EF409B" w:rsidRPr="00754E83">
        <w:t xml:space="preserve"> utilisés dans de nouveaux dispositifs médicaux ou pour de nouveaux diagnostics </w:t>
      </w:r>
      <w:r w:rsidR="002465D4">
        <w:t xml:space="preserve">médicaux </w:t>
      </w:r>
      <w:r w:rsidR="00EF409B" w:rsidRPr="00754E83">
        <w:t>et collecter des données sanitaires pour les cas d</w:t>
      </w:r>
      <w:r w:rsidR="00E15F0E">
        <w:t>'</w:t>
      </w:r>
      <w:r w:rsidR="00EF409B" w:rsidRPr="00754E83">
        <w:t>utilisation recensés.</w:t>
      </w:r>
    </w:p>
    <w:p w:rsidR="00EF409B"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EF409B" w:rsidRPr="00754E83">
        <w:t>Recenser les interfaces et les critères et spécifier le cadre d</w:t>
      </w:r>
      <w:r w:rsidR="00E15F0E">
        <w:t>'</w:t>
      </w:r>
      <w:r w:rsidR="00EF409B" w:rsidRPr="00754E83">
        <w:t>évaluation et de validation des solutions basées sur l</w:t>
      </w:r>
      <w:r w:rsidR="00E15F0E">
        <w:t>'</w:t>
      </w:r>
      <w:r w:rsidR="00EF409B" w:rsidRPr="00754E83">
        <w:t>intelligence artificielle pour les cas d</w:t>
      </w:r>
      <w:r w:rsidR="00E15F0E">
        <w:t>'</w:t>
      </w:r>
      <w:r w:rsidR="00EF409B" w:rsidRPr="00754E83">
        <w:t>utilisation recensés.</w:t>
      </w:r>
    </w:p>
    <w:p w:rsidR="00EF409B"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EF409B" w:rsidRPr="00754E83">
        <w:t xml:space="preserve">Fournir des analyses comparatives (résultats) </w:t>
      </w:r>
      <w:r w:rsidR="009255C7" w:rsidRPr="00754E83">
        <w:t>propres à un cas d</w:t>
      </w:r>
      <w:r w:rsidR="00E15F0E">
        <w:t>'</w:t>
      </w:r>
      <w:r w:rsidR="009255C7" w:rsidRPr="00754E83">
        <w:t xml:space="preserve">utilisation concernant les </w:t>
      </w:r>
      <w:r w:rsidR="00EF409B" w:rsidRPr="00754E83">
        <w:t xml:space="preserve">algorithmes </w:t>
      </w:r>
      <w:r w:rsidR="009255C7" w:rsidRPr="00754E83">
        <w:t>proposés d</w:t>
      </w:r>
      <w:r w:rsidR="00E15F0E">
        <w:t>'</w:t>
      </w:r>
      <w:r w:rsidR="009255C7" w:rsidRPr="00754E83">
        <w:t xml:space="preserve">intelligence artificielle </w:t>
      </w:r>
      <w:r w:rsidR="00EF409B" w:rsidRPr="00754E83">
        <w:t xml:space="preserve">et </w:t>
      </w:r>
      <w:r w:rsidR="009255C7" w:rsidRPr="00754E83">
        <w:t xml:space="preserve">établir </w:t>
      </w:r>
      <w:r w:rsidR="00EF409B" w:rsidRPr="00754E83">
        <w:t>des rapports.</w:t>
      </w:r>
    </w:p>
    <w:p w:rsidR="009255C7"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9255C7" w:rsidRPr="00754E83">
        <w:t>Rédiger des rapports techniques et des spécifications concernant les cadres d</w:t>
      </w:r>
      <w:r w:rsidR="00E15F0E">
        <w:t>'</w:t>
      </w:r>
      <w:r w:rsidR="009255C7" w:rsidRPr="00754E83">
        <w:t xml:space="preserve">évaluation </w:t>
      </w:r>
      <w:r w:rsidR="002465D4">
        <w:t>pour</w:t>
      </w:r>
      <w:r w:rsidR="009255C7" w:rsidRPr="00754E83">
        <w:t xml:space="preserve"> l</w:t>
      </w:r>
      <w:r w:rsidR="00E15F0E">
        <w:t>'</w:t>
      </w:r>
      <w:r w:rsidR="006B1F6B" w:rsidRPr="00754E83">
        <w:t>intelligence artificielle</w:t>
      </w:r>
      <w:r w:rsidR="009255C7" w:rsidRPr="00754E83">
        <w:t xml:space="preserve"> au service de la santé, y compris, par exemple, les formats de données, les interfaces, l</w:t>
      </w:r>
      <w:r w:rsidR="00E15F0E">
        <w:t>'</w:t>
      </w:r>
      <w:r w:rsidR="009255C7" w:rsidRPr="00754E83">
        <w:t>architecture et les protocoles. Il est à noter qu</w:t>
      </w:r>
      <w:r w:rsidR="00E15F0E">
        <w:t>'</w:t>
      </w:r>
      <w:r w:rsidR="009255C7" w:rsidRPr="00754E83">
        <w:t>il n</w:t>
      </w:r>
      <w:r w:rsidR="00E15F0E">
        <w:t>'</w:t>
      </w:r>
      <w:r w:rsidR="009255C7" w:rsidRPr="00754E83">
        <w:t>est pas prévu de spécifier les algorithmes proprement dits d</w:t>
      </w:r>
      <w:r w:rsidR="00E15F0E">
        <w:t>'</w:t>
      </w:r>
      <w:r w:rsidR="009255C7" w:rsidRPr="00754E83">
        <w:t>intelligence artificielle au service de la santé dans une Recommandation de l</w:t>
      </w:r>
      <w:r w:rsidR="00E15F0E">
        <w:t>'</w:t>
      </w:r>
      <w:r w:rsidR="009255C7" w:rsidRPr="00754E83">
        <w:t>UIT.</w:t>
      </w:r>
    </w:p>
    <w:p w:rsidR="009255C7" w:rsidRPr="00754E83" w:rsidRDefault="00DC1B28" w:rsidP="005A4433">
      <w:pPr>
        <w:pStyle w:val="enumlev1"/>
        <w:tabs>
          <w:tab w:val="clear" w:pos="794"/>
        </w:tabs>
      </w:pPr>
      <w:r w:rsidRPr="00754E83">
        <w:rPr>
          <w:rFonts w:ascii="Times New Roman" w:hAnsi="Times New Roman"/>
        </w:rPr>
        <w:t>–</w:t>
      </w:r>
      <w:r w:rsidRPr="00754E83">
        <w:rPr>
          <w:rFonts w:ascii="Times New Roman" w:hAnsi="Times New Roman"/>
        </w:rPr>
        <w:tab/>
      </w:r>
      <w:r w:rsidR="009255C7" w:rsidRPr="00754E83">
        <w:t>Rédiger un ou plusieurs rapports sur les activités du Groupe spécialisé, y compris une recommandation sur la marche à suivre pour la normalisation relative à l</w:t>
      </w:r>
      <w:r w:rsidR="00E15F0E">
        <w:t>'</w:t>
      </w:r>
      <w:r w:rsidR="009255C7" w:rsidRPr="00754E83">
        <w:t>intelligence artificielle au service de la santé une fois que le Groupe spécialisé aura achevé ses travaux.</w:t>
      </w:r>
    </w:p>
    <w:bookmarkEnd w:id="6"/>
    <w:p w:rsidR="00A90C58" w:rsidRPr="00754E83" w:rsidRDefault="00A90C58" w:rsidP="005A4433">
      <w:pPr>
        <w:pStyle w:val="Heading1"/>
        <w:rPr>
          <w:rFonts w:eastAsia="SimSun"/>
          <w:lang w:eastAsia="ja-JP"/>
        </w:rPr>
      </w:pPr>
      <w:r w:rsidRPr="00754E83">
        <w:rPr>
          <w:rFonts w:eastAsia="SimSun"/>
          <w:lang w:eastAsia="ja-JP"/>
        </w:rPr>
        <w:t>5</w:t>
      </w:r>
      <w:r w:rsidRPr="00754E83">
        <w:rPr>
          <w:rFonts w:eastAsia="SimSun"/>
          <w:lang w:eastAsia="ja-JP"/>
        </w:rPr>
        <w:tab/>
        <w:t>Relations</w:t>
      </w:r>
    </w:p>
    <w:p w:rsidR="00A23390" w:rsidRPr="00754E83" w:rsidRDefault="000B325C" w:rsidP="005A4433">
      <w:r w:rsidRPr="00754E83">
        <w:t>Le Groupe spécialisé travaillera en</w:t>
      </w:r>
      <w:r w:rsidR="00735E9F" w:rsidRPr="00754E83">
        <w:t xml:space="preserve"> étroite</w:t>
      </w:r>
      <w:r w:rsidRPr="00754E83">
        <w:t xml:space="preserve"> collaboration avec </w:t>
      </w:r>
      <w:r w:rsidR="00DC1B28" w:rsidRPr="00754E83">
        <w:t>les Commissions d</w:t>
      </w:r>
      <w:r w:rsidR="00E15F0E">
        <w:t>'</w:t>
      </w:r>
      <w:r w:rsidR="00DC1B28" w:rsidRPr="00754E83">
        <w:t>études concernées de l</w:t>
      </w:r>
      <w:r w:rsidR="00E15F0E">
        <w:t>'</w:t>
      </w:r>
      <w:r w:rsidR="00DC1B28" w:rsidRPr="00754E83">
        <w:t xml:space="preserve">UIT (-R, </w:t>
      </w:r>
      <w:r w:rsidR="00A23390" w:rsidRPr="00754E83">
        <w:t xml:space="preserve">-T et -D), y compris </w:t>
      </w:r>
      <w:r w:rsidRPr="00754E83">
        <w:t>dans le cadre de réunions c</w:t>
      </w:r>
      <w:r w:rsidR="00145616" w:rsidRPr="00754E83">
        <w:t>olocalis</w:t>
      </w:r>
      <w:r w:rsidRPr="00754E83">
        <w:t>ées</w:t>
      </w:r>
      <w:r w:rsidR="00735E9F" w:rsidRPr="00754E83">
        <w:t>,</w:t>
      </w:r>
      <w:r w:rsidRPr="00754E83">
        <w:t xml:space="preserve"> dans la mesure du </w:t>
      </w:r>
      <w:r w:rsidR="00F33A65" w:rsidRPr="00754E83">
        <w:t>possible</w:t>
      </w:r>
      <w:r w:rsidR="006F1821" w:rsidRPr="00754E83">
        <w:t xml:space="preserve">. Il établira et entretiendra </w:t>
      </w:r>
      <w:r w:rsidR="00A23390" w:rsidRPr="00754E83">
        <w:t xml:space="preserve">en outre des </w:t>
      </w:r>
      <w:r w:rsidR="006F1821" w:rsidRPr="00754E83">
        <w:t>relation</w:t>
      </w:r>
      <w:r w:rsidR="00A23390" w:rsidRPr="00754E83">
        <w:t>s</w:t>
      </w:r>
      <w:r w:rsidR="006F1821" w:rsidRPr="00754E83">
        <w:t xml:space="preserve"> de collaboration </w:t>
      </w:r>
      <w:r w:rsidR="00A23390" w:rsidRPr="00754E83">
        <w:t xml:space="preserve">en fonction des tâches </w:t>
      </w:r>
      <w:r w:rsidR="006F1821" w:rsidRPr="00754E83">
        <w:t xml:space="preserve">avec </w:t>
      </w:r>
      <w:r w:rsidR="00A23390" w:rsidRPr="00754E83">
        <w:t>d</w:t>
      </w:r>
      <w:r w:rsidR="00E15F0E">
        <w:t>'</w:t>
      </w:r>
      <w:r w:rsidR="00A23390" w:rsidRPr="00754E83">
        <w:t>autres groupes de l</w:t>
      </w:r>
      <w:r w:rsidR="00E15F0E">
        <w:t>'</w:t>
      </w:r>
      <w:r w:rsidR="00A23390" w:rsidRPr="00754E83">
        <w:t>UIT et avec l</w:t>
      </w:r>
      <w:r w:rsidR="00E15F0E">
        <w:t>'</w:t>
      </w:r>
      <w:r w:rsidR="00A23390" w:rsidRPr="00754E83">
        <w:t>OMS</w:t>
      </w:r>
      <w:r w:rsidR="00F33A65" w:rsidRPr="00754E83">
        <w:t>.</w:t>
      </w:r>
      <w:r w:rsidR="001C3BDE" w:rsidRPr="00754E83">
        <w:t xml:space="preserve"> </w:t>
      </w:r>
    </w:p>
    <w:p w:rsidR="00A90C58" w:rsidRPr="00754E83" w:rsidRDefault="000B325C" w:rsidP="005A4433">
      <w:pPr>
        <w:rPr>
          <w:rFonts w:eastAsia="SimSun"/>
          <w:lang w:eastAsia="ja-JP"/>
        </w:rPr>
      </w:pPr>
      <w:r w:rsidRPr="00754E83">
        <w:rPr>
          <w:rFonts w:eastAsia="SimSun"/>
          <w:lang w:eastAsia="ja-JP"/>
        </w:rPr>
        <w:t xml:space="preserve">Le Groupe </w:t>
      </w:r>
      <w:r w:rsidR="000D6D97" w:rsidRPr="00754E83">
        <w:rPr>
          <w:rFonts w:eastAsia="SimSun"/>
          <w:lang w:eastAsia="ja-JP"/>
        </w:rPr>
        <w:t>F</w:t>
      </w:r>
      <w:r w:rsidR="00F33A65" w:rsidRPr="00754E83">
        <w:rPr>
          <w:rFonts w:eastAsia="SimSun"/>
          <w:lang w:eastAsia="ja-JP"/>
        </w:rPr>
        <w:t>G-</w:t>
      </w:r>
      <w:r w:rsidR="00A23390" w:rsidRPr="00754E83">
        <w:rPr>
          <w:rFonts w:eastAsia="SimSun"/>
          <w:lang w:eastAsia="ja-JP"/>
        </w:rPr>
        <w:t xml:space="preserve">AI4H </w:t>
      </w:r>
      <w:r w:rsidRPr="00754E83">
        <w:rPr>
          <w:rFonts w:eastAsia="SimSun"/>
          <w:lang w:eastAsia="ja-JP"/>
        </w:rPr>
        <w:t>travaillera également en collaboration (en fonction des besoins) avec d</w:t>
      </w:r>
      <w:r w:rsidR="00E15F0E">
        <w:rPr>
          <w:rFonts w:eastAsia="SimSun"/>
          <w:lang w:eastAsia="ja-JP"/>
        </w:rPr>
        <w:t>'</w:t>
      </w:r>
      <w:r w:rsidRPr="00754E83">
        <w:rPr>
          <w:rFonts w:eastAsia="SimSun"/>
          <w:lang w:eastAsia="ja-JP"/>
        </w:rPr>
        <w:t xml:space="preserve">autres </w:t>
      </w:r>
      <w:r w:rsidR="000D6D97" w:rsidRPr="00754E83">
        <w:rPr>
          <w:rFonts w:eastAsia="SimSun"/>
          <w:lang w:eastAsia="ja-JP"/>
        </w:rPr>
        <w:t>groupes et entités concerné</w:t>
      </w:r>
      <w:r w:rsidRPr="00754E83">
        <w:rPr>
          <w:rFonts w:eastAsia="SimSun"/>
          <w:lang w:eastAsia="ja-JP"/>
        </w:rPr>
        <w:t>s, conformément à la Recommandation UIT-T A.7.</w:t>
      </w:r>
      <w:r w:rsidR="001C3BDE" w:rsidRPr="00754E83">
        <w:rPr>
          <w:rFonts w:eastAsia="SimSun"/>
          <w:lang w:eastAsia="ja-JP"/>
        </w:rPr>
        <w:t xml:space="preserve"> </w:t>
      </w:r>
      <w:r w:rsidR="00DF367E" w:rsidRPr="00754E83">
        <w:rPr>
          <w:rFonts w:eastAsia="SimSun"/>
          <w:lang w:eastAsia="ja-JP"/>
        </w:rPr>
        <w:t xml:space="preserve">Ces entités sont les suivantes: </w:t>
      </w:r>
      <w:r w:rsidR="00A23390" w:rsidRPr="00754E83">
        <w:rPr>
          <w:rFonts w:eastAsia="SimSun"/>
          <w:lang w:eastAsia="ja-JP"/>
        </w:rPr>
        <w:t>gouvernements</w:t>
      </w:r>
      <w:r w:rsidR="00A90C58" w:rsidRPr="00754E83">
        <w:rPr>
          <w:rFonts w:eastAsia="SimSun"/>
          <w:lang w:eastAsia="ja-JP"/>
        </w:rPr>
        <w:t>, organi</w:t>
      </w:r>
      <w:r w:rsidR="00DF367E" w:rsidRPr="00754E83">
        <w:rPr>
          <w:rFonts w:eastAsia="SimSun"/>
          <w:lang w:eastAsia="ja-JP"/>
        </w:rPr>
        <w:t>s</w:t>
      </w:r>
      <w:r w:rsidR="00A90C58" w:rsidRPr="00754E83">
        <w:rPr>
          <w:rFonts w:eastAsia="SimSun"/>
          <w:lang w:eastAsia="ja-JP"/>
        </w:rPr>
        <w:t xml:space="preserve">ations </w:t>
      </w:r>
      <w:r w:rsidR="00DF367E" w:rsidRPr="00754E83">
        <w:rPr>
          <w:rFonts w:eastAsia="SimSun"/>
          <w:lang w:eastAsia="ja-JP"/>
        </w:rPr>
        <w:t xml:space="preserve">non gouvernementales </w:t>
      </w:r>
      <w:r w:rsidR="00A90C58" w:rsidRPr="00754E83">
        <w:rPr>
          <w:rFonts w:eastAsia="SimSun"/>
          <w:lang w:eastAsia="ja-JP"/>
        </w:rPr>
        <w:t>(</w:t>
      </w:r>
      <w:r w:rsidR="00DF367E" w:rsidRPr="00754E83">
        <w:rPr>
          <w:rFonts w:eastAsia="SimSun"/>
          <w:lang w:eastAsia="ja-JP"/>
        </w:rPr>
        <w:t>ONG</w:t>
      </w:r>
      <w:r w:rsidR="00A90C58" w:rsidRPr="00754E83">
        <w:rPr>
          <w:rFonts w:eastAsia="SimSun"/>
          <w:lang w:eastAsia="ja-JP"/>
        </w:rPr>
        <w:t xml:space="preserve">), </w:t>
      </w:r>
      <w:r w:rsidR="00DF367E" w:rsidRPr="00754E83">
        <w:rPr>
          <w:rFonts w:eastAsia="SimSun"/>
          <w:lang w:eastAsia="ja-JP"/>
        </w:rPr>
        <w:t>décideurs</w:t>
      </w:r>
      <w:r w:rsidR="00A90C58" w:rsidRPr="00754E83">
        <w:rPr>
          <w:rFonts w:eastAsia="SimSun"/>
          <w:lang w:eastAsia="ja-JP"/>
        </w:rPr>
        <w:t xml:space="preserve">, </w:t>
      </w:r>
      <w:r w:rsidR="00DF367E" w:rsidRPr="00754E83">
        <w:rPr>
          <w:rFonts w:eastAsia="SimSun"/>
          <w:lang w:eastAsia="ja-JP"/>
        </w:rPr>
        <w:t>organismes de normalisation</w:t>
      </w:r>
      <w:r w:rsidR="00A90C58" w:rsidRPr="00754E83">
        <w:rPr>
          <w:rFonts w:eastAsia="SimSun"/>
          <w:lang w:eastAsia="ja-JP"/>
        </w:rPr>
        <w:t xml:space="preserve">, forums </w:t>
      </w:r>
      <w:r w:rsidR="00DF367E" w:rsidRPr="00754E83">
        <w:rPr>
          <w:rFonts w:eastAsia="SimSun"/>
          <w:lang w:eastAsia="ja-JP"/>
        </w:rPr>
        <w:t>et consortiums du secteur privé</w:t>
      </w:r>
      <w:r w:rsidR="00A90C58" w:rsidRPr="00754E83">
        <w:rPr>
          <w:rFonts w:eastAsia="SimSun"/>
          <w:lang w:eastAsia="ja-JP"/>
        </w:rPr>
        <w:t xml:space="preserve">, </w:t>
      </w:r>
      <w:r w:rsidR="00DF367E" w:rsidRPr="00754E83">
        <w:rPr>
          <w:rFonts w:eastAsia="SimSun"/>
          <w:lang w:eastAsia="ja-JP"/>
        </w:rPr>
        <w:t>entreprises</w:t>
      </w:r>
      <w:r w:rsidR="00A90C58" w:rsidRPr="00754E83">
        <w:rPr>
          <w:rFonts w:eastAsia="SimSun"/>
          <w:lang w:eastAsia="ja-JP"/>
        </w:rPr>
        <w:t xml:space="preserve">, </w:t>
      </w:r>
      <w:r w:rsidR="00DF367E" w:rsidRPr="00754E83">
        <w:rPr>
          <w:rFonts w:eastAsia="SimSun"/>
          <w:lang w:eastAsia="ja-JP"/>
        </w:rPr>
        <w:t>établissements universitaires</w:t>
      </w:r>
      <w:r w:rsidR="00A90C58" w:rsidRPr="00754E83">
        <w:rPr>
          <w:rFonts w:eastAsia="SimSun"/>
          <w:lang w:eastAsia="ja-JP"/>
        </w:rPr>
        <w:t xml:space="preserve">, </w:t>
      </w:r>
      <w:r w:rsidR="00DF367E" w:rsidRPr="00754E83">
        <w:rPr>
          <w:rFonts w:eastAsia="SimSun"/>
          <w:lang w:eastAsia="ja-JP"/>
        </w:rPr>
        <w:t>institut</w:t>
      </w:r>
      <w:r w:rsidR="00A90C58" w:rsidRPr="00754E83">
        <w:rPr>
          <w:rFonts w:eastAsia="SimSun"/>
          <w:lang w:eastAsia="ja-JP"/>
        </w:rPr>
        <w:t xml:space="preserve">s </w:t>
      </w:r>
      <w:r w:rsidR="00DF367E" w:rsidRPr="00754E83">
        <w:rPr>
          <w:rFonts w:eastAsia="SimSun"/>
          <w:lang w:eastAsia="ja-JP"/>
        </w:rPr>
        <w:t>de recherche et autres organismes concernés</w:t>
      </w:r>
      <w:r w:rsidR="00A90C58" w:rsidRPr="00754E83">
        <w:rPr>
          <w:rFonts w:eastAsia="SimSun"/>
          <w:lang w:eastAsia="ja-JP"/>
        </w:rPr>
        <w:t>.</w:t>
      </w:r>
    </w:p>
    <w:p w:rsidR="00A90C58" w:rsidRPr="00754E83" w:rsidRDefault="00A90C58" w:rsidP="005A4433">
      <w:pPr>
        <w:pStyle w:val="Heading1"/>
        <w:rPr>
          <w:rFonts w:eastAsia="SimSun"/>
          <w:lang w:eastAsia="ja-JP"/>
        </w:rPr>
      </w:pPr>
      <w:r w:rsidRPr="00754E83">
        <w:rPr>
          <w:rFonts w:eastAsia="SimSun"/>
          <w:lang w:eastAsia="ja-JP"/>
        </w:rPr>
        <w:t>6</w:t>
      </w:r>
      <w:r w:rsidRPr="00754E83">
        <w:rPr>
          <w:rFonts w:eastAsia="SimSun"/>
          <w:lang w:eastAsia="ja-JP"/>
        </w:rPr>
        <w:tab/>
      </w:r>
      <w:r w:rsidR="00F33A65" w:rsidRPr="00754E83">
        <w:rPr>
          <w:rFonts w:eastAsia="SimSun"/>
          <w:lang w:eastAsia="ja-JP"/>
        </w:rPr>
        <w:t>Entité de rattachement</w:t>
      </w:r>
      <w:r w:rsidRPr="00754E83">
        <w:rPr>
          <w:rFonts w:eastAsia="SimSun"/>
          <w:lang w:eastAsia="ja-JP"/>
        </w:rPr>
        <w:t xml:space="preserve"> </w:t>
      </w:r>
    </w:p>
    <w:p w:rsidR="00A90C58" w:rsidRPr="00754E83" w:rsidRDefault="00DF367E" w:rsidP="005A4433">
      <w:pPr>
        <w:rPr>
          <w:rFonts w:eastAsia="SimSun"/>
          <w:lang w:eastAsia="ja-JP"/>
        </w:rPr>
      </w:pPr>
      <w:r w:rsidRPr="00754E83">
        <w:rPr>
          <w:rFonts w:eastAsia="SimSun"/>
          <w:lang w:eastAsia="ja-JP"/>
        </w:rPr>
        <w:t>L</w:t>
      </w:r>
      <w:r w:rsidR="00E15F0E">
        <w:rPr>
          <w:rFonts w:eastAsia="SimSun"/>
          <w:lang w:eastAsia="ja-JP"/>
        </w:rPr>
        <w:t>'</w:t>
      </w:r>
      <w:r w:rsidRPr="00754E83">
        <w:rPr>
          <w:rFonts w:eastAsia="SimSun"/>
          <w:lang w:eastAsia="ja-JP"/>
        </w:rPr>
        <w:t xml:space="preserve">entité de rattachement </w:t>
      </w:r>
      <w:r w:rsidR="000D6D97" w:rsidRPr="00754E83">
        <w:rPr>
          <w:rFonts w:eastAsia="SimSun"/>
          <w:lang w:eastAsia="ja-JP"/>
        </w:rPr>
        <w:t xml:space="preserve">du Groupe </w:t>
      </w:r>
      <w:r w:rsidR="00A23390" w:rsidRPr="00754E83">
        <w:rPr>
          <w:rFonts w:eastAsia="SimSun"/>
          <w:lang w:eastAsia="ja-JP"/>
        </w:rPr>
        <w:t xml:space="preserve">FG-AI4H </w:t>
      </w:r>
      <w:r w:rsidRPr="00754E83">
        <w:rPr>
          <w:rFonts w:eastAsia="SimSun"/>
          <w:lang w:eastAsia="ja-JP"/>
        </w:rPr>
        <w:t xml:space="preserve">est la </w:t>
      </w:r>
      <w:r w:rsidRPr="00754E83">
        <w:rPr>
          <w:rFonts w:eastAsia="SimSun"/>
          <w:b/>
          <w:bCs/>
          <w:lang w:eastAsia="ja-JP"/>
        </w:rPr>
        <w:t>Commission d</w:t>
      </w:r>
      <w:r w:rsidR="00E15F0E">
        <w:rPr>
          <w:rFonts w:eastAsia="SimSun"/>
          <w:b/>
          <w:bCs/>
          <w:lang w:eastAsia="ja-JP"/>
        </w:rPr>
        <w:t>'</w:t>
      </w:r>
      <w:r w:rsidRPr="00754E83">
        <w:rPr>
          <w:rFonts w:eastAsia="SimSun"/>
          <w:b/>
          <w:bCs/>
          <w:lang w:eastAsia="ja-JP"/>
        </w:rPr>
        <w:t>études </w:t>
      </w:r>
      <w:r w:rsidR="001C3BDE" w:rsidRPr="00754E83">
        <w:rPr>
          <w:rFonts w:eastAsia="SimSun"/>
          <w:b/>
          <w:bCs/>
          <w:lang w:eastAsia="ja-JP"/>
        </w:rPr>
        <w:t>1</w:t>
      </w:r>
      <w:r w:rsidR="00A23390" w:rsidRPr="00754E83">
        <w:rPr>
          <w:rFonts w:eastAsia="SimSun"/>
          <w:b/>
          <w:bCs/>
          <w:lang w:eastAsia="ja-JP"/>
        </w:rPr>
        <w:t>6</w:t>
      </w:r>
      <w:r w:rsidR="00A90C58" w:rsidRPr="00754E83">
        <w:rPr>
          <w:rFonts w:eastAsia="SimSun"/>
          <w:b/>
          <w:bCs/>
          <w:lang w:eastAsia="ja-JP"/>
        </w:rPr>
        <w:t xml:space="preserve"> </w:t>
      </w:r>
      <w:r w:rsidRPr="00754E83">
        <w:rPr>
          <w:rFonts w:eastAsia="SimSun"/>
          <w:b/>
          <w:bCs/>
          <w:lang w:eastAsia="ja-JP"/>
        </w:rPr>
        <w:t>de l</w:t>
      </w:r>
      <w:r w:rsidR="00E15F0E">
        <w:rPr>
          <w:rFonts w:eastAsia="SimSun"/>
          <w:b/>
          <w:bCs/>
          <w:lang w:eastAsia="ja-JP"/>
        </w:rPr>
        <w:t>'</w:t>
      </w:r>
      <w:r w:rsidRPr="00754E83">
        <w:rPr>
          <w:rFonts w:eastAsia="SimSun"/>
          <w:b/>
          <w:bCs/>
          <w:lang w:eastAsia="ja-JP"/>
        </w:rPr>
        <w:t>UIT</w:t>
      </w:r>
      <w:r w:rsidRPr="00754E83">
        <w:rPr>
          <w:rFonts w:eastAsia="SimSun"/>
          <w:b/>
          <w:bCs/>
          <w:lang w:eastAsia="ja-JP"/>
        </w:rPr>
        <w:noBreakHyphen/>
        <w:t>T</w:t>
      </w:r>
      <w:r w:rsidR="000D6D97" w:rsidRPr="00754E83">
        <w:rPr>
          <w:rFonts w:eastAsia="SimSun"/>
          <w:lang w:eastAsia="ja-JP"/>
        </w:rPr>
        <w:t xml:space="preserve"> </w:t>
      </w:r>
      <w:r w:rsidR="000E7370" w:rsidRPr="00754E83">
        <w:rPr>
          <w:rFonts w:eastAsia="SimSun"/>
          <w:lang w:eastAsia="ja-JP"/>
        </w:rPr>
        <w:t>"</w:t>
      </w:r>
      <w:r w:rsidR="00A23390" w:rsidRPr="00754E83">
        <w:rPr>
          <w:color w:val="000000"/>
        </w:rPr>
        <w:t>Codage, systèmes et applications multimédias</w:t>
      </w:r>
      <w:r w:rsidR="000E7370" w:rsidRPr="00754E83">
        <w:rPr>
          <w:rFonts w:eastAsia="SimSun"/>
          <w:lang w:eastAsia="ja-JP"/>
        </w:rPr>
        <w:t>"</w:t>
      </w:r>
      <w:r w:rsidR="00A90C58" w:rsidRPr="00754E83">
        <w:rPr>
          <w:rFonts w:eastAsia="SimSun"/>
          <w:lang w:eastAsia="ja-JP"/>
        </w:rPr>
        <w:t>.</w:t>
      </w:r>
    </w:p>
    <w:p w:rsidR="00A23390" w:rsidRPr="00754E83" w:rsidRDefault="000C4624" w:rsidP="005A4433">
      <w:r w:rsidRPr="00754E83">
        <w:t>La Commission d</w:t>
      </w:r>
      <w:r w:rsidR="00E15F0E">
        <w:t>'</w:t>
      </w:r>
      <w:r w:rsidRPr="00754E83">
        <w:t>études 16 dirige les travaux de normalisation de l</w:t>
      </w:r>
      <w:r w:rsidR="00E15F0E">
        <w:t>'</w:t>
      </w:r>
      <w:r w:rsidR="002465D4">
        <w:t>UIT</w:t>
      </w:r>
      <w:r w:rsidRPr="00754E83">
        <w:t xml:space="preserve"> </w:t>
      </w:r>
      <w:r w:rsidR="002465D4">
        <w:t>sur</w:t>
      </w:r>
      <w:r w:rsidRPr="00754E83">
        <w:t xml:space="preserve"> le codage, les systèmes et les applications multimédias et coordonne les études menées par les différentes commissions d</w:t>
      </w:r>
      <w:r w:rsidR="00E15F0E">
        <w:t>'</w:t>
      </w:r>
      <w:r w:rsidRPr="00754E83">
        <w:t>études de l</w:t>
      </w:r>
      <w:r w:rsidR="00E15F0E">
        <w:t>'</w:t>
      </w:r>
      <w:r w:rsidRPr="00754E83">
        <w:t>UIT-T dans ce domaine.</w:t>
      </w:r>
    </w:p>
    <w:p w:rsidR="00A23390" w:rsidRPr="00754E83" w:rsidRDefault="000C4624" w:rsidP="005A4433">
      <w:r w:rsidRPr="00754E83">
        <w:t>Elle est également la commission d</w:t>
      </w:r>
      <w:r w:rsidR="00E15F0E">
        <w:t>'</w:t>
      </w:r>
      <w:r w:rsidRPr="00754E83">
        <w:t xml:space="preserve">études directrice pour les applications multimédias </w:t>
      </w:r>
      <w:r w:rsidR="00AA142C" w:rsidRPr="00754E83">
        <w:t>ubiquitaires</w:t>
      </w:r>
      <w:r w:rsidR="00A23390" w:rsidRPr="00754E83">
        <w:t xml:space="preserve">; </w:t>
      </w:r>
      <w:r w:rsidRPr="00754E83">
        <w:t>l</w:t>
      </w:r>
      <w:r w:rsidR="00E15F0E">
        <w:t>'</w:t>
      </w:r>
      <w:r w:rsidRPr="00754E83">
        <w:t xml:space="preserve">accessibilité des </w:t>
      </w:r>
      <w:r w:rsidR="00A23390" w:rsidRPr="00754E83">
        <w:t>t</w:t>
      </w:r>
      <w:r w:rsidRPr="00754E83">
        <w:t>é</w:t>
      </w:r>
      <w:r w:rsidR="00A23390" w:rsidRPr="00754E83">
        <w:t>l</w:t>
      </w:r>
      <w:r w:rsidRPr="00754E83">
        <w:t>é</w:t>
      </w:r>
      <w:r w:rsidR="00A23390" w:rsidRPr="00754E83">
        <w:t>communication</w:t>
      </w:r>
      <w:r w:rsidRPr="00754E83">
        <w:t>s</w:t>
      </w:r>
      <w:r w:rsidR="00A23390" w:rsidRPr="00754E83">
        <w:t>/</w:t>
      </w:r>
      <w:r w:rsidRPr="00754E83">
        <w:t>TIC pour les personnes handicapées</w:t>
      </w:r>
      <w:r w:rsidR="00A23390" w:rsidRPr="00754E83">
        <w:t xml:space="preserve">; </w:t>
      </w:r>
      <w:r w:rsidRPr="00754E83">
        <w:t>les facteurs humains</w:t>
      </w:r>
      <w:r w:rsidR="00A23390" w:rsidRPr="00754E83">
        <w:t xml:space="preserve">; </w:t>
      </w:r>
      <w:r w:rsidRPr="00754E83">
        <w:t xml:space="preserve">les aspects </w:t>
      </w:r>
      <w:r w:rsidR="00A23390" w:rsidRPr="00754E83">
        <w:t>multim</w:t>
      </w:r>
      <w:r w:rsidRPr="00754E83">
        <w:t>é</w:t>
      </w:r>
      <w:r w:rsidR="00A23390" w:rsidRPr="00754E83">
        <w:t>dia</w:t>
      </w:r>
      <w:r w:rsidRPr="00754E83">
        <w:t>s</w:t>
      </w:r>
      <w:r w:rsidR="00A23390" w:rsidRPr="00754E83">
        <w:t xml:space="preserve"> </w:t>
      </w:r>
      <w:r w:rsidRPr="00754E83">
        <w:t>des communications pour les systèmes de transport intelligents (ITS)</w:t>
      </w:r>
      <w:r w:rsidR="00A23390" w:rsidRPr="00754E83">
        <w:t xml:space="preserve">; </w:t>
      </w:r>
      <w:r w:rsidRPr="00754E83">
        <w:t>la télévision utilisant le protocole Internet (TVIP) et l</w:t>
      </w:r>
      <w:r w:rsidR="00E15F0E">
        <w:t>'</w:t>
      </w:r>
      <w:r w:rsidRPr="00754E83">
        <w:t>affichage numérique</w:t>
      </w:r>
      <w:r w:rsidR="00A23390" w:rsidRPr="00754E83">
        <w:t xml:space="preserve">; </w:t>
      </w:r>
      <w:r w:rsidRPr="00754E83">
        <w:t xml:space="preserve">et les aspects </w:t>
      </w:r>
      <w:r w:rsidR="00A23390" w:rsidRPr="00754E83">
        <w:t>multim</w:t>
      </w:r>
      <w:r w:rsidRPr="00754E83">
        <w:t>é</w:t>
      </w:r>
      <w:r w:rsidR="00A23390" w:rsidRPr="00754E83">
        <w:t>dia</w:t>
      </w:r>
      <w:r w:rsidRPr="00754E83">
        <w:t>s</w:t>
      </w:r>
      <w:r w:rsidR="00A23390" w:rsidRPr="00754E83">
        <w:t xml:space="preserve"> </w:t>
      </w:r>
      <w:r w:rsidRPr="00754E83">
        <w:t>des cyber</w:t>
      </w:r>
      <w:r w:rsidR="00A23390" w:rsidRPr="00754E83">
        <w:t>services (</w:t>
      </w:r>
      <w:r w:rsidRPr="00754E83">
        <w:t>et notamment la cybersanté</w:t>
      </w:r>
      <w:r w:rsidR="00A23390" w:rsidRPr="00754E83">
        <w:t>).</w:t>
      </w:r>
    </w:p>
    <w:p w:rsidR="00A23390" w:rsidRPr="00754E83" w:rsidRDefault="000C4624" w:rsidP="005A4433">
      <w:r w:rsidRPr="00754E83">
        <w:t xml:space="preserve">Le Groupe </w:t>
      </w:r>
      <w:r w:rsidR="00A23390" w:rsidRPr="00754E83">
        <w:t xml:space="preserve">FG-AI4H </w:t>
      </w:r>
      <w:r w:rsidRPr="00754E83">
        <w:t>s</w:t>
      </w:r>
      <w:r w:rsidR="00E15F0E">
        <w:t>'</w:t>
      </w:r>
      <w:r w:rsidRPr="00754E83">
        <w:t>occupe de plusieurs aspects liés à l</w:t>
      </w:r>
      <w:r w:rsidR="00E15F0E">
        <w:t>'</w:t>
      </w:r>
      <w:r w:rsidRPr="00754E83">
        <w:t xml:space="preserve">imagerie et à la cybersanté et une </w:t>
      </w:r>
      <w:r w:rsidR="00A23390" w:rsidRPr="00754E83">
        <w:t xml:space="preserve">collaboration </w:t>
      </w:r>
      <w:r w:rsidRPr="00754E83">
        <w:t>est donc nécessaire entre l</w:t>
      </w:r>
      <w:r w:rsidR="00E15F0E">
        <w:t>'</w:t>
      </w:r>
      <w:r w:rsidRPr="00754E83">
        <w:t>OMS et l</w:t>
      </w:r>
      <w:r w:rsidR="00E15F0E">
        <w:t>'</w:t>
      </w:r>
      <w:r w:rsidRPr="00754E83">
        <w:t>UIT</w:t>
      </w:r>
      <w:r w:rsidR="00A23390" w:rsidRPr="00754E83">
        <w:t xml:space="preserve">. </w:t>
      </w:r>
      <w:r w:rsidRPr="00754E83">
        <w:t xml:space="preserve">La CE </w:t>
      </w:r>
      <w:r w:rsidR="00A23390" w:rsidRPr="00754E83">
        <w:t xml:space="preserve">16 </w:t>
      </w:r>
      <w:r w:rsidRPr="00754E83">
        <w:t>est toute désignée pour être l</w:t>
      </w:r>
      <w:r w:rsidR="00E15F0E">
        <w:t>'</w:t>
      </w:r>
      <w:r w:rsidRPr="00754E83">
        <w:t>entité de rattachement de ce Groupe spécialisé</w:t>
      </w:r>
      <w:r w:rsidR="00A23390" w:rsidRPr="00754E83">
        <w:t>.</w:t>
      </w:r>
    </w:p>
    <w:p w:rsidR="00A90C58" w:rsidRPr="00754E83" w:rsidRDefault="00A90C58" w:rsidP="005A4433">
      <w:pPr>
        <w:pStyle w:val="Heading1"/>
        <w:rPr>
          <w:rFonts w:eastAsia="SimSun"/>
          <w:lang w:eastAsia="ja-JP"/>
        </w:rPr>
      </w:pPr>
      <w:r w:rsidRPr="00754E83">
        <w:rPr>
          <w:rFonts w:eastAsia="SimSun"/>
          <w:lang w:eastAsia="ja-JP"/>
        </w:rPr>
        <w:t>7</w:t>
      </w:r>
      <w:r w:rsidRPr="00754E83">
        <w:rPr>
          <w:rFonts w:eastAsia="SimSun"/>
          <w:lang w:eastAsia="ja-JP"/>
        </w:rPr>
        <w:tab/>
      </w:r>
      <w:r w:rsidR="00285455" w:rsidRPr="00754E83">
        <w:rPr>
          <w:rFonts w:eastAsia="SimSun"/>
          <w:lang w:eastAsia="ja-JP"/>
        </w:rPr>
        <w:t>E</w:t>
      </w:r>
      <w:r w:rsidR="00853459" w:rsidRPr="00754E83">
        <w:rPr>
          <w:rFonts w:eastAsia="SimSun"/>
          <w:lang w:eastAsia="ja-JP"/>
        </w:rPr>
        <w:t>quipe de direction</w:t>
      </w:r>
      <w:r w:rsidRPr="00754E83">
        <w:rPr>
          <w:rFonts w:eastAsia="SimSun"/>
          <w:lang w:eastAsia="ja-JP"/>
        </w:rPr>
        <w:t xml:space="preserve"> </w:t>
      </w:r>
    </w:p>
    <w:p w:rsidR="00A90C58" w:rsidRPr="00754E83" w:rsidRDefault="00853459" w:rsidP="005A4433">
      <w:pPr>
        <w:rPr>
          <w:rFonts w:eastAsia="SimSun"/>
          <w:lang w:eastAsia="ja-JP"/>
        </w:rPr>
      </w:pPr>
      <w:r w:rsidRPr="00754E83">
        <w:rPr>
          <w:rFonts w:eastAsia="SimSun"/>
          <w:lang w:eastAsia="ja-JP"/>
        </w:rPr>
        <w:t>Voir le § 2.3 de la Recommandation UIT-T A.7.</w:t>
      </w:r>
    </w:p>
    <w:p w:rsidR="00A90C58" w:rsidRPr="00754E83" w:rsidRDefault="00E12A23" w:rsidP="005A4433">
      <w:pPr>
        <w:pStyle w:val="Heading1"/>
        <w:rPr>
          <w:rFonts w:eastAsia="SimSun"/>
          <w:lang w:eastAsia="ja-JP"/>
        </w:rPr>
      </w:pPr>
      <w:r>
        <w:rPr>
          <w:rFonts w:eastAsia="SimSun"/>
          <w:lang w:eastAsia="ja-JP"/>
        </w:rPr>
        <w:t>8</w:t>
      </w:r>
      <w:r>
        <w:rPr>
          <w:rFonts w:eastAsia="SimSun"/>
          <w:lang w:eastAsia="ja-JP"/>
        </w:rPr>
        <w:tab/>
        <w:t>Participation</w:t>
      </w:r>
    </w:p>
    <w:p w:rsidR="00A90C58" w:rsidRPr="00754E83" w:rsidRDefault="001B2229" w:rsidP="005A4433">
      <w:pPr>
        <w:rPr>
          <w:rFonts w:eastAsia="SimSun"/>
          <w:lang w:eastAsia="ja-JP"/>
        </w:rPr>
      </w:pPr>
      <w:r w:rsidRPr="00754E83">
        <w:rPr>
          <w:rFonts w:eastAsia="SimSun"/>
          <w:lang w:eastAsia="ja-JP"/>
        </w:rPr>
        <w:t>Voir le § </w:t>
      </w:r>
      <w:r w:rsidR="00A90C58" w:rsidRPr="00754E83">
        <w:rPr>
          <w:rFonts w:eastAsia="SimSun"/>
          <w:lang w:eastAsia="ja-JP"/>
        </w:rPr>
        <w:t xml:space="preserve">3 </w:t>
      </w:r>
      <w:r w:rsidRPr="00754E83">
        <w:rPr>
          <w:rFonts w:eastAsia="SimSun"/>
          <w:lang w:eastAsia="ja-JP"/>
        </w:rPr>
        <w:t xml:space="preserve">de la </w:t>
      </w:r>
      <w:r w:rsidR="00A90C58" w:rsidRPr="00754E83">
        <w:rPr>
          <w:rFonts w:eastAsia="SimSun"/>
          <w:lang w:eastAsia="ja-JP"/>
        </w:rPr>
        <w:t>Recomm</w:t>
      </w:r>
      <w:r w:rsidRPr="00754E83">
        <w:rPr>
          <w:rFonts w:eastAsia="SimSun"/>
          <w:lang w:eastAsia="ja-JP"/>
        </w:rPr>
        <w:t>a</w:t>
      </w:r>
      <w:r w:rsidR="00A90C58" w:rsidRPr="00754E83">
        <w:rPr>
          <w:rFonts w:eastAsia="SimSun"/>
          <w:lang w:eastAsia="ja-JP"/>
        </w:rPr>
        <w:t xml:space="preserve">ndation </w:t>
      </w:r>
      <w:r w:rsidRPr="00754E83">
        <w:rPr>
          <w:rFonts w:eastAsia="SimSun"/>
          <w:lang w:eastAsia="ja-JP"/>
        </w:rPr>
        <w:t>UIT</w:t>
      </w:r>
      <w:r w:rsidR="00A90C58" w:rsidRPr="00754E83">
        <w:rPr>
          <w:rFonts w:eastAsia="SimSun"/>
          <w:lang w:eastAsia="ja-JP"/>
        </w:rPr>
        <w:t xml:space="preserve">-T A.7. </w:t>
      </w:r>
      <w:r w:rsidR="00285455" w:rsidRPr="00754E83">
        <w:rPr>
          <w:rFonts w:eastAsia="SimSun"/>
          <w:lang w:eastAsia="ja-JP"/>
        </w:rPr>
        <w:t>La</w:t>
      </w:r>
      <w:r w:rsidR="00DF367E" w:rsidRPr="00754E83">
        <w:rPr>
          <w:rFonts w:eastAsia="SimSun"/>
          <w:lang w:eastAsia="ja-JP"/>
        </w:rPr>
        <w:t xml:space="preserve"> liste des participants sera tenue à jour à toutes fins utiles et sera transmise à l</w:t>
      </w:r>
      <w:r w:rsidR="00E15F0E">
        <w:rPr>
          <w:rFonts w:eastAsia="SimSun"/>
          <w:lang w:eastAsia="ja-JP"/>
        </w:rPr>
        <w:t>'</w:t>
      </w:r>
      <w:r w:rsidR="00DF367E" w:rsidRPr="00754E83">
        <w:rPr>
          <w:rFonts w:eastAsia="SimSun"/>
          <w:lang w:eastAsia="ja-JP"/>
        </w:rPr>
        <w:t>entité de rattachement</w:t>
      </w:r>
      <w:r w:rsidR="00A90C58" w:rsidRPr="00754E83">
        <w:rPr>
          <w:rFonts w:eastAsia="SimSun"/>
          <w:lang w:eastAsia="ja-JP"/>
        </w:rPr>
        <w:t xml:space="preserve">. </w:t>
      </w:r>
    </w:p>
    <w:p w:rsidR="00A90C58" w:rsidRPr="00754E83" w:rsidRDefault="00DF367E" w:rsidP="005A4433">
      <w:pPr>
        <w:rPr>
          <w:rFonts w:eastAsia="SimSun"/>
          <w:lang w:eastAsia="ja-JP"/>
        </w:rPr>
      </w:pPr>
      <w:r w:rsidRPr="00754E83">
        <w:rPr>
          <w:rFonts w:eastAsia="SimSun"/>
          <w:lang w:eastAsia="ja-JP"/>
        </w:rPr>
        <w:t>Il est important de mentionner que les participants aux travaux du Groupe spécialisé doivent soumettre des contributions et participer activement.</w:t>
      </w:r>
    </w:p>
    <w:p w:rsidR="00A90C58" w:rsidRPr="00754E83" w:rsidRDefault="00A90C58" w:rsidP="005A4433">
      <w:pPr>
        <w:pStyle w:val="Heading1"/>
        <w:rPr>
          <w:rFonts w:eastAsia="SimSun"/>
          <w:lang w:eastAsia="ja-JP"/>
        </w:rPr>
      </w:pPr>
      <w:r w:rsidRPr="00754E83">
        <w:rPr>
          <w:rFonts w:eastAsia="SimSun"/>
          <w:lang w:eastAsia="ja-JP"/>
        </w:rPr>
        <w:t>9</w:t>
      </w:r>
      <w:r w:rsidRPr="00754E83">
        <w:rPr>
          <w:rFonts w:eastAsia="SimSun"/>
          <w:lang w:eastAsia="ja-JP"/>
        </w:rPr>
        <w:tab/>
        <w:t>A</w:t>
      </w:r>
      <w:r w:rsidR="001B2229" w:rsidRPr="00754E83">
        <w:rPr>
          <w:rFonts w:eastAsia="SimSun"/>
          <w:lang w:eastAsia="ja-JP"/>
        </w:rPr>
        <w:t>ppui administratif</w:t>
      </w:r>
      <w:r w:rsidRPr="00754E83">
        <w:rPr>
          <w:rFonts w:eastAsia="SimSun"/>
          <w:lang w:eastAsia="ja-JP"/>
        </w:rPr>
        <w:t xml:space="preserve"> </w:t>
      </w:r>
    </w:p>
    <w:p w:rsidR="00A90C58" w:rsidRPr="00754E83" w:rsidRDefault="001B2229" w:rsidP="005A4433">
      <w:pPr>
        <w:rPr>
          <w:rFonts w:eastAsia="SimSun"/>
          <w:lang w:eastAsia="ja-JP"/>
        </w:rPr>
      </w:pPr>
      <w:r w:rsidRPr="00754E83">
        <w:rPr>
          <w:rFonts w:eastAsia="SimSun"/>
          <w:lang w:eastAsia="ja-JP"/>
        </w:rPr>
        <w:t>Voir le § </w:t>
      </w:r>
      <w:r w:rsidR="00A90C58" w:rsidRPr="00754E83">
        <w:rPr>
          <w:rFonts w:eastAsia="SimSun"/>
          <w:lang w:eastAsia="ja-JP"/>
        </w:rPr>
        <w:t xml:space="preserve">5 </w:t>
      </w:r>
      <w:r w:rsidRPr="00754E83">
        <w:rPr>
          <w:rFonts w:eastAsia="SimSun"/>
          <w:lang w:eastAsia="ja-JP"/>
        </w:rPr>
        <w:t>de la Recomma</w:t>
      </w:r>
      <w:r w:rsidR="00A90C58" w:rsidRPr="00754E83">
        <w:rPr>
          <w:rFonts w:eastAsia="SimSun"/>
          <w:lang w:eastAsia="ja-JP"/>
        </w:rPr>
        <w:t xml:space="preserve">ndation </w:t>
      </w:r>
      <w:r w:rsidRPr="00754E83">
        <w:rPr>
          <w:rFonts w:eastAsia="SimSun"/>
          <w:lang w:eastAsia="ja-JP"/>
        </w:rPr>
        <w:t>UIT</w:t>
      </w:r>
      <w:r w:rsidR="00A90C58" w:rsidRPr="00754E83">
        <w:rPr>
          <w:rFonts w:eastAsia="SimSun"/>
          <w:lang w:eastAsia="ja-JP"/>
        </w:rPr>
        <w:t xml:space="preserve">-T A.7. </w:t>
      </w:r>
    </w:p>
    <w:p w:rsidR="00A90C58" w:rsidRPr="00754E83" w:rsidRDefault="00A90C58" w:rsidP="005A4433">
      <w:pPr>
        <w:pStyle w:val="Heading1"/>
        <w:rPr>
          <w:rFonts w:eastAsia="SimSun"/>
          <w:lang w:eastAsia="ja-JP"/>
        </w:rPr>
      </w:pPr>
      <w:r w:rsidRPr="00754E83">
        <w:rPr>
          <w:rFonts w:eastAsia="SimSun"/>
          <w:lang w:eastAsia="ja-JP"/>
        </w:rPr>
        <w:t>10</w:t>
      </w:r>
      <w:r w:rsidRPr="00754E83">
        <w:rPr>
          <w:rFonts w:eastAsia="SimSun"/>
          <w:lang w:eastAsia="ja-JP"/>
        </w:rPr>
        <w:tab/>
      </w:r>
      <w:r w:rsidR="001B2229" w:rsidRPr="00754E83">
        <w:rPr>
          <w:rFonts w:eastAsia="SimSun"/>
          <w:lang w:eastAsia="ja-JP"/>
        </w:rPr>
        <w:t>Aspects financiers généraux</w:t>
      </w:r>
    </w:p>
    <w:p w:rsidR="00A90C58" w:rsidRPr="00754E83" w:rsidRDefault="001B2229" w:rsidP="005A4433">
      <w:pPr>
        <w:rPr>
          <w:rFonts w:eastAsia="SimSun"/>
          <w:lang w:eastAsia="ja-JP"/>
        </w:rPr>
      </w:pPr>
      <w:r w:rsidRPr="00754E83">
        <w:rPr>
          <w:rFonts w:eastAsia="SimSun"/>
          <w:lang w:eastAsia="ja-JP"/>
        </w:rPr>
        <w:t>Voir les § </w:t>
      </w:r>
      <w:r w:rsidR="00A90C58" w:rsidRPr="00754E83">
        <w:rPr>
          <w:rFonts w:eastAsia="SimSun"/>
          <w:lang w:eastAsia="ja-JP"/>
        </w:rPr>
        <w:t xml:space="preserve">4 </w:t>
      </w:r>
      <w:r w:rsidRPr="00754E83">
        <w:rPr>
          <w:rFonts w:eastAsia="SimSun"/>
          <w:lang w:eastAsia="ja-JP"/>
        </w:rPr>
        <w:t xml:space="preserve">et </w:t>
      </w:r>
      <w:r w:rsidR="00A90C58" w:rsidRPr="00754E83">
        <w:rPr>
          <w:rFonts w:eastAsia="SimSun"/>
          <w:lang w:eastAsia="ja-JP"/>
        </w:rPr>
        <w:t xml:space="preserve">10.2 </w:t>
      </w:r>
      <w:r w:rsidRPr="00754E83">
        <w:rPr>
          <w:rFonts w:eastAsia="SimSun"/>
          <w:lang w:eastAsia="ja-JP"/>
        </w:rPr>
        <w:t>de la Recomma</w:t>
      </w:r>
      <w:r w:rsidR="00A90C58" w:rsidRPr="00754E83">
        <w:rPr>
          <w:rFonts w:eastAsia="SimSun"/>
          <w:lang w:eastAsia="ja-JP"/>
        </w:rPr>
        <w:t xml:space="preserve">ndation </w:t>
      </w:r>
      <w:r w:rsidRPr="00754E83">
        <w:rPr>
          <w:rFonts w:eastAsia="SimSun"/>
          <w:lang w:eastAsia="ja-JP"/>
        </w:rPr>
        <w:t>UIT</w:t>
      </w:r>
      <w:r w:rsidR="00A90C58" w:rsidRPr="00754E83">
        <w:rPr>
          <w:rFonts w:eastAsia="SimSun"/>
          <w:lang w:eastAsia="ja-JP"/>
        </w:rPr>
        <w:t xml:space="preserve">-T A.7. </w:t>
      </w:r>
    </w:p>
    <w:p w:rsidR="00A90C58" w:rsidRPr="00754E83" w:rsidRDefault="00A90C58" w:rsidP="005A4433">
      <w:pPr>
        <w:pStyle w:val="Heading1"/>
        <w:rPr>
          <w:rFonts w:eastAsia="SimSun"/>
          <w:lang w:eastAsia="ja-JP"/>
        </w:rPr>
      </w:pPr>
      <w:r w:rsidRPr="00754E83">
        <w:rPr>
          <w:rFonts w:eastAsia="SimSun"/>
          <w:lang w:eastAsia="ja-JP"/>
        </w:rPr>
        <w:t>11</w:t>
      </w:r>
      <w:r w:rsidRPr="00754E83">
        <w:rPr>
          <w:rFonts w:eastAsia="SimSun"/>
          <w:lang w:eastAsia="ja-JP"/>
        </w:rPr>
        <w:tab/>
      </w:r>
      <w:r w:rsidR="002465D4">
        <w:rPr>
          <w:rFonts w:eastAsia="SimSun"/>
          <w:lang w:eastAsia="ja-JP"/>
        </w:rPr>
        <w:t>Réunions</w:t>
      </w:r>
    </w:p>
    <w:p w:rsidR="002465D4" w:rsidRDefault="000D6D97" w:rsidP="005A4433">
      <w:pPr>
        <w:rPr>
          <w:rFonts w:eastAsia="SimSun"/>
          <w:lang w:eastAsia="ja-JP"/>
        </w:rPr>
      </w:pPr>
      <w:r w:rsidRPr="00754E83">
        <w:t>Le Groupe spécialisé tiendra des réunions régulières.</w:t>
      </w:r>
      <w:r w:rsidR="007857AB" w:rsidRPr="00754E83">
        <w:t xml:space="preserve"> </w:t>
      </w:r>
      <w:r w:rsidR="00DF367E" w:rsidRPr="00754E83">
        <w:rPr>
          <w:rFonts w:eastAsia="SimSun"/>
          <w:lang w:eastAsia="ja-JP"/>
        </w:rPr>
        <w:t>La fréquence et le lieu des réunions seront déterminés par l</w:t>
      </w:r>
      <w:r w:rsidR="00E15F0E">
        <w:rPr>
          <w:rFonts w:eastAsia="SimSun"/>
          <w:lang w:eastAsia="ja-JP"/>
        </w:rPr>
        <w:t>'</w:t>
      </w:r>
      <w:r w:rsidR="00DF367E" w:rsidRPr="00754E83">
        <w:rPr>
          <w:rFonts w:eastAsia="SimSun"/>
          <w:lang w:eastAsia="ja-JP"/>
        </w:rPr>
        <w:t>équipe de direction du Groupe spécialisé. Le calendrier général des réunions sera annoncé après l</w:t>
      </w:r>
      <w:r w:rsidR="00E15F0E">
        <w:rPr>
          <w:rFonts w:eastAsia="SimSun"/>
          <w:lang w:eastAsia="ja-JP"/>
        </w:rPr>
        <w:t>'</w:t>
      </w:r>
      <w:r w:rsidR="00DF367E" w:rsidRPr="00754E83">
        <w:rPr>
          <w:rFonts w:eastAsia="SimSun"/>
          <w:lang w:eastAsia="ja-JP"/>
        </w:rPr>
        <w:t>approbation du mandat</w:t>
      </w:r>
      <w:r w:rsidR="00A90C58" w:rsidRPr="00754E83">
        <w:rPr>
          <w:rFonts w:eastAsia="SimSun"/>
          <w:lang w:eastAsia="ja-JP"/>
        </w:rPr>
        <w:t xml:space="preserve">. </w:t>
      </w:r>
    </w:p>
    <w:p w:rsidR="00DF367E" w:rsidRPr="00754E83" w:rsidRDefault="00375BD1" w:rsidP="005A4433">
      <w:pPr>
        <w:rPr>
          <w:rFonts w:eastAsia="SimSun"/>
          <w:lang w:eastAsia="ja-JP"/>
        </w:rPr>
      </w:pPr>
      <w:r w:rsidRPr="00754E83">
        <w:rPr>
          <w:rFonts w:eastAsia="SimSun"/>
          <w:lang w:eastAsia="ja-JP"/>
        </w:rPr>
        <w:t>L</w:t>
      </w:r>
      <w:r w:rsidR="00DF367E" w:rsidRPr="00754E83">
        <w:rPr>
          <w:rFonts w:eastAsia="SimSun"/>
          <w:lang w:eastAsia="ja-JP"/>
        </w:rPr>
        <w:t xml:space="preserve">e Groupe spécialisé utilisera les outils de collaboration à distance dans la mesure du possible, et </w:t>
      </w:r>
      <w:r w:rsidR="002465D4">
        <w:rPr>
          <w:rFonts w:eastAsia="SimSun"/>
          <w:lang w:eastAsia="ja-JP"/>
        </w:rPr>
        <w:t>la colocalisation avec d</w:t>
      </w:r>
      <w:r w:rsidRPr="00754E83">
        <w:rPr>
          <w:rFonts w:eastAsia="SimSun"/>
          <w:lang w:eastAsia="ja-JP"/>
        </w:rPr>
        <w:t xml:space="preserve">es </w:t>
      </w:r>
      <w:r w:rsidR="00DF367E" w:rsidRPr="00754E83">
        <w:rPr>
          <w:rFonts w:eastAsia="SimSun"/>
          <w:lang w:eastAsia="ja-JP"/>
        </w:rPr>
        <w:t xml:space="preserve">réunions </w:t>
      </w:r>
      <w:r w:rsidRPr="00754E83">
        <w:rPr>
          <w:rFonts w:eastAsia="SimSun"/>
          <w:lang w:eastAsia="ja-JP"/>
        </w:rPr>
        <w:t>existantes de</w:t>
      </w:r>
      <w:r w:rsidR="002465D4">
        <w:rPr>
          <w:rFonts w:eastAsia="SimSun"/>
          <w:lang w:eastAsia="ja-JP"/>
        </w:rPr>
        <w:t>s</w:t>
      </w:r>
      <w:r w:rsidRPr="00754E83">
        <w:rPr>
          <w:rFonts w:eastAsia="SimSun"/>
          <w:lang w:eastAsia="ja-JP"/>
        </w:rPr>
        <w:t xml:space="preserve"> </w:t>
      </w:r>
      <w:r w:rsidR="00A23390" w:rsidRPr="00754E83">
        <w:rPr>
          <w:rFonts w:eastAsia="SimSun"/>
          <w:lang w:eastAsia="ja-JP"/>
        </w:rPr>
        <w:t>Commissions d</w:t>
      </w:r>
      <w:r w:rsidR="00E15F0E">
        <w:rPr>
          <w:rFonts w:eastAsia="SimSun"/>
          <w:lang w:eastAsia="ja-JP"/>
        </w:rPr>
        <w:t>'</w:t>
      </w:r>
      <w:r w:rsidR="00A23390" w:rsidRPr="00754E83">
        <w:rPr>
          <w:rFonts w:eastAsia="SimSun"/>
          <w:lang w:eastAsia="ja-JP"/>
        </w:rPr>
        <w:t>études de l</w:t>
      </w:r>
      <w:r w:rsidR="00E15F0E">
        <w:rPr>
          <w:rFonts w:eastAsia="SimSun"/>
          <w:lang w:eastAsia="ja-JP"/>
        </w:rPr>
        <w:t>'</w:t>
      </w:r>
      <w:r w:rsidR="00A23390" w:rsidRPr="00754E83">
        <w:rPr>
          <w:rFonts w:eastAsia="SimSun"/>
          <w:lang w:eastAsia="ja-JP"/>
        </w:rPr>
        <w:t xml:space="preserve">UIT </w:t>
      </w:r>
      <w:r w:rsidRPr="00754E83">
        <w:rPr>
          <w:rFonts w:eastAsia="SimSun"/>
          <w:lang w:eastAsia="ja-JP"/>
        </w:rPr>
        <w:t>est souhaitée</w:t>
      </w:r>
      <w:r w:rsidR="00DF367E" w:rsidRPr="00754E83">
        <w:rPr>
          <w:rFonts w:eastAsia="SimSun"/>
          <w:lang w:eastAsia="ja-JP"/>
        </w:rPr>
        <w:t>.</w:t>
      </w:r>
    </w:p>
    <w:p w:rsidR="00375BD1" w:rsidRPr="00754E83" w:rsidRDefault="00375BD1" w:rsidP="005A4433">
      <w:pPr>
        <w:rPr>
          <w:rFonts w:eastAsia="SimSun"/>
          <w:lang w:eastAsia="ja-JP"/>
        </w:rPr>
      </w:pPr>
      <w:r w:rsidRPr="00754E83">
        <w:rPr>
          <w:rFonts w:eastAsia="SimSun"/>
          <w:lang w:eastAsia="ja-JP"/>
        </w:rPr>
        <w:t>Les dates des réunions seront annoncées par voie électronique (courrier électronique, site web, etc.) au moins quatre semaines à l</w:t>
      </w:r>
      <w:r w:rsidR="00E15F0E">
        <w:rPr>
          <w:rFonts w:eastAsia="SimSun"/>
          <w:lang w:eastAsia="ja-JP"/>
        </w:rPr>
        <w:t>'</w:t>
      </w:r>
      <w:r w:rsidRPr="00754E83">
        <w:rPr>
          <w:rFonts w:eastAsia="SimSun"/>
          <w:lang w:eastAsia="ja-JP"/>
        </w:rPr>
        <w:t>avance.</w:t>
      </w:r>
    </w:p>
    <w:p w:rsidR="00A90C58" w:rsidRPr="00754E83" w:rsidRDefault="00A90C58" w:rsidP="005A4433">
      <w:pPr>
        <w:pStyle w:val="Heading1"/>
        <w:rPr>
          <w:rFonts w:eastAsia="SimSun"/>
          <w:lang w:eastAsia="ja-JP"/>
        </w:rPr>
      </w:pPr>
      <w:r w:rsidRPr="00754E83">
        <w:rPr>
          <w:rFonts w:eastAsia="SimSun"/>
          <w:lang w:eastAsia="ja-JP"/>
        </w:rPr>
        <w:t>12</w:t>
      </w:r>
      <w:r w:rsidRPr="00754E83">
        <w:rPr>
          <w:rFonts w:eastAsia="SimSun"/>
          <w:lang w:eastAsia="ja-JP"/>
        </w:rPr>
        <w:tab/>
      </w:r>
      <w:r w:rsidR="001B2229" w:rsidRPr="00754E83">
        <w:rPr>
          <w:rFonts w:eastAsia="SimSun"/>
          <w:lang w:eastAsia="ja-JP"/>
        </w:rPr>
        <w:t>C</w:t>
      </w:r>
      <w:r w:rsidRPr="00754E83">
        <w:rPr>
          <w:rFonts w:eastAsia="SimSun"/>
          <w:lang w:eastAsia="ja-JP"/>
        </w:rPr>
        <w:t xml:space="preserve">ontributions </w:t>
      </w:r>
      <w:r w:rsidR="001B2229" w:rsidRPr="00754E83">
        <w:rPr>
          <w:rFonts w:eastAsia="SimSun"/>
          <w:lang w:eastAsia="ja-JP"/>
        </w:rPr>
        <w:t>techniques</w:t>
      </w:r>
    </w:p>
    <w:p w:rsidR="00375BD1" w:rsidRPr="00754E83" w:rsidRDefault="001C3BDE" w:rsidP="005A4433">
      <w:pPr>
        <w:rPr>
          <w:rFonts w:eastAsia="SimSun"/>
          <w:lang w:eastAsia="ja-JP"/>
        </w:rPr>
      </w:pPr>
      <w:r w:rsidRPr="00754E83">
        <w:rPr>
          <w:rFonts w:eastAsia="SimSun"/>
          <w:lang w:eastAsia="ja-JP"/>
        </w:rPr>
        <w:t>Voir le § 8 de la Recommandation UIT-T A.7.</w:t>
      </w:r>
    </w:p>
    <w:p w:rsidR="00A90C58" w:rsidRPr="00754E83" w:rsidRDefault="00A90C58" w:rsidP="005A4433">
      <w:pPr>
        <w:pStyle w:val="Heading1"/>
        <w:rPr>
          <w:rFonts w:eastAsia="SimSun"/>
          <w:lang w:eastAsia="ja-JP"/>
        </w:rPr>
      </w:pPr>
      <w:r w:rsidRPr="00754E83">
        <w:rPr>
          <w:rFonts w:eastAsia="SimSun"/>
          <w:lang w:eastAsia="ja-JP"/>
        </w:rPr>
        <w:t>13</w:t>
      </w:r>
      <w:r w:rsidRPr="00754E83">
        <w:rPr>
          <w:rFonts w:eastAsia="SimSun"/>
          <w:lang w:eastAsia="ja-JP"/>
        </w:rPr>
        <w:tab/>
      </w:r>
      <w:r w:rsidR="001B2229" w:rsidRPr="00754E83">
        <w:rPr>
          <w:rFonts w:eastAsia="SimSun"/>
          <w:lang w:eastAsia="ja-JP"/>
        </w:rPr>
        <w:t>Langue de travail</w:t>
      </w:r>
    </w:p>
    <w:p w:rsidR="00A90C58" w:rsidRPr="00754E83" w:rsidRDefault="00375BD1" w:rsidP="005A4433">
      <w:pPr>
        <w:rPr>
          <w:rFonts w:eastAsia="SimSun"/>
          <w:lang w:eastAsia="ja-JP"/>
        </w:rPr>
      </w:pPr>
      <w:r w:rsidRPr="00754E83">
        <w:rPr>
          <w:rFonts w:eastAsia="SimSun"/>
          <w:lang w:eastAsia="ja-JP"/>
        </w:rPr>
        <w:t>La langue de travail est l</w:t>
      </w:r>
      <w:r w:rsidR="00E15F0E">
        <w:rPr>
          <w:rFonts w:eastAsia="SimSun"/>
          <w:lang w:eastAsia="ja-JP"/>
        </w:rPr>
        <w:t>'</w:t>
      </w:r>
      <w:r w:rsidRPr="00754E83">
        <w:rPr>
          <w:rFonts w:eastAsia="SimSun"/>
          <w:lang w:eastAsia="ja-JP"/>
        </w:rPr>
        <w:t>anglais.</w:t>
      </w:r>
    </w:p>
    <w:p w:rsidR="00A90C58" w:rsidRPr="00754E83" w:rsidRDefault="00A90C58" w:rsidP="005A4433">
      <w:pPr>
        <w:pStyle w:val="Heading1"/>
        <w:rPr>
          <w:rFonts w:eastAsia="SimSun"/>
          <w:lang w:eastAsia="ja-JP"/>
        </w:rPr>
      </w:pPr>
      <w:r w:rsidRPr="00754E83">
        <w:rPr>
          <w:rFonts w:eastAsia="SimSun"/>
          <w:lang w:eastAsia="ja-JP"/>
        </w:rPr>
        <w:t>14</w:t>
      </w:r>
      <w:r w:rsidRPr="00754E83">
        <w:rPr>
          <w:rFonts w:eastAsia="SimSun"/>
          <w:lang w:eastAsia="ja-JP"/>
        </w:rPr>
        <w:tab/>
      </w:r>
      <w:r w:rsidR="001B2229" w:rsidRPr="00754E83">
        <w:rPr>
          <w:rFonts w:eastAsia="SimSun"/>
          <w:lang w:eastAsia="ja-JP"/>
        </w:rPr>
        <w:t xml:space="preserve">Approbation des </w:t>
      </w:r>
      <w:r w:rsidR="00375BD1" w:rsidRPr="00754E83">
        <w:rPr>
          <w:rFonts w:eastAsia="SimSun"/>
          <w:lang w:eastAsia="ja-JP"/>
        </w:rPr>
        <w:t>résultats</w:t>
      </w:r>
    </w:p>
    <w:p w:rsidR="00A90C58" w:rsidRPr="00754E83" w:rsidRDefault="00375BD1" w:rsidP="005A4433">
      <w:pPr>
        <w:rPr>
          <w:rFonts w:eastAsia="SimSun"/>
          <w:lang w:eastAsia="ja-JP"/>
        </w:rPr>
      </w:pPr>
      <w:r w:rsidRPr="00754E83">
        <w:rPr>
          <w:rFonts w:eastAsia="SimSun"/>
          <w:lang w:eastAsia="ja-JP"/>
        </w:rPr>
        <w:t>Les résultats doivent être approuvés par consensus.</w:t>
      </w:r>
    </w:p>
    <w:p w:rsidR="00A90C58" w:rsidRPr="00754E83" w:rsidRDefault="00A90C58" w:rsidP="005A4433">
      <w:pPr>
        <w:pStyle w:val="Heading1"/>
        <w:rPr>
          <w:rFonts w:eastAsia="SimSun"/>
          <w:lang w:eastAsia="ja-JP"/>
        </w:rPr>
      </w:pPr>
      <w:r w:rsidRPr="00754E83">
        <w:rPr>
          <w:rFonts w:eastAsia="SimSun"/>
          <w:lang w:eastAsia="ja-JP"/>
        </w:rPr>
        <w:t>15</w:t>
      </w:r>
      <w:r w:rsidRPr="00754E83">
        <w:rPr>
          <w:rFonts w:eastAsia="SimSun"/>
          <w:lang w:eastAsia="ja-JP"/>
        </w:rPr>
        <w:tab/>
      </w:r>
      <w:r w:rsidR="001B2229" w:rsidRPr="00754E83">
        <w:rPr>
          <w:rFonts w:eastAsia="SimSun"/>
          <w:lang w:eastAsia="ja-JP"/>
        </w:rPr>
        <w:t xml:space="preserve">Lignes directrices </w:t>
      </w:r>
      <w:r w:rsidR="00C468F2" w:rsidRPr="00754E83">
        <w:rPr>
          <w:rFonts w:eastAsia="SimSun"/>
          <w:lang w:eastAsia="ja-JP"/>
        </w:rPr>
        <w:t>de travail</w:t>
      </w:r>
    </w:p>
    <w:p w:rsidR="00A23390" w:rsidRPr="00754E83" w:rsidRDefault="002D7F7C" w:rsidP="005A4433">
      <w:pPr>
        <w:rPr>
          <w:rFonts w:eastAsia="SimSun"/>
          <w:lang w:eastAsia="ja-JP"/>
        </w:rPr>
      </w:pPr>
      <w:r w:rsidRPr="00754E83">
        <w:rPr>
          <w:rFonts w:eastAsia="SimSun"/>
          <w:lang w:eastAsia="ja-JP"/>
        </w:rPr>
        <w:t xml:space="preserve">Les méthodes de travail seront conformes à celles des réunions des Groupes du Rapporteur. </w:t>
      </w:r>
    </w:p>
    <w:p w:rsidR="00A23390" w:rsidRPr="00754E83" w:rsidRDefault="00AC6B50" w:rsidP="005A4433">
      <w:pPr>
        <w:jc w:val="both"/>
      </w:pPr>
      <w:r w:rsidRPr="00754E83">
        <w:t>Le Groupe spécialisé communiquera régulièrement à son entité de rattachement les projets de documents finals et autres résultats</w:t>
      </w:r>
      <w:r w:rsidR="00A23390" w:rsidRPr="00754E83">
        <w:t xml:space="preserve">, </w:t>
      </w:r>
      <w:r w:rsidRPr="00754E83">
        <w:t>afin d</w:t>
      </w:r>
      <w:r w:rsidR="00E15F0E">
        <w:t>'</w:t>
      </w:r>
      <w:r w:rsidRPr="00754E83">
        <w:t xml:space="preserve">assurer un transfert efficace des résultats et de rationaliser la normalisation future </w:t>
      </w:r>
      <w:r w:rsidR="00A23390" w:rsidRPr="00754E83">
        <w:t>(</w:t>
      </w:r>
      <w:r w:rsidRPr="00754E83">
        <w:t>voir l</w:t>
      </w:r>
      <w:r w:rsidR="00E15F0E">
        <w:t>'</w:t>
      </w:r>
      <w:r w:rsidRPr="00754E83">
        <w:t>Appendice I de la Recommandation UIT</w:t>
      </w:r>
      <w:r w:rsidR="00A23390" w:rsidRPr="00754E83">
        <w:t>-T A.7).</w:t>
      </w:r>
    </w:p>
    <w:p w:rsidR="00A90C58" w:rsidRPr="00754E83" w:rsidRDefault="002D7F7C" w:rsidP="005A4433">
      <w:pPr>
        <w:rPr>
          <w:rFonts w:eastAsia="SimSun"/>
          <w:lang w:eastAsia="ja-JP"/>
        </w:rPr>
      </w:pPr>
      <w:r w:rsidRPr="00754E83">
        <w:rPr>
          <w:rFonts w:eastAsia="SimSun"/>
          <w:lang w:eastAsia="ja-JP"/>
        </w:rPr>
        <w:t>Aucune ligne directrice de travail supplémentaire n</w:t>
      </w:r>
      <w:r w:rsidR="00E15F0E">
        <w:rPr>
          <w:rFonts w:eastAsia="SimSun"/>
          <w:lang w:eastAsia="ja-JP"/>
        </w:rPr>
        <w:t>'</w:t>
      </w:r>
      <w:r w:rsidRPr="00754E83">
        <w:rPr>
          <w:rFonts w:eastAsia="SimSun"/>
          <w:lang w:eastAsia="ja-JP"/>
        </w:rPr>
        <w:t>est définie.</w:t>
      </w:r>
    </w:p>
    <w:p w:rsidR="00A90C58" w:rsidRPr="00754E83" w:rsidRDefault="00A90C58" w:rsidP="005A4433">
      <w:pPr>
        <w:pStyle w:val="Heading1"/>
        <w:rPr>
          <w:rFonts w:eastAsia="SimSun"/>
          <w:lang w:eastAsia="ja-JP"/>
        </w:rPr>
      </w:pPr>
      <w:r w:rsidRPr="00754E83">
        <w:rPr>
          <w:rFonts w:eastAsia="SimSun"/>
          <w:lang w:eastAsia="ja-JP"/>
        </w:rPr>
        <w:t>16</w:t>
      </w:r>
      <w:r w:rsidRPr="00754E83">
        <w:rPr>
          <w:rFonts w:eastAsia="SimSun"/>
          <w:lang w:eastAsia="ja-JP"/>
        </w:rPr>
        <w:tab/>
      </w:r>
      <w:r w:rsidR="001B2229" w:rsidRPr="00754E83">
        <w:rPr>
          <w:rFonts w:eastAsia="SimSun"/>
          <w:lang w:eastAsia="ja-JP"/>
        </w:rPr>
        <w:t>Rapports d</w:t>
      </w:r>
      <w:r w:rsidR="00E15F0E">
        <w:rPr>
          <w:rFonts w:eastAsia="SimSun"/>
          <w:lang w:eastAsia="ja-JP"/>
        </w:rPr>
        <w:t>'</w:t>
      </w:r>
      <w:r w:rsidR="001B2229" w:rsidRPr="00754E83">
        <w:rPr>
          <w:rFonts w:eastAsia="SimSun"/>
          <w:lang w:eastAsia="ja-JP"/>
        </w:rPr>
        <w:t>activité</w:t>
      </w:r>
      <w:r w:rsidRPr="00754E83">
        <w:rPr>
          <w:rFonts w:eastAsia="SimSun"/>
          <w:lang w:eastAsia="ja-JP"/>
        </w:rPr>
        <w:t xml:space="preserve"> </w:t>
      </w:r>
    </w:p>
    <w:p w:rsidR="00A90C58" w:rsidRPr="00754E83" w:rsidRDefault="001B2229" w:rsidP="005A4433">
      <w:pPr>
        <w:rPr>
          <w:rFonts w:eastAsia="SimSun"/>
          <w:lang w:eastAsia="ja-JP"/>
        </w:rPr>
      </w:pPr>
      <w:r w:rsidRPr="00754E83">
        <w:rPr>
          <w:rFonts w:eastAsia="SimSun"/>
          <w:lang w:eastAsia="ja-JP"/>
        </w:rPr>
        <w:t>Voir le § </w:t>
      </w:r>
      <w:r w:rsidR="00A90C58" w:rsidRPr="00754E83">
        <w:rPr>
          <w:rFonts w:eastAsia="SimSun"/>
          <w:lang w:eastAsia="ja-JP"/>
        </w:rPr>
        <w:t xml:space="preserve">11 </w:t>
      </w:r>
      <w:r w:rsidRPr="00754E83">
        <w:rPr>
          <w:rFonts w:eastAsia="SimSun"/>
          <w:lang w:eastAsia="ja-JP"/>
        </w:rPr>
        <w:t xml:space="preserve">de la </w:t>
      </w:r>
      <w:r w:rsidR="00A90C58" w:rsidRPr="00754E83">
        <w:rPr>
          <w:rFonts w:eastAsia="SimSun"/>
          <w:lang w:eastAsia="ja-JP"/>
        </w:rPr>
        <w:t>Recomm</w:t>
      </w:r>
      <w:r w:rsidRPr="00754E83">
        <w:rPr>
          <w:rFonts w:eastAsia="SimSun"/>
          <w:lang w:eastAsia="ja-JP"/>
        </w:rPr>
        <w:t>a</w:t>
      </w:r>
      <w:r w:rsidR="00A90C58" w:rsidRPr="00754E83">
        <w:rPr>
          <w:rFonts w:eastAsia="SimSun"/>
          <w:lang w:eastAsia="ja-JP"/>
        </w:rPr>
        <w:t xml:space="preserve">ndation </w:t>
      </w:r>
      <w:r w:rsidRPr="00754E83">
        <w:rPr>
          <w:rFonts w:eastAsia="SimSun"/>
          <w:lang w:eastAsia="ja-JP"/>
        </w:rPr>
        <w:t>UIT</w:t>
      </w:r>
      <w:r w:rsidR="00A90C58" w:rsidRPr="00754E83">
        <w:rPr>
          <w:rFonts w:eastAsia="SimSun"/>
          <w:lang w:eastAsia="ja-JP"/>
        </w:rPr>
        <w:t>-T A.7.</w:t>
      </w:r>
    </w:p>
    <w:p w:rsidR="00A90C58" w:rsidRPr="00754E83" w:rsidRDefault="00A90C58" w:rsidP="005A4433">
      <w:pPr>
        <w:pStyle w:val="headingb"/>
        <w:rPr>
          <w:rFonts w:eastAsia="SimSun"/>
          <w:lang w:eastAsia="ja-JP"/>
        </w:rPr>
      </w:pPr>
      <w:r w:rsidRPr="00754E83">
        <w:rPr>
          <w:rFonts w:eastAsia="SimSun"/>
          <w:lang w:eastAsia="ja-JP"/>
        </w:rPr>
        <w:t>17</w:t>
      </w:r>
      <w:r w:rsidRPr="00754E83">
        <w:rPr>
          <w:rFonts w:eastAsia="SimSun"/>
          <w:lang w:eastAsia="ja-JP"/>
        </w:rPr>
        <w:tab/>
      </w:r>
      <w:r w:rsidR="001B2229" w:rsidRPr="00754E83">
        <w:rPr>
          <w:rFonts w:eastAsia="SimSun"/>
          <w:lang w:eastAsia="ja-JP"/>
        </w:rPr>
        <w:t>Annonce de la création du Groupe spécialisé</w:t>
      </w:r>
    </w:p>
    <w:p w:rsidR="001B2229" w:rsidRPr="00754E83" w:rsidRDefault="001B2229" w:rsidP="005A4433">
      <w:pPr>
        <w:rPr>
          <w:rFonts w:eastAsia="SimSun"/>
          <w:lang w:eastAsia="ja-JP"/>
        </w:rPr>
      </w:pPr>
      <w:r w:rsidRPr="00754E83">
        <w:rPr>
          <w:rFonts w:eastAsia="SimSun"/>
          <w:lang w:eastAsia="ja-JP"/>
        </w:rPr>
        <w:t>La création du Groupe spécialisé sera annoncée par l</w:t>
      </w:r>
      <w:r w:rsidR="00E15F0E">
        <w:rPr>
          <w:rFonts w:eastAsia="SimSun"/>
          <w:lang w:eastAsia="ja-JP"/>
        </w:rPr>
        <w:t>'</w:t>
      </w:r>
      <w:r w:rsidRPr="00754E83">
        <w:rPr>
          <w:rFonts w:eastAsia="SimSun"/>
          <w:lang w:eastAsia="ja-JP"/>
        </w:rPr>
        <w:t>intermédiaire d</w:t>
      </w:r>
      <w:r w:rsidR="00E15F0E">
        <w:rPr>
          <w:rFonts w:eastAsia="SimSun"/>
          <w:lang w:eastAsia="ja-JP"/>
        </w:rPr>
        <w:t>'</w:t>
      </w:r>
      <w:r w:rsidRPr="00754E83">
        <w:rPr>
          <w:rFonts w:eastAsia="SimSun"/>
          <w:lang w:eastAsia="ja-JP"/>
        </w:rPr>
        <w:t>une Circulaire du TSB adressée à l</w:t>
      </w:r>
      <w:r w:rsidR="00E15F0E">
        <w:rPr>
          <w:rFonts w:eastAsia="SimSun"/>
          <w:lang w:eastAsia="ja-JP"/>
        </w:rPr>
        <w:t>'</w:t>
      </w:r>
      <w:r w:rsidRPr="00754E83">
        <w:rPr>
          <w:rFonts w:eastAsia="SimSun"/>
          <w:lang w:eastAsia="ja-JP"/>
        </w:rPr>
        <w:t>ensemble des membres de l</w:t>
      </w:r>
      <w:r w:rsidR="00E15F0E">
        <w:rPr>
          <w:rFonts w:eastAsia="SimSun"/>
          <w:lang w:eastAsia="ja-JP"/>
        </w:rPr>
        <w:t>'</w:t>
      </w:r>
      <w:r w:rsidRPr="00754E83">
        <w:rPr>
          <w:rFonts w:eastAsia="SimSun"/>
          <w:lang w:eastAsia="ja-JP"/>
        </w:rPr>
        <w:t>UIT, dans le bulletin d</w:t>
      </w:r>
      <w:r w:rsidR="00E15F0E">
        <w:rPr>
          <w:rFonts w:eastAsia="SimSun"/>
          <w:lang w:eastAsia="ja-JP"/>
        </w:rPr>
        <w:t>'</w:t>
      </w:r>
      <w:r w:rsidRPr="00754E83">
        <w:rPr>
          <w:rFonts w:eastAsia="SimSun"/>
          <w:lang w:eastAsia="ja-JP"/>
        </w:rPr>
        <w:t>actualités de l</w:t>
      </w:r>
      <w:r w:rsidR="00E15F0E">
        <w:rPr>
          <w:rFonts w:eastAsia="SimSun"/>
          <w:lang w:eastAsia="ja-JP"/>
        </w:rPr>
        <w:t>'</w:t>
      </w:r>
      <w:r w:rsidRPr="00754E83">
        <w:rPr>
          <w:rFonts w:eastAsia="SimSun"/>
          <w:lang w:eastAsia="ja-JP"/>
        </w:rPr>
        <w:t>UIT-T, dans des communiqués de presse et par d</w:t>
      </w:r>
      <w:r w:rsidR="00E15F0E">
        <w:rPr>
          <w:rFonts w:eastAsia="SimSun"/>
          <w:lang w:eastAsia="ja-JP"/>
        </w:rPr>
        <w:t>'</w:t>
      </w:r>
      <w:r w:rsidRPr="00754E83">
        <w:rPr>
          <w:rFonts w:eastAsia="SimSun"/>
          <w:lang w:eastAsia="ja-JP"/>
        </w:rPr>
        <w:t xml:space="preserve">autres moyens, y compris la communication avec les autres organisations concernées. </w:t>
      </w:r>
    </w:p>
    <w:p w:rsidR="00A90C58" w:rsidRPr="00754E83" w:rsidRDefault="00A90C58" w:rsidP="005A4433">
      <w:pPr>
        <w:pStyle w:val="Heading1"/>
        <w:rPr>
          <w:rFonts w:eastAsia="SimSun"/>
          <w:lang w:eastAsia="ja-JP"/>
        </w:rPr>
      </w:pPr>
      <w:r w:rsidRPr="00754E83">
        <w:rPr>
          <w:rFonts w:eastAsia="SimSun"/>
          <w:lang w:eastAsia="ja-JP"/>
        </w:rPr>
        <w:t>18</w:t>
      </w:r>
      <w:r w:rsidRPr="00754E83">
        <w:rPr>
          <w:rFonts w:eastAsia="SimSun"/>
          <w:lang w:eastAsia="ja-JP"/>
        </w:rPr>
        <w:tab/>
      </w:r>
      <w:r w:rsidR="00285455" w:rsidRPr="00754E83">
        <w:rPr>
          <w:rFonts w:eastAsia="SimSun"/>
          <w:lang w:eastAsia="ja-JP"/>
        </w:rPr>
        <w:t>E</w:t>
      </w:r>
      <w:r w:rsidR="000D1F71" w:rsidRPr="00754E83">
        <w:rPr>
          <w:rFonts w:eastAsia="SimSun"/>
          <w:lang w:eastAsia="ja-JP"/>
        </w:rPr>
        <w:t>chéances</w:t>
      </w:r>
      <w:r w:rsidR="00C468F2" w:rsidRPr="00754E83">
        <w:rPr>
          <w:rFonts w:eastAsia="SimSun"/>
          <w:lang w:eastAsia="ja-JP"/>
        </w:rPr>
        <w:t xml:space="preserve"> et durée d</w:t>
      </w:r>
      <w:r w:rsidR="00656FDC" w:rsidRPr="00754E83">
        <w:rPr>
          <w:rFonts w:eastAsia="SimSun"/>
          <w:lang w:eastAsia="ja-JP"/>
        </w:rPr>
        <w:t xml:space="preserve">es activités </w:t>
      </w:r>
      <w:r w:rsidR="00C468F2" w:rsidRPr="00754E83">
        <w:rPr>
          <w:rFonts w:eastAsia="SimSun"/>
          <w:lang w:eastAsia="ja-JP"/>
        </w:rPr>
        <w:t>du Groupe spécialisé</w:t>
      </w:r>
    </w:p>
    <w:p w:rsidR="00A90C58" w:rsidRPr="00754E83" w:rsidRDefault="00656FDC" w:rsidP="005A4433">
      <w:pPr>
        <w:rPr>
          <w:rFonts w:eastAsia="SimSun"/>
          <w:lang w:eastAsia="ja-JP"/>
        </w:rPr>
      </w:pPr>
      <w:r w:rsidRPr="00754E83">
        <w:rPr>
          <w:rFonts w:eastAsia="SimSun"/>
          <w:lang w:eastAsia="ja-JP"/>
        </w:rPr>
        <w:t xml:space="preserve">La durée </w:t>
      </w:r>
      <w:r w:rsidR="000D6D97" w:rsidRPr="00754E83">
        <w:rPr>
          <w:rFonts w:eastAsia="SimSun"/>
          <w:lang w:eastAsia="ja-JP"/>
        </w:rPr>
        <w:t>du mandat</w:t>
      </w:r>
      <w:r w:rsidRPr="00754E83">
        <w:rPr>
          <w:rFonts w:eastAsia="SimSun"/>
          <w:lang w:eastAsia="ja-JP"/>
        </w:rPr>
        <w:t xml:space="preserve"> du Groupe spécialisé est d</w:t>
      </w:r>
      <w:r w:rsidR="00042A05" w:rsidRPr="00754E83">
        <w:rPr>
          <w:rFonts w:eastAsia="SimSun"/>
          <w:lang w:eastAsia="ja-JP"/>
        </w:rPr>
        <w:t xml:space="preserve">e deux </w:t>
      </w:r>
      <w:r w:rsidRPr="00754E83">
        <w:rPr>
          <w:rFonts w:eastAsia="SimSun"/>
          <w:lang w:eastAsia="ja-JP"/>
        </w:rPr>
        <w:t>an</w:t>
      </w:r>
      <w:r w:rsidR="00042A05" w:rsidRPr="00754E83">
        <w:rPr>
          <w:rFonts w:eastAsia="SimSun"/>
          <w:lang w:eastAsia="ja-JP"/>
        </w:rPr>
        <w:t>s</w:t>
      </w:r>
      <w:r w:rsidRPr="00754E83">
        <w:rPr>
          <w:rFonts w:eastAsia="SimSun"/>
          <w:lang w:eastAsia="ja-JP"/>
        </w:rPr>
        <w:t xml:space="preserve"> à compter de la première réunion du Groupe</w:t>
      </w:r>
      <w:r w:rsidR="000D6D97" w:rsidRPr="00754E83">
        <w:rPr>
          <w:rFonts w:eastAsia="SimSun"/>
          <w:lang w:eastAsia="ja-JP"/>
        </w:rPr>
        <w:t>, mais pourra être prorogée le cas échéant sur décision de l</w:t>
      </w:r>
      <w:r w:rsidR="00E15F0E">
        <w:rPr>
          <w:rFonts w:eastAsia="SimSun"/>
          <w:lang w:eastAsia="ja-JP"/>
        </w:rPr>
        <w:t>'</w:t>
      </w:r>
      <w:r w:rsidR="000D6D97" w:rsidRPr="00754E83">
        <w:rPr>
          <w:rFonts w:eastAsia="SimSun"/>
          <w:lang w:eastAsia="ja-JP"/>
        </w:rPr>
        <w:t>entité de rattachement</w:t>
      </w:r>
      <w:r w:rsidRPr="00754E83">
        <w:rPr>
          <w:rFonts w:eastAsia="SimSun"/>
          <w:lang w:eastAsia="ja-JP"/>
        </w:rPr>
        <w:t xml:space="preserve"> </w:t>
      </w:r>
      <w:r w:rsidR="00A90C58" w:rsidRPr="00754E83">
        <w:rPr>
          <w:rFonts w:eastAsia="SimSun"/>
          <w:lang w:eastAsia="ja-JP"/>
        </w:rPr>
        <w:t>(</w:t>
      </w:r>
      <w:r w:rsidR="002465D4">
        <w:rPr>
          <w:rFonts w:eastAsia="SimSun"/>
          <w:lang w:eastAsia="ja-JP"/>
        </w:rPr>
        <w:t>voir </w:t>
      </w:r>
      <w:r w:rsidR="00C468F2" w:rsidRPr="00754E83">
        <w:rPr>
          <w:rFonts w:eastAsia="SimSun"/>
          <w:lang w:eastAsia="ja-JP"/>
        </w:rPr>
        <w:t>UIT</w:t>
      </w:r>
      <w:r w:rsidR="00A90C58" w:rsidRPr="00754E83">
        <w:rPr>
          <w:rFonts w:eastAsia="SimSun"/>
          <w:lang w:eastAsia="ja-JP"/>
        </w:rPr>
        <w:t>-T A</w:t>
      </w:r>
      <w:r w:rsidR="00C468F2" w:rsidRPr="00754E83">
        <w:rPr>
          <w:rFonts w:eastAsia="SimSun"/>
          <w:lang w:eastAsia="ja-JP"/>
        </w:rPr>
        <w:t>.</w:t>
      </w:r>
      <w:r w:rsidR="00A90C58" w:rsidRPr="00754E83">
        <w:rPr>
          <w:rFonts w:eastAsia="SimSun"/>
          <w:lang w:eastAsia="ja-JP"/>
        </w:rPr>
        <w:t xml:space="preserve">7, </w:t>
      </w:r>
      <w:r w:rsidR="00C468F2" w:rsidRPr="00754E83">
        <w:rPr>
          <w:rFonts w:eastAsia="SimSun"/>
          <w:lang w:eastAsia="ja-JP"/>
        </w:rPr>
        <w:t>§ </w:t>
      </w:r>
      <w:r w:rsidR="00A90C58" w:rsidRPr="00754E83">
        <w:rPr>
          <w:rFonts w:eastAsia="SimSun"/>
          <w:lang w:eastAsia="ja-JP"/>
        </w:rPr>
        <w:t xml:space="preserve">2.2). </w:t>
      </w:r>
    </w:p>
    <w:p w:rsidR="00A90C58" w:rsidRPr="00754E83" w:rsidRDefault="00A90C58" w:rsidP="005A4433">
      <w:pPr>
        <w:pStyle w:val="Heading1"/>
        <w:rPr>
          <w:rFonts w:eastAsia="SimSun"/>
          <w:lang w:eastAsia="ja-JP"/>
        </w:rPr>
      </w:pPr>
      <w:r w:rsidRPr="00754E83">
        <w:rPr>
          <w:rFonts w:eastAsia="SimSun"/>
          <w:lang w:eastAsia="ja-JP"/>
        </w:rPr>
        <w:t>19</w:t>
      </w:r>
      <w:r w:rsidRPr="00754E83">
        <w:rPr>
          <w:rFonts w:eastAsia="SimSun"/>
          <w:lang w:eastAsia="ja-JP"/>
        </w:rPr>
        <w:tab/>
      </w:r>
      <w:r w:rsidR="002D7F7C" w:rsidRPr="00754E83">
        <w:rPr>
          <w:rFonts w:eastAsia="SimSun"/>
          <w:lang w:eastAsia="ja-JP"/>
        </w:rPr>
        <w:t>Politique en matière de brevets</w:t>
      </w:r>
      <w:r w:rsidRPr="00754E83">
        <w:rPr>
          <w:rFonts w:eastAsia="SimSun"/>
          <w:lang w:eastAsia="ja-JP"/>
        </w:rPr>
        <w:t xml:space="preserve"> </w:t>
      </w:r>
    </w:p>
    <w:p w:rsidR="00A90C58" w:rsidRDefault="00C468F2" w:rsidP="005A4433">
      <w:pPr>
        <w:rPr>
          <w:rFonts w:eastAsia="SimSun"/>
          <w:lang w:eastAsia="ja-JP"/>
        </w:rPr>
      </w:pPr>
      <w:r w:rsidRPr="00754E83">
        <w:rPr>
          <w:rFonts w:eastAsia="SimSun"/>
          <w:lang w:eastAsia="ja-JP"/>
        </w:rPr>
        <w:t>Voir le § </w:t>
      </w:r>
      <w:r w:rsidR="00A90C58" w:rsidRPr="00754E83">
        <w:rPr>
          <w:rFonts w:eastAsia="SimSun"/>
          <w:lang w:eastAsia="ja-JP"/>
        </w:rPr>
        <w:t xml:space="preserve">9 </w:t>
      </w:r>
      <w:r w:rsidRPr="00754E83">
        <w:rPr>
          <w:rFonts w:eastAsia="SimSun"/>
          <w:lang w:eastAsia="ja-JP"/>
        </w:rPr>
        <w:t xml:space="preserve">de la </w:t>
      </w:r>
      <w:r w:rsidR="00A90C58" w:rsidRPr="00754E83">
        <w:rPr>
          <w:rFonts w:eastAsia="SimSun"/>
          <w:lang w:eastAsia="ja-JP"/>
        </w:rPr>
        <w:t>Recomm</w:t>
      </w:r>
      <w:r w:rsidRPr="00754E83">
        <w:rPr>
          <w:rFonts w:eastAsia="SimSun"/>
          <w:lang w:eastAsia="ja-JP"/>
        </w:rPr>
        <w:t>a</w:t>
      </w:r>
      <w:r w:rsidR="00A90C58" w:rsidRPr="00754E83">
        <w:rPr>
          <w:rFonts w:eastAsia="SimSun"/>
          <w:lang w:eastAsia="ja-JP"/>
        </w:rPr>
        <w:t xml:space="preserve">ndation </w:t>
      </w:r>
      <w:r w:rsidRPr="00754E83">
        <w:rPr>
          <w:rFonts w:eastAsia="SimSun"/>
          <w:lang w:eastAsia="ja-JP"/>
        </w:rPr>
        <w:t>UIT</w:t>
      </w:r>
      <w:r w:rsidR="00A90C58" w:rsidRPr="00754E83">
        <w:rPr>
          <w:rFonts w:eastAsia="SimSun"/>
          <w:lang w:eastAsia="ja-JP"/>
        </w:rPr>
        <w:t>-T A.7.</w:t>
      </w:r>
    </w:p>
    <w:p w:rsidR="00E12A23" w:rsidRPr="00754E83" w:rsidRDefault="00E12A23" w:rsidP="005A4433">
      <w:pPr>
        <w:rPr>
          <w:rFonts w:eastAsia="SimSun"/>
          <w:lang w:eastAsia="ja-JP"/>
        </w:rPr>
      </w:pPr>
    </w:p>
    <w:p w:rsidR="008B267D" w:rsidRPr="00754E83" w:rsidRDefault="008B267D" w:rsidP="005A4433">
      <w:pPr>
        <w:rPr>
          <w:rFonts w:eastAsia="SimSun"/>
          <w:lang w:eastAsia="ja-JP"/>
        </w:rPr>
      </w:pPr>
      <w:r w:rsidRPr="00754E83">
        <w:rPr>
          <w:rFonts w:eastAsia="SimSun"/>
          <w:lang w:eastAsia="ja-JP"/>
        </w:rPr>
        <w:br w:type="page"/>
      </w:r>
    </w:p>
    <w:p w:rsidR="00A90C58" w:rsidRPr="00754E83" w:rsidRDefault="00A90C58" w:rsidP="005A4433">
      <w:pPr>
        <w:pStyle w:val="Annex"/>
        <w:rPr>
          <w:b/>
          <w:bCs/>
          <w:sz w:val="28"/>
          <w:szCs w:val="28"/>
        </w:rPr>
      </w:pPr>
      <w:r w:rsidRPr="00754E83">
        <w:rPr>
          <w:b/>
          <w:bCs/>
          <w:sz w:val="28"/>
          <w:szCs w:val="28"/>
        </w:rPr>
        <w:t>ANNEX</w:t>
      </w:r>
      <w:r w:rsidR="00656FDC" w:rsidRPr="00754E83">
        <w:rPr>
          <w:b/>
          <w:bCs/>
          <w:sz w:val="28"/>
          <w:szCs w:val="28"/>
        </w:rPr>
        <w:t>E</w:t>
      </w:r>
      <w:r w:rsidRPr="00754E83">
        <w:rPr>
          <w:b/>
          <w:bCs/>
          <w:sz w:val="28"/>
          <w:szCs w:val="28"/>
        </w:rPr>
        <w:t xml:space="preserve"> 2</w:t>
      </w:r>
    </w:p>
    <w:p w:rsidR="00A90C58" w:rsidRPr="00754E83" w:rsidRDefault="00656FDC" w:rsidP="005A4433">
      <w:pPr>
        <w:pStyle w:val="AnnexTitle"/>
        <w:rPr>
          <w:sz w:val="28"/>
          <w:szCs w:val="28"/>
        </w:rPr>
      </w:pPr>
      <w:r w:rsidRPr="00754E83">
        <w:rPr>
          <w:sz w:val="28"/>
          <w:szCs w:val="28"/>
        </w:rPr>
        <w:t xml:space="preserve">Première réunion du Groupe </w:t>
      </w:r>
      <w:r w:rsidR="00A90C58" w:rsidRPr="00754E83">
        <w:rPr>
          <w:sz w:val="28"/>
          <w:szCs w:val="28"/>
        </w:rPr>
        <w:t>FG-</w:t>
      </w:r>
      <w:r w:rsidR="00042A05" w:rsidRPr="00754E83">
        <w:rPr>
          <w:sz w:val="28"/>
          <w:szCs w:val="28"/>
        </w:rPr>
        <w:t xml:space="preserve">AI4H </w:t>
      </w:r>
      <w:r w:rsidRPr="00754E83">
        <w:rPr>
          <w:sz w:val="28"/>
          <w:szCs w:val="28"/>
        </w:rPr>
        <w:t>de l</w:t>
      </w:r>
      <w:r w:rsidR="00E15F0E">
        <w:rPr>
          <w:sz w:val="28"/>
          <w:szCs w:val="28"/>
        </w:rPr>
        <w:t>'</w:t>
      </w:r>
      <w:r w:rsidRPr="00754E83">
        <w:rPr>
          <w:sz w:val="28"/>
          <w:szCs w:val="28"/>
        </w:rPr>
        <w:t>UIT</w:t>
      </w:r>
      <w:r w:rsidRPr="00754E83">
        <w:rPr>
          <w:sz w:val="28"/>
          <w:szCs w:val="28"/>
        </w:rPr>
        <w:noBreakHyphen/>
        <w:t>T</w:t>
      </w:r>
      <w:r w:rsidR="00042A05" w:rsidRPr="00754E83">
        <w:rPr>
          <w:sz w:val="28"/>
          <w:szCs w:val="28"/>
        </w:rPr>
        <w:t xml:space="preserve"> et atelier</w:t>
      </w:r>
      <w:r w:rsidR="00A90C58" w:rsidRPr="00754E83">
        <w:rPr>
          <w:sz w:val="28"/>
          <w:szCs w:val="28"/>
        </w:rPr>
        <w:t>:</w:t>
      </w:r>
      <w:r w:rsidRPr="00754E83">
        <w:rPr>
          <w:sz w:val="28"/>
          <w:szCs w:val="28"/>
        </w:rPr>
        <w:t xml:space="preserve"> </w:t>
      </w:r>
      <w:r w:rsidR="00A90C58" w:rsidRPr="00754E83">
        <w:rPr>
          <w:sz w:val="28"/>
          <w:szCs w:val="28"/>
        </w:rPr>
        <w:br/>
        <w:t>Gen</w:t>
      </w:r>
      <w:r w:rsidRPr="00754E83">
        <w:rPr>
          <w:sz w:val="28"/>
          <w:szCs w:val="28"/>
        </w:rPr>
        <w:t>ève</w:t>
      </w:r>
      <w:r w:rsidR="00A90C58" w:rsidRPr="00754E83">
        <w:rPr>
          <w:sz w:val="28"/>
          <w:szCs w:val="28"/>
        </w:rPr>
        <w:t xml:space="preserve"> </w:t>
      </w:r>
      <w:r w:rsidRPr="00754E83">
        <w:rPr>
          <w:sz w:val="28"/>
          <w:szCs w:val="28"/>
        </w:rPr>
        <w:t>(</w:t>
      </w:r>
      <w:r w:rsidR="00A90C58" w:rsidRPr="00754E83">
        <w:rPr>
          <w:sz w:val="28"/>
          <w:szCs w:val="28"/>
        </w:rPr>
        <w:t>S</w:t>
      </w:r>
      <w:r w:rsidRPr="00754E83">
        <w:rPr>
          <w:sz w:val="28"/>
          <w:szCs w:val="28"/>
        </w:rPr>
        <w:t>uisse)</w:t>
      </w:r>
      <w:r w:rsidR="00A90C58" w:rsidRPr="00754E83">
        <w:rPr>
          <w:sz w:val="28"/>
          <w:szCs w:val="28"/>
        </w:rPr>
        <w:t xml:space="preserve">, </w:t>
      </w:r>
      <w:r w:rsidR="00042A05" w:rsidRPr="00754E83">
        <w:rPr>
          <w:sz w:val="28"/>
          <w:szCs w:val="28"/>
        </w:rPr>
        <w:t xml:space="preserve">25-27 septembre </w:t>
      </w:r>
      <w:r w:rsidR="00A90C58" w:rsidRPr="00754E83">
        <w:rPr>
          <w:sz w:val="28"/>
          <w:szCs w:val="28"/>
        </w:rPr>
        <w:t>201</w:t>
      </w:r>
      <w:r w:rsidR="00A87A94" w:rsidRPr="00754E83">
        <w:rPr>
          <w:sz w:val="28"/>
          <w:szCs w:val="28"/>
        </w:rPr>
        <w:t>8</w:t>
      </w:r>
    </w:p>
    <w:p w:rsidR="00A90C58" w:rsidRPr="00754E83" w:rsidRDefault="00656FDC" w:rsidP="005A4433">
      <w:pPr>
        <w:pStyle w:val="AnnexTitle"/>
        <w:rPr>
          <w:rFonts w:eastAsia="SimSun"/>
          <w:szCs w:val="24"/>
          <w:lang w:eastAsia="ja-JP"/>
        </w:rPr>
      </w:pPr>
      <w:r w:rsidRPr="00754E83">
        <w:rPr>
          <w:sz w:val="28"/>
          <w:szCs w:val="28"/>
        </w:rPr>
        <w:t>I</w:t>
      </w:r>
      <w:r w:rsidR="00A90C58" w:rsidRPr="00754E83">
        <w:rPr>
          <w:sz w:val="28"/>
          <w:szCs w:val="28"/>
        </w:rPr>
        <w:t>nformation</w:t>
      </w:r>
      <w:r w:rsidRPr="00754E83">
        <w:rPr>
          <w:sz w:val="28"/>
          <w:szCs w:val="28"/>
        </w:rPr>
        <w:t xml:space="preserve">s pratiques pour les </w:t>
      </w:r>
      <w:r w:rsidR="00A90C58" w:rsidRPr="00754E83">
        <w:rPr>
          <w:sz w:val="28"/>
          <w:szCs w:val="28"/>
        </w:rPr>
        <w:t>participants</w:t>
      </w:r>
    </w:p>
    <w:p w:rsidR="002D7F7C" w:rsidRPr="00754E83" w:rsidRDefault="002D7F7C" w:rsidP="00E12A23">
      <w:pPr>
        <w:pStyle w:val="AnnexTitle"/>
        <w:spacing w:before="480"/>
        <w:rPr>
          <w:sz w:val="28"/>
          <w:szCs w:val="22"/>
        </w:rPr>
      </w:pPr>
      <w:r w:rsidRPr="00754E83">
        <w:t>MÉTHODES DE TRAVAIL ET INSTALLATIONS</w:t>
      </w:r>
    </w:p>
    <w:p w:rsidR="00A90C58" w:rsidRPr="00754E83" w:rsidRDefault="008C215C" w:rsidP="005A4433">
      <w:pPr>
        <w:rPr>
          <w:rFonts w:eastAsia="SimSun"/>
          <w:b/>
          <w:bCs/>
          <w:szCs w:val="24"/>
          <w:lang w:eastAsia="zh-CN"/>
        </w:rPr>
      </w:pPr>
      <w:r w:rsidRPr="00754E83">
        <w:rPr>
          <w:rFonts w:asciiTheme="minorHAnsi" w:eastAsia="SimSun" w:hAnsiTheme="minorHAnsi"/>
          <w:b/>
          <w:bCs/>
          <w:szCs w:val="24"/>
          <w:lang w:eastAsia="zh-CN"/>
        </w:rPr>
        <w:t>SOUMISSION DES DOCUMENTS ET ACCÈS</w:t>
      </w:r>
      <w:r w:rsidRPr="00754E83">
        <w:rPr>
          <w:rFonts w:asciiTheme="minorHAnsi" w:eastAsia="SimSun" w:hAnsiTheme="minorHAnsi"/>
          <w:szCs w:val="24"/>
          <w:lang w:eastAsia="zh-CN"/>
        </w:rPr>
        <w:t>:</w:t>
      </w:r>
      <w:r w:rsidRPr="00754E83">
        <w:rPr>
          <w:rFonts w:asciiTheme="minorHAnsi" w:eastAsia="SimSun" w:hAnsiTheme="minorHAnsi"/>
          <w:b/>
          <w:bCs/>
          <w:szCs w:val="24"/>
          <w:lang w:eastAsia="zh-CN"/>
        </w:rPr>
        <w:t xml:space="preserve"> </w:t>
      </w:r>
      <w:r w:rsidRPr="00754E83">
        <w:rPr>
          <w:rFonts w:asciiTheme="minorHAnsi" w:hAnsiTheme="minorHAnsi" w:cstheme="majorBidi"/>
          <w:szCs w:val="24"/>
        </w:rPr>
        <w:t xml:space="preserve">La réunion </w:t>
      </w:r>
      <w:r w:rsidR="00042A05" w:rsidRPr="00754E83">
        <w:rPr>
          <w:rFonts w:asciiTheme="minorHAnsi" w:hAnsiTheme="minorHAnsi" w:cstheme="majorBidi"/>
          <w:szCs w:val="24"/>
        </w:rPr>
        <w:t>et l</w:t>
      </w:r>
      <w:r w:rsidR="00E15F0E">
        <w:rPr>
          <w:rFonts w:asciiTheme="minorHAnsi" w:hAnsiTheme="minorHAnsi" w:cstheme="majorBidi"/>
          <w:szCs w:val="24"/>
        </w:rPr>
        <w:t>'</w:t>
      </w:r>
      <w:r w:rsidR="00042A05" w:rsidRPr="00754E83">
        <w:rPr>
          <w:rFonts w:asciiTheme="minorHAnsi" w:hAnsiTheme="minorHAnsi" w:cstheme="majorBidi"/>
          <w:szCs w:val="24"/>
        </w:rPr>
        <w:t>atelier se dérouleront</w:t>
      </w:r>
      <w:r w:rsidR="005A4433">
        <w:rPr>
          <w:rFonts w:asciiTheme="minorHAnsi" w:hAnsiTheme="minorHAnsi" w:cstheme="majorBidi"/>
          <w:szCs w:val="24"/>
        </w:rPr>
        <w:t xml:space="preserve"> sans document </w:t>
      </w:r>
      <w:r w:rsidRPr="00754E83">
        <w:rPr>
          <w:rFonts w:asciiTheme="minorHAnsi" w:hAnsiTheme="minorHAnsi" w:cstheme="majorBidi"/>
          <w:szCs w:val="24"/>
        </w:rPr>
        <w:t xml:space="preserve">papier. </w:t>
      </w:r>
      <w:r w:rsidR="002D7F7C" w:rsidRPr="00754E83">
        <w:t>D</w:t>
      </w:r>
      <w:r w:rsidR="002A6256" w:rsidRPr="00754E83">
        <w:t xml:space="preserve">es contributions écrites </w:t>
      </w:r>
      <w:r w:rsidR="00042A05" w:rsidRPr="00754E83">
        <w:t xml:space="preserve">à la réunion du Groupe spécialisé </w:t>
      </w:r>
      <w:r w:rsidR="002A6256" w:rsidRPr="00754E83">
        <w:t xml:space="preserve">sont </w:t>
      </w:r>
      <w:r w:rsidR="002D7F7C" w:rsidRPr="00754E83">
        <w:t>souhaitées</w:t>
      </w:r>
      <w:r w:rsidR="002A6256" w:rsidRPr="00754E83">
        <w:t>. Elles doivent être envoyées par courrier électronique à l</w:t>
      </w:r>
      <w:r w:rsidR="00E15F0E">
        <w:t>'</w:t>
      </w:r>
      <w:r w:rsidR="002A6256" w:rsidRPr="00754E83">
        <w:t xml:space="preserve">adresse </w:t>
      </w:r>
      <w:hyperlink r:id="rId19" w:history="1">
        <w:r w:rsidR="00042A05" w:rsidRPr="00754E83">
          <w:rPr>
            <w:rStyle w:val="Hyperlink"/>
            <w:rFonts w:eastAsia="SimSun"/>
            <w:szCs w:val="24"/>
            <w:lang w:eastAsia="zh-CN"/>
          </w:rPr>
          <w:t>tsbfgai4h@itu.int</w:t>
        </w:r>
      </w:hyperlink>
      <w:r w:rsidR="00042A05" w:rsidRPr="00754E83">
        <w:rPr>
          <w:rFonts w:eastAsia="SimSun"/>
          <w:szCs w:val="24"/>
          <w:lang w:eastAsia="zh-CN"/>
        </w:rPr>
        <w:t xml:space="preserve"> </w:t>
      </w:r>
      <w:r w:rsidR="002A6256" w:rsidRPr="00754E83">
        <w:t>au plus tard</w:t>
      </w:r>
      <w:r w:rsidR="005A4433">
        <w:rPr>
          <w:b/>
          <w:bCs/>
        </w:rPr>
        <w:t xml:space="preserve"> le </w:t>
      </w:r>
      <w:r w:rsidR="00A87A94" w:rsidRPr="00754E83">
        <w:rPr>
          <w:b/>
          <w:bCs/>
        </w:rPr>
        <w:t xml:space="preserve">19 </w:t>
      </w:r>
      <w:r w:rsidR="00042A05" w:rsidRPr="00754E83">
        <w:rPr>
          <w:b/>
          <w:bCs/>
        </w:rPr>
        <w:t xml:space="preserve">septembre </w:t>
      </w:r>
      <w:r w:rsidR="002A6256" w:rsidRPr="00754E83">
        <w:rPr>
          <w:b/>
          <w:bCs/>
        </w:rPr>
        <w:t>201</w:t>
      </w:r>
      <w:r w:rsidR="00A87A94" w:rsidRPr="00754E83">
        <w:rPr>
          <w:b/>
          <w:bCs/>
        </w:rPr>
        <w:t>8</w:t>
      </w:r>
      <w:r w:rsidR="005A4433">
        <w:t xml:space="preserve">. Le </w:t>
      </w:r>
      <w:hyperlink r:id="rId20" w:history="1">
        <w:r w:rsidR="005A4433">
          <w:rPr>
            <w:rStyle w:val="Hyperlink"/>
            <w:rFonts w:eastAsia="SimSun"/>
            <w:szCs w:val="24"/>
            <w:lang w:eastAsia="zh-CN"/>
          </w:rPr>
          <w:t>gabarit</w:t>
        </w:r>
      </w:hyperlink>
      <w:r w:rsidR="00042A05" w:rsidRPr="00754E83">
        <w:rPr>
          <w:rFonts w:eastAsia="SimSun"/>
          <w:szCs w:val="24"/>
          <w:lang w:eastAsia="zh-CN"/>
        </w:rPr>
        <w:t xml:space="preserve"> </w:t>
      </w:r>
      <w:r w:rsidR="005A4433">
        <w:t>pour les</w:t>
      </w:r>
      <w:r w:rsidR="008B267D" w:rsidRPr="00754E83">
        <w:t xml:space="preserve"> document</w:t>
      </w:r>
      <w:r w:rsidR="005A4433">
        <w:t>s</w:t>
      </w:r>
      <w:r w:rsidR="00A87A94" w:rsidRPr="00754E83">
        <w:t xml:space="preserve"> </w:t>
      </w:r>
      <w:r w:rsidR="005A4433">
        <w:t>se trouve</w:t>
      </w:r>
      <w:r w:rsidR="00A87A94" w:rsidRPr="00754E83">
        <w:t xml:space="preserve"> sur la </w:t>
      </w:r>
      <w:hyperlink r:id="rId21" w:history="1">
        <w:r w:rsidR="00042A05" w:rsidRPr="00754E83">
          <w:rPr>
            <w:rStyle w:val="Hyperlink"/>
            <w:rFonts w:eastAsia="SimSun"/>
            <w:szCs w:val="24"/>
            <w:lang w:eastAsia="zh-CN"/>
          </w:rPr>
          <w:t>page d</w:t>
        </w:r>
        <w:r w:rsidR="00E15F0E">
          <w:rPr>
            <w:rStyle w:val="Hyperlink"/>
            <w:rFonts w:eastAsia="SimSun"/>
            <w:szCs w:val="24"/>
            <w:lang w:eastAsia="zh-CN"/>
          </w:rPr>
          <w:t>'</w:t>
        </w:r>
        <w:r w:rsidR="00042A05" w:rsidRPr="00754E83">
          <w:rPr>
            <w:rStyle w:val="Hyperlink"/>
            <w:rFonts w:eastAsia="SimSun"/>
            <w:szCs w:val="24"/>
            <w:lang w:eastAsia="zh-CN"/>
          </w:rPr>
          <w:t>accueil du Groupe FG-AI4H</w:t>
        </w:r>
      </w:hyperlink>
      <w:r w:rsidR="00042A05" w:rsidRPr="00754E83">
        <w:rPr>
          <w:rFonts w:eastAsia="SimSun"/>
          <w:szCs w:val="24"/>
          <w:lang w:eastAsia="zh-CN"/>
        </w:rPr>
        <w:t xml:space="preserve">. </w:t>
      </w:r>
      <w:r w:rsidR="002D7F7C" w:rsidRPr="00754E83">
        <w:t xml:space="preserve">Tous les documents de travail et tous les documents finals seront accessibles </w:t>
      </w:r>
      <w:r w:rsidR="002D7F7C" w:rsidRPr="00754E83">
        <w:rPr>
          <w:rFonts w:eastAsia="SimSun"/>
          <w:szCs w:val="24"/>
          <w:lang w:eastAsia="zh-CN"/>
        </w:rPr>
        <w:t>depuis l</w:t>
      </w:r>
      <w:r w:rsidR="00042A05" w:rsidRPr="00754E83">
        <w:rPr>
          <w:rFonts w:eastAsia="SimSun"/>
          <w:szCs w:val="24"/>
          <w:lang w:eastAsia="zh-CN"/>
        </w:rPr>
        <w:t>e</w:t>
      </w:r>
      <w:r w:rsidR="002D7F7C" w:rsidRPr="00754E83">
        <w:rPr>
          <w:rFonts w:eastAsia="SimSun"/>
          <w:szCs w:val="24"/>
          <w:lang w:eastAsia="zh-CN"/>
        </w:rPr>
        <w:t xml:space="preserve"> </w:t>
      </w:r>
      <w:hyperlink r:id="rId22" w:history="1">
        <w:r w:rsidR="00042A05" w:rsidRPr="00754E83">
          <w:rPr>
            <w:rStyle w:val="Hyperlink"/>
            <w:rFonts w:eastAsia="SimSun"/>
            <w:szCs w:val="24"/>
            <w:lang w:eastAsia="zh-CN"/>
          </w:rPr>
          <w:t xml:space="preserve">site collaboratif du Groupe </w:t>
        </w:r>
        <w:r w:rsidR="00042A05" w:rsidRPr="00754E83">
          <w:rPr>
            <w:rStyle w:val="Hyperlink"/>
            <w:rFonts w:eastAsia="SimSun"/>
            <w:lang w:eastAsia="zh-CN"/>
          </w:rPr>
          <w:t>FG-AI4H</w:t>
        </w:r>
      </w:hyperlink>
      <w:r w:rsidR="00042A05" w:rsidRPr="00754E83">
        <w:rPr>
          <w:rFonts w:eastAsia="SimSun"/>
          <w:lang w:eastAsia="zh-CN"/>
        </w:rPr>
        <w:t xml:space="preserve"> </w:t>
      </w:r>
      <w:r w:rsidR="00A90C58" w:rsidRPr="00754E83">
        <w:rPr>
          <w:rFonts w:eastAsia="SimSun"/>
          <w:szCs w:val="24"/>
          <w:lang w:eastAsia="zh-CN"/>
        </w:rPr>
        <w:t>(</w:t>
      </w:r>
      <w:r w:rsidR="002D7F7C" w:rsidRPr="00754E83">
        <w:rPr>
          <w:rFonts w:eastAsia="SimSun"/>
          <w:szCs w:val="24"/>
          <w:lang w:eastAsia="zh-CN"/>
        </w:rPr>
        <w:t xml:space="preserve">un compte </w:t>
      </w:r>
      <w:r w:rsidR="00042A05" w:rsidRPr="00754E83">
        <w:rPr>
          <w:rFonts w:eastAsia="SimSun"/>
          <w:szCs w:val="24"/>
          <w:lang w:eastAsia="zh-CN"/>
        </w:rPr>
        <w:t xml:space="preserve">UIT gratuit </w:t>
      </w:r>
      <w:r w:rsidR="002D7F7C" w:rsidRPr="00754E83">
        <w:rPr>
          <w:rFonts w:eastAsia="SimSun"/>
          <w:szCs w:val="24"/>
          <w:lang w:eastAsia="zh-CN"/>
        </w:rPr>
        <w:t>est nécessaire</w:t>
      </w:r>
      <w:r w:rsidR="00A90C58" w:rsidRPr="00754E83">
        <w:rPr>
          <w:rFonts w:eastAsia="SimSun"/>
          <w:szCs w:val="24"/>
          <w:lang w:eastAsia="zh-CN"/>
        </w:rPr>
        <w:t>).</w:t>
      </w:r>
    </w:p>
    <w:p w:rsidR="00516EB7" w:rsidRPr="00754E83" w:rsidRDefault="002D7F7C" w:rsidP="005A4433">
      <w:r w:rsidRPr="00754E83">
        <w:t xml:space="preserve">Des équipements de </w:t>
      </w:r>
      <w:r w:rsidRPr="00754E83">
        <w:rPr>
          <w:b/>
          <w:bCs/>
        </w:rPr>
        <w:t xml:space="preserve">RÉSEAU LOCAL SANS FIL </w:t>
      </w:r>
      <w:r w:rsidRPr="00754E83">
        <w:t>s</w:t>
      </w:r>
      <w:r w:rsidR="005A4433">
        <w:t>er</w:t>
      </w:r>
      <w:r w:rsidRPr="00754E83">
        <w:t xml:space="preserve">ont </w:t>
      </w:r>
      <w:r w:rsidR="00042A05" w:rsidRPr="00754E83">
        <w:t xml:space="preserve">mis </w:t>
      </w:r>
      <w:r w:rsidRPr="00754E83">
        <w:t xml:space="preserve">à disposition </w:t>
      </w:r>
      <w:r w:rsidR="00042A05" w:rsidRPr="00754E83">
        <w:t>sur le lieu de la réunion</w:t>
      </w:r>
      <w:r w:rsidR="00516EB7" w:rsidRPr="00754E83">
        <w:t>.</w:t>
      </w:r>
    </w:p>
    <w:p w:rsidR="002D7F7C" w:rsidRPr="00754E83" w:rsidRDefault="002D7F7C" w:rsidP="00E12A23">
      <w:pPr>
        <w:keepNext/>
        <w:keepLines/>
        <w:spacing w:before="480" w:after="280"/>
        <w:jc w:val="center"/>
        <w:rPr>
          <w:b/>
        </w:rPr>
      </w:pPr>
      <w:r w:rsidRPr="00754E83">
        <w:rPr>
          <w:b/>
        </w:rPr>
        <w:t>INSCRIPTION</w:t>
      </w:r>
      <w:r w:rsidRPr="00754E83">
        <w:rPr>
          <w:bCs/>
          <w:szCs w:val="24"/>
        </w:rPr>
        <w:t xml:space="preserve"> </w:t>
      </w:r>
      <w:r w:rsidRPr="00754E83">
        <w:rPr>
          <w:b/>
        </w:rPr>
        <w:t>PRÉALABLE</w:t>
      </w:r>
    </w:p>
    <w:p w:rsidR="00516EB7" w:rsidRPr="00754E83" w:rsidRDefault="00516EB7" w:rsidP="005A4433">
      <w:pPr>
        <w:pStyle w:val="Normalaftertitle"/>
      </w:pPr>
      <w:r w:rsidRPr="00754E83">
        <w:rPr>
          <w:b/>
          <w:bCs/>
        </w:rPr>
        <w:t>INSCRIPTION PRÉALABLE</w:t>
      </w:r>
      <w:r w:rsidRPr="00754E83">
        <w:t>:</w:t>
      </w:r>
      <w:r w:rsidRPr="00754E83">
        <w:rPr>
          <w:b/>
          <w:bCs/>
        </w:rPr>
        <w:t xml:space="preserve"> </w:t>
      </w:r>
      <w:r w:rsidRPr="00754E83">
        <w:t>L</w:t>
      </w:r>
      <w:r w:rsidR="00E15F0E">
        <w:t>'</w:t>
      </w:r>
      <w:r w:rsidRPr="00754E83">
        <w:t>inscription préalable pour la participatio</w:t>
      </w:r>
      <w:r w:rsidR="005A4433">
        <w:t>n sur place ou la participation </w:t>
      </w:r>
      <w:r w:rsidRPr="00754E83">
        <w:t xml:space="preserve">à distance doit se faire </w:t>
      </w:r>
      <w:r w:rsidR="008B267D" w:rsidRPr="00754E83">
        <w:t>via</w:t>
      </w:r>
      <w:r w:rsidRPr="00754E83">
        <w:t xml:space="preserve"> la </w:t>
      </w:r>
      <w:hyperlink r:id="rId23" w:history="1">
        <w:r w:rsidR="00692DBC" w:rsidRPr="00754E83">
          <w:rPr>
            <w:rStyle w:val="Hyperlink"/>
            <w:rFonts w:eastAsia="SimSun"/>
            <w:szCs w:val="24"/>
            <w:lang w:eastAsia="zh-CN"/>
          </w:rPr>
          <w:t>page d</w:t>
        </w:r>
        <w:r w:rsidR="00E15F0E">
          <w:rPr>
            <w:rStyle w:val="Hyperlink"/>
            <w:rFonts w:eastAsia="SimSun"/>
            <w:szCs w:val="24"/>
            <w:lang w:eastAsia="zh-CN"/>
          </w:rPr>
          <w:t>'</w:t>
        </w:r>
        <w:r w:rsidR="00692DBC" w:rsidRPr="00754E83">
          <w:rPr>
            <w:rStyle w:val="Hyperlink"/>
            <w:rFonts w:eastAsia="SimSun"/>
            <w:szCs w:val="24"/>
            <w:lang w:eastAsia="zh-CN"/>
          </w:rPr>
          <w:t>accueil du Groupe FG-AI4H</w:t>
        </w:r>
      </w:hyperlink>
      <w:r w:rsidR="00A7353A" w:rsidRPr="00754E83">
        <w:t xml:space="preserve">, </w:t>
      </w:r>
      <w:r w:rsidRPr="00754E83">
        <w:rPr>
          <w:b/>
          <w:bCs/>
        </w:rPr>
        <w:t>au</w:t>
      </w:r>
      <w:r w:rsidR="00AD13F2" w:rsidRPr="00754E83">
        <w:rPr>
          <w:b/>
          <w:bCs/>
        </w:rPr>
        <w:t xml:space="preserve"> </w:t>
      </w:r>
      <w:r w:rsidR="001204A3" w:rsidRPr="00754E83">
        <w:rPr>
          <w:b/>
          <w:bCs/>
        </w:rPr>
        <w:t>plus tard le</w:t>
      </w:r>
      <w:r w:rsidR="005A4433">
        <w:rPr>
          <w:b/>
          <w:bCs/>
        </w:rPr>
        <w:t> 19 </w:t>
      </w:r>
      <w:r w:rsidR="00692DBC" w:rsidRPr="00754E83">
        <w:rPr>
          <w:b/>
          <w:bCs/>
        </w:rPr>
        <w:t>septembre</w:t>
      </w:r>
      <w:r w:rsidR="005A4433">
        <w:rPr>
          <w:b/>
          <w:bCs/>
        </w:rPr>
        <w:t xml:space="preserve"> </w:t>
      </w:r>
      <w:r w:rsidR="00AD13F2" w:rsidRPr="00754E83">
        <w:rPr>
          <w:b/>
          <w:bCs/>
        </w:rPr>
        <w:t>2018</w:t>
      </w:r>
      <w:r w:rsidRPr="00754E83">
        <w:t xml:space="preserve">. </w:t>
      </w:r>
    </w:p>
    <w:p w:rsidR="00516EB7" w:rsidRPr="00754E83" w:rsidRDefault="00516EB7" w:rsidP="00E12A23">
      <w:pPr>
        <w:keepNext/>
        <w:keepLines/>
        <w:tabs>
          <w:tab w:val="left" w:pos="1418"/>
          <w:tab w:val="left" w:pos="1702"/>
          <w:tab w:val="left" w:pos="2160"/>
        </w:tabs>
        <w:spacing w:before="480" w:after="280"/>
        <w:jc w:val="center"/>
        <w:rPr>
          <w:b/>
          <w:bCs/>
          <w:szCs w:val="24"/>
        </w:rPr>
      </w:pPr>
      <w:r w:rsidRPr="00754E83">
        <w:rPr>
          <w:b/>
          <w:bCs/>
          <w:szCs w:val="24"/>
        </w:rPr>
        <w:t xml:space="preserve">SÉJOUR À GENÈVE: HÔTELS, TRANSPORTS PUBLICS ET VISAS </w:t>
      </w:r>
    </w:p>
    <w:p w:rsidR="00516EB7" w:rsidRPr="00754E83" w:rsidRDefault="00516EB7" w:rsidP="005A4433">
      <w:pPr>
        <w:spacing w:before="320"/>
        <w:rPr>
          <w:b/>
          <w:bCs/>
        </w:rPr>
      </w:pPr>
      <w:r w:rsidRPr="00754E83">
        <w:rPr>
          <w:b/>
          <w:bCs/>
        </w:rPr>
        <w:t>SÉJOUR À GENÈVE</w:t>
      </w:r>
      <w:r w:rsidRPr="00754E83">
        <w:t>: Des informations pratiques à l</w:t>
      </w:r>
      <w:r w:rsidR="00E15F0E">
        <w:t>'</w:t>
      </w:r>
      <w:r w:rsidRPr="00754E83">
        <w:t>intention des participants aux réunions de l</w:t>
      </w:r>
      <w:r w:rsidR="00E15F0E">
        <w:t>'</w:t>
      </w:r>
      <w:r w:rsidRPr="00754E83">
        <w:t>UIT à Genève sont disponibles à l</w:t>
      </w:r>
      <w:r w:rsidR="00E15F0E">
        <w:t>'</w:t>
      </w:r>
      <w:r w:rsidRPr="00754E83">
        <w:t xml:space="preserve">adresse: </w:t>
      </w:r>
      <w:hyperlink r:id="rId24" w:history="1">
        <w:r w:rsidRPr="00754E83">
          <w:rPr>
            <w:color w:val="0000FF"/>
            <w:u w:val="single"/>
          </w:rPr>
          <w:t>http://itu.int/en/delegates-corner</w:t>
        </w:r>
      </w:hyperlink>
      <w:r w:rsidRPr="00754E83">
        <w:t>.</w:t>
      </w:r>
    </w:p>
    <w:p w:rsidR="00516EB7" w:rsidRPr="00754E83" w:rsidRDefault="00516EB7" w:rsidP="005A4433">
      <w:r w:rsidRPr="00754E83">
        <w:rPr>
          <w:b/>
          <w:bCs/>
        </w:rPr>
        <w:t>HÔTELS OFFRANT DES TARIFS RÉDUITS</w:t>
      </w:r>
      <w:r w:rsidRPr="00754E83">
        <w:t>: Un certain nombre d</w:t>
      </w:r>
      <w:r w:rsidR="00E15F0E">
        <w:t>'</w:t>
      </w:r>
      <w:r w:rsidRPr="00754E83">
        <w:t>hôtels à Genève offrent des tarifs préférentiels aux participants aux réunions de l</w:t>
      </w:r>
      <w:r w:rsidR="00E15F0E">
        <w:t>'</w:t>
      </w:r>
      <w:r w:rsidRPr="00754E83">
        <w:t>UIT et leur fournissent une carte permettant d</w:t>
      </w:r>
      <w:r w:rsidR="00E15F0E">
        <w:t>'</w:t>
      </w:r>
      <w:r w:rsidRPr="00754E83">
        <w:t>emprunter gratuitement les transports publics à Genève. Vous trouverez la liste des hôtels participants, et les modalités à suivre pour obtenir un tarif réduit, à l</w:t>
      </w:r>
      <w:r w:rsidR="00E15F0E">
        <w:t>'</w:t>
      </w:r>
      <w:r w:rsidRPr="00754E83">
        <w:t xml:space="preserve">adresse: </w:t>
      </w:r>
      <w:hyperlink r:id="rId25" w:history="1">
        <w:r w:rsidRPr="00754E83">
          <w:rPr>
            <w:color w:val="0000FF"/>
            <w:u w:val="single"/>
          </w:rPr>
          <w:t>http://itu.int/travel/</w:t>
        </w:r>
      </w:hyperlink>
      <w:r w:rsidRPr="00754E83">
        <w:t xml:space="preserve">. </w:t>
      </w:r>
    </w:p>
    <w:p w:rsidR="00491920" w:rsidRPr="00754E83" w:rsidRDefault="00491920" w:rsidP="005A4433">
      <w:pPr>
        <w:spacing w:after="120"/>
        <w:rPr>
          <w:szCs w:val="24"/>
        </w:rPr>
      </w:pPr>
      <w:r w:rsidRPr="00754E83">
        <w:rPr>
          <w:b/>
          <w:bCs/>
          <w:szCs w:val="24"/>
        </w:rPr>
        <w:t xml:space="preserve">TRANSPORTS PUBLICS: </w:t>
      </w:r>
      <w:r w:rsidRPr="00754E83">
        <w:rPr>
          <w:szCs w:val="24"/>
        </w:rPr>
        <w:t>L</w:t>
      </w:r>
      <w:r w:rsidR="00E15F0E">
        <w:rPr>
          <w:szCs w:val="24"/>
        </w:rPr>
        <w:t>'</w:t>
      </w:r>
      <w:r w:rsidRPr="00754E83">
        <w:rPr>
          <w:szCs w:val="24"/>
        </w:rPr>
        <w:t xml:space="preserve">arrêt de bus OMS (Organisation mondiale de la santé) est desservi par les bus 8, 28 et F, qui passent tous par Nations; les bus 8 et F passent également par la gare de Cornavin (Genève). </w:t>
      </w:r>
    </w:p>
    <w:p w:rsidR="00AD13F2" w:rsidRPr="00754E83" w:rsidRDefault="00516EB7" w:rsidP="005A4433">
      <w:r w:rsidRPr="00754E83">
        <w:rPr>
          <w:b/>
          <w:bCs/>
        </w:rPr>
        <w:t>DEMANDE DE VISA</w:t>
      </w:r>
      <w:r w:rsidRPr="00754E83">
        <w:t>: Si vous avez besoin d</w:t>
      </w:r>
      <w:r w:rsidR="00E15F0E">
        <w:t>'</w:t>
      </w:r>
      <w:r w:rsidRPr="00754E83">
        <w:t xml:space="preserve">un visa, celui-ci doit être demandé </w:t>
      </w:r>
      <w:r w:rsidRPr="005A4433">
        <w:t xml:space="preserve">avant la date de votre arrivée en Suisse </w:t>
      </w:r>
      <w:r w:rsidRPr="00754E83">
        <w:t xml:space="preserve">auprès de la représentation de la Suisse (ambassade ou consulat) dans votre pays ou, à défaut, dans le pays le plus proche de votre pays de départ. </w:t>
      </w:r>
      <w:r w:rsidR="007D5C0B" w:rsidRPr="00754E83">
        <w:t xml:space="preserve">Les délais pouvant varier, nous vous suggérons de vous renseigner directement auprès de la représentation concernée et de formuler votre demande </w:t>
      </w:r>
      <w:r w:rsidR="00623D30" w:rsidRPr="00754E83">
        <w:t>au plus tôt</w:t>
      </w:r>
      <w:r w:rsidR="007D5C0B" w:rsidRPr="00754E83">
        <w:t>.</w:t>
      </w:r>
    </w:p>
    <w:p w:rsidR="00E12A23" w:rsidRDefault="00E12A23" w:rsidP="005A4433">
      <w:r>
        <w:br w:type="page"/>
      </w:r>
    </w:p>
    <w:p w:rsidR="00516EB7" w:rsidRPr="00754E83" w:rsidRDefault="00516EB7" w:rsidP="005A4433">
      <w:r w:rsidRPr="00754E83">
        <w:t>En cas de problème, l</w:t>
      </w:r>
      <w:r w:rsidR="00E15F0E">
        <w:t>'</w:t>
      </w:r>
      <w:r w:rsidRPr="00754E83">
        <w:t>Union peut, sur demande officielle de l</w:t>
      </w:r>
      <w:r w:rsidR="00E15F0E">
        <w:t>'</w:t>
      </w:r>
      <w:r w:rsidRPr="00754E83">
        <w:t>administration ou de l</w:t>
      </w:r>
      <w:r w:rsidR="00E15F0E">
        <w:t>'</w:t>
      </w:r>
      <w:r w:rsidRPr="00754E83">
        <w:t>entité que vous représentez, intervenir auprès des autorités suisses compétentes pour faciliter l</w:t>
      </w:r>
      <w:r w:rsidR="00E15F0E">
        <w:t>'</w:t>
      </w:r>
      <w:r w:rsidRPr="00754E83">
        <w:t>émission du visa. Pour cette demande, il faut fournir le nom, la fonction, la date de naissance, les informations figurant sur le passeport et la confirmation d</w:t>
      </w:r>
      <w:r w:rsidR="00E15F0E">
        <w:t>'</w:t>
      </w:r>
      <w:r w:rsidRPr="00754E83">
        <w:t>inscription pour tous les requérants.</w:t>
      </w:r>
      <w:r w:rsidR="00AD13F2" w:rsidRPr="00754E83">
        <w:t xml:space="preserve"> </w:t>
      </w:r>
      <w:r w:rsidRPr="00754E83">
        <w:t>Les demandes d</w:t>
      </w:r>
      <w:r w:rsidR="00E15F0E">
        <w:t>'</w:t>
      </w:r>
      <w:r w:rsidRPr="00754E83">
        <w:t>assistance pour l</w:t>
      </w:r>
      <w:r w:rsidR="00E15F0E">
        <w:t>'</w:t>
      </w:r>
      <w:r w:rsidRPr="00754E83">
        <w:t>obtention d</w:t>
      </w:r>
      <w:r w:rsidR="00E15F0E">
        <w:t>'</w:t>
      </w:r>
      <w:r w:rsidRPr="00754E83">
        <w:t>un visa doivent être envoyées au TSB</w:t>
      </w:r>
      <w:r w:rsidR="007D5C0B" w:rsidRPr="00754E83">
        <w:t xml:space="preserve"> </w:t>
      </w:r>
      <w:r w:rsidR="007D5C0B" w:rsidRPr="00754E83">
        <w:rPr>
          <w:b/>
          <w:bCs/>
        </w:rPr>
        <w:t>au moins un mois avant la tenue de la réunion</w:t>
      </w:r>
      <w:r w:rsidRPr="00754E83">
        <w:t>, avec la mention "</w:t>
      </w:r>
      <w:r w:rsidRPr="00754E83">
        <w:rPr>
          <w:b/>
          <w:bCs/>
        </w:rPr>
        <w:t>demande de visa</w:t>
      </w:r>
      <w:r w:rsidRPr="00754E83">
        <w:t>", par courrier électronique (</w:t>
      </w:r>
      <w:hyperlink r:id="rId26" w:history="1">
        <w:r w:rsidRPr="00754E83">
          <w:rPr>
            <w:color w:val="0000FF"/>
            <w:u w:val="single"/>
          </w:rPr>
          <w:t>tsbreg@itu.int</w:t>
        </w:r>
      </w:hyperlink>
      <w:r w:rsidR="002802AE" w:rsidRPr="00754E83">
        <w:t>) ou par télécopie (+41 22 </w:t>
      </w:r>
      <w:r w:rsidRPr="00754E83">
        <w:t xml:space="preserve">730 5853). Un modèle de demande est disponible </w:t>
      </w:r>
      <w:hyperlink r:id="rId27" w:history="1">
        <w:r w:rsidRPr="00754E83">
          <w:rPr>
            <w:color w:val="0000FF"/>
            <w:u w:val="single"/>
          </w:rPr>
          <w:t>ici</w:t>
        </w:r>
      </w:hyperlink>
      <w:r w:rsidRPr="00754E83">
        <w:t>.</w:t>
      </w:r>
    </w:p>
    <w:p w:rsidR="002802AE" w:rsidRPr="00754E83" w:rsidRDefault="002802AE" w:rsidP="00FB50DA"/>
    <w:p w:rsidR="00A90C58" w:rsidRPr="00754E83" w:rsidRDefault="00680A31" w:rsidP="005A4433">
      <w:pPr>
        <w:jc w:val="center"/>
        <w:rPr>
          <w:rFonts w:eastAsia="SimSun"/>
          <w:szCs w:val="24"/>
          <w:lang w:eastAsia="ja-JP"/>
        </w:rPr>
      </w:pPr>
      <w:r w:rsidRPr="00754E83">
        <w:t>______________</w:t>
      </w:r>
    </w:p>
    <w:sectPr w:rsidR="00A90C58" w:rsidRPr="00754E83" w:rsidSect="004414F6">
      <w:headerReference w:type="default" r:id="rId28"/>
      <w:footerReference w:type="first" r:id="rId29"/>
      <w:pgSz w:w="11907" w:h="16840" w:code="9"/>
      <w:pgMar w:top="1418" w:right="1134" w:bottom="1418" w:left="1134"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02" w:rsidRDefault="00913502">
      <w:r>
        <w:separator/>
      </w:r>
    </w:p>
  </w:endnote>
  <w:endnote w:type="continuationSeparator" w:id="0">
    <w:p w:rsidR="00913502" w:rsidRDefault="0091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24" w:rsidRPr="006160D2" w:rsidRDefault="000C4624"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02" w:rsidRDefault="00913502">
      <w:r>
        <w:t>____________________</w:t>
      </w:r>
    </w:p>
  </w:footnote>
  <w:footnote w:type="continuationSeparator" w:id="0">
    <w:p w:rsidR="00913502" w:rsidRDefault="0091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24" w:rsidRPr="00C95771" w:rsidRDefault="0020113C" w:rsidP="00E15F0E">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0C4624" w:rsidRPr="00C95771">
          <w:rPr>
            <w:sz w:val="18"/>
            <w:lang w:val="en-GB"/>
          </w:rPr>
          <w:fldChar w:fldCharType="begin"/>
        </w:r>
        <w:r w:rsidR="000C4624" w:rsidRPr="00C95771">
          <w:rPr>
            <w:sz w:val="18"/>
            <w:lang w:val="en-GB"/>
          </w:rPr>
          <w:instrText xml:space="preserve"> PAGE   \* MERGEFORMAT </w:instrText>
        </w:r>
        <w:r w:rsidR="000C4624" w:rsidRPr="00C95771">
          <w:rPr>
            <w:sz w:val="18"/>
            <w:lang w:val="en-GB"/>
          </w:rPr>
          <w:fldChar w:fldCharType="separate"/>
        </w:r>
        <w:r>
          <w:rPr>
            <w:noProof/>
            <w:sz w:val="18"/>
            <w:lang w:val="en-GB"/>
          </w:rPr>
          <w:t>3</w:t>
        </w:r>
        <w:r w:rsidR="000C4624" w:rsidRPr="00C95771">
          <w:rPr>
            <w:noProof/>
            <w:sz w:val="18"/>
            <w:lang w:val="en-GB"/>
          </w:rPr>
          <w:fldChar w:fldCharType="end"/>
        </w:r>
      </w:sdtContent>
    </w:sdt>
  </w:p>
  <w:p w:rsidR="000C4624" w:rsidRPr="00C95771" w:rsidRDefault="000C4624" w:rsidP="00E15F0E">
    <w:pPr>
      <w:spacing w:before="0"/>
      <w:jc w:val="center"/>
      <w:rPr>
        <w:sz w:val="18"/>
        <w:lang w:val="en-US"/>
      </w:rPr>
    </w:pPr>
    <w:r>
      <w:rPr>
        <w:noProof/>
        <w:sz w:val="18"/>
        <w:lang w:val="en-GB"/>
      </w:rPr>
      <w:t xml:space="preserve">Circulaire TSB </w:t>
    </w:r>
    <w:r w:rsidR="00E15F0E">
      <w:rPr>
        <w:noProof/>
        <w:sz w:val="18"/>
        <w:lang w:val="en-GB"/>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BE513A6"/>
    <w:multiLevelType w:val="hybridMultilevel"/>
    <w:tmpl w:val="0D98E864"/>
    <w:lvl w:ilvl="0" w:tplc="12F0BEB2">
      <w:start w:val="1"/>
      <w:numFmt w:val="bullet"/>
      <w:lvlText w:val=""/>
      <w:lvlJc w:val="left"/>
      <w:pPr>
        <w:ind w:left="720" w:hanging="360"/>
      </w:pPr>
      <w:rPr>
        <w:rFonts w:ascii="Symbol" w:hAnsi="Symbol" w:hint="default"/>
      </w:rPr>
    </w:lvl>
    <w:lvl w:ilvl="1" w:tplc="38125A5C">
      <w:start w:val="1"/>
      <w:numFmt w:val="bullet"/>
      <w:lvlText w:val="o"/>
      <w:lvlJc w:val="left"/>
      <w:pPr>
        <w:ind w:left="1440" w:hanging="360"/>
      </w:pPr>
      <w:rPr>
        <w:rFonts w:ascii="Courier New" w:hAnsi="Courier New" w:cs="Courier New" w:hint="default"/>
      </w:rPr>
    </w:lvl>
    <w:lvl w:ilvl="2" w:tplc="F140DCF6" w:tentative="1">
      <w:start w:val="1"/>
      <w:numFmt w:val="bullet"/>
      <w:lvlText w:val=""/>
      <w:lvlJc w:val="left"/>
      <w:pPr>
        <w:ind w:left="2160" w:hanging="360"/>
      </w:pPr>
      <w:rPr>
        <w:rFonts w:ascii="Wingdings" w:hAnsi="Wingdings" w:hint="default"/>
      </w:rPr>
    </w:lvl>
    <w:lvl w:ilvl="3" w:tplc="8DD6F1AC" w:tentative="1">
      <w:start w:val="1"/>
      <w:numFmt w:val="bullet"/>
      <w:lvlText w:val=""/>
      <w:lvlJc w:val="left"/>
      <w:pPr>
        <w:ind w:left="2880" w:hanging="360"/>
      </w:pPr>
      <w:rPr>
        <w:rFonts w:ascii="Symbol" w:hAnsi="Symbol" w:hint="default"/>
      </w:rPr>
    </w:lvl>
    <w:lvl w:ilvl="4" w:tplc="D73EFEB2" w:tentative="1">
      <w:start w:val="1"/>
      <w:numFmt w:val="bullet"/>
      <w:lvlText w:val="o"/>
      <w:lvlJc w:val="left"/>
      <w:pPr>
        <w:ind w:left="3600" w:hanging="360"/>
      </w:pPr>
      <w:rPr>
        <w:rFonts w:ascii="Courier New" w:hAnsi="Courier New" w:cs="Courier New" w:hint="default"/>
      </w:rPr>
    </w:lvl>
    <w:lvl w:ilvl="5" w:tplc="B7E42C3C" w:tentative="1">
      <w:start w:val="1"/>
      <w:numFmt w:val="bullet"/>
      <w:lvlText w:val=""/>
      <w:lvlJc w:val="left"/>
      <w:pPr>
        <w:ind w:left="4320" w:hanging="360"/>
      </w:pPr>
      <w:rPr>
        <w:rFonts w:ascii="Wingdings" w:hAnsi="Wingdings" w:hint="default"/>
      </w:rPr>
    </w:lvl>
    <w:lvl w:ilvl="6" w:tplc="822A1BBE" w:tentative="1">
      <w:start w:val="1"/>
      <w:numFmt w:val="bullet"/>
      <w:lvlText w:val=""/>
      <w:lvlJc w:val="left"/>
      <w:pPr>
        <w:ind w:left="5040" w:hanging="360"/>
      </w:pPr>
      <w:rPr>
        <w:rFonts w:ascii="Symbol" w:hAnsi="Symbol" w:hint="default"/>
      </w:rPr>
    </w:lvl>
    <w:lvl w:ilvl="7" w:tplc="982093C4" w:tentative="1">
      <w:start w:val="1"/>
      <w:numFmt w:val="bullet"/>
      <w:lvlText w:val="o"/>
      <w:lvlJc w:val="left"/>
      <w:pPr>
        <w:ind w:left="5760" w:hanging="360"/>
      </w:pPr>
      <w:rPr>
        <w:rFonts w:ascii="Courier New" w:hAnsi="Courier New" w:cs="Courier New" w:hint="default"/>
      </w:rPr>
    </w:lvl>
    <w:lvl w:ilvl="8" w:tplc="3D820486" w:tentative="1">
      <w:start w:val="1"/>
      <w:numFmt w:val="bullet"/>
      <w:lvlText w:val=""/>
      <w:lvlJc w:val="left"/>
      <w:pPr>
        <w:ind w:left="6480" w:hanging="360"/>
      </w:pPr>
      <w:rPr>
        <w:rFonts w:ascii="Wingdings" w:hAnsi="Wingdings" w:hint="default"/>
      </w:rPr>
    </w:lvl>
  </w:abstractNum>
  <w:abstractNum w:abstractNumId="3"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B5878"/>
    <w:multiLevelType w:val="hybridMultilevel"/>
    <w:tmpl w:val="6F78CA84"/>
    <w:lvl w:ilvl="0" w:tplc="E26CE74C">
      <w:start w:val="1"/>
      <w:numFmt w:val="bullet"/>
      <w:lvlText w:val=""/>
      <w:lvlJc w:val="left"/>
      <w:pPr>
        <w:ind w:left="720" w:hanging="360"/>
      </w:pPr>
      <w:rPr>
        <w:rFonts w:ascii="Symbol" w:hAnsi="Symbol" w:hint="default"/>
      </w:rPr>
    </w:lvl>
    <w:lvl w:ilvl="1" w:tplc="CAE0904C" w:tentative="1">
      <w:start w:val="1"/>
      <w:numFmt w:val="bullet"/>
      <w:lvlText w:val="o"/>
      <w:lvlJc w:val="left"/>
      <w:pPr>
        <w:ind w:left="1440" w:hanging="360"/>
      </w:pPr>
      <w:rPr>
        <w:rFonts w:ascii="Courier New" w:hAnsi="Courier New" w:cs="Courier New" w:hint="default"/>
      </w:rPr>
    </w:lvl>
    <w:lvl w:ilvl="2" w:tplc="40E0209E" w:tentative="1">
      <w:start w:val="1"/>
      <w:numFmt w:val="bullet"/>
      <w:lvlText w:val=""/>
      <w:lvlJc w:val="left"/>
      <w:pPr>
        <w:ind w:left="2160" w:hanging="360"/>
      </w:pPr>
      <w:rPr>
        <w:rFonts w:ascii="Wingdings" w:hAnsi="Wingdings" w:hint="default"/>
      </w:rPr>
    </w:lvl>
    <w:lvl w:ilvl="3" w:tplc="961AF4F0" w:tentative="1">
      <w:start w:val="1"/>
      <w:numFmt w:val="bullet"/>
      <w:lvlText w:val=""/>
      <w:lvlJc w:val="left"/>
      <w:pPr>
        <w:ind w:left="2880" w:hanging="360"/>
      </w:pPr>
      <w:rPr>
        <w:rFonts w:ascii="Symbol" w:hAnsi="Symbol" w:hint="default"/>
      </w:rPr>
    </w:lvl>
    <w:lvl w:ilvl="4" w:tplc="5E38F9EC" w:tentative="1">
      <w:start w:val="1"/>
      <w:numFmt w:val="bullet"/>
      <w:lvlText w:val="o"/>
      <w:lvlJc w:val="left"/>
      <w:pPr>
        <w:ind w:left="3600" w:hanging="360"/>
      </w:pPr>
      <w:rPr>
        <w:rFonts w:ascii="Courier New" w:hAnsi="Courier New" w:cs="Courier New" w:hint="default"/>
      </w:rPr>
    </w:lvl>
    <w:lvl w:ilvl="5" w:tplc="8C785ABA" w:tentative="1">
      <w:start w:val="1"/>
      <w:numFmt w:val="bullet"/>
      <w:lvlText w:val=""/>
      <w:lvlJc w:val="left"/>
      <w:pPr>
        <w:ind w:left="4320" w:hanging="360"/>
      </w:pPr>
      <w:rPr>
        <w:rFonts w:ascii="Wingdings" w:hAnsi="Wingdings" w:hint="default"/>
      </w:rPr>
    </w:lvl>
    <w:lvl w:ilvl="6" w:tplc="FE2C6666" w:tentative="1">
      <w:start w:val="1"/>
      <w:numFmt w:val="bullet"/>
      <w:lvlText w:val=""/>
      <w:lvlJc w:val="left"/>
      <w:pPr>
        <w:ind w:left="5040" w:hanging="360"/>
      </w:pPr>
      <w:rPr>
        <w:rFonts w:ascii="Symbol" w:hAnsi="Symbol" w:hint="default"/>
      </w:rPr>
    </w:lvl>
    <w:lvl w:ilvl="7" w:tplc="CDD019BA" w:tentative="1">
      <w:start w:val="1"/>
      <w:numFmt w:val="bullet"/>
      <w:lvlText w:val="o"/>
      <w:lvlJc w:val="left"/>
      <w:pPr>
        <w:ind w:left="5760" w:hanging="360"/>
      </w:pPr>
      <w:rPr>
        <w:rFonts w:ascii="Courier New" w:hAnsi="Courier New" w:cs="Courier New" w:hint="default"/>
      </w:rPr>
    </w:lvl>
    <w:lvl w:ilvl="8" w:tplc="32E0437E" w:tentative="1">
      <w:start w:val="1"/>
      <w:numFmt w:val="bullet"/>
      <w:lvlText w:val=""/>
      <w:lvlJc w:val="left"/>
      <w:pPr>
        <w:ind w:left="6480" w:hanging="360"/>
      </w:pPr>
      <w:rPr>
        <w:rFonts w:ascii="Wingdings" w:hAnsi="Wingdings" w:hint="default"/>
      </w:rPr>
    </w:lvl>
  </w:abstractNum>
  <w:abstractNum w:abstractNumId="10"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3"/>
  </w:num>
  <w:num w:numId="10">
    <w:abstractNumId w:val="8"/>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1290"/>
    <w:rsid w:val="000039EE"/>
    <w:rsid w:val="00005622"/>
    <w:rsid w:val="00007F91"/>
    <w:rsid w:val="000215BB"/>
    <w:rsid w:val="0002519E"/>
    <w:rsid w:val="0003168D"/>
    <w:rsid w:val="00035B43"/>
    <w:rsid w:val="00042A05"/>
    <w:rsid w:val="00044D69"/>
    <w:rsid w:val="00047A60"/>
    <w:rsid w:val="00056C87"/>
    <w:rsid w:val="000758B3"/>
    <w:rsid w:val="000B0D96"/>
    <w:rsid w:val="000B325C"/>
    <w:rsid w:val="000B4223"/>
    <w:rsid w:val="000B59D8"/>
    <w:rsid w:val="000B5BDB"/>
    <w:rsid w:val="000C1F6B"/>
    <w:rsid w:val="000C4624"/>
    <w:rsid w:val="000C56BE"/>
    <w:rsid w:val="000D1F71"/>
    <w:rsid w:val="000D6D97"/>
    <w:rsid w:val="000E2464"/>
    <w:rsid w:val="000E7370"/>
    <w:rsid w:val="000F10BB"/>
    <w:rsid w:val="000F2852"/>
    <w:rsid w:val="000F3EF6"/>
    <w:rsid w:val="001026FD"/>
    <w:rsid w:val="001077FD"/>
    <w:rsid w:val="00112EA5"/>
    <w:rsid w:val="001150F5"/>
    <w:rsid w:val="00115DD7"/>
    <w:rsid w:val="001204A3"/>
    <w:rsid w:val="00125341"/>
    <w:rsid w:val="001365E6"/>
    <w:rsid w:val="00143174"/>
    <w:rsid w:val="00145616"/>
    <w:rsid w:val="00163A81"/>
    <w:rsid w:val="00167472"/>
    <w:rsid w:val="00167F92"/>
    <w:rsid w:val="00173738"/>
    <w:rsid w:val="001B2229"/>
    <w:rsid w:val="001B614C"/>
    <w:rsid w:val="001B79A3"/>
    <w:rsid w:val="001C0FD0"/>
    <w:rsid w:val="001C3BDE"/>
    <w:rsid w:val="001D29A7"/>
    <w:rsid w:val="001E13FB"/>
    <w:rsid w:val="001F10DC"/>
    <w:rsid w:val="00200B7D"/>
    <w:rsid w:val="0020113C"/>
    <w:rsid w:val="00207180"/>
    <w:rsid w:val="002152A3"/>
    <w:rsid w:val="002465D4"/>
    <w:rsid w:val="00250049"/>
    <w:rsid w:val="002641EB"/>
    <w:rsid w:val="00267C0A"/>
    <w:rsid w:val="00273688"/>
    <w:rsid w:val="002802AE"/>
    <w:rsid w:val="00283424"/>
    <w:rsid w:val="00285455"/>
    <w:rsid w:val="00286914"/>
    <w:rsid w:val="002A6256"/>
    <w:rsid w:val="002B69DA"/>
    <w:rsid w:val="002C5E4C"/>
    <w:rsid w:val="002D7F7C"/>
    <w:rsid w:val="002E395D"/>
    <w:rsid w:val="00304944"/>
    <w:rsid w:val="00312EEB"/>
    <w:rsid w:val="003131F0"/>
    <w:rsid w:val="003155B6"/>
    <w:rsid w:val="003172E8"/>
    <w:rsid w:val="00333A80"/>
    <w:rsid w:val="003371B1"/>
    <w:rsid w:val="00341117"/>
    <w:rsid w:val="00364E95"/>
    <w:rsid w:val="00371DA4"/>
    <w:rsid w:val="00372875"/>
    <w:rsid w:val="00375BD1"/>
    <w:rsid w:val="003872DA"/>
    <w:rsid w:val="003A4E7E"/>
    <w:rsid w:val="003B1E80"/>
    <w:rsid w:val="003B66E8"/>
    <w:rsid w:val="003F281D"/>
    <w:rsid w:val="004033F1"/>
    <w:rsid w:val="00407DB0"/>
    <w:rsid w:val="00414B0C"/>
    <w:rsid w:val="00423C21"/>
    <w:rsid w:val="004257AC"/>
    <w:rsid w:val="004370C9"/>
    <w:rsid w:val="0043711B"/>
    <w:rsid w:val="004403B2"/>
    <w:rsid w:val="00440BAB"/>
    <w:rsid w:val="004414F6"/>
    <w:rsid w:val="00482416"/>
    <w:rsid w:val="00483AEB"/>
    <w:rsid w:val="004916BA"/>
    <w:rsid w:val="00491920"/>
    <w:rsid w:val="004977C9"/>
    <w:rsid w:val="004B732E"/>
    <w:rsid w:val="004D4E5C"/>
    <w:rsid w:val="004D51F4"/>
    <w:rsid w:val="004D64E0"/>
    <w:rsid w:val="004F5BE9"/>
    <w:rsid w:val="00500D7D"/>
    <w:rsid w:val="0050761B"/>
    <w:rsid w:val="005120A2"/>
    <w:rsid w:val="0051210D"/>
    <w:rsid w:val="005136D2"/>
    <w:rsid w:val="00516EB7"/>
    <w:rsid w:val="00517A03"/>
    <w:rsid w:val="00570CBD"/>
    <w:rsid w:val="0058479E"/>
    <w:rsid w:val="005A3DD9"/>
    <w:rsid w:val="005A4433"/>
    <w:rsid w:val="005A6545"/>
    <w:rsid w:val="005B1DFC"/>
    <w:rsid w:val="005D085E"/>
    <w:rsid w:val="005D2B84"/>
    <w:rsid w:val="005D2FD5"/>
    <w:rsid w:val="005D4D49"/>
    <w:rsid w:val="005E10D7"/>
    <w:rsid w:val="00601682"/>
    <w:rsid w:val="00604CFB"/>
    <w:rsid w:val="00604D2F"/>
    <w:rsid w:val="006160D2"/>
    <w:rsid w:val="00623D30"/>
    <w:rsid w:val="00625E79"/>
    <w:rsid w:val="00626D37"/>
    <w:rsid w:val="006333F7"/>
    <w:rsid w:val="006427A1"/>
    <w:rsid w:val="00644741"/>
    <w:rsid w:val="00645102"/>
    <w:rsid w:val="00656154"/>
    <w:rsid w:val="00656FDC"/>
    <w:rsid w:val="00672956"/>
    <w:rsid w:val="00680A31"/>
    <w:rsid w:val="00692DBC"/>
    <w:rsid w:val="0069462A"/>
    <w:rsid w:val="006967C9"/>
    <w:rsid w:val="00697BC1"/>
    <w:rsid w:val="006A6FFE"/>
    <w:rsid w:val="006B1F6B"/>
    <w:rsid w:val="006C5A91"/>
    <w:rsid w:val="006F1821"/>
    <w:rsid w:val="00716BBC"/>
    <w:rsid w:val="007321BC"/>
    <w:rsid w:val="00735E9F"/>
    <w:rsid w:val="00754E83"/>
    <w:rsid w:val="00760063"/>
    <w:rsid w:val="00771088"/>
    <w:rsid w:val="00775E4B"/>
    <w:rsid w:val="00777277"/>
    <w:rsid w:val="007857AB"/>
    <w:rsid w:val="0079553B"/>
    <w:rsid w:val="00795679"/>
    <w:rsid w:val="007A40FE"/>
    <w:rsid w:val="007C1EC3"/>
    <w:rsid w:val="007D5C0B"/>
    <w:rsid w:val="00810105"/>
    <w:rsid w:val="008157E0"/>
    <w:rsid w:val="008249C0"/>
    <w:rsid w:val="008314F5"/>
    <w:rsid w:val="00853459"/>
    <w:rsid w:val="00853EA5"/>
    <w:rsid w:val="00854E1D"/>
    <w:rsid w:val="00887911"/>
    <w:rsid w:val="00887FA6"/>
    <w:rsid w:val="00891432"/>
    <w:rsid w:val="008A57EA"/>
    <w:rsid w:val="008B267D"/>
    <w:rsid w:val="008C215C"/>
    <w:rsid w:val="008C4397"/>
    <w:rsid w:val="008C465A"/>
    <w:rsid w:val="008F2C9B"/>
    <w:rsid w:val="00913502"/>
    <w:rsid w:val="00923CD6"/>
    <w:rsid w:val="009255C7"/>
    <w:rsid w:val="00935AA8"/>
    <w:rsid w:val="00960F89"/>
    <w:rsid w:val="00971C9A"/>
    <w:rsid w:val="009A15BC"/>
    <w:rsid w:val="009D0866"/>
    <w:rsid w:val="009D1650"/>
    <w:rsid w:val="009D51FA"/>
    <w:rsid w:val="009F1E23"/>
    <w:rsid w:val="00A11DA2"/>
    <w:rsid w:val="00A11EB2"/>
    <w:rsid w:val="00A13F67"/>
    <w:rsid w:val="00A15179"/>
    <w:rsid w:val="00A23390"/>
    <w:rsid w:val="00A51537"/>
    <w:rsid w:val="00A5280F"/>
    <w:rsid w:val="00A60FC1"/>
    <w:rsid w:val="00A7353A"/>
    <w:rsid w:val="00A87A94"/>
    <w:rsid w:val="00A90C58"/>
    <w:rsid w:val="00A97C37"/>
    <w:rsid w:val="00AA084A"/>
    <w:rsid w:val="00AA142C"/>
    <w:rsid w:val="00AA1EB2"/>
    <w:rsid w:val="00AC00E6"/>
    <w:rsid w:val="00AC37B5"/>
    <w:rsid w:val="00AC6B50"/>
    <w:rsid w:val="00AD13F2"/>
    <w:rsid w:val="00AD752F"/>
    <w:rsid w:val="00AF08A4"/>
    <w:rsid w:val="00AF1C98"/>
    <w:rsid w:val="00B13168"/>
    <w:rsid w:val="00B27B41"/>
    <w:rsid w:val="00B305E0"/>
    <w:rsid w:val="00B42659"/>
    <w:rsid w:val="00B756F5"/>
    <w:rsid w:val="00B8037F"/>
    <w:rsid w:val="00B84142"/>
    <w:rsid w:val="00B85153"/>
    <w:rsid w:val="00B8573E"/>
    <w:rsid w:val="00B90015"/>
    <w:rsid w:val="00BB24C0"/>
    <w:rsid w:val="00BC0268"/>
    <w:rsid w:val="00BC6F60"/>
    <w:rsid w:val="00C12C50"/>
    <w:rsid w:val="00C14DAC"/>
    <w:rsid w:val="00C26F2E"/>
    <w:rsid w:val="00C302E3"/>
    <w:rsid w:val="00C42EEE"/>
    <w:rsid w:val="00C45376"/>
    <w:rsid w:val="00C468F2"/>
    <w:rsid w:val="00C55151"/>
    <w:rsid w:val="00C83B96"/>
    <w:rsid w:val="00C873B3"/>
    <w:rsid w:val="00C9028F"/>
    <w:rsid w:val="00C95771"/>
    <w:rsid w:val="00C95F49"/>
    <w:rsid w:val="00CA0416"/>
    <w:rsid w:val="00CB1125"/>
    <w:rsid w:val="00CD042E"/>
    <w:rsid w:val="00CE2CB6"/>
    <w:rsid w:val="00CF2560"/>
    <w:rsid w:val="00CF5B46"/>
    <w:rsid w:val="00D24C85"/>
    <w:rsid w:val="00D46B68"/>
    <w:rsid w:val="00D542A5"/>
    <w:rsid w:val="00D62669"/>
    <w:rsid w:val="00D83CC2"/>
    <w:rsid w:val="00DB2593"/>
    <w:rsid w:val="00DB5326"/>
    <w:rsid w:val="00DB6E7C"/>
    <w:rsid w:val="00DC0134"/>
    <w:rsid w:val="00DC1B28"/>
    <w:rsid w:val="00DC3D47"/>
    <w:rsid w:val="00DD77DA"/>
    <w:rsid w:val="00DE7961"/>
    <w:rsid w:val="00DF367E"/>
    <w:rsid w:val="00DF4528"/>
    <w:rsid w:val="00E06C61"/>
    <w:rsid w:val="00E12A23"/>
    <w:rsid w:val="00E13DB3"/>
    <w:rsid w:val="00E15F0E"/>
    <w:rsid w:val="00E2408B"/>
    <w:rsid w:val="00E32764"/>
    <w:rsid w:val="00E62B85"/>
    <w:rsid w:val="00E62CEA"/>
    <w:rsid w:val="00E72AE1"/>
    <w:rsid w:val="00E9542E"/>
    <w:rsid w:val="00EA0E6E"/>
    <w:rsid w:val="00EA1DD8"/>
    <w:rsid w:val="00EA4529"/>
    <w:rsid w:val="00ED60C5"/>
    <w:rsid w:val="00ED6A7A"/>
    <w:rsid w:val="00EE4C36"/>
    <w:rsid w:val="00EF409B"/>
    <w:rsid w:val="00F33A65"/>
    <w:rsid w:val="00F346CE"/>
    <w:rsid w:val="00F34F98"/>
    <w:rsid w:val="00F40540"/>
    <w:rsid w:val="00F411C2"/>
    <w:rsid w:val="00F67402"/>
    <w:rsid w:val="00F766A2"/>
    <w:rsid w:val="00F861A8"/>
    <w:rsid w:val="00F9451D"/>
    <w:rsid w:val="00FA2F6C"/>
    <w:rsid w:val="00FB3C85"/>
    <w:rsid w:val="00FB50DA"/>
    <w:rsid w:val="00FB680C"/>
    <w:rsid w:val="00FC105D"/>
    <w:rsid w:val="00FC76D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B267D"/>
    <w:rPr>
      <w:position w:val="6"/>
      <w:sz w:val="16"/>
    </w:rPr>
  </w:style>
  <w:style w:type="paragraph" w:styleId="FootnoteText">
    <w:name w:val="footnote text"/>
    <w:basedOn w:val="Normal"/>
    <w:semiHidden/>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image" Target="media/image2.png"/><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s://www.itu.int/en/ITU-T/focusgroups/ai4h" TargetMode="External"/><Relationship Id="rId7" Type="http://schemas.openxmlformats.org/officeDocument/2006/relationships/endnotes" Target="endnotes.xml"/><Relationship Id="rId12" Type="http://schemas.openxmlformats.org/officeDocument/2006/relationships/hyperlink" Target="https://itu.int/en/ITU-T/Workshops-and-Seminars/20180925" TargetMode="External"/><Relationship Id="rId17" Type="http://schemas.openxmlformats.org/officeDocument/2006/relationships/hyperlink" Target="mailto:tsbfgai4h@itu.int"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https://www.itu.int/en/ITU-T/focusgroups/ai4h" TargetMode="External"/><Relationship Id="rId20" Type="http://schemas.openxmlformats.org/officeDocument/2006/relationships/hyperlink" Target="https://www.itu.int/en/ITU-T/focusgroups/ai4h/Documents/FG-AI4H-I-templat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yperlink" Target="http://itu.int/en/delegates-corner" TargetMode="Externa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ITU-T/focusgroups/ai4h" TargetMode="External"/><Relationship Id="rId28" Type="http://schemas.openxmlformats.org/officeDocument/2006/relationships/header" Target="header1.xml"/><Relationship Id="rId10" Type="http://schemas.openxmlformats.org/officeDocument/2006/relationships/hyperlink" Target="https://itu.int/go/fgai4h" TargetMode="External"/><Relationship Id="rId19" Type="http://schemas.openxmlformats.org/officeDocument/2006/relationships/hyperlink" Target="mailto:tsbfgai4h@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fgai4h@itu.int" TargetMode="External"/><Relationship Id="rId14" Type="http://schemas.openxmlformats.org/officeDocument/2006/relationships/hyperlink" Target="https://www.itu.int/en/ITU-T/focusgroups/ai4h/Documents/FG-AI4H-I-template.docx" TargetMode="External"/><Relationship Id="rId22" Type="http://schemas.openxmlformats.org/officeDocument/2006/relationships/hyperlink" Target="https://extranet.itu.int/sites/itu-t/focusgroups/ai4h/SitePages/Home.aspx" TargetMode="External"/><Relationship Id="rId27" Type="http://schemas.openxmlformats.org/officeDocument/2006/relationships/hyperlink" Target="http://itu.int/en/ITU-T/info/Documents/Visa-support-letter_MODEL.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D518-2AA7-48F8-83C0-C562BE7A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109</TotalTime>
  <Pages>10</Pages>
  <Words>3058</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22060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Millet, Lia</cp:lastModifiedBy>
  <cp:revision>8</cp:revision>
  <cp:lastPrinted>2018-08-24T15:04:00Z</cp:lastPrinted>
  <dcterms:created xsi:type="dcterms:W3CDTF">2018-08-13T09:48:00Z</dcterms:created>
  <dcterms:modified xsi:type="dcterms:W3CDTF">2018-08-24T15:05:00Z</dcterms:modified>
</cp:coreProperties>
</file>