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647BF" w14:paraId="4B151806" w14:textId="77777777" w:rsidTr="00CB634F">
        <w:trPr>
          <w:cantSplit/>
        </w:trPr>
        <w:tc>
          <w:tcPr>
            <w:tcW w:w="1418" w:type="dxa"/>
            <w:vAlign w:val="center"/>
          </w:tcPr>
          <w:p w14:paraId="085349D8" w14:textId="4B08F9B0" w:rsidR="00341117" w:rsidRPr="00A647BF" w:rsidRDefault="007F5558" w:rsidP="00F32075">
            <w:pPr>
              <w:tabs>
                <w:tab w:val="right" w:pos="8732"/>
              </w:tabs>
              <w:spacing w:before="0"/>
              <w:rPr>
                <w:b/>
                <w:bCs/>
                <w:iCs/>
                <w:color w:val="FFFFFF"/>
                <w:sz w:val="30"/>
                <w:szCs w:val="30"/>
                <w:lang w:val="fr-CH"/>
              </w:rPr>
            </w:pPr>
            <w:r>
              <w:rPr>
                <w:rFonts w:cs="Calibri"/>
                <w:b/>
                <w:bCs/>
                <w:noProof/>
                <w:lang w:eastAsia="zh-CN"/>
              </w:rPr>
              <w:drawing>
                <wp:inline distT="0" distB="0" distL="0" distR="0" wp14:anchorId="325FB585" wp14:editId="1CC38E54">
                  <wp:extent cx="806400" cy="807656"/>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Documents\Project_Manager_Delegate_Relations\TSB_templates\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00" cy="807656"/>
                          </a:xfrm>
                          <a:prstGeom prst="rect">
                            <a:avLst/>
                          </a:prstGeom>
                          <a:noFill/>
                          <a:ln>
                            <a:noFill/>
                          </a:ln>
                        </pic:spPr>
                      </pic:pic>
                    </a:graphicData>
                  </a:graphic>
                </wp:inline>
              </w:drawing>
            </w:r>
          </w:p>
        </w:tc>
        <w:tc>
          <w:tcPr>
            <w:tcW w:w="6379" w:type="dxa"/>
            <w:vAlign w:val="center"/>
          </w:tcPr>
          <w:p w14:paraId="7E44A088" w14:textId="77777777" w:rsidR="00341117" w:rsidRPr="00A647BF" w:rsidRDefault="00341117" w:rsidP="00F32075">
            <w:pPr>
              <w:spacing w:before="0"/>
              <w:rPr>
                <w:rFonts w:cs="Times New Roman Bold"/>
                <w:b/>
                <w:bCs/>
                <w:iCs/>
                <w:smallCaps/>
                <w:sz w:val="34"/>
                <w:szCs w:val="34"/>
                <w:lang w:val="fr-CH"/>
              </w:rPr>
            </w:pPr>
            <w:r w:rsidRPr="00A647BF">
              <w:rPr>
                <w:rFonts w:cs="Times New Roman Bold"/>
                <w:b/>
                <w:bCs/>
                <w:iCs/>
                <w:smallCaps/>
                <w:sz w:val="34"/>
                <w:szCs w:val="34"/>
                <w:lang w:val="fr-CH"/>
              </w:rPr>
              <w:t>Union internationale des télécommunications</w:t>
            </w:r>
          </w:p>
          <w:p w14:paraId="29CF8309" w14:textId="77777777" w:rsidR="00341117" w:rsidRPr="00A647BF" w:rsidRDefault="00341117" w:rsidP="00F32075">
            <w:pPr>
              <w:tabs>
                <w:tab w:val="right" w:pos="8732"/>
              </w:tabs>
              <w:spacing w:before="0"/>
              <w:rPr>
                <w:b/>
                <w:bCs/>
                <w:iCs/>
                <w:color w:val="FFFFFF"/>
                <w:sz w:val="30"/>
                <w:szCs w:val="30"/>
                <w:lang w:val="fr-CH"/>
              </w:rPr>
            </w:pPr>
            <w:r w:rsidRPr="00A647BF">
              <w:rPr>
                <w:rFonts w:cs="Times New Roman Bold"/>
                <w:b/>
                <w:bCs/>
                <w:iCs/>
                <w:smallCaps/>
                <w:sz w:val="28"/>
                <w:szCs w:val="28"/>
                <w:lang w:val="fr-CH"/>
              </w:rPr>
              <w:t>B</w:t>
            </w:r>
            <w:r w:rsidRPr="00A647BF">
              <w:rPr>
                <w:b/>
                <w:bCs/>
                <w:iCs/>
                <w:smallCaps/>
                <w:sz w:val="28"/>
                <w:szCs w:val="28"/>
                <w:lang w:val="fr-CH"/>
              </w:rPr>
              <w:t>ureau de la Normalisation des Télécommunications</w:t>
            </w:r>
          </w:p>
        </w:tc>
        <w:tc>
          <w:tcPr>
            <w:tcW w:w="1984" w:type="dxa"/>
            <w:vAlign w:val="center"/>
          </w:tcPr>
          <w:p w14:paraId="18E2AD0A" w14:textId="77777777" w:rsidR="00341117" w:rsidRPr="00A647BF" w:rsidRDefault="00341117" w:rsidP="00F32075">
            <w:pPr>
              <w:spacing w:before="0"/>
              <w:jc w:val="right"/>
              <w:rPr>
                <w:color w:val="FFFFFF"/>
                <w:sz w:val="26"/>
                <w:szCs w:val="26"/>
                <w:lang w:val="fr-CH"/>
              </w:rPr>
            </w:pPr>
          </w:p>
        </w:tc>
      </w:tr>
    </w:tbl>
    <w:p w14:paraId="03476B49" w14:textId="77777777" w:rsidR="00341117" w:rsidRPr="00A647BF" w:rsidRDefault="00341117" w:rsidP="00F32075">
      <w:pPr>
        <w:tabs>
          <w:tab w:val="clear" w:pos="794"/>
          <w:tab w:val="clear" w:pos="1191"/>
          <w:tab w:val="clear" w:pos="1588"/>
          <w:tab w:val="clear" w:pos="1985"/>
          <w:tab w:val="left" w:pos="4962"/>
        </w:tabs>
        <w:spacing w:before="0"/>
        <w:rPr>
          <w:lang w:val="fr-CH"/>
        </w:rPr>
      </w:pPr>
    </w:p>
    <w:p w14:paraId="65EB7F79" w14:textId="25961870" w:rsidR="00517A03" w:rsidRPr="00A647BF" w:rsidRDefault="00517A03" w:rsidP="00F32075">
      <w:pPr>
        <w:tabs>
          <w:tab w:val="clear" w:pos="794"/>
          <w:tab w:val="clear" w:pos="1191"/>
          <w:tab w:val="clear" w:pos="1588"/>
          <w:tab w:val="clear" w:pos="1985"/>
          <w:tab w:val="left" w:pos="4962"/>
        </w:tabs>
        <w:spacing w:before="0"/>
        <w:rPr>
          <w:lang w:val="fr-CH"/>
        </w:rPr>
      </w:pPr>
      <w:r w:rsidRPr="00A647BF">
        <w:rPr>
          <w:lang w:val="fr-CH"/>
        </w:rPr>
        <w:tab/>
        <w:t xml:space="preserve">Genève, le </w:t>
      </w:r>
      <w:r w:rsidR="00B62ED1">
        <w:rPr>
          <w:lang w:val="fr-CH"/>
        </w:rPr>
        <w:t>5 septembre</w:t>
      </w:r>
      <w:r w:rsidR="00B4692C" w:rsidRPr="00A647BF">
        <w:rPr>
          <w:lang w:val="fr-CH"/>
        </w:rPr>
        <w:t xml:space="preserve"> </w:t>
      </w:r>
      <w:r w:rsidR="00846EDA" w:rsidRPr="00A647BF">
        <w:rPr>
          <w:lang w:val="fr-CH"/>
        </w:rPr>
        <w:t>2018</w:t>
      </w:r>
    </w:p>
    <w:p w14:paraId="16862864" w14:textId="77777777" w:rsidR="00517A03" w:rsidRPr="00A647BF" w:rsidRDefault="00517A03" w:rsidP="00F32075">
      <w:pPr>
        <w:spacing w:before="0"/>
        <w:rPr>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3990"/>
        <w:gridCol w:w="5103"/>
        <w:gridCol w:w="8"/>
      </w:tblGrid>
      <w:tr w:rsidR="00517A03" w:rsidRPr="00A647BF" w14:paraId="2044473F" w14:textId="77777777" w:rsidTr="001225AE">
        <w:trPr>
          <w:cantSplit/>
          <w:trHeight w:val="340"/>
        </w:trPr>
        <w:tc>
          <w:tcPr>
            <w:tcW w:w="822" w:type="dxa"/>
          </w:tcPr>
          <w:p w14:paraId="33C8503B" w14:textId="77777777" w:rsidR="00517A03" w:rsidRPr="00A647BF" w:rsidRDefault="00517A03" w:rsidP="00F32075">
            <w:pPr>
              <w:tabs>
                <w:tab w:val="left" w:pos="4111"/>
              </w:tabs>
              <w:spacing w:before="10"/>
              <w:ind w:left="57"/>
              <w:rPr>
                <w:b/>
                <w:bCs/>
                <w:lang w:val="fr-CH"/>
              </w:rPr>
            </w:pPr>
            <w:r w:rsidRPr="00A647BF">
              <w:rPr>
                <w:b/>
                <w:bCs/>
                <w:lang w:val="fr-CH"/>
              </w:rPr>
              <w:t>Réf.:</w:t>
            </w:r>
          </w:p>
          <w:p w14:paraId="26BAC159" w14:textId="77777777" w:rsidR="00517A03" w:rsidRPr="00A647BF" w:rsidRDefault="00517A03" w:rsidP="00F32075">
            <w:pPr>
              <w:tabs>
                <w:tab w:val="left" w:pos="4111"/>
              </w:tabs>
              <w:spacing w:before="10"/>
              <w:ind w:left="57"/>
              <w:rPr>
                <w:b/>
                <w:bCs/>
                <w:lang w:val="fr-CH"/>
              </w:rPr>
            </w:pPr>
          </w:p>
          <w:p w14:paraId="1EA764BA" w14:textId="77777777" w:rsidR="00517A03" w:rsidRPr="00A647BF" w:rsidRDefault="00517A03" w:rsidP="00F32075">
            <w:pPr>
              <w:tabs>
                <w:tab w:val="left" w:pos="4111"/>
              </w:tabs>
              <w:spacing w:before="10"/>
              <w:ind w:left="57"/>
              <w:rPr>
                <w:b/>
                <w:bCs/>
                <w:lang w:val="fr-CH"/>
              </w:rPr>
            </w:pPr>
            <w:r w:rsidRPr="00A647BF">
              <w:rPr>
                <w:b/>
                <w:bCs/>
                <w:lang w:val="fr-CH"/>
              </w:rPr>
              <w:t>Tél.:</w:t>
            </w:r>
            <w:r w:rsidRPr="00A647BF">
              <w:rPr>
                <w:b/>
                <w:bCs/>
                <w:lang w:val="fr-CH"/>
              </w:rPr>
              <w:br/>
              <w:t>Fax:</w:t>
            </w:r>
            <w:r w:rsidRPr="00A647BF">
              <w:rPr>
                <w:b/>
                <w:bCs/>
                <w:lang w:val="fr-CH"/>
              </w:rPr>
              <w:br/>
              <w:t>E-mail:</w:t>
            </w:r>
          </w:p>
        </w:tc>
        <w:tc>
          <w:tcPr>
            <w:tcW w:w="3990" w:type="dxa"/>
          </w:tcPr>
          <w:p w14:paraId="16D0022C" w14:textId="7CBAE333" w:rsidR="00517A03" w:rsidRPr="00A647BF" w:rsidRDefault="000F65FB" w:rsidP="00F32075">
            <w:pPr>
              <w:tabs>
                <w:tab w:val="left" w:pos="4111"/>
              </w:tabs>
              <w:spacing w:before="10"/>
              <w:ind w:left="57"/>
              <w:rPr>
                <w:b/>
                <w:lang w:val="fr-CH"/>
              </w:rPr>
            </w:pPr>
            <w:r w:rsidRPr="00A647BF">
              <w:rPr>
                <w:b/>
                <w:lang w:val="fr-CH"/>
              </w:rPr>
              <w:t xml:space="preserve">Circulaire TSB </w:t>
            </w:r>
            <w:r w:rsidR="00B62ED1">
              <w:rPr>
                <w:b/>
                <w:lang w:val="fr-CH"/>
              </w:rPr>
              <w:t>105</w:t>
            </w:r>
          </w:p>
          <w:p w14:paraId="44F01A37" w14:textId="13DB5DAF" w:rsidR="00517A03" w:rsidRPr="00B62ED1" w:rsidRDefault="00ED14D8" w:rsidP="00F32075">
            <w:pPr>
              <w:tabs>
                <w:tab w:val="left" w:pos="4111"/>
              </w:tabs>
              <w:spacing w:before="10"/>
              <w:ind w:left="57"/>
              <w:rPr>
                <w:b/>
                <w:lang w:val="fr-CH"/>
              </w:rPr>
            </w:pPr>
            <w:r>
              <w:rPr>
                <w:lang w:val="fr-CH"/>
              </w:rPr>
              <w:t xml:space="preserve">CE </w:t>
            </w:r>
            <w:r w:rsidR="00B62ED1" w:rsidRPr="00B62ED1">
              <w:rPr>
                <w:lang w:val="fr-CH"/>
              </w:rPr>
              <w:t>11/DA</w:t>
            </w:r>
          </w:p>
          <w:p w14:paraId="5D8B883C" w14:textId="2C1F5010" w:rsidR="00517A03" w:rsidRPr="00A647BF" w:rsidRDefault="000F65FB" w:rsidP="00F32075">
            <w:pPr>
              <w:tabs>
                <w:tab w:val="left" w:pos="4111"/>
              </w:tabs>
              <w:spacing w:before="10"/>
              <w:ind w:left="57"/>
              <w:rPr>
                <w:lang w:val="fr-CH"/>
              </w:rPr>
            </w:pPr>
            <w:r w:rsidRPr="00A647BF">
              <w:rPr>
                <w:lang w:val="fr-CH"/>
              </w:rPr>
              <w:t xml:space="preserve">+41 22 </w:t>
            </w:r>
            <w:r w:rsidR="003F0D31" w:rsidRPr="00D7384A">
              <w:t xml:space="preserve">730 </w:t>
            </w:r>
            <w:proofErr w:type="gramStart"/>
            <w:r w:rsidR="003F0D31">
              <w:t>5780</w:t>
            </w:r>
            <w:r w:rsidR="00517A03" w:rsidRPr="00A647BF">
              <w:rPr>
                <w:lang w:val="fr-CH"/>
              </w:rPr>
              <w:br/>
              <w:t>+41 22 730 5853</w:t>
            </w:r>
            <w:r w:rsidR="00517A03" w:rsidRPr="00A647BF">
              <w:rPr>
                <w:lang w:val="fr-CH"/>
              </w:rPr>
              <w:br/>
            </w:r>
            <w:hyperlink r:id="rId9" w:history="1">
              <w:r w:rsidR="003F0D31" w:rsidRPr="0082681D">
                <w:rPr>
                  <w:rStyle w:val="Hyperlink"/>
                </w:rPr>
                <w:t>tsbsg11@itu.int</w:t>
              </w:r>
              <w:proofErr w:type="gramEnd"/>
            </w:hyperlink>
          </w:p>
        </w:tc>
        <w:tc>
          <w:tcPr>
            <w:tcW w:w="5111" w:type="dxa"/>
            <w:gridSpan w:val="2"/>
          </w:tcPr>
          <w:p w14:paraId="4CF64F12" w14:textId="74080DB7" w:rsidR="00517A03" w:rsidRPr="00A647BF" w:rsidRDefault="00517A03" w:rsidP="00F32075">
            <w:pPr>
              <w:tabs>
                <w:tab w:val="clear" w:pos="794"/>
                <w:tab w:val="clear" w:pos="1191"/>
                <w:tab w:val="clear" w:pos="1588"/>
                <w:tab w:val="clear" w:pos="1985"/>
                <w:tab w:val="left" w:pos="284"/>
              </w:tabs>
              <w:spacing w:before="0"/>
              <w:ind w:left="284" w:hanging="227"/>
              <w:rPr>
                <w:lang w:val="fr-CH"/>
              </w:rPr>
            </w:pPr>
            <w:bookmarkStart w:id="0" w:name="Addressee_F"/>
            <w:bookmarkEnd w:id="0"/>
            <w:r w:rsidRPr="00A647BF">
              <w:rPr>
                <w:lang w:val="fr-CH"/>
              </w:rPr>
              <w:t>-</w:t>
            </w:r>
            <w:r w:rsidRPr="00A647BF">
              <w:rPr>
                <w:lang w:val="fr-CH"/>
              </w:rPr>
              <w:tab/>
              <w:t>Aux administrations des Etats Membres de l</w:t>
            </w:r>
            <w:r w:rsidR="00A742BF">
              <w:rPr>
                <w:lang w:val="fr-CH"/>
              </w:rPr>
              <w:t>'</w:t>
            </w:r>
            <w:r w:rsidRPr="00A647BF">
              <w:rPr>
                <w:lang w:val="fr-CH"/>
              </w:rPr>
              <w:t>Union</w:t>
            </w:r>
          </w:p>
        </w:tc>
      </w:tr>
      <w:tr w:rsidR="00517A03" w:rsidRPr="00A647BF" w14:paraId="3552A511" w14:textId="77777777" w:rsidTr="001225AE">
        <w:trPr>
          <w:cantSplit/>
        </w:trPr>
        <w:tc>
          <w:tcPr>
            <w:tcW w:w="822" w:type="dxa"/>
          </w:tcPr>
          <w:p w14:paraId="766E1054" w14:textId="77777777" w:rsidR="00517A03" w:rsidRPr="00A647BF" w:rsidRDefault="00517A03" w:rsidP="00F32075">
            <w:pPr>
              <w:tabs>
                <w:tab w:val="left" w:pos="4111"/>
              </w:tabs>
              <w:spacing w:before="10"/>
              <w:ind w:left="57"/>
              <w:rPr>
                <w:b/>
                <w:bCs/>
                <w:sz w:val="20"/>
                <w:lang w:val="fr-CH"/>
              </w:rPr>
            </w:pPr>
          </w:p>
        </w:tc>
        <w:tc>
          <w:tcPr>
            <w:tcW w:w="3990" w:type="dxa"/>
          </w:tcPr>
          <w:p w14:paraId="77755B8D" w14:textId="619F51AD" w:rsidR="00517A03" w:rsidRPr="00A647BF" w:rsidRDefault="00517A03" w:rsidP="00F32075">
            <w:pPr>
              <w:tabs>
                <w:tab w:val="left" w:pos="4111"/>
              </w:tabs>
              <w:spacing w:before="0"/>
              <w:ind w:left="57"/>
              <w:rPr>
                <w:lang w:val="fr-CH"/>
              </w:rPr>
            </w:pPr>
          </w:p>
        </w:tc>
        <w:tc>
          <w:tcPr>
            <w:tcW w:w="5111" w:type="dxa"/>
            <w:gridSpan w:val="2"/>
          </w:tcPr>
          <w:p w14:paraId="6C4625EF" w14:textId="77777777" w:rsidR="00517A03" w:rsidRPr="00A647BF" w:rsidRDefault="00517A03" w:rsidP="00F32075">
            <w:pPr>
              <w:tabs>
                <w:tab w:val="left" w:pos="4111"/>
              </w:tabs>
              <w:spacing w:before="0"/>
              <w:rPr>
                <w:lang w:val="fr-CH"/>
              </w:rPr>
            </w:pPr>
            <w:r w:rsidRPr="00A647BF">
              <w:rPr>
                <w:b/>
                <w:lang w:val="fr-CH"/>
              </w:rPr>
              <w:t>Copie</w:t>
            </w:r>
            <w:r w:rsidRPr="00A647BF">
              <w:rPr>
                <w:lang w:val="fr-CH"/>
              </w:rPr>
              <w:t>:</w:t>
            </w:r>
          </w:p>
          <w:p w14:paraId="5A2A2973" w14:textId="77777777" w:rsidR="00517A03" w:rsidRPr="00A647BF" w:rsidRDefault="00517A03" w:rsidP="00F32075">
            <w:pPr>
              <w:tabs>
                <w:tab w:val="clear" w:pos="794"/>
                <w:tab w:val="left" w:pos="226"/>
                <w:tab w:val="left" w:pos="4111"/>
              </w:tabs>
              <w:spacing w:before="0"/>
              <w:rPr>
                <w:lang w:val="fr-CH"/>
              </w:rPr>
            </w:pPr>
            <w:r w:rsidRPr="00A647BF">
              <w:rPr>
                <w:lang w:val="fr-CH"/>
              </w:rPr>
              <w:t>-</w:t>
            </w:r>
            <w:r w:rsidRPr="00A647BF">
              <w:rPr>
                <w:lang w:val="fr-CH"/>
              </w:rPr>
              <w:tab/>
              <w:t>Aux Membres du Secteur UIT-T;</w:t>
            </w:r>
          </w:p>
          <w:p w14:paraId="1E8502B6" w14:textId="01BA2AA4" w:rsidR="00517A03" w:rsidRPr="00A647BF" w:rsidRDefault="00517A03" w:rsidP="00F32075">
            <w:pPr>
              <w:tabs>
                <w:tab w:val="clear" w:pos="794"/>
                <w:tab w:val="left" w:pos="226"/>
                <w:tab w:val="left" w:pos="4111"/>
              </w:tabs>
              <w:spacing w:before="0"/>
              <w:ind w:left="226" w:hanging="226"/>
              <w:rPr>
                <w:lang w:val="fr-CH"/>
              </w:rPr>
            </w:pPr>
            <w:r w:rsidRPr="00A647BF">
              <w:rPr>
                <w:lang w:val="fr-CH"/>
              </w:rPr>
              <w:t>-</w:t>
            </w:r>
            <w:r w:rsidRPr="00A647BF">
              <w:rPr>
                <w:lang w:val="fr-CH"/>
              </w:rPr>
              <w:tab/>
            </w:r>
            <w:r w:rsidR="001C2839" w:rsidRPr="00A647BF">
              <w:rPr>
                <w:lang w:val="fr-CH"/>
              </w:rPr>
              <w:t>Aux Associés de l</w:t>
            </w:r>
            <w:r w:rsidR="00A742BF">
              <w:rPr>
                <w:lang w:val="fr-CH"/>
              </w:rPr>
              <w:t>'</w:t>
            </w:r>
            <w:r w:rsidR="001C2839" w:rsidRPr="00A647BF">
              <w:rPr>
                <w:lang w:val="fr-CH"/>
              </w:rPr>
              <w:t>UIT-T participant aux travaux de la Commission d</w:t>
            </w:r>
            <w:r w:rsidR="00A742BF">
              <w:rPr>
                <w:lang w:val="fr-CH"/>
              </w:rPr>
              <w:t>'</w:t>
            </w:r>
            <w:r w:rsidR="001C2839" w:rsidRPr="00A647BF">
              <w:rPr>
                <w:lang w:val="fr-CH"/>
              </w:rPr>
              <w:t xml:space="preserve">études </w:t>
            </w:r>
            <w:r w:rsidR="003F0D31">
              <w:rPr>
                <w:lang w:val="fr-CH"/>
              </w:rPr>
              <w:t>11</w:t>
            </w:r>
            <w:r w:rsidRPr="00A647BF">
              <w:rPr>
                <w:lang w:val="fr-CH"/>
              </w:rPr>
              <w:t>;</w:t>
            </w:r>
          </w:p>
          <w:p w14:paraId="6FC5C31A" w14:textId="205C8644" w:rsidR="00517A03" w:rsidRPr="00A647BF" w:rsidRDefault="00517A03" w:rsidP="00F32075">
            <w:pPr>
              <w:tabs>
                <w:tab w:val="clear" w:pos="794"/>
                <w:tab w:val="left" w:pos="226"/>
                <w:tab w:val="left" w:pos="4111"/>
              </w:tabs>
              <w:spacing w:before="0"/>
              <w:ind w:left="226" w:hanging="226"/>
              <w:rPr>
                <w:lang w:val="fr-CH"/>
              </w:rPr>
            </w:pPr>
            <w:r w:rsidRPr="00A647BF">
              <w:rPr>
                <w:lang w:val="fr-CH"/>
              </w:rPr>
              <w:t>-</w:t>
            </w:r>
            <w:r w:rsidRPr="00A647BF">
              <w:rPr>
                <w:lang w:val="fr-CH"/>
              </w:rPr>
              <w:tab/>
            </w:r>
            <w:r w:rsidR="000C56BE" w:rsidRPr="00A647BF">
              <w:rPr>
                <w:lang w:val="fr-CH"/>
              </w:rPr>
              <w:t>Aux établissements universitaires participant aux travaux de l</w:t>
            </w:r>
            <w:r w:rsidR="00A742BF">
              <w:rPr>
                <w:lang w:val="fr-CH"/>
              </w:rPr>
              <w:t>'</w:t>
            </w:r>
            <w:r w:rsidR="000C56BE" w:rsidRPr="00A647BF">
              <w:rPr>
                <w:lang w:val="fr-CH"/>
              </w:rPr>
              <w:t>UIT;</w:t>
            </w:r>
          </w:p>
          <w:p w14:paraId="4FDDEF5A" w14:textId="36E1D37F" w:rsidR="00A96C87" w:rsidRPr="00A647BF" w:rsidRDefault="00517A03" w:rsidP="00F32075">
            <w:pPr>
              <w:tabs>
                <w:tab w:val="clear" w:pos="794"/>
                <w:tab w:val="left" w:pos="226"/>
                <w:tab w:val="left" w:pos="4111"/>
              </w:tabs>
              <w:spacing w:before="0"/>
              <w:ind w:left="226" w:hanging="226"/>
              <w:rPr>
                <w:lang w:val="fr-CH"/>
              </w:rPr>
            </w:pPr>
            <w:r w:rsidRPr="00A647BF">
              <w:rPr>
                <w:lang w:val="fr-CH"/>
              </w:rPr>
              <w:t>-</w:t>
            </w:r>
            <w:r w:rsidRPr="00A647BF">
              <w:rPr>
                <w:lang w:val="fr-CH"/>
              </w:rPr>
              <w:tab/>
              <w:t>Aux Président et Vice-Présidents de la Commission d</w:t>
            </w:r>
            <w:r w:rsidR="00A742BF">
              <w:rPr>
                <w:lang w:val="fr-CH"/>
              </w:rPr>
              <w:t>'</w:t>
            </w:r>
            <w:r w:rsidR="00A96C87" w:rsidRPr="00A647BF">
              <w:rPr>
                <w:lang w:val="fr-CH"/>
              </w:rPr>
              <w:t xml:space="preserve">études </w:t>
            </w:r>
            <w:r w:rsidR="003F0D31">
              <w:rPr>
                <w:lang w:val="fr-CH"/>
              </w:rPr>
              <w:t>11</w:t>
            </w:r>
            <w:r w:rsidR="00A96C87" w:rsidRPr="00A647BF">
              <w:rPr>
                <w:lang w:val="fr-CH"/>
              </w:rPr>
              <w:t xml:space="preserve"> de l</w:t>
            </w:r>
            <w:r w:rsidR="00A742BF">
              <w:rPr>
                <w:lang w:val="fr-CH"/>
              </w:rPr>
              <w:t>'</w:t>
            </w:r>
            <w:r w:rsidR="00A96C87" w:rsidRPr="00A647BF">
              <w:rPr>
                <w:lang w:val="fr-CH"/>
              </w:rPr>
              <w:t>UIT-T;</w:t>
            </w:r>
          </w:p>
          <w:p w14:paraId="2EFD66A9" w14:textId="096F8ABF" w:rsidR="00517A03" w:rsidRPr="00A647BF" w:rsidRDefault="00517A03" w:rsidP="00F32075">
            <w:pPr>
              <w:tabs>
                <w:tab w:val="clear" w:pos="794"/>
                <w:tab w:val="left" w:pos="226"/>
                <w:tab w:val="left" w:pos="4111"/>
              </w:tabs>
              <w:spacing w:before="0"/>
              <w:ind w:left="226" w:hanging="226"/>
              <w:rPr>
                <w:lang w:val="fr-CH"/>
              </w:rPr>
            </w:pPr>
            <w:r w:rsidRPr="00A647BF">
              <w:rPr>
                <w:lang w:val="fr-CH"/>
              </w:rPr>
              <w:t>-</w:t>
            </w:r>
            <w:r w:rsidRPr="00A647BF">
              <w:rPr>
                <w:lang w:val="fr-CH"/>
              </w:rPr>
              <w:tab/>
              <w:t>Au Directeur</w:t>
            </w:r>
            <w:r w:rsidR="005A36E3">
              <w:rPr>
                <w:lang w:val="fr-CH"/>
              </w:rPr>
              <w:t xml:space="preserve"> du Bureau de développement des </w:t>
            </w:r>
            <w:r w:rsidRPr="00A647BF">
              <w:rPr>
                <w:lang w:val="fr-CH"/>
              </w:rPr>
              <w:t>télécommunications;</w:t>
            </w:r>
          </w:p>
          <w:p w14:paraId="4A583769" w14:textId="09C321A5" w:rsidR="00517A03" w:rsidRPr="00A647BF" w:rsidRDefault="00517A03" w:rsidP="00F32075">
            <w:pPr>
              <w:tabs>
                <w:tab w:val="clear" w:pos="794"/>
                <w:tab w:val="left" w:pos="226"/>
                <w:tab w:val="left" w:pos="4111"/>
              </w:tabs>
              <w:spacing w:before="0" w:after="120"/>
              <w:ind w:left="227" w:hanging="227"/>
              <w:rPr>
                <w:lang w:val="fr-CH"/>
              </w:rPr>
            </w:pPr>
            <w:r w:rsidRPr="00A647BF">
              <w:rPr>
                <w:lang w:val="fr-CH"/>
              </w:rPr>
              <w:t>-</w:t>
            </w:r>
            <w:r w:rsidRPr="00A647BF">
              <w:rPr>
                <w:lang w:val="fr-CH"/>
              </w:rPr>
              <w:tab/>
              <w:t>Au Directeur du Bureau des</w:t>
            </w:r>
            <w:r w:rsidRPr="00A647BF">
              <w:rPr>
                <w:lang w:val="fr-CH"/>
              </w:rPr>
              <w:br/>
              <w:t>radiocommunications</w:t>
            </w:r>
          </w:p>
        </w:tc>
      </w:tr>
      <w:tr w:rsidR="00517A03" w:rsidRPr="00A647BF" w14:paraId="25A6E6DE" w14:textId="77777777" w:rsidTr="00697BC1">
        <w:trPr>
          <w:gridAfter w:val="1"/>
          <w:wAfter w:w="8" w:type="dxa"/>
          <w:cantSplit/>
          <w:trHeight w:val="680"/>
        </w:trPr>
        <w:tc>
          <w:tcPr>
            <w:tcW w:w="822" w:type="dxa"/>
          </w:tcPr>
          <w:p w14:paraId="3E93428F" w14:textId="77777777" w:rsidR="00517A03" w:rsidRPr="00427B03" w:rsidRDefault="00517A03" w:rsidP="00F32075">
            <w:pPr>
              <w:tabs>
                <w:tab w:val="left" w:pos="4111"/>
              </w:tabs>
              <w:spacing w:before="360" w:after="240"/>
              <w:ind w:left="57"/>
              <w:rPr>
                <w:b/>
                <w:bCs/>
                <w:szCs w:val="24"/>
                <w:lang w:val="fr-CH"/>
              </w:rPr>
            </w:pPr>
            <w:r w:rsidRPr="00427B03">
              <w:rPr>
                <w:b/>
                <w:bCs/>
                <w:szCs w:val="24"/>
                <w:lang w:val="fr-CH"/>
              </w:rPr>
              <w:t>Objet:</w:t>
            </w:r>
          </w:p>
        </w:tc>
        <w:tc>
          <w:tcPr>
            <w:tcW w:w="9093" w:type="dxa"/>
            <w:gridSpan w:val="2"/>
          </w:tcPr>
          <w:p w14:paraId="326D496F" w14:textId="2BD9AA5F" w:rsidR="00517A03" w:rsidRPr="0059451F" w:rsidRDefault="0059451F" w:rsidP="00F32075">
            <w:pPr>
              <w:tabs>
                <w:tab w:val="left" w:pos="4111"/>
              </w:tabs>
              <w:spacing w:before="360" w:after="240"/>
              <w:ind w:left="57"/>
              <w:rPr>
                <w:b/>
              </w:rPr>
            </w:pPr>
            <w:r w:rsidRPr="00F32075">
              <w:rPr>
                <w:b/>
                <w:lang w:val="fr-CH"/>
              </w:rPr>
              <w:t>C</w:t>
            </w:r>
            <w:r w:rsidR="00F32075" w:rsidRPr="00F32075">
              <w:rPr>
                <w:b/>
                <w:lang w:val="fr-CH"/>
              </w:rPr>
              <w:t>onsultation des E</w:t>
            </w:r>
            <w:r w:rsidRPr="00F32075">
              <w:rPr>
                <w:b/>
                <w:lang w:val="fr-CH"/>
              </w:rPr>
              <w:t>tats Membres au sujet du texte déterminé du projet de Recommandation</w:t>
            </w:r>
            <w:r w:rsidRPr="00F21DF6">
              <w:rPr>
                <w:b/>
              </w:rPr>
              <w:t xml:space="preserve"> </w:t>
            </w:r>
            <w:r w:rsidRPr="00A647BF">
              <w:rPr>
                <w:b/>
                <w:lang w:val="fr-CH"/>
              </w:rPr>
              <w:t xml:space="preserve">UIT-T </w:t>
            </w:r>
            <w:r w:rsidRPr="00F21DF6">
              <w:rPr>
                <w:b/>
              </w:rPr>
              <w:t>Q.5050</w:t>
            </w:r>
            <w:r w:rsidRPr="00ED14D8">
              <w:rPr>
                <w:b/>
              </w:rPr>
              <w:t>, qu</w:t>
            </w:r>
            <w:r w:rsidR="00A742BF">
              <w:rPr>
                <w:b/>
              </w:rPr>
              <w:t>'</w:t>
            </w:r>
            <w:r w:rsidRPr="00ED14D8">
              <w:rPr>
                <w:b/>
              </w:rPr>
              <w:t>il est proposé d</w:t>
            </w:r>
            <w:r w:rsidR="00A742BF">
              <w:rPr>
                <w:b/>
              </w:rPr>
              <w:t>'</w:t>
            </w:r>
            <w:r w:rsidRPr="00ED14D8">
              <w:rPr>
                <w:b/>
              </w:rPr>
              <w:t>approuver à la réunion de la Commission d</w:t>
            </w:r>
            <w:r w:rsidR="00A742BF">
              <w:rPr>
                <w:b/>
              </w:rPr>
              <w:t>'</w:t>
            </w:r>
            <w:r w:rsidRPr="00ED14D8">
              <w:rPr>
                <w:b/>
              </w:rPr>
              <w:t xml:space="preserve">études 11 </w:t>
            </w:r>
            <w:r w:rsidRPr="00ED14D8">
              <w:rPr>
                <w:b/>
                <w:lang w:val="fr-CH"/>
              </w:rPr>
              <w:t>de l</w:t>
            </w:r>
            <w:r w:rsidR="00A742BF">
              <w:rPr>
                <w:b/>
                <w:lang w:val="fr-CH"/>
              </w:rPr>
              <w:t>'</w:t>
            </w:r>
            <w:r w:rsidRPr="00ED14D8">
              <w:rPr>
                <w:b/>
                <w:lang w:val="fr-CH"/>
              </w:rPr>
              <w:t>UIT-T</w:t>
            </w:r>
            <w:r>
              <w:rPr>
                <w:b/>
                <w:lang w:val="fr-CH"/>
              </w:rPr>
              <w:t xml:space="preserve"> (</w:t>
            </w:r>
            <w:r w:rsidR="00E71F25">
              <w:rPr>
                <w:b/>
                <w:lang w:val="fr-CH"/>
              </w:rPr>
              <w:t xml:space="preserve">Genève, </w:t>
            </w:r>
            <w:r>
              <w:rPr>
                <w:b/>
                <w:lang w:val="fr-CH"/>
              </w:rPr>
              <w:t>6-15 mars 2019)</w:t>
            </w:r>
          </w:p>
        </w:tc>
      </w:tr>
    </w:tbl>
    <w:p w14:paraId="0EF38754" w14:textId="77777777" w:rsidR="000F65FB" w:rsidRPr="00A647BF" w:rsidRDefault="000F65FB" w:rsidP="00F32075">
      <w:pPr>
        <w:spacing w:before="240"/>
        <w:rPr>
          <w:lang w:val="fr-CH"/>
        </w:rPr>
      </w:pPr>
      <w:bookmarkStart w:id="1" w:name="StartTyping_F"/>
      <w:bookmarkEnd w:id="1"/>
      <w:r w:rsidRPr="00A647BF">
        <w:rPr>
          <w:lang w:val="fr-CH"/>
        </w:rPr>
        <w:t>Madame, Monsieur,</w:t>
      </w:r>
    </w:p>
    <w:p w14:paraId="2F9B493B" w14:textId="306835A0" w:rsidR="000F65FB" w:rsidRPr="00A647BF" w:rsidRDefault="000F65FB" w:rsidP="00F32075">
      <w:pPr>
        <w:rPr>
          <w:szCs w:val="22"/>
          <w:lang w:val="fr-CH"/>
        </w:rPr>
      </w:pPr>
      <w:r w:rsidRPr="00A647BF">
        <w:rPr>
          <w:lang w:val="fr-CH"/>
        </w:rPr>
        <w:t>1</w:t>
      </w:r>
      <w:r w:rsidRPr="00A647BF">
        <w:rPr>
          <w:lang w:val="fr-CH"/>
        </w:rPr>
        <w:tab/>
        <w:t>La Commission d</w:t>
      </w:r>
      <w:r w:rsidR="00A742BF">
        <w:rPr>
          <w:lang w:val="fr-CH"/>
        </w:rPr>
        <w:t>'</w:t>
      </w:r>
      <w:r w:rsidRPr="00A647BF">
        <w:rPr>
          <w:lang w:val="fr-CH"/>
        </w:rPr>
        <w:t xml:space="preserve">études </w:t>
      </w:r>
      <w:r w:rsidR="0059451F">
        <w:rPr>
          <w:lang w:val="fr-CH"/>
        </w:rPr>
        <w:t>11</w:t>
      </w:r>
      <w:r w:rsidRPr="00A647BF">
        <w:rPr>
          <w:lang w:val="fr-CH"/>
        </w:rPr>
        <w:t xml:space="preserve"> de l</w:t>
      </w:r>
      <w:r w:rsidR="00A742BF">
        <w:rPr>
          <w:lang w:val="fr-CH"/>
        </w:rPr>
        <w:t>'</w:t>
      </w:r>
      <w:r w:rsidRPr="00A647BF">
        <w:rPr>
          <w:lang w:val="fr-CH"/>
        </w:rPr>
        <w:t>UIT-</w:t>
      </w:r>
      <w:r w:rsidRPr="00F32075">
        <w:rPr>
          <w:lang w:val="fr-CH"/>
        </w:rPr>
        <w:t>T (</w:t>
      </w:r>
      <w:r w:rsidR="0059451F" w:rsidRPr="00F32075">
        <w:rPr>
          <w:color w:val="000000"/>
        </w:rPr>
        <w:t>Exigences de signalisation, protocoles, spécifications de test et lutte contre la contrefaçon des produits</w:t>
      </w:r>
      <w:r w:rsidRPr="00F32075">
        <w:rPr>
          <w:lang w:val="fr-CH"/>
        </w:rPr>
        <w:t>)</w:t>
      </w:r>
      <w:r w:rsidRPr="00A647BF">
        <w:rPr>
          <w:lang w:val="fr-CH"/>
        </w:rPr>
        <w:t xml:space="preserve"> a l</w:t>
      </w:r>
      <w:r w:rsidR="00A742BF">
        <w:rPr>
          <w:lang w:val="fr-CH"/>
        </w:rPr>
        <w:t>'</w:t>
      </w:r>
      <w:r w:rsidRPr="00A647BF">
        <w:rPr>
          <w:lang w:val="fr-CH"/>
        </w:rPr>
        <w:t>intention d</w:t>
      </w:r>
      <w:r w:rsidR="00A742BF">
        <w:rPr>
          <w:lang w:val="fr-CH"/>
        </w:rPr>
        <w:t>'</w:t>
      </w:r>
      <w:r w:rsidRPr="00A647BF">
        <w:rPr>
          <w:lang w:val="fr-CH"/>
        </w:rPr>
        <w:t>appliquer la procédure d</w:t>
      </w:r>
      <w:r w:rsidR="00A742BF">
        <w:rPr>
          <w:lang w:val="fr-CH"/>
        </w:rPr>
        <w:t>'</w:t>
      </w:r>
      <w:r w:rsidRPr="00A647BF">
        <w:rPr>
          <w:lang w:val="fr-CH"/>
        </w:rPr>
        <w:t>approbation traditionnelle énoncée à la section 9 de la Résolution 1 (</w:t>
      </w:r>
      <w:proofErr w:type="spellStart"/>
      <w:r w:rsidRPr="00A647BF">
        <w:rPr>
          <w:lang w:val="fr-CH"/>
        </w:rPr>
        <w:t>Rév</w:t>
      </w:r>
      <w:proofErr w:type="spellEnd"/>
      <w:r w:rsidRPr="00A647BF">
        <w:rPr>
          <w:lang w:val="fr-CH"/>
        </w:rPr>
        <w:t>.</w:t>
      </w:r>
      <w:r w:rsidR="00AE0A80">
        <w:rPr>
          <w:lang w:val="fr-CH"/>
        </w:rPr>
        <w:t xml:space="preserve"> </w:t>
      </w:r>
      <w:r w:rsidRPr="00A647BF">
        <w:rPr>
          <w:lang w:val="fr-CH"/>
        </w:rPr>
        <w:t>Hammamet, 2016) de l</w:t>
      </w:r>
      <w:r w:rsidR="00A742BF">
        <w:rPr>
          <w:lang w:val="fr-CH"/>
        </w:rPr>
        <w:t>'</w:t>
      </w:r>
      <w:r w:rsidRPr="00A647BF">
        <w:rPr>
          <w:lang w:val="fr-CH"/>
        </w:rPr>
        <w:t>AMNT pour l</w:t>
      </w:r>
      <w:r w:rsidR="00A742BF">
        <w:rPr>
          <w:lang w:val="fr-CH"/>
        </w:rPr>
        <w:t>'</w:t>
      </w:r>
      <w:r w:rsidRPr="00A647BF">
        <w:rPr>
          <w:lang w:val="fr-CH"/>
        </w:rPr>
        <w:t>approbation d</w:t>
      </w:r>
      <w:r w:rsidR="00ED14D8">
        <w:rPr>
          <w:lang w:val="fr-CH"/>
        </w:rPr>
        <w:t>u projet de Recommandation mentionné</w:t>
      </w:r>
      <w:r w:rsidRPr="00A647BF">
        <w:rPr>
          <w:lang w:val="fr-CH"/>
        </w:rPr>
        <w:t xml:space="preserve"> ci-dessus, à sa prochaine réunion, qui se tiendra à Genève du </w:t>
      </w:r>
      <w:r w:rsidR="00ED14D8">
        <w:rPr>
          <w:lang w:val="fr-CH"/>
        </w:rPr>
        <w:t>6 au 15 mars</w:t>
      </w:r>
      <w:r w:rsidR="00B4692C" w:rsidRPr="00A647BF">
        <w:rPr>
          <w:lang w:val="fr-CH"/>
        </w:rPr>
        <w:t xml:space="preserve"> </w:t>
      </w:r>
      <w:r w:rsidRPr="00A647BF">
        <w:rPr>
          <w:lang w:val="fr-CH"/>
        </w:rPr>
        <w:t>201</w:t>
      </w:r>
      <w:r w:rsidR="00B4692C" w:rsidRPr="00A647BF">
        <w:rPr>
          <w:lang w:val="fr-CH"/>
        </w:rPr>
        <w:t>9</w:t>
      </w:r>
      <w:r w:rsidRPr="00A647BF">
        <w:rPr>
          <w:lang w:val="fr-CH"/>
        </w:rPr>
        <w:t>. L</w:t>
      </w:r>
      <w:r w:rsidR="00A742BF">
        <w:rPr>
          <w:lang w:val="fr-CH"/>
        </w:rPr>
        <w:t>'</w:t>
      </w:r>
      <w:r w:rsidRPr="00A647BF">
        <w:rPr>
          <w:lang w:val="fr-CH"/>
        </w:rPr>
        <w:t>ordre du jour ainsi que tous les renseignements pertinents concernant la réunion de la Commission d</w:t>
      </w:r>
      <w:r w:rsidR="00A742BF">
        <w:rPr>
          <w:lang w:val="fr-CH"/>
        </w:rPr>
        <w:t>'</w:t>
      </w:r>
      <w:r w:rsidRPr="00A647BF">
        <w:rPr>
          <w:lang w:val="fr-CH"/>
        </w:rPr>
        <w:t xml:space="preserve">études </w:t>
      </w:r>
      <w:r w:rsidR="00ED14D8">
        <w:rPr>
          <w:lang w:val="fr-CH"/>
        </w:rPr>
        <w:t>11</w:t>
      </w:r>
      <w:r w:rsidRPr="00A647BF">
        <w:rPr>
          <w:lang w:val="fr-CH"/>
        </w:rPr>
        <w:t xml:space="preserve"> de l</w:t>
      </w:r>
      <w:r w:rsidR="00A742BF">
        <w:rPr>
          <w:lang w:val="fr-CH"/>
        </w:rPr>
        <w:t>'</w:t>
      </w:r>
      <w:r w:rsidRPr="00A647BF">
        <w:rPr>
          <w:lang w:val="fr-CH"/>
        </w:rPr>
        <w:t xml:space="preserve">UIT-T seront disponibles dans la Lettre collective </w:t>
      </w:r>
      <w:r w:rsidR="00ED14D8">
        <w:rPr>
          <w:lang w:val="fr-CH"/>
        </w:rPr>
        <w:t>6/11</w:t>
      </w:r>
      <w:r w:rsidR="00A224D8" w:rsidRPr="00A647BF">
        <w:rPr>
          <w:lang w:val="fr-CH"/>
        </w:rPr>
        <w:t>.</w:t>
      </w:r>
    </w:p>
    <w:p w14:paraId="73551A3F" w14:textId="4A313AD1" w:rsidR="000F65FB" w:rsidRPr="00A647BF" w:rsidRDefault="000F65FB" w:rsidP="00F32075">
      <w:pPr>
        <w:rPr>
          <w:lang w:val="fr-CH"/>
        </w:rPr>
      </w:pPr>
      <w:r w:rsidRPr="00A647BF">
        <w:rPr>
          <w:lang w:val="fr-CH"/>
        </w:rPr>
        <w:t>2</w:t>
      </w:r>
      <w:r w:rsidRPr="00A647BF">
        <w:rPr>
          <w:lang w:val="fr-CH"/>
        </w:rPr>
        <w:tab/>
        <w:t>Vous trouverez dans l</w:t>
      </w:r>
      <w:r w:rsidR="00A742BF">
        <w:rPr>
          <w:lang w:val="fr-CH"/>
        </w:rPr>
        <w:t>'</w:t>
      </w:r>
      <w:r w:rsidRPr="00A647BF">
        <w:rPr>
          <w:b/>
          <w:bCs/>
          <w:lang w:val="fr-CH"/>
        </w:rPr>
        <w:t>Annexe 1</w:t>
      </w:r>
      <w:r w:rsidRPr="00A647BF">
        <w:rPr>
          <w:lang w:val="fr-CH"/>
        </w:rPr>
        <w:t xml:space="preserve"> le titre, le résumé et la localisation d</w:t>
      </w:r>
      <w:r w:rsidR="00ED14D8">
        <w:rPr>
          <w:lang w:val="fr-CH"/>
        </w:rPr>
        <w:t>u projet</w:t>
      </w:r>
      <w:r w:rsidRPr="00A647BF">
        <w:rPr>
          <w:lang w:val="fr-CH"/>
        </w:rPr>
        <w:t xml:space="preserve"> de Recommandation </w:t>
      </w:r>
      <w:r w:rsidR="00B4692C" w:rsidRPr="00A647BF">
        <w:rPr>
          <w:lang w:val="fr-CH"/>
        </w:rPr>
        <w:t xml:space="preserve">UIT-T </w:t>
      </w:r>
      <w:r w:rsidRPr="00A647BF">
        <w:rPr>
          <w:lang w:val="fr-CH"/>
        </w:rPr>
        <w:t>qu</w:t>
      </w:r>
      <w:r w:rsidR="00A742BF">
        <w:rPr>
          <w:lang w:val="fr-CH"/>
        </w:rPr>
        <w:t>'</w:t>
      </w:r>
      <w:r w:rsidRPr="00A647BF">
        <w:rPr>
          <w:lang w:val="fr-CH"/>
        </w:rPr>
        <w:t>il est proposé d</w:t>
      </w:r>
      <w:r w:rsidR="00A742BF">
        <w:rPr>
          <w:lang w:val="fr-CH"/>
        </w:rPr>
        <w:t>'</w:t>
      </w:r>
      <w:r w:rsidRPr="00A647BF">
        <w:rPr>
          <w:lang w:val="fr-CH"/>
        </w:rPr>
        <w:t>approuver.</w:t>
      </w:r>
    </w:p>
    <w:p w14:paraId="22DCDD79" w14:textId="6BCB203A" w:rsidR="000F65FB" w:rsidRPr="00ED14D8" w:rsidRDefault="000F65FB" w:rsidP="00F32075">
      <w:pPr>
        <w:rPr>
          <w:lang w:val="fr-CH"/>
        </w:rPr>
      </w:pPr>
      <w:r w:rsidRPr="00A647BF">
        <w:rPr>
          <w:lang w:val="fr-CH"/>
        </w:rPr>
        <w:t>3</w:t>
      </w:r>
      <w:r w:rsidRPr="00A647BF">
        <w:rPr>
          <w:lang w:val="fr-CH"/>
        </w:rPr>
        <w:tab/>
        <w:t>La présente Circulaire a pour objet d</w:t>
      </w:r>
      <w:r w:rsidR="00A742BF">
        <w:rPr>
          <w:lang w:val="fr-CH"/>
        </w:rPr>
        <w:t>'</w:t>
      </w:r>
      <w:r w:rsidRPr="00A647BF">
        <w:rPr>
          <w:lang w:val="fr-CH"/>
        </w:rPr>
        <w:t>engager le processus de consultation formelle des Etats Membres de l</w:t>
      </w:r>
      <w:r w:rsidR="00A742BF">
        <w:rPr>
          <w:lang w:val="fr-CH"/>
        </w:rPr>
        <w:t>'</w:t>
      </w:r>
      <w:r w:rsidR="00ED14D8">
        <w:rPr>
          <w:lang w:val="fr-CH"/>
        </w:rPr>
        <w:t>UIT, qui devront indiquer si ce texte peut être examiné</w:t>
      </w:r>
      <w:r w:rsidRPr="00A647BF">
        <w:rPr>
          <w:lang w:val="fr-CH"/>
        </w:rPr>
        <w:t xml:space="preserve"> en vue </w:t>
      </w:r>
      <w:r w:rsidR="00ED14D8">
        <w:rPr>
          <w:lang w:val="fr-CH"/>
        </w:rPr>
        <w:t>de son</w:t>
      </w:r>
      <w:r w:rsidRPr="00A647BF">
        <w:rPr>
          <w:lang w:val="fr-CH"/>
        </w:rPr>
        <w:t xml:space="preserve"> approbation à la prochaine réunion, conformément au paragraphe 9.4 de la Résolution 1. Les Etats Membres sont priés de remplir le formulaire de l</w:t>
      </w:r>
      <w:r w:rsidR="00A742BF">
        <w:rPr>
          <w:lang w:val="fr-CH"/>
        </w:rPr>
        <w:t>'</w:t>
      </w:r>
      <w:r w:rsidRPr="00A647BF">
        <w:rPr>
          <w:b/>
          <w:bCs/>
          <w:lang w:val="fr-CH"/>
        </w:rPr>
        <w:t>Annexe 2</w:t>
      </w:r>
      <w:r w:rsidRPr="00A647BF">
        <w:rPr>
          <w:lang w:val="fr-CH"/>
        </w:rPr>
        <w:t xml:space="preserve"> et de le r</w:t>
      </w:r>
      <w:r w:rsidR="00A96C87" w:rsidRPr="00A647BF">
        <w:rPr>
          <w:lang w:val="fr-CH"/>
        </w:rPr>
        <w:t>envoyer d</w:t>
      </w:r>
      <w:r w:rsidR="00A742BF">
        <w:rPr>
          <w:lang w:val="fr-CH"/>
        </w:rPr>
        <w:t>'</w:t>
      </w:r>
      <w:r w:rsidR="00A96C87" w:rsidRPr="00A647BF">
        <w:rPr>
          <w:lang w:val="fr-CH"/>
        </w:rPr>
        <w:t xml:space="preserve">ici </w:t>
      </w:r>
      <w:r w:rsidR="00A96C87" w:rsidRPr="00ED14D8">
        <w:rPr>
          <w:lang w:val="fr-CH"/>
        </w:rPr>
        <w:t xml:space="preserve">au </w:t>
      </w:r>
      <w:r w:rsidR="00ED14D8" w:rsidRPr="00ED14D8">
        <w:rPr>
          <w:lang w:val="fr-CH"/>
        </w:rPr>
        <w:t>22 février</w:t>
      </w:r>
      <w:r w:rsidR="00B13258" w:rsidRPr="00ED14D8">
        <w:rPr>
          <w:lang w:val="fr-CH"/>
        </w:rPr>
        <w:t xml:space="preserve"> </w:t>
      </w:r>
      <w:r w:rsidR="00A96C87" w:rsidRPr="00ED14D8">
        <w:rPr>
          <w:lang w:val="fr-CH"/>
        </w:rPr>
        <w:t>201</w:t>
      </w:r>
      <w:r w:rsidR="00B13258" w:rsidRPr="00ED14D8">
        <w:rPr>
          <w:lang w:val="fr-CH"/>
        </w:rPr>
        <w:t>9</w:t>
      </w:r>
      <w:r w:rsidR="00A96C87" w:rsidRPr="00ED14D8">
        <w:rPr>
          <w:lang w:val="fr-CH"/>
        </w:rPr>
        <w:t xml:space="preserve"> à </w:t>
      </w:r>
      <w:r w:rsidRPr="00ED14D8">
        <w:rPr>
          <w:lang w:val="fr-CH"/>
        </w:rPr>
        <w:t>23 h 59 (UTC)</w:t>
      </w:r>
      <w:r w:rsidR="009735EF" w:rsidRPr="00ED14D8">
        <w:rPr>
          <w:rStyle w:val="CommentReference"/>
          <w:lang w:val="fr-CH"/>
        </w:rPr>
        <w:t>.</w:t>
      </w:r>
    </w:p>
    <w:p w14:paraId="0E2924BB" w14:textId="43D01609" w:rsidR="000F65FB" w:rsidRPr="00A647BF" w:rsidRDefault="000F65FB" w:rsidP="00F32075">
      <w:pPr>
        <w:keepLines/>
        <w:rPr>
          <w:lang w:val="fr-CH"/>
        </w:rPr>
      </w:pPr>
      <w:r w:rsidRPr="00A647BF">
        <w:rPr>
          <w:lang w:val="fr-CH"/>
        </w:rPr>
        <w:lastRenderedPageBreak/>
        <w:t>4</w:t>
      </w:r>
      <w:r w:rsidRPr="00A647BF">
        <w:rPr>
          <w:lang w:val="fr-CH"/>
        </w:rPr>
        <w:tab/>
        <w:t>Si au moins 70% des réponses des Etats Membres sont en faveur de l</w:t>
      </w:r>
      <w:r w:rsidR="00A742BF">
        <w:rPr>
          <w:lang w:val="fr-CH"/>
        </w:rPr>
        <w:t>'</w:t>
      </w:r>
      <w:r w:rsidRPr="00A647BF">
        <w:rPr>
          <w:lang w:val="fr-CH"/>
        </w:rPr>
        <w:t>examen, aux fins d</w:t>
      </w:r>
      <w:r w:rsidR="00A742BF">
        <w:rPr>
          <w:lang w:val="fr-CH"/>
        </w:rPr>
        <w:t>'</w:t>
      </w:r>
      <w:r w:rsidRPr="00A647BF">
        <w:rPr>
          <w:lang w:val="fr-CH"/>
        </w:rPr>
        <w:t>approbation, de ce texte, une séance plénière sera consacrée à l</w:t>
      </w:r>
      <w:r w:rsidR="00A742BF">
        <w:rPr>
          <w:lang w:val="fr-CH"/>
        </w:rPr>
        <w:t>'</w:t>
      </w:r>
      <w:r w:rsidRPr="00A647BF">
        <w:rPr>
          <w:lang w:val="fr-CH"/>
        </w:rPr>
        <w:t>application de la procédure d</w:t>
      </w:r>
      <w:r w:rsidR="00A742BF">
        <w:rPr>
          <w:lang w:val="fr-CH"/>
        </w:rPr>
        <w:t>'</w:t>
      </w:r>
      <w:r w:rsidRPr="00A647BF">
        <w:rPr>
          <w:lang w:val="fr-CH"/>
        </w:rPr>
        <w:t>approbation. Les Etats Membres qui n</w:t>
      </w:r>
      <w:r w:rsidR="00A742BF">
        <w:rPr>
          <w:lang w:val="fr-CH"/>
        </w:rPr>
        <w:t>'</w:t>
      </w:r>
      <w:r w:rsidR="005A36E3">
        <w:rPr>
          <w:lang w:val="fr-CH"/>
        </w:rPr>
        <w:t>autorisent pas la C</w:t>
      </w:r>
      <w:r w:rsidRPr="00A647BF">
        <w:rPr>
          <w:lang w:val="fr-CH"/>
        </w:rPr>
        <w:t>ommission d</w:t>
      </w:r>
      <w:r w:rsidR="00A742BF">
        <w:rPr>
          <w:lang w:val="fr-CH"/>
        </w:rPr>
        <w:t>'</w:t>
      </w:r>
      <w:r w:rsidRPr="00A647BF">
        <w:rPr>
          <w:lang w:val="fr-CH"/>
        </w:rPr>
        <w:t>études à procéder ainsi doivent informer le Directeur du TSB des motifs de cette décision et lui faire part des éventuelles modifications qui permettraient la poursuite des travaux.</w:t>
      </w:r>
    </w:p>
    <w:p w14:paraId="5B72CF22" w14:textId="5381FDB3" w:rsidR="000F65FB" w:rsidRPr="00A647BF" w:rsidRDefault="000F65FB" w:rsidP="00F32075">
      <w:pPr>
        <w:rPr>
          <w:lang w:val="fr-CH"/>
        </w:rPr>
      </w:pPr>
      <w:r w:rsidRPr="00A647BF">
        <w:rPr>
          <w:lang w:val="fr-CH"/>
        </w:rPr>
        <w:t>Veuillez agréer, Madame, Monsieur, l</w:t>
      </w:r>
      <w:r w:rsidR="00A742BF">
        <w:rPr>
          <w:lang w:val="fr-CH"/>
        </w:rPr>
        <w:t>'</w:t>
      </w:r>
      <w:r w:rsidRPr="00A647BF">
        <w:rPr>
          <w:lang w:val="fr-CH"/>
        </w:rPr>
        <w:t>assurance de ma considération distinguée.</w:t>
      </w:r>
    </w:p>
    <w:p w14:paraId="5E8123D7" w14:textId="4151CFC5" w:rsidR="000F65FB" w:rsidRPr="00A647BF" w:rsidRDefault="009735EF" w:rsidP="00F32075">
      <w:pPr>
        <w:spacing w:before="480" w:after="480"/>
        <w:rPr>
          <w:i/>
          <w:iCs/>
          <w:lang w:val="fr-CH"/>
        </w:rPr>
      </w:pPr>
      <w:r w:rsidRPr="00A647BF">
        <w:rPr>
          <w:i/>
          <w:iCs/>
          <w:lang w:val="fr-CH"/>
        </w:rPr>
        <w:t>(</w:t>
      </w:r>
      <w:proofErr w:type="gramStart"/>
      <w:r w:rsidRPr="00A647BF">
        <w:rPr>
          <w:i/>
          <w:iCs/>
          <w:lang w:val="fr-CH"/>
        </w:rPr>
        <w:t>signé</w:t>
      </w:r>
      <w:proofErr w:type="gramEnd"/>
      <w:r w:rsidRPr="00A647BF">
        <w:rPr>
          <w:i/>
          <w:iCs/>
          <w:lang w:val="fr-CH"/>
        </w:rPr>
        <w:t>)</w:t>
      </w:r>
    </w:p>
    <w:p w14:paraId="04B4C098" w14:textId="254D47CF" w:rsidR="00F32075" w:rsidRPr="00F32075" w:rsidRDefault="000F65FB" w:rsidP="00F32075">
      <w:pPr>
        <w:rPr>
          <w:lang w:val="fr-CH"/>
        </w:rPr>
      </w:pPr>
      <w:proofErr w:type="spellStart"/>
      <w:r w:rsidRPr="00A647BF">
        <w:rPr>
          <w:lang w:val="fr-CH"/>
        </w:rPr>
        <w:t>Chaesub</w:t>
      </w:r>
      <w:proofErr w:type="spellEnd"/>
      <w:r w:rsidRPr="00A647BF">
        <w:rPr>
          <w:lang w:val="fr-CH"/>
        </w:rPr>
        <w:t xml:space="preserve"> Lee</w:t>
      </w:r>
      <w:r w:rsidRPr="00A647BF">
        <w:rPr>
          <w:lang w:val="fr-CH"/>
        </w:rPr>
        <w:br/>
        <w:t>Directeur du Bureau de la</w:t>
      </w:r>
      <w:r w:rsidR="00427B03">
        <w:rPr>
          <w:lang w:val="fr-CH"/>
        </w:rPr>
        <w:t xml:space="preserve"> </w:t>
      </w:r>
      <w:r w:rsidR="00F32075">
        <w:rPr>
          <w:lang w:val="fr-CH"/>
        </w:rPr>
        <w:t>normalisation</w:t>
      </w:r>
      <w:r w:rsidR="00427B03">
        <w:rPr>
          <w:lang w:val="fr-CH"/>
        </w:rPr>
        <w:br/>
      </w:r>
      <w:r w:rsidRPr="00A647BF">
        <w:rPr>
          <w:lang w:val="fr-CH"/>
        </w:rPr>
        <w:t>des télécommunications</w:t>
      </w:r>
    </w:p>
    <w:p w14:paraId="536B7BCA" w14:textId="1825DA88" w:rsidR="009735EF" w:rsidRPr="008617A1" w:rsidRDefault="009735EF" w:rsidP="00F32075">
      <w:pPr>
        <w:spacing w:before="1000" w:after="120"/>
        <w:rPr>
          <w:b/>
          <w:lang w:val="fr-CH"/>
        </w:rPr>
      </w:pPr>
      <w:r w:rsidRPr="008617A1">
        <w:rPr>
          <w:b/>
          <w:lang w:val="fr-CH"/>
        </w:rPr>
        <w:t>Annexes</w:t>
      </w:r>
      <w:r w:rsidRPr="005A36E3">
        <w:rPr>
          <w:bCs/>
          <w:lang w:val="fr-CH"/>
        </w:rPr>
        <w:t>: 2</w:t>
      </w:r>
    </w:p>
    <w:p w14:paraId="554B7B50" w14:textId="77777777" w:rsidR="00697BC1" w:rsidRPr="00A647BF" w:rsidRDefault="00697BC1" w:rsidP="00F32075">
      <w:pPr>
        <w:tabs>
          <w:tab w:val="clear" w:pos="794"/>
          <w:tab w:val="clear" w:pos="1191"/>
          <w:tab w:val="clear" w:pos="1588"/>
          <w:tab w:val="clear" w:pos="1985"/>
        </w:tabs>
        <w:overflowPunct/>
        <w:autoSpaceDE/>
        <w:autoSpaceDN/>
        <w:adjustRightInd/>
        <w:spacing w:before="0"/>
        <w:textAlignment w:val="auto"/>
        <w:rPr>
          <w:bCs/>
          <w:lang w:val="fr-CH"/>
        </w:rPr>
      </w:pPr>
      <w:r w:rsidRPr="00A647BF">
        <w:rPr>
          <w:bCs/>
          <w:lang w:val="fr-CH"/>
        </w:rPr>
        <w:br w:type="page"/>
      </w:r>
    </w:p>
    <w:p w14:paraId="48BC4C04" w14:textId="768287CC" w:rsidR="00A224D8" w:rsidRPr="00A647BF" w:rsidRDefault="00734F7C" w:rsidP="00734F7C">
      <w:pPr>
        <w:pStyle w:val="Annextitle0"/>
        <w:rPr>
          <w:lang w:val="fr-CH"/>
        </w:rPr>
      </w:pPr>
      <w:r w:rsidRPr="00734F7C">
        <w:rPr>
          <w:lang w:val="fr-CH"/>
        </w:rPr>
        <w:lastRenderedPageBreak/>
        <w:t>Annexe 1</w:t>
      </w:r>
      <w:r w:rsidRPr="00734F7C">
        <w:rPr>
          <w:lang w:val="fr-CH"/>
        </w:rPr>
        <w:br/>
      </w:r>
      <w:r w:rsidRPr="00734F7C">
        <w:rPr>
          <w:lang w:val="fr-CH"/>
        </w:rPr>
        <w:br/>
      </w:r>
      <w:r w:rsidR="00A224D8" w:rsidRPr="00A647BF">
        <w:rPr>
          <w:lang w:val="fr-CH"/>
        </w:rPr>
        <w:t xml:space="preserve">Résumé et localisation </w:t>
      </w:r>
      <w:r w:rsidR="006C379A">
        <w:rPr>
          <w:lang w:val="fr-CH"/>
        </w:rPr>
        <w:t>du projet de</w:t>
      </w:r>
      <w:r w:rsidR="00A224D8" w:rsidRPr="00A647BF">
        <w:rPr>
          <w:lang w:val="fr-CH"/>
        </w:rPr>
        <w:t xml:space="preserve"> </w:t>
      </w:r>
      <w:r w:rsidR="006C379A">
        <w:rPr>
          <w:lang w:val="fr-CH"/>
        </w:rPr>
        <w:t>texte déterminé</w:t>
      </w:r>
    </w:p>
    <w:p w14:paraId="681F62E3" w14:textId="17219EF8" w:rsidR="004807B5" w:rsidRPr="00D7384A" w:rsidRDefault="00A224D8" w:rsidP="00F32075">
      <w:pPr>
        <w:pStyle w:val="Heading1"/>
        <w:rPr>
          <w:highlight w:val="yellow"/>
        </w:rPr>
      </w:pPr>
      <w:r w:rsidRPr="00A647BF">
        <w:rPr>
          <w:lang w:val="fr-CH"/>
        </w:rPr>
        <w:t>1</w:t>
      </w:r>
      <w:r w:rsidRPr="00A647BF">
        <w:rPr>
          <w:lang w:val="fr-CH"/>
        </w:rPr>
        <w:tab/>
        <w:t xml:space="preserve">Projet de nouvelle Recommandation UIT-T </w:t>
      </w:r>
      <w:r w:rsidR="004807B5" w:rsidRPr="00F21DF6">
        <w:rPr>
          <w:lang w:val="fr-CH"/>
        </w:rPr>
        <w:t xml:space="preserve">Q.5050 (ex. </w:t>
      </w:r>
      <w:r w:rsidR="004807B5" w:rsidRPr="00F21DF6">
        <w:t xml:space="preserve">Q.FW_CCF) </w:t>
      </w:r>
      <w:hyperlink r:id="rId10" w:history="1">
        <w:r w:rsidR="004807B5" w:rsidRPr="00146608">
          <w:rPr>
            <w:rStyle w:val="Hyperlink"/>
          </w:rPr>
          <w:t>[R1</w:t>
        </w:r>
        <w:r w:rsidR="004807B5">
          <w:rPr>
            <w:rStyle w:val="Hyperlink"/>
          </w:rPr>
          <w:t>5</w:t>
        </w:r>
        <w:r w:rsidR="004807B5" w:rsidRPr="00146608">
          <w:rPr>
            <w:rStyle w:val="Hyperlink"/>
          </w:rPr>
          <w:t>]</w:t>
        </w:r>
      </w:hyperlink>
    </w:p>
    <w:p w14:paraId="4173A841" w14:textId="20EA3C6D" w:rsidR="00A224D8" w:rsidRPr="007F6B78" w:rsidRDefault="007F6B78" w:rsidP="00F32075">
      <w:pPr>
        <w:pStyle w:val="Headingb0"/>
        <w:tabs>
          <w:tab w:val="clear" w:pos="1191"/>
          <w:tab w:val="clear" w:pos="1588"/>
          <w:tab w:val="clear" w:pos="1985"/>
          <w:tab w:val="left" w:pos="7608"/>
        </w:tabs>
        <w:rPr>
          <w:rFonts w:asciiTheme="minorHAnsi" w:hAnsiTheme="minorHAnsi" w:cstheme="majorBidi"/>
          <w:szCs w:val="24"/>
          <w:lang w:val="fr-CH"/>
        </w:rPr>
      </w:pPr>
      <w:r w:rsidRPr="007F6B78">
        <w:rPr>
          <w:color w:val="000000"/>
          <w:lang w:val="fr-CH"/>
        </w:rPr>
        <w:t>Cadre pour des solutions permettant de lutter contre la contrefaçon des dispositifs TIC</w:t>
      </w:r>
    </w:p>
    <w:p w14:paraId="0D0AA932" w14:textId="77777777" w:rsidR="00A224D8" w:rsidRPr="00A647BF" w:rsidRDefault="00A224D8" w:rsidP="00F32075">
      <w:pPr>
        <w:pStyle w:val="Headingb0"/>
        <w:rPr>
          <w:lang w:val="fr-CH"/>
        </w:rPr>
      </w:pPr>
      <w:r w:rsidRPr="00A647BF">
        <w:rPr>
          <w:lang w:val="fr-CH"/>
        </w:rPr>
        <w:t>Résumé</w:t>
      </w:r>
    </w:p>
    <w:p w14:paraId="3D7E09C4" w14:textId="53ECE848" w:rsidR="00F333CF" w:rsidRDefault="00B972E0" w:rsidP="00B6200E">
      <w:pPr>
        <w:rPr>
          <w:color w:val="000000"/>
        </w:rPr>
      </w:pPr>
      <w:r>
        <w:rPr>
          <w:color w:val="000000"/>
        </w:rPr>
        <w:t xml:space="preserve">Ces dernières années, </w:t>
      </w:r>
      <w:r w:rsidR="00B6200E">
        <w:rPr>
          <w:color w:val="000000"/>
        </w:rPr>
        <w:t>l</w:t>
      </w:r>
      <w:r w:rsidR="00A742BF">
        <w:rPr>
          <w:color w:val="000000"/>
        </w:rPr>
        <w:t>'</w:t>
      </w:r>
      <w:r>
        <w:rPr>
          <w:color w:val="000000"/>
        </w:rPr>
        <w:t>utilisation d</w:t>
      </w:r>
      <w:r w:rsidR="00A742BF">
        <w:rPr>
          <w:color w:val="000000"/>
        </w:rPr>
        <w:t>'</w:t>
      </w:r>
      <w:r>
        <w:rPr>
          <w:color w:val="000000"/>
        </w:rPr>
        <w:t>équipements TIC dans la vie quotidienne</w:t>
      </w:r>
      <w:r w:rsidR="00B6200E">
        <w:rPr>
          <w:color w:val="000000"/>
        </w:rPr>
        <w:t xml:space="preserve"> s</w:t>
      </w:r>
      <w:r w:rsidR="00A742BF">
        <w:rPr>
          <w:color w:val="000000"/>
        </w:rPr>
        <w:t>'</w:t>
      </w:r>
      <w:r w:rsidR="00B6200E">
        <w:rPr>
          <w:color w:val="000000"/>
        </w:rPr>
        <w:t>est intensifiée, mais elle s</w:t>
      </w:r>
      <w:r w:rsidR="00A742BF">
        <w:rPr>
          <w:color w:val="000000"/>
        </w:rPr>
        <w:t>'</w:t>
      </w:r>
      <w:r w:rsidR="00B6200E">
        <w:rPr>
          <w:color w:val="000000"/>
        </w:rPr>
        <w:t>est aussi accompagnée d</w:t>
      </w:r>
      <w:r w:rsidR="00A742BF">
        <w:rPr>
          <w:color w:val="000000"/>
        </w:rPr>
        <w:t>'</w:t>
      </w:r>
      <w:r w:rsidR="00B04A6E">
        <w:rPr>
          <w:color w:val="000000"/>
        </w:rPr>
        <w:t>effets secondaires indésirables</w:t>
      </w:r>
      <w:r w:rsidR="00DD2A59">
        <w:rPr>
          <w:color w:val="000000"/>
        </w:rPr>
        <w:t xml:space="preserve"> </w:t>
      </w:r>
      <w:r w:rsidR="00B6200E">
        <w:rPr>
          <w:color w:val="000000"/>
        </w:rPr>
        <w:t xml:space="preserve">liés à </w:t>
      </w:r>
      <w:r w:rsidR="004C50FC">
        <w:rPr>
          <w:color w:val="000000"/>
        </w:rPr>
        <w:t>l</w:t>
      </w:r>
      <w:r w:rsidR="00A742BF">
        <w:rPr>
          <w:color w:val="000000"/>
        </w:rPr>
        <w:t>'</w:t>
      </w:r>
      <w:r w:rsidR="004C50FC">
        <w:rPr>
          <w:color w:val="000000"/>
        </w:rPr>
        <w:t>augmentation de la vente, de la circulation et de l</w:t>
      </w:r>
      <w:r w:rsidR="00A742BF">
        <w:rPr>
          <w:color w:val="000000"/>
        </w:rPr>
        <w:t>'</w:t>
      </w:r>
      <w:r w:rsidR="004C50FC">
        <w:rPr>
          <w:color w:val="000000"/>
        </w:rPr>
        <w:t xml:space="preserve">utilisation </w:t>
      </w:r>
      <w:r w:rsidR="00676AF9">
        <w:rPr>
          <w:color w:val="000000"/>
        </w:rPr>
        <w:t>d</w:t>
      </w:r>
      <w:r w:rsidR="00A742BF">
        <w:rPr>
          <w:color w:val="000000"/>
        </w:rPr>
        <w:t>'</w:t>
      </w:r>
      <w:r w:rsidR="00676AF9">
        <w:rPr>
          <w:color w:val="000000"/>
        </w:rPr>
        <w:t>équipements TIC</w:t>
      </w:r>
      <w:r w:rsidR="004C50FC">
        <w:rPr>
          <w:color w:val="000000"/>
        </w:rPr>
        <w:t xml:space="preserve"> de contrefaçon</w:t>
      </w:r>
      <w:r w:rsidR="00F6500B">
        <w:rPr>
          <w:color w:val="000000"/>
        </w:rPr>
        <w:t xml:space="preserve"> sur le marché</w:t>
      </w:r>
      <w:r w:rsidR="00676AF9">
        <w:rPr>
          <w:color w:val="000000"/>
        </w:rPr>
        <w:t>.</w:t>
      </w:r>
    </w:p>
    <w:p w14:paraId="0828E3A0" w14:textId="0AC6ABEA" w:rsidR="00410CE0" w:rsidRDefault="006C379A" w:rsidP="00F32075">
      <w:r>
        <w:t xml:space="preserve">Un </w:t>
      </w:r>
      <w:r w:rsidR="00410CE0" w:rsidRPr="009E47FF">
        <w:t>dispositif TIC de contrefaçon est un produit qui enfreint expressément la marque de fabrique, copie les modèles de matériels et de logiciels, enfreint les droits liés à la marque ou à l</w:t>
      </w:r>
      <w:r w:rsidR="00A742BF">
        <w:t>'</w:t>
      </w:r>
      <w:r w:rsidR="00410CE0" w:rsidRPr="009E47FF">
        <w:t>emballage d</w:t>
      </w:r>
      <w:r w:rsidR="00A742BF">
        <w:t>'</w:t>
      </w:r>
      <w:r w:rsidR="00410CE0" w:rsidRPr="009E47FF">
        <w:t>un produit original ou authentique et, en règle générale, enfreint les normes techniques, les prescriptions règlementaires ou les procédures de conformité, les accords de licences de fabrication applicables aux niveaux national et/ou international ou les autres prescriptions juridiques applicables</w:t>
      </w:r>
      <w:r w:rsidR="00410CE0">
        <w:t>.</w:t>
      </w:r>
    </w:p>
    <w:p w14:paraId="0B24658F" w14:textId="5B7022C9" w:rsidR="00E86B7A" w:rsidRDefault="00024157" w:rsidP="00F32075">
      <w:pPr>
        <w:rPr>
          <w:lang w:val="fr-CH"/>
        </w:rPr>
      </w:pPr>
      <w:r w:rsidRPr="00024157">
        <w:t>Parmi les différents types d</w:t>
      </w:r>
      <w:r w:rsidR="00A742BF">
        <w:t>'</w:t>
      </w:r>
      <w:r w:rsidRPr="00024157">
        <w:t>équipements TIC utilisés aujourd</w:t>
      </w:r>
      <w:r w:rsidR="00A742BF">
        <w:t>'</w:t>
      </w:r>
      <w:r w:rsidRPr="00024157">
        <w:t xml:space="preserve">hui, les smartphones et autres </w:t>
      </w:r>
      <w:r>
        <w:t>dispositifs</w:t>
      </w:r>
      <w:r w:rsidRPr="00024157">
        <w:t xml:space="preserve"> mobiles sont devenus </w:t>
      </w:r>
      <w:r w:rsidR="00DD2A59">
        <w:t>des objets</w:t>
      </w:r>
      <w:r w:rsidRPr="00024157">
        <w:t xml:space="preserve"> omniprésents et </w:t>
      </w:r>
      <w:r w:rsidR="00E86B7A">
        <w:t>attrayants</w:t>
      </w:r>
      <w:r w:rsidRPr="00024157">
        <w:t xml:space="preserve"> </w:t>
      </w:r>
      <w:r w:rsidR="00E86B7A">
        <w:t>pour</w:t>
      </w:r>
      <w:r w:rsidRPr="00024157">
        <w:t xml:space="preserve"> la population mondiale et, </w:t>
      </w:r>
      <w:r w:rsidR="008E67D6">
        <w:t>par voie de conséquence</w:t>
      </w:r>
      <w:r w:rsidRPr="00024157">
        <w:t>, ont également attiré l</w:t>
      </w:r>
      <w:r w:rsidR="00A742BF">
        <w:t>'</w:t>
      </w:r>
      <w:r w:rsidRPr="00024157">
        <w:t xml:space="preserve">attention </w:t>
      </w:r>
      <w:r w:rsidR="00E86B7A">
        <w:rPr>
          <w:color w:val="000000"/>
        </w:rPr>
        <w:t>du marché noir et du marché gris à l</w:t>
      </w:r>
      <w:r w:rsidR="00A742BF">
        <w:rPr>
          <w:color w:val="000000"/>
        </w:rPr>
        <w:t>'</w:t>
      </w:r>
      <w:r w:rsidR="00E86B7A">
        <w:rPr>
          <w:color w:val="000000"/>
        </w:rPr>
        <w:t>échelle mondiale</w:t>
      </w:r>
      <w:r w:rsidR="00E86B7A">
        <w:rPr>
          <w:lang w:val="fr-CH"/>
        </w:rPr>
        <w:t>.</w:t>
      </w:r>
    </w:p>
    <w:p w14:paraId="3F24CA86" w14:textId="50818845" w:rsidR="00B50E44" w:rsidRDefault="000B35B9" w:rsidP="00F32075">
      <w:pPr>
        <w:rPr>
          <w:color w:val="000000"/>
        </w:rPr>
      </w:pPr>
      <w:r>
        <w:rPr>
          <w:lang w:val="fr-CH"/>
        </w:rPr>
        <w:t>Cette situation</w:t>
      </w:r>
      <w:r w:rsidR="00B50E44" w:rsidRPr="00B50E44">
        <w:rPr>
          <w:color w:val="000000"/>
        </w:rPr>
        <w:t xml:space="preserve"> </w:t>
      </w:r>
      <w:r w:rsidR="00B50E44">
        <w:rPr>
          <w:color w:val="000000"/>
        </w:rPr>
        <w:t>a des conséquences négatives pour les parties prenantes telles que les utilisa</w:t>
      </w:r>
      <w:r w:rsidR="00B6200E">
        <w:rPr>
          <w:color w:val="000000"/>
        </w:rPr>
        <w:t>teurs, les opérateurs de réseau</w:t>
      </w:r>
      <w:r w:rsidR="00B50E44">
        <w:rPr>
          <w:color w:val="000000"/>
        </w:rPr>
        <w:t xml:space="preserve">, </w:t>
      </w:r>
      <w:r w:rsidR="0022634E">
        <w:rPr>
          <w:color w:val="000000"/>
        </w:rPr>
        <w:t>les fabricants de dispositifs</w:t>
      </w:r>
      <w:r w:rsidR="00180F34">
        <w:rPr>
          <w:color w:val="000000"/>
        </w:rPr>
        <w:t xml:space="preserve"> authentiques</w:t>
      </w:r>
      <w:r w:rsidR="0022634E">
        <w:rPr>
          <w:color w:val="000000"/>
        </w:rPr>
        <w:t xml:space="preserve">, </w:t>
      </w:r>
      <w:r w:rsidR="0077145A">
        <w:rPr>
          <w:color w:val="000000"/>
        </w:rPr>
        <w:t>les négociants et les pouvoirs publics, notamment une</w:t>
      </w:r>
      <w:r w:rsidR="00180F34">
        <w:rPr>
          <w:color w:val="000000"/>
        </w:rPr>
        <w:t xml:space="preserve"> diminution de la</w:t>
      </w:r>
      <w:r w:rsidR="0077145A">
        <w:rPr>
          <w:color w:val="000000"/>
        </w:rPr>
        <w:t xml:space="preserve"> </w:t>
      </w:r>
      <w:r w:rsidR="00C00C14">
        <w:rPr>
          <w:color w:val="000000"/>
        </w:rPr>
        <w:t xml:space="preserve">protection de la sécurité </w:t>
      </w:r>
      <w:r w:rsidR="00180F34">
        <w:rPr>
          <w:color w:val="000000"/>
        </w:rPr>
        <w:t xml:space="preserve">et de la qualité de service pour les utilisateurs, </w:t>
      </w:r>
      <w:r w:rsidR="008710F1">
        <w:rPr>
          <w:color w:val="000000"/>
        </w:rPr>
        <w:t>ainsi qu</w:t>
      </w:r>
      <w:r w:rsidR="00A742BF">
        <w:rPr>
          <w:color w:val="000000"/>
        </w:rPr>
        <w:t>'</w:t>
      </w:r>
      <w:r w:rsidR="008710F1">
        <w:rPr>
          <w:color w:val="000000"/>
        </w:rPr>
        <w:t>une perte de revenus pour un</w:t>
      </w:r>
      <w:r w:rsidR="007826DF">
        <w:rPr>
          <w:color w:val="000000"/>
        </w:rPr>
        <w:t xml:space="preserve"> éventail de parties prenantes.</w:t>
      </w:r>
    </w:p>
    <w:p w14:paraId="52CCD63C" w14:textId="2D355FC4" w:rsidR="00D10242" w:rsidRDefault="0071108D" w:rsidP="00B6200E">
      <w:r>
        <w:t>Etant donné que le principe économique de l</w:t>
      </w:r>
      <w:r w:rsidR="00A742BF">
        <w:t>'</w:t>
      </w:r>
      <w:r>
        <w:t>offre et de la demande en ce qui concerne les produits TIC de contrefaçon rend plus difficiles les initiatives prises pour lutter contre le marché</w:t>
      </w:r>
      <w:r w:rsidR="006A542F">
        <w:t xml:space="preserve"> mondial</w:t>
      </w:r>
      <w:r>
        <w:t xml:space="preserve"> </w:t>
      </w:r>
      <w:r w:rsidR="006A542F">
        <w:t>de la contrefaçon</w:t>
      </w:r>
      <w:r>
        <w:t xml:space="preserve">, </w:t>
      </w:r>
      <w:r w:rsidR="004E23A9">
        <w:t>aucune</w:t>
      </w:r>
      <w:r>
        <w:t xml:space="preserve"> solution unique </w:t>
      </w:r>
      <w:r w:rsidR="005A36E3">
        <w:t xml:space="preserve">ne peut à elle </w:t>
      </w:r>
      <w:r w:rsidR="004E23A9">
        <w:t xml:space="preserve">seule résoudre le problème et il </w:t>
      </w:r>
      <w:r w:rsidR="00554789">
        <w:t>est alors nécessaire</w:t>
      </w:r>
      <w:r w:rsidR="001F1A2A">
        <w:t xml:space="preserve"> </w:t>
      </w:r>
      <w:r w:rsidR="00635BB5">
        <w:t xml:space="preserve">de prendre </w:t>
      </w:r>
      <w:r w:rsidR="00B6200E">
        <w:t xml:space="preserve">toute une série </w:t>
      </w:r>
      <w:r w:rsidR="004E23A9">
        <w:t xml:space="preserve">de mesures </w:t>
      </w:r>
      <w:r w:rsidR="00635BB5">
        <w:t>dans le cadre d</w:t>
      </w:r>
      <w:r w:rsidR="00A742BF">
        <w:t>'</w:t>
      </w:r>
      <w:r w:rsidR="00635BB5">
        <w:t>une approche globale.</w:t>
      </w:r>
    </w:p>
    <w:p w14:paraId="0FCBF61B" w14:textId="27DD4AC4" w:rsidR="00635BB5" w:rsidRDefault="00635BB5" w:rsidP="00B6200E">
      <w:pPr>
        <w:rPr>
          <w:color w:val="000000"/>
        </w:rPr>
      </w:pPr>
      <w:r>
        <w:rPr>
          <w:color w:val="000000"/>
        </w:rPr>
        <w:t xml:space="preserve">Ainsi, cette Recommandation </w:t>
      </w:r>
      <w:r w:rsidR="001F1A2A">
        <w:rPr>
          <w:color w:val="000000"/>
        </w:rPr>
        <w:t>vise à</w:t>
      </w:r>
      <w:r>
        <w:rPr>
          <w:color w:val="000000"/>
        </w:rPr>
        <w:t xml:space="preserve"> décrire un cadre de référence</w:t>
      </w:r>
      <w:r w:rsidR="00181C75">
        <w:rPr>
          <w:color w:val="000000"/>
        </w:rPr>
        <w:t>,</w:t>
      </w:r>
      <w:r w:rsidR="005543FE">
        <w:rPr>
          <w:color w:val="000000"/>
        </w:rPr>
        <w:t xml:space="preserve"> </w:t>
      </w:r>
      <w:r w:rsidR="00181C75">
        <w:rPr>
          <w:color w:val="000000"/>
        </w:rPr>
        <w:t xml:space="preserve">avec </w:t>
      </w:r>
      <w:r w:rsidR="00B6200E">
        <w:rPr>
          <w:color w:val="000000"/>
        </w:rPr>
        <w:t xml:space="preserve">les </w:t>
      </w:r>
      <w:r w:rsidR="0005236E">
        <w:rPr>
          <w:color w:val="000000"/>
        </w:rPr>
        <w:t>exigences de haut niveau</w:t>
      </w:r>
      <w:r w:rsidR="00B6200E">
        <w:rPr>
          <w:color w:val="000000"/>
        </w:rPr>
        <w:t xml:space="preserve"> et les principaux défis</w:t>
      </w:r>
      <w:r w:rsidR="0005236E">
        <w:rPr>
          <w:color w:val="000000"/>
        </w:rPr>
        <w:t>, qu</w:t>
      </w:r>
      <w:r w:rsidR="00A742BF">
        <w:rPr>
          <w:color w:val="000000"/>
        </w:rPr>
        <w:t>'</w:t>
      </w:r>
      <w:r w:rsidR="0005236E">
        <w:rPr>
          <w:color w:val="000000"/>
        </w:rPr>
        <w:t>il conviendrait de prendre en compte lors de la mise en place de solutions visant à lutter contre</w:t>
      </w:r>
      <w:r w:rsidR="00230E87">
        <w:rPr>
          <w:color w:val="000000"/>
        </w:rPr>
        <w:t xml:space="preserve"> la circulation et l</w:t>
      </w:r>
      <w:r w:rsidR="00A742BF">
        <w:rPr>
          <w:color w:val="000000"/>
        </w:rPr>
        <w:t>'</w:t>
      </w:r>
      <w:r w:rsidR="00230E87">
        <w:rPr>
          <w:color w:val="000000"/>
        </w:rPr>
        <w:t>utilisation de dispositifs TIC de contrefaçon.</w:t>
      </w:r>
    </w:p>
    <w:p w14:paraId="1D2CD22E" w14:textId="0872D89B" w:rsidR="00410CE0" w:rsidRPr="00B6200E" w:rsidRDefault="00230E87" w:rsidP="00F32075">
      <w:pPr>
        <w:rPr>
          <w:lang w:val="fr-CH"/>
        </w:rPr>
      </w:pPr>
      <w:r w:rsidRPr="00190EB5">
        <w:rPr>
          <w:lang w:val="fr-CH"/>
        </w:rPr>
        <w:t xml:space="preserve">NOTE DU </w:t>
      </w:r>
      <w:r w:rsidR="00410CE0" w:rsidRPr="00190EB5">
        <w:rPr>
          <w:lang w:val="fr-CH"/>
        </w:rPr>
        <w:t>TSB</w:t>
      </w:r>
      <w:r w:rsidRPr="00190EB5">
        <w:rPr>
          <w:lang w:val="fr-CH"/>
        </w:rPr>
        <w:t xml:space="preserve"> </w:t>
      </w:r>
      <w:r w:rsidR="00410CE0" w:rsidRPr="00190EB5">
        <w:rPr>
          <w:lang w:val="fr-CH"/>
        </w:rPr>
        <w:t>–</w:t>
      </w:r>
      <w:r w:rsidR="00B6200E">
        <w:rPr>
          <w:lang w:val="fr-CH"/>
        </w:rPr>
        <w:t xml:space="preserve"> </w:t>
      </w:r>
      <w:r w:rsidR="00190EB5">
        <w:rPr>
          <w:color w:val="000000"/>
        </w:rPr>
        <w:t xml:space="preserve">A la date de la présente Circulaire, le TSB </w:t>
      </w:r>
      <w:r w:rsidR="00190EB5" w:rsidRPr="00190EB5">
        <w:rPr>
          <w:lang w:val="fr-CH"/>
        </w:rPr>
        <w:t>[</w:t>
      </w:r>
      <w:r w:rsidR="00190EB5">
        <w:rPr>
          <w:color w:val="000000"/>
        </w:rPr>
        <w:t>n</w:t>
      </w:r>
      <w:r w:rsidR="00A742BF">
        <w:rPr>
          <w:color w:val="000000"/>
        </w:rPr>
        <w:t>'</w:t>
      </w:r>
      <w:r w:rsidR="00190EB5">
        <w:rPr>
          <w:color w:val="000000"/>
        </w:rPr>
        <w:t>a reçu aucune déclaration</w:t>
      </w:r>
      <w:r w:rsidR="008743BD" w:rsidRPr="008743BD">
        <w:rPr>
          <w:lang w:val="fr-CH"/>
        </w:rPr>
        <w:t>]</w:t>
      </w:r>
      <w:r w:rsidR="00190EB5">
        <w:rPr>
          <w:color w:val="000000"/>
        </w:rPr>
        <w:t xml:space="preserve"> </w:t>
      </w:r>
      <w:r w:rsidR="00190EB5" w:rsidRPr="00190EB5">
        <w:rPr>
          <w:lang w:val="fr-CH"/>
        </w:rPr>
        <w:t>[</w:t>
      </w:r>
      <w:r w:rsidR="00190EB5">
        <w:rPr>
          <w:lang w:val="fr-CH"/>
        </w:rPr>
        <w:t xml:space="preserve">a reçu une </w:t>
      </w:r>
      <w:r w:rsidR="003040D8">
        <w:rPr>
          <w:lang w:val="fr-CH"/>
        </w:rPr>
        <w:t xml:space="preserve">ou </w:t>
      </w:r>
      <w:r w:rsidR="00190EB5">
        <w:rPr>
          <w:lang w:val="fr-CH"/>
        </w:rPr>
        <w:t>plusieurs déclarations</w:t>
      </w:r>
      <w:r w:rsidR="008743BD" w:rsidRPr="008743BD">
        <w:rPr>
          <w:lang w:val="fr-CH"/>
        </w:rPr>
        <w:t>]</w:t>
      </w:r>
      <w:r w:rsidR="00190EB5">
        <w:rPr>
          <w:color w:val="000000"/>
        </w:rPr>
        <w:t xml:space="preserve"> concernant les droits de propriété intellectuelle relative à ce projet de document</w:t>
      </w:r>
      <w:r w:rsidR="008743BD">
        <w:rPr>
          <w:color w:val="000000"/>
        </w:rPr>
        <w:t>.</w:t>
      </w:r>
      <w:r w:rsidR="000707B2">
        <w:rPr>
          <w:lang w:val="fr-CH"/>
        </w:rPr>
        <w:t xml:space="preserve"> </w:t>
      </w:r>
      <w:r w:rsidR="008743BD">
        <w:rPr>
          <w:color w:val="000000"/>
        </w:rPr>
        <w:t xml:space="preserve">Pour </w:t>
      </w:r>
      <w:r w:rsidR="008743BD" w:rsidRPr="00B6200E">
        <w:rPr>
          <w:color w:val="000000"/>
        </w:rPr>
        <w:t>obtenir des renseignements actualisés, les membres sont invités à consulter la base de données relative aux droits de propriété intellectuelle à l</w:t>
      </w:r>
      <w:r w:rsidR="00A742BF">
        <w:rPr>
          <w:color w:val="000000"/>
        </w:rPr>
        <w:t>'</w:t>
      </w:r>
      <w:r w:rsidR="008743BD" w:rsidRPr="00B6200E">
        <w:rPr>
          <w:color w:val="000000"/>
        </w:rPr>
        <w:t xml:space="preserve">adresse </w:t>
      </w:r>
      <w:hyperlink r:id="rId11" w:history="1">
        <w:r w:rsidR="00410CE0" w:rsidRPr="00B6200E">
          <w:rPr>
            <w:rStyle w:val="Hyperlink"/>
            <w:lang w:val="fr-CH"/>
          </w:rPr>
          <w:t>www.itu.int/ipr/</w:t>
        </w:r>
      </w:hyperlink>
      <w:r w:rsidR="00410CE0" w:rsidRPr="00B6200E">
        <w:rPr>
          <w:lang w:val="fr-CH"/>
        </w:rPr>
        <w:t>.</w:t>
      </w:r>
    </w:p>
    <w:p w14:paraId="66A5730D" w14:textId="08DD2784" w:rsidR="00A421F2" w:rsidRPr="008743BD" w:rsidRDefault="00410CE0" w:rsidP="00F32075">
      <w:pPr>
        <w:rPr>
          <w:lang w:val="fr-CH"/>
        </w:rPr>
      </w:pPr>
      <w:r w:rsidRPr="00B6200E">
        <w:rPr>
          <w:lang w:val="fr-CH"/>
        </w:rPr>
        <w:br w:type="page"/>
      </w:r>
    </w:p>
    <w:p w14:paraId="3008EB4D" w14:textId="48F52357" w:rsidR="00A224D8" w:rsidRPr="00A647BF" w:rsidRDefault="00A224D8" w:rsidP="0018125D">
      <w:pPr>
        <w:pStyle w:val="Annextitle0"/>
        <w:rPr>
          <w:lang w:val="fr-CH"/>
        </w:rPr>
      </w:pPr>
      <w:r w:rsidRPr="0018125D">
        <w:rPr>
          <w:lang w:val="fr-CH"/>
        </w:rPr>
        <w:lastRenderedPageBreak/>
        <w:t>A</w:t>
      </w:r>
      <w:r w:rsidR="0018125D" w:rsidRPr="0018125D">
        <w:rPr>
          <w:lang w:val="fr-CH"/>
        </w:rPr>
        <w:t xml:space="preserve">nnexe </w:t>
      </w:r>
      <w:r w:rsidRPr="0018125D">
        <w:rPr>
          <w:lang w:val="fr-CH"/>
        </w:rPr>
        <w:t>2</w:t>
      </w:r>
      <w:r w:rsidR="0018125D" w:rsidRPr="0018125D">
        <w:rPr>
          <w:lang w:val="fr-CH"/>
        </w:rPr>
        <w:br/>
      </w:r>
      <w:r w:rsidR="0018125D" w:rsidRPr="0018125D">
        <w:rPr>
          <w:lang w:val="fr-CH"/>
        </w:rPr>
        <w:br/>
      </w:r>
      <w:r w:rsidRPr="00A647BF">
        <w:rPr>
          <w:lang w:val="fr-CH"/>
        </w:rPr>
        <w:t xml:space="preserve">Objet: Réponse des Etats Membres à la Circulaire TSB </w:t>
      </w:r>
      <w:r w:rsidR="00663DF3">
        <w:rPr>
          <w:lang w:val="fr-CH"/>
        </w:rPr>
        <w:t>105</w:t>
      </w:r>
      <w:r w:rsidRPr="00A647BF">
        <w:rPr>
          <w:lang w:val="fr-CH"/>
        </w:rPr>
        <w:t>:</w:t>
      </w:r>
      <w:r w:rsidR="00846EDA" w:rsidRPr="00A647BF">
        <w:rPr>
          <w:lang w:val="fr-CH"/>
        </w:rPr>
        <w:t xml:space="preserve"> </w:t>
      </w:r>
      <w:r w:rsidR="004522BD">
        <w:rPr>
          <w:lang w:val="fr-CH"/>
        </w:rPr>
        <w:t>Consultation au sujet</w:t>
      </w:r>
      <w:r w:rsidR="004522BD">
        <w:rPr>
          <w:lang w:val="fr-CH"/>
        </w:rPr>
        <w:br/>
      </w:r>
      <w:r w:rsidR="008E39FE">
        <w:rPr>
          <w:lang w:val="fr-CH"/>
        </w:rPr>
        <w:t xml:space="preserve">du </w:t>
      </w:r>
      <w:r w:rsidR="005C0EC0">
        <w:rPr>
          <w:lang w:val="fr-CH"/>
        </w:rPr>
        <w:t xml:space="preserve">texte déterminé du </w:t>
      </w:r>
      <w:r w:rsidR="008E39FE">
        <w:rPr>
          <w:lang w:val="fr-CH"/>
        </w:rPr>
        <w:t>projet de</w:t>
      </w:r>
      <w:r w:rsidRPr="00A647BF">
        <w:rPr>
          <w:lang w:val="fr-CH"/>
        </w:rPr>
        <w:t xml:space="preserve"> Recommandation </w:t>
      </w:r>
      <w:r w:rsidR="006C0B64" w:rsidRPr="00A647BF">
        <w:rPr>
          <w:lang w:val="fr-CH"/>
        </w:rPr>
        <w:t xml:space="preserve">UIT-T </w:t>
      </w:r>
      <w:r w:rsidR="008E39FE">
        <w:rPr>
          <w:lang w:val="fr-CH"/>
        </w:rPr>
        <w:t>Q.5050</w:t>
      </w:r>
    </w:p>
    <w:tbl>
      <w:tblPr>
        <w:tblW w:w="9639" w:type="dxa"/>
        <w:tblLayout w:type="fixed"/>
        <w:tblLook w:val="04A0" w:firstRow="1" w:lastRow="0" w:firstColumn="1" w:lastColumn="0" w:noHBand="0" w:noVBand="1"/>
      </w:tblPr>
      <w:tblGrid>
        <w:gridCol w:w="1276"/>
        <w:gridCol w:w="4111"/>
        <w:gridCol w:w="1276"/>
        <w:gridCol w:w="2976"/>
      </w:tblGrid>
      <w:tr w:rsidR="00A224D8" w:rsidRPr="00A647BF" w14:paraId="70370862" w14:textId="77777777" w:rsidTr="00427B03">
        <w:tc>
          <w:tcPr>
            <w:tcW w:w="1276" w:type="dxa"/>
            <w:shd w:val="clear" w:color="auto" w:fill="auto"/>
          </w:tcPr>
          <w:p w14:paraId="6137A537" w14:textId="77777777" w:rsidR="00A224D8" w:rsidRPr="00A647BF" w:rsidRDefault="00A224D8" w:rsidP="00F32075">
            <w:pPr>
              <w:jc w:val="right"/>
              <w:rPr>
                <w:szCs w:val="24"/>
                <w:lang w:val="fr-CH"/>
              </w:rPr>
            </w:pPr>
            <w:r w:rsidRPr="00A647BF">
              <w:rPr>
                <w:b/>
                <w:bCs/>
                <w:lang w:val="fr-CH"/>
              </w:rPr>
              <w:t>A:</w:t>
            </w:r>
          </w:p>
        </w:tc>
        <w:tc>
          <w:tcPr>
            <w:tcW w:w="4111" w:type="dxa"/>
            <w:tcBorders>
              <w:right w:val="single" w:sz="8" w:space="0" w:color="auto"/>
            </w:tcBorders>
            <w:shd w:val="clear" w:color="auto" w:fill="auto"/>
          </w:tcPr>
          <w:p w14:paraId="2ECA2153" w14:textId="0BD67A37" w:rsidR="00A224D8" w:rsidRPr="00A647BF" w:rsidRDefault="00427B03" w:rsidP="00F32075">
            <w:pPr>
              <w:ind w:right="-284"/>
              <w:rPr>
                <w:bCs/>
                <w:lang w:val="fr-CH"/>
              </w:rPr>
            </w:pPr>
            <w:r>
              <w:rPr>
                <w:bCs/>
                <w:lang w:val="fr-CH"/>
              </w:rPr>
              <w:t xml:space="preserve">Directeur du Bureau de la </w:t>
            </w:r>
            <w:r w:rsidR="00A224D8" w:rsidRPr="00A647BF">
              <w:rPr>
                <w:bCs/>
                <w:lang w:val="fr-CH"/>
              </w:rPr>
              <w:t>norma</w:t>
            </w:r>
            <w:r>
              <w:rPr>
                <w:bCs/>
                <w:lang w:val="fr-CH"/>
              </w:rPr>
              <w:t>lisation des télécommunications</w:t>
            </w:r>
          </w:p>
          <w:p w14:paraId="1B6D27AD" w14:textId="48108911" w:rsidR="00A224D8" w:rsidRPr="00A647BF" w:rsidRDefault="009D5349" w:rsidP="00F32075">
            <w:pPr>
              <w:spacing w:before="0"/>
              <w:ind w:right="-284"/>
              <w:rPr>
                <w:bCs/>
                <w:lang w:val="fr-CH"/>
              </w:rPr>
            </w:pPr>
            <w:r>
              <w:rPr>
                <w:bCs/>
                <w:lang w:val="fr-CH"/>
              </w:rPr>
              <w:t>Union internationale</w:t>
            </w:r>
            <w:r>
              <w:rPr>
                <w:bCs/>
                <w:lang w:val="fr-CH"/>
              </w:rPr>
              <w:br/>
            </w:r>
            <w:r w:rsidR="00A224D8" w:rsidRPr="00A647BF">
              <w:rPr>
                <w:bCs/>
                <w:lang w:val="fr-CH"/>
              </w:rPr>
              <w:t>des télécommunications</w:t>
            </w:r>
          </w:p>
          <w:p w14:paraId="4597C601" w14:textId="77777777" w:rsidR="00A224D8" w:rsidRPr="00A647BF" w:rsidRDefault="00A224D8" w:rsidP="00F32075">
            <w:pPr>
              <w:spacing w:before="0"/>
              <w:ind w:right="-284"/>
              <w:rPr>
                <w:bCs/>
                <w:lang w:val="fr-CH"/>
              </w:rPr>
            </w:pPr>
            <w:r w:rsidRPr="00A647BF">
              <w:rPr>
                <w:bCs/>
                <w:lang w:val="fr-CH"/>
              </w:rPr>
              <w:t>Place des Nations</w:t>
            </w:r>
          </w:p>
          <w:p w14:paraId="6A93EA01" w14:textId="77777777" w:rsidR="00A224D8" w:rsidRPr="00A647BF" w:rsidRDefault="00A224D8" w:rsidP="00F32075">
            <w:pPr>
              <w:spacing w:before="0"/>
              <w:rPr>
                <w:szCs w:val="24"/>
                <w:lang w:val="fr-CH"/>
              </w:rPr>
            </w:pPr>
            <w:r w:rsidRPr="00A647BF">
              <w:rPr>
                <w:bCs/>
                <w:lang w:val="fr-CH"/>
              </w:rPr>
              <w:t>CH 1211 Genève 20, Suisse</w:t>
            </w:r>
          </w:p>
        </w:tc>
        <w:tc>
          <w:tcPr>
            <w:tcW w:w="1276" w:type="dxa"/>
            <w:tcBorders>
              <w:left w:val="single" w:sz="8" w:space="0" w:color="auto"/>
            </w:tcBorders>
            <w:shd w:val="clear" w:color="auto" w:fill="auto"/>
          </w:tcPr>
          <w:p w14:paraId="478519CE" w14:textId="77777777" w:rsidR="00A224D8" w:rsidRPr="00A647BF" w:rsidRDefault="00A224D8" w:rsidP="00F32075">
            <w:pPr>
              <w:jc w:val="right"/>
              <w:rPr>
                <w:szCs w:val="24"/>
                <w:lang w:val="fr-CH"/>
              </w:rPr>
            </w:pPr>
            <w:r w:rsidRPr="00A647BF">
              <w:rPr>
                <w:b/>
                <w:bCs/>
                <w:lang w:val="fr-CH"/>
              </w:rPr>
              <w:t>De</w:t>
            </w:r>
            <w:r w:rsidRPr="00A647BF">
              <w:rPr>
                <w:bCs/>
                <w:lang w:val="fr-CH"/>
              </w:rPr>
              <w:t>:</w:t>
            </w:r>
          </w:p>
        </w:tc>
        <w:tc>
          <w:tcPr>
            <w:tcW w:w="2976" w:type="dxa"/>
            <w:shd w:val="clear" w:color="auto" w:fill="auto"/>
          </w:tcPr>
          <w:p w14:paraId="583BCDD3" w14:textId="77777777" w:rsidR="00A224D8" w:rsidRPr="00A647BF" w:rsidRDefault="00A224D8" w:rsidP="00F32075">
            <w:pPr>
              <w:ind w:right="-284"/>
              <w:rPr>
                <w:bCs/>
                <w:highlight w:val="green"/>
                <w:lang w:val="fr-CH"/>
              </w:rPr>
            </w:pPr>
            <w:r w:rsidRPr="00A647BF">
              <w:rPr>
                <w:bCs/>
                <w:highlight w:val="green"/>
                <w:lang w:val="fr-CH"/>
              </w:rPr>
              <w:t>[Nom]</w:t>
            </w:r>
          </w:p>
          <w:p w14:paraId="0953F744" w14:textId="77777777" w:rsidR="00A224D8" w:rsidRPr="00A647BF" w:rsidRDefault="00A224D8" w:rsidP="00F32075">
            <w:pPr>
              <w:spacing w:before="0"/>
              <w:ind w:right="-284"/>
              <w:rPr>
                <w:bCs/>
                <w:highlight w:val="green"/>
                <w:lang w:val="fr-CH"/>
              </w:rPr>
            </w:pPr>
            <w:r w:rsidRPr="00A647BF">
              <w:rPr>
                <w:bCs/>
                <w:highlight w:val="green"/>
                <w:lang w:val="fr-CH"/>
              </w:rPr>
              <w:t>[Rôle/titre officiel]</w:t>
            </w:r>
          </w:p>
          <w:p w14:paraId="7541967C" w14:textId="77777777" w:rsidR="00A224D8" w:rsidRPr="00A647BF" w:rsidRDefault="00A224D8" w:rsidP="00F32075">
            <w:pPr>
              <w:spacing w:before="0"/>
              <w:rPr>
                <w:szCs w:val="24"/>
                <w:lang w:val="fr-CH"/>
              </w:rPr>
            </w:pPr>
            <w:r w:rsidRPr="00A647BF">
              <w:rPr>
                <w:bCs/>
                <w:highlight w:val="green"/>
                <w:lang w:val="fr-CH"/>
              </w:rPr>
              <w:t>[Adresse]</w:t>
            </w:r>
          </w:p>
        </w:tc>
      </w:tr>
      <w:tr w:rsidR="00A224D8" w:rsidRPr="00A647BF" w14:paraId="169DE0C4" w14:textId="77777777" w:rsidTr="00427B03">
        <w:trPr>
          <w:trHeight w:val="923"/>
        </w:trPr>
        <w:tc>
          <w:tcPr>
            <w:tcW w:w="1276" w:type="dxa"/>
            <w:shd w:val="clear" w:color="auto" w:fill="auto"/>
          </w:tcPr>
          <w:p w14:paraId="0A4982D4" w14:textId="315E4649" w:rsidR="00A224D8" w:rsidRPr="00A647BF" w:rsidRDefault="009B793E" w:rsidP="00F32075">
            <w:pPr>
              <w:rPr>
                <w:szCs w:val="24"/>
                <w:lang w:val="fr-CH"/>
              </w:rPr>
            </w:pPr>
            <w:r w:rsidRPr="00A647BF">
              <w:rPr>
                <w:b/>
                <w:bCs/>
                <w:lang w:val="fr-CH"/>
              </w:rPr>
              <w:t>Télécopie</w:t>
            </w:r>
            <w:r w:rsidR="00A224D8" w:rsidRPr="00A647BF">
              <w:rPr>
                <w:bCs/>
                <w:lang w:val="fr-CH"/>
              </w:rPr>
              <w:t>:</w:t>
            </w:r>
            <w:r w:rsidR="00A224D8" w:rsidRPr="00A647BF">
              <w:rPr>
                <w:bCs/>
                <w:lang w:val="fr-CH"/>
              </w:rPr>
              <w:br/>
            </w:r>
            <w:r w:rsidR="00A224D8" w:rsidRPr="00A647BF">
              <w:rPr>
                <w:b/>
                <w:bCs/>
                <w:lang w:val="fr-CH"/>
              </w:rPr>
              <w:t>Courrie</w:t>
            </w:r>
            <w:r w:rsidR="00194A19" w:rsidRPr="00A647BF">
              <w:rPr>
                <w:b/>
                <w:bCs/>
                <w:lang w:val="fr-CH"/>
              </w:rPr>
              <w:t>l</w:t>
            </w:r>
            <w:r w:rsidR="00A224D8" w:rsidRPr="00A647BF">
              <w:rPr>
                <w:bCs/>
                <w:lang w:val="fr-CH"/>
              </w:rPr>
              <w:t>:</w:t>
            </w:r>
          </w:p>
        </w:tc>
        <w:tc>
          <w:tcPr>
            <w:tcW w:w="4111" w:type="dxa"/>
            <w:tcBorders>
              <w:right w:val="single" w:sz="8" w:space="0" w:color="auto"/>
            </w:tcBorders>
            <w:shd w:val="clear" w:color="auto" w:fill="auto"/>
          </w:tcPr>
          <w:p w14:paraId="412CAFCB" w14:textId="77777777" w:rsidR="00A224D8" w:rsidRPr="00A647BF" w:rsidRDefault="00A224D8" w:rsidP="00F32075">
            <w:pPr>
              <w:rPr>
                <w:szCs w:val="24"/>
                <w:lang w:val="fr-CH"/>
              </w:rPr>
            </w:pPr>
            <w:r w:rsidRPr="00A647BF">
              <w:rPr>
                <w:bCs/>
                <w:lang w:val="fr-CH"/>
              </w:rPr>
              <w:t>+</w:t>
            </w:r>
            <w:proofErr w:type="gramStart"/>
            <w:r w:rsidRPr="00A647BF">
              <w:rPr>
                <w:bCs/>
                <w:lang w:val="fr-CH"/>
              </w:rPr>
              <w:t>41-22-730-5853</w:t>
            </w:r>
            <w:r w:rsidRPr="00A647BF">
              <w:rPr>
                <w:bCs/>
                <w:lang w:val="fr-CH"/>
              </w:rPr>
              <w:br/>
            </w:r>
            <w:hyperlink r:id="rId12" w:history="1">
              <w:r w:rsidRPr="00A647BF">
                <w:rPr>
                  <w:rStyle w:val="Hyperlink"/>
                  <w:bCs/>
                  <w:lang w:val="fr-CH"/>
                </w:rPr>
                <w:t>tsbdir@itu.int</w:t>
              </w:r>
              <w:proofErr w:type="gramEnd"/>
            </w:hyperlink>
            <w:r w:rsidRPr="00A647BF">
              <w:rPr>
                <w:bCs/>
                <w:lang w:val="fr-CH"/>
              </w:rPr>
              <w:t xml:space="preserve"> </w:t>
            </w:r>
          </w:p>
        </w:tc>
        <w:tc>
          <w:tcPr>
            <w:tcW w:w="1276" w:type="dxa"/>
            <w:tcBorders>
              <w:left w:val="single" w:sz="8" w:space="0" w:color="auto"/>
            </w:tcBorders>
            <w:shd w:val="clear" w:color="auto" w:fill="auto"/>
          </w:tcPr>
          <w:p w14:paraId="6A60E219" w14:textId="77777777" w:rsidR="00A224D8" w:rsidRPr="00A647BF" w:rsidRDefault="00A224D8" w:rsidP="00F32075">
            <w:pPr>
              <w:spacing w:before="0"/>
              <w:jc w:val="right"/>
              <w:rPr>
                <w:szCs w:val="24"/>
                <w:lang w:val="fr-CH"/>
              </w:rPr>
            </w:pPr>
            <w:r w:rsidRPr="00A647BF">
              <w:rPr>
                <w:b/>
                <w:bCs/>
                <w:lang w:val="fr-CH"/>
              </w:rPr>
              <w:t>Télécopie:</w:t>
            </w:r>
            <w:r w:rsidRPr="00A647BF">
              <w:rPr>
                <w:b/>
                <w:bCs/>
                <w:lang w:val="fr-CH"/>
              </w:rPr>
              <w:br/>
              <w:t>Courriel</w:t>
            </w:r>
            <w:r w:rsidRPr="00A647BF">
              <w:rPr>
                <w:bCs/>
                <w:lang w:val="fr-CH"/>
              </w:rPr>
              <w:t>:</w:t>
            </w:r>
          </w:p>
        </w:tc>
        <w:tc>
          <w:tcPr>
            <w:tcW w:w="2976" w:type="dxa"/>
            <w:shd w:val="clear" w:color="auto" w:fill="auto"/>
          </w:tcPr>
          <w:p w14:paraId="21CED3BE" w14:textId="77777777" w:rsidR="00A224D8" w:rsidRPr="00A647BF" w:rsidRDefault="00A224D8" w:rsidP="00F32075">
            <w:pPr>
              <w:spacing w:before="0"/>
              <w:rPr>
                <w:szCs w:val="24"/>
                <w:lang w:val="fr-CH"/>
              </w:rPr>
            </w:pPr>
          </w:p>
        </w:tc>
      </w:tr>
      <w:tr w:rsidR="00A224D8" w:rsidRPr="00A647BF" w14:paraId="047F04F3" w14:textId="77777777" w:rsidTr="00427B03">
        <w:trPr>
          <w:trHeight w:val="186"/>
        </w:trPr>
        <w:tc>
          <w:tcPr>
            <w:tcW w:w="1276" w:type="dxa"/>
            <w:shd w:val="clear" w:color="auto" w:fill="auto"/>
          </w:tcPr>
          <w:p w14:paraId="41C47048" w14:textId="77777777" w:rsidR="00A224D8" w:rsidRPr="00A647BF" w:rsidRDefault="00A224D8" w:rsidP="00F32075">
            <w:pPr>
              <w:spacing w:before="0"/>
              <w:jc w:val="right"/>
              <w:rPr>
                <w:szCs w:val="24"/>
                <w:lang w:val="fr-CH"/>
              </w:rPr>
            </w:pPr>
          </w:p>
        </w:tc>
        <w:tc>
          <w:tcPr>
            <w:tcW w:w="4111" w:type="dxa"/>
            <w:tcBorders>
              <w:right w:val="single" w:sz="8" w:space="0" w:color="auto"/>
            </w:tcBorders>
            <w:shd w:val="clear" w:color="auto" w:fill="auto"/>
          </w:tcPr>
          <w:p w14:paraId="28145306" w14:textId="77777777" w:rsidR="00A224D8" w:rsidRPr="00A647BF" w:rsidRDefault="00A224D8" w:rsidP="00F32075">
            <w:pPr>
              <w:spacing w:before="0"/>
              <w:rPr>
                <w:szCs w:val="24"/>
                <w:lang w:val="fr-CH"/>
              </w:rPr>
            </w:pPr>
          </w:p>
        </w:tc>
        <w:tc>
          <w:tcPr>
            <w:tcW w:w="1276" w:type="dxa"/>
            <w:tcBorders>
              <w:left w:val="single" w:sz="8" w:space="0" w:color="auto"/>
            </w:tcBorders>
            <w:shd w:val="clear" w:color="auto" w:fill="auto"/>
          </w:tcPr>
          <w:p w14:paraId="2EC1D0FE" w14:textId="77777777" w:rsidR="00A224D8" w:rsidRPr="00A647BF" w:rsidRDefault="00A224D8" w:rsidP="00F32075">
            <w:pPr>
              <w:spacing w:before="0"/>
              <w:jc w:val="right"/>
              <w:rPr>
                <w:szCs w:val="24"/>
                <w:lang w:val="fr-CH"/>
              </w:rPr>
            </w:pPr>
            <w:r w:rsidRPr="00A647BF">
              <w:rPr>
                <w:b/>
                <w:bCs/>
                <w:lang w:val="fr-CH"/>
              </w:rPr>
              <w:t>Date</w:t>
            </w:r>
            <w:r w:rsidRPr="00A647BF">
              <w:rPr>
                <w:bCs/>
                <w:lang w:val="fr-CH"/>
              </w:rPr>
              <w:t>:</w:t>
            </w:r>
          </w:p>
        </w:tc>
        <w:tc>
          <w:tcPr>
            <w:tcW w:w="2976" w:type="dxa"/>
            <w:shd w:val="clear" w:color="auto" w:fill="auto"/>
          </w:tcPr>
          <w:p w14:paraId="5C7B6282" w14:textId="175B8D9C" w:rsidR="00A224D8" w:rsidRPr="00A647BF" w:rsidRDefault="00A224D8" w:rsidP="00F32075">
            <w:pPr>
              <w:spacing w:before="0"/>
              <w:rPr>
                <w:szCs w:val="24"/>
                <w:lang w:val="fr-CH"/>
              </w:rPr>
            </w:pPr>
            <w:r w:rsidRPr="00A647BF">
              <w:rPr>
                <w:bCs/>
                <w:highlight w:val="green"/>
                <w:lang w:val="fr-CH"/>
              </w:rPr>
              <w:t>[Lieu,] [Date]</w:t>
            </w:r>
          </w:p>
        </w:tc>
      </w:tr>
    </w:tbl>
    <w:p w14:paraId="17ED8B16" w14:textId="77777777" w:rsidR="00A224D8" w:rsidRPr="00A647BF" w:rsidRDefault="00A224D8" w:rsidP="00F32075">
      <w:pPr>
        <w:rPr>
          <w:lang w:val="fr-CH"/>
        </w:rPr>
      </w:pPr>
      <w:r w:rsidRPr="00A647BF">
        <w:rPr>
          <w:lang w:val="fr-CH"/>
        </w:rPr>
        <w:t>Madame, Monsieur,</w:t>
      </w:r>
    </w:p>
    <w:p w14:paraId="0EFD964C" w14:textId="612ED480" w:rsidR="00A224D8" w:rsidRDefault="00A224D8" w:rsidP="004522BD">
      <w:pPr>
        <w:spacing w:after="120"/>
        <w:rPr>
          <w:lang w:val="fr-CH"/>
        </w:rPr>
      </w:pPr>
      <w:r w:rsidRPr="00A647BF">
        <w:rPr>
          <w:lang w:val="fr-CH"/>
        </w:rPr>
        <w:t>Dans le cadre de la consultatio</w:t>
      </w:r>
      <w:r w:rsidR="00BE6E0A">
        <w:rPr>
          <w:lang w:val="fr-CH"/>
        </w:rPr>
        <w:t>n des Etats Membres au sujet du projet de document déterminé</w:t>
      </w:r>
      <w:r w:rsidRPr="00A647BF">
        <w:rPr>
          <w:lang w:val="fr-CH"/>
        </w:rPr>
        <w:t xml:space="preserve"> dont il est question dans la Circulaire </w:t>
      </w:r>
      <w:r w:rsidR="004522BD">
        <w:rPr>
          <w:lang w:val="fr-CH"/>
        </w:rPr>
        <w:t>TSB</w:t>
      </w:r>
      <w:r w:rsidR="00116BD4">
        <w:rPr>
          <w:lang w:val="fr-CH"/>
        </w:rPr>
        <w:t xml:space="preserve"> </w:t>
      </w:r>
      <w:r w:rsidR="00BE6E0A">
        <w:rPr>
          <w:lang w:val="fr-CH"/>
        </w:rPr>
        <w:t>105</w:t>
      </w:r>
      <w:r w:rsidRPr="00A647BF">
        <w:rPr>
          <w:lang w:val="fr-CH"/>
        </w:rPr>
        <w:t>, je vous indique par la présente l</w:t>
      </w:r>
      <w:r w:rsidR="00A742BF">
        <w:rPr>
          <w:lang w:val="fr-CH"/>
        </w:rPr>
        <w:t>'</w:t>
      </w:r>
      <w:r w:rsidRPr="00A647BF">
        <w:rPr>
          <w:lang w:val="fr-CH"/>
        </w:rPr>
        <w:t>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95614B" w:rsidRPr="0095614B" w14:paraId="0D7C1DB2" w14:textId="77777777" w:rsidTr="001E4B1D">
        <w:trPr>
          <w:tblHeader/>
        </w:trPr>
        <w:tc>
          <w:tcPr>
            <w:tcW w:w="2067" w:type="dxa"/>
            <w:shd w:val="clear" w:color="auto" w:fill="auto"/>
            <w:vAlign w:val="center"/>
          </w:tcPr>
          <w:p w14:paraId="2CED517D" w14:textId="77777777" w:rsidR="0095614B" w:rsidRPr="00F32075" w:rsidRDefault="0095614B" w:rsidP="00F32075">
            <w:pPr>
              <w:spacing w:after="120"/>
              <w:jc w:val="center"/>
              <w:rPr>
                <w:b/>
                <w:bCs/>
                <w:szCs w:val="24"/>
              </w:rPr>
            </w:pPr>
          </w:p>
        </w:tc>
        <w:tc>
          <w:tcPr>
            <w:tcW w:w="7652" w:type="dxa"/>
            <w:shd w:val="clear" w:color="auto" w:fill="auto"/>
            <w:vAlign w:val="center"/>
          </w:tcPr>
          <w:p w14:paraId="275BF2BE" w14:textId="43633535" w:rsidR="0095614B" w:rsidRPr="0095614B" w:rsidRDefault="0095614B" w:rsidP="00F32075">
            <w:pPr>
              <w:tabs>
                <w:tab w:val="clear" w:pos="794"/>
                <w:tab w:val="clear" w:pos="1191"/>
                <w:tab w:val="clear" w:pos="1588"/>
                <w:tab w:val="clear" w:pos="1985"/>
              </w:tabs>
              <w:spacing w:after="120"/>
              <w:ind w:left="939" w:hanging="459"/>
              <w:jc w:val="center"/>
              <w:rPr>
                <w:b/>
                <w:bCs/>
                <w:szCs w:val="24"/>
                <w:lang w:val="fr-CH"/>
              </w:rPr>
            </w:pPr>
            <w:r w:rsidRPr="0095614B">
              <w:rPr>
                <w:b/>
                <w:bCs/>
                <w:lang w:val="fr-CH"/>
              </w:rPr>
              <w:t>Cochez l</w:t>
            </w:r>
            <w:r w:rsidR="00A742BF">
              <w:rPr>
                <w:b/>
                <w:bCs/>
                <w:lang w:val="fr-CH"/>
              </w:rPr>
              <w:t>'</w:t>
            </w:r>
            <w:r w:rsidRPr="0095614B">
              <w:rPr>
                <w:b/>
                <w:bCs/>
                <w:lang w:val="fr-CH"/>
              </w:rPr>
              <w:t>une des deux cases</w:t>
            </w:r>
          </w:p>
        </w:tc>
      </w:tr>
      <w:tr w:rsidR="0095614B" w:rsidRPr="00851837" w14:paraId="59624A6A" w14:textId="77777777" w:rsidTr="001E4B1D">
        <w:trPr>
          <w:trHeight w:val="748"/>
        </w:trPr>
        <w:tc>
          <w:tcPr>
            <w:tcW w:w="2067" w:type="dxa"/>
            <w:vMerge w:val="restart"/>
            <w:shd w:val="clear" w:color="auto" w:fill="auto"/>
            <w:vAlign w:val="center"/>
          </w:tcPr>
          <w:p w14:paraId="6D8BF1C1" w14:textId="21EB0097" w:rsidR="0095614B" w:rsidRPr="00E422D1" w:rsidRDefault="00E422D1" w:rsidP="00F32075">
            <w:pPr>
              <w:spacing w:before="60" w:after="60"/>
              <w:jc w:val="center"/>
              <w:rPr>
                <w:b/>
                <w:bCs/>
                <w:szCs w:val="24"/>
                <w:lang w:val="fr-CH"/>
              </w:rPr>
            </w:pPr>
            <w:r w:rsidRPr="00E422D1">
              <w:rPr>
                <w:b/>
                <w:bCs/>
                <w:lang w:val="fr-CH"/>
              </w:rPr>
              <w:t>Projet de nouvelle Recommandation UIT-T Q.5050</w:t>
            </w:r>
          </w:p>
        </w:tc>
        <w:tc>
          <w:tcPr>
            <w:tcW w:w="7652" w:type="dxa"/>
            <w:shd w:val="clear" w:color="auto" w:fill="auto"/>
            <w:vAlign w:val="center"/>
          </w:tcPr>
          <w:p w14:paraId="13326BFD" w14:textId="16F1D864" w:rsidR="00851837" w:rsidRPr="00E422D1" w:rsidRDefault="00851837" w:rsidP="00F32075">
            <w:pPr>
              <w:pStyle w:val="TableText"/>
              <w:spacing w:before="120" w:after="120"/>
              <w:ind w:left="567" w:hanging="567"/>
              <w:rPr>
                <w:sz w:val="24"/>
                <w:szCs w:val="24"/>
                <w:lang w:val="fr-CH"/>
              </w:rPr>
            </w:pPr>
            <w:r w:rsidRPr="00E422D1">
              <w:rPr>
                <w:sz w:val="24"/>
                <w:szCs w:val="24"/>
                <w:lang w:val="fr-CH"/>
              </w:rPr>
              <w:fldChar w:fldCharType="begin">
                <w:ffData>
                  <w:name w:val="Check1"/>
                  <w:enabled/>
                  <w:calcOnExit w:val="0"/>
                  <w:checkBox>
                    <w:sizeAuto/>
                    <w:default w:val="0"/>
                  </w:checkBox>
                </w:ffData>
              </w:fldChar>
            </w:r>
            <w:r w:rsidRPr="00E422D1">
              <w:rPr>
                <w:sz w:val="24"/>
                <w:szCs w:val="24"/>
                <w:lang w:val="fr-CH"/>
              </w:rPr>
              <w:instrText xml:space="preserve"> FORMCHECKBOX </w:instrText>
            </w:r>
            <w:r w:rsidR="001232E7">
              <w:rPr>
                <w:sz w:val="24"/>
                <w:szCs w:val="24"/>
                <w:lang w:val="fr-CH"/>
              </w:rPr>
            </w:r>
            <w:r w:rsidR="001232E7">
              <w:rPr>
                <w:sz w:val="24"/>
                <w:szCs w:val="24"/>
                <w:lang w:val="fr-CH"/>
              </w:rPr>
              <w:fldChar w:fldCharType="separate"/>
            </w:r>
            <w:r w:rsidRPr="00E422D1">
              <w:rPr>
                <w:sz w:val="24"/>
                <w:szCs w:val="24"/>
                <w:lang w:val="fr-CH"/>
              </w:rPr>
              <w:fldChar w:fldCharType="end"/>
            </w:r>
            <w:r w:rsidRPr="00E422D1">
              <w:rPr>
                <w:sz w:val="24"/>
                <w:szCs w:val="24"/>
                <w:lang w:val="fr-CH"/>
              </w:rPr>
              <w:tab/>
            </w:r>
            <w:r w:rsidRPr="00E422D1">
              <w:rPr>
                <w:b/>
                <w:bCs/>
                <w:sz w:val="24"/>
                <w:szCs w:val="24"/>
                <w:lang w:val="fr-CH"/>
              </w:rPr>
              <w:t>autorise</w:t>
            </w:r>
            <w:r w:rsidRPr="00E422D1">
              <w:rPr>
                <w:sz w:val="24"/>
                <w:szCs w:val="24"/>
                <w:lang w:val="fr-CH"/>
              </w:rPr>
              <w:t xml:space="preserve"> la Commission d</w:t>
            </w:r>
            <w:r w:rsidR="00A742BF">
              <w:rPr>
                <w:sz w:val="24"/>
                <w:szCs w:val="24"/>
                <w:lang w:val="fr-CH"/>
              </w:rPr>
              <w:t>'</w:t>
            </w:r>
            <w:r w:rsidRPr="00E422D1">
              <w:rPr>
                <w:sz w:val="24"/>
                <w:szCs w:val="24"/>
                <w:lang w:val="fr-CH"/>
              </w:rPr>
              <w:t>études 11 à procéder à l</w:t>
            </w:r>
            <w:r w:rsidR="00A742BF">
              <w:rPr>
                <w:sz w:val="24"/>
                <w:szCs w:val="24"/>
                <w:lang w:val="fr-CH"/>
              </w:rPr>
              <w:t>'</w:t>
            </w:r>
            <w:r w:rsidRPr="00E422D1">
              <w:rPr>
                <w:sz w:val="24"/>
                <w:szCs w:val="24"/>
                <w:lang w:val="fr-CH"/>
              </w:rPr>
              <w:t>examen de ce document en vue de son approbation (dans ce cas, sélectionnez l</w:t>
            </w:r>
            <w:r w:rsidR="00A742BF">
              <w:rPr>
                <w:sz w:val="24"/>
                <w:szCs w:val="24"/>
                <w:lang w:val="fr-CH"/>
              </w:rPr>
              <w:t>'</w:t>
            </w:r>
            <w:r w:rsidRPr="00E422D1">
              <w:rPr>
                <w:sz w:val="24"/>
                <w:szCs w:val="24"/>
                <w:lang w:val="fr-CH"/>
              </w:rPr>
              <w:t>une des deux options ⃝):</w:t>
            </w:r>
          </w:p>
          <w:p w14:paraId="1065823C" w14:textId="5B88C0FD" w:rsidR="00851837" w:rsidRPr="00E422D1" w:rsidRDefault="00A87195" w:rsidP="00A87195">
            <w:pPr>
              <w:pStyle w:val="TableText"/>
              <w:tabs>
                <w:tab w:val="clear" w:pos="851"/>
                <w:tab w:val="left" w:pos="939"/>
              </w:tabs>
              <w:ind w:left="514"/>
              <w:rPr>
                <w:sz w:val="24"/>
                <w:szCs w:val="24"/>
                <w:lang w:val="fr-CH"/>
              </w:rPr>
            </w:pPr>
            <w:r w:rsidRPr="00A87195">
              <w:rPr>
                <w:sz w:val="24"/>
                <w:szCs w:val="24"/>
                <w:lang w:val="fr-CH"/>
              </w:rPr>
              <w:t>⃝</w:t>
            </w:r>
            <w:r w:rsidRPr="00A87195">
              <w:rPr>
                <w:sz w:val="24"/>
                <w:szCs w:val="24"/>
                <w:lang w:val="fr-CH"/>
              </w:rPr>
              <w:tab/>
            </w:r>
            <w:r w:rsidR="00851837" w:rsidRPr="00E422D1">
              <w:rPr>
                <w:sz w:val="24"/>
                <w:szCs w:val="24"/>
                <w:lang w:val="fr-CH"/>
              </w:rPr>
              <w:t>Pas de commentaire ou de proposition de modification</w:t>
            </w:r>
          </w:p>
          <w:p w14:paraId="1C03D07F" w14:textId="76BBDCC2" w:rsidR="0095614B" w:rsidRPr="00E422D1" w:rsidRDefault="00A87195" w:rsidP="00A87195">
            <w:pPr>
              <w:tabs>
                <w:tab w:val="clear" w:pos="794"/>
                <w:tab w:val="clear" w:pos="1191"/>
                <w:tab w:val="clear" w:pos="1588"/>
                <w:tab w:val="clear" w:pos="1985"/>
                <w:tab w:val="left" w:pos="939"/>
              </w:tabs>
              <w:spacing w:before="60" w:after="60"/>
              <w:ind w:left="926" w:hanging="412"/>
              <w:rPr>
                <w:szCs w:val="24"/>
                <w:lang w:val="fr-CH"/>
              </w:rPr>
            </w:pPr>
            <w:r>
              <w:rPr>
                <w:szCs w:val="24"/>
                <w:lang w:val="fr-CH"/>
              </w:rPr>
              <w:t>⃝</w:t>
            </w:r>
            <w:r w:rsidRPr="00A87195">
              <w:rPr>
                <w:szCs w:val="24"/>
                <w:lang w:val="fr-CH"/>
              </w:rPr>
              <w:tab/>
            </w:r>
            <w:r w:rsidR="00851837" w:rsidRPr="00E422D1">
              <w:rPr>
                <w:szCs w:val="24"/>
                <w:lang w:val="fr-CH"/>
              </w:rPr>
              <w:t>Des commentaires ou propositi</w:t>
            </w:r>
            <w:r>
              <w:rPr>
                <w:szCs w:val="24"/>
                <w:lang w:val="fr-CH"/>
              </w:rPr>
              <w:t>ons de modification sont joints</w:t>
            </w:r>
            <w:r>
              <w:rPr>
                <w:szCs w:val="24"/>
                <w:lang w:val="fr-CH"/>
              </w:rPr>
              <w:br/>
            </w:r>
            <w:r w:rsidR="00851837" w:rsidRPr="00E422D1">
              <w:rPr>
                <w:szCs w:val="24"/>
                <w:lang w:val="fr-CH"/>
              </w:rPr>
              <w:t>à la présente</w:t>
            </w:r>
          </w:p>
        </w:tc>
      </w:tr>
      <w:tr w:rsidR="0095614B" w:rsidRPr="00E422D1" w14:paraId="59CD5A6C" w14:textId="77777777" w:rsidTr="001E4B1D">
        <w:trPr>
          <w:trHeight w:val="747"/>
        </w:trPr>
        <w:tc>
          <w:tcPr>
            <w:tcW w:w="2067" w:type="dxa"/>
            <w:vMerge/>
            <w:shd w:val="clear" w:color="auto" w:fill="auto"/>
            <w:vAlign w:val="center"/>
          </w:tcPr>
          <w:p w14:paraId="2ACD99C7" w14:textId="77777777" w:rsidR="0095614B" w:rsidRPr="00851837" w:rsidRDefault="0095614B" w:rsidP="00F32075">
            <w:pPr>
              <w:spacing w:before="60" w:after="60"/>
              <w:jc w:val="center"/>
              <w:rPr>
                <w:b/>
                <w:bCs/>
                <w:szCs w:val="24"/>
                <w:lang w:val="fr-CH"/>
              </w:rPr>
            </w:pPr>
          </w:p>
        </w:tc>
        <w:tc>
          <w:tcPr>
            <w:tcW w:w="7652" w:type="dxa"/>
            <w:shd w:val="clear" w:color="auto" w:fill="auto"/>
            <w:vAlign w:val="center"/>
          </w:tcPr>
          <w:p w14:paraId="2C9135E5" w14:textId="0966FF26" w:rsidR="0095614B" w:rsidRPr="00E422D1" w:rsidRDefault="00E422D1" w:rsidP="00F32075">
            <w:pPr>
              <w:tabs>
                <w:tab w:val="clear" w:pos="794"/>
                <w:tab w:val="clear" w:pos="1191"/>
                <w:tab w:val="clear" w:pos="1588"/>
                <w:tab w:val="clear" w:pos="1985"/>
                <w:tab w:val="left" w:pos="250"/>
              </w:tabs>
              <w:spacing w:before="60" w:after="60"/>
              <w:ind w:left="459" w:hanging="459"/>
              <w:rPr>
                <w:sz w:val="20"/>
                <w:lang w:val="fr-CH"/>
              </w:rPr>
            </w:pPr>
            <w:r w:rsidRPr="00A647BF">
              <w:rPr>
                <w:szCs w:val="22"/>
                <w:lang w:val="fr-CH"/>
              </w:rPr>
              <w:fldChar w:fldCharType="begin">
                <w:ffData>
                  <w:name w:val="Check1"/>
                  <w:enabled/>
                  <w:calcOnExit w:val="0"/>
                  <w:checkBox>
                    <w:sizeAuto/>
                    <w:default w:val="0"/>
                  </w:checkBox>
                </w:ffData>
              </w:fldChar>
            </w:r>
            <w:r w:rsidRPr="00A647BF">
              <w:rPr>
                <w:szCs w:val="22"/>
                <w:lang w:val="fr-CH"/>
              </w:rPr>
              <w:instrText xml:space="preserve"> FORMCHECKBOX </w:instrText>
            </w:r>
            <w:r w:rsidR="001232E7">
              <w:rPr>
                <w:szCs w:val="22"/>
                <w:lang w:val="fr-CH"/>
              </w:rPr>
            </w:r>
            <w:r w:rsidR="001232E7">
              <w:rPr>
                <w:szCs w:val="22"/>
                <w:lang w:val="fr-CH"/>
              </w:rPr>
              <w:fldChar w:fldCharType="separate"/>
            </w:r>
            <w:r w:rsidRPr="00A647BF">
              <w:rPr>
                <w:szCs w:val="22"/>
                <w:lang w:val="fr-CH"/>
              </w:rPr>
              <w:fldChar w:fldCharType="end"/>
            </w:r>
            <w:r w:rsidRPr="00A647BF">
              <w:rPr>
                <w:szCs w:val="22"/>
                <w:lang w:val="fr-CH"/>
              </w:rPr>
              <w:tab/>
            </w:r>
            <w:r w:rsidRPr="00A647BF">
              <w:rPr>
                <w:b/>
                <w:bCs/>
                <w:lang w:val="fr-CH"/>
              </w:rPr>
              <w:t>n</w:t>
            </w:r>
            <w:r w:rsidR="00A742BF">
              <w:rPr>
                <w:b/>
                <w:bCs/>
                <w:lang w:val="fr-CH"/>
              </w:rPr>
              <w:t>'</w:t>
            </w:r>
            <w:r w:rsidRPr="00A647BF">
              <w:rPr>
                <w:b/>
                <w:bCs/>
                <w:lang w:val="fr-CH"/>
              </w:rPr>
              <w:t>autorise pas</w:t>
            </w:r>
            <w:r w:rsidRPr="00A647BF">
              <w:rPr>
                <w:lang w:val="fr-CH"/>
              </w:rPr>
              <w:t xml:space="preserve"> la Commission d</w:t>
            </w:r>
            <w:r w:rsidR="00A742BF">
              <w:rPr>
                <w:lang w:val="fr-CH"/>
              </w:rPr>
              <w:t>'</w:t>
            </w:r>
            <w:r w:rsidRPr="00A647BF">
              <w:rPr>
                <w:lang w:val="fr-CH"/>
              </w:rPr>
              <w:t xml:space="preserve">études </w:t>
            </w:r>
            <w:r>
              <w:rPr>
                <w:lang w:val="fr-CH"/>
              </w:rPr>
              <w:t>11</w:t>
            </w:r>
            <w:r w:rsidRPr="00A647BF">
              <w:rPr>
                <w:lang w:val="fr-CH"/>
              </w:rPr>
              <w:t xml:space="preserve"> à procéder à l</w:t>
            </w:r>
            <w:r w:rsidR="00A742BF">
              <w:rPr>
                <w:lang w:val="fr-CH"/>
              </w:rPr>
              <w:t>'</w:t>
            </w:r>
            <w:r w:rsidRPr="00A647BF">
              <w:rPr>
                <w:lang w:val="fr-CH"/>
              </w:rPr>
              <w:t>examen de ce document en vue de son approbation (les motifs de cette décision et une description des éventuelles modifications qui permettraient la poursuite des travaux sont joints à la présente)</w:t>
            </w:r>
          </w:p>
        </w:tc>
      </w:tr>
    </w:tbl>
    <w:p w14:paraId="6E5391B1" w14:textId="6CC80539" w:rsidR="00A224D8" w:rsidRPr="00A647BF" w:rsidRDefault="00A224D8" w:rsidP="00C131AE">
      <w:pPr>
        <w:spacing w:before="360"/>
        <w:rPr>
          <w:lang w:val="fr-CH"/>
        </w:rPr>
      </w:pPr>
      <w:r w:rsidRPr="00A647BF">
        <w:rPr>
          <w:lang w:val="fr-CH"/>
        </w:rPr>
        <w:t>Veuillez agréer, Madame, Monsieur, l</w:t>
      </w:r>
      <w:r w:rsidR="00A742BF">
        <w:rPr>
          <w:lang w:val="fr-CH"/>
        </w:rPr>
        <w:t>'</w:t>
      </w:r>
      <w:r w:rsidRPr="00A647BF">
        <w:rPr>
          <w:lang w:val="fr-CH"/>
        </w:rPr>
        <w:t>assurance</w:t>
      </w:r>
      <w:r w:rsidR="007826DF">
        <w:rPr>
          <w:lang w:val="fr-CH"/>
        </w:rPr>
        <w:t xml:space="preserve"> de ma considération distinguée.</w:t>
      </w:r>
    </w:p>
    <w:p w14:paraId="53E038A6" w14:textId="1E70DAED" w:rsidR="00405B28" w:rsidRDefault="00A224D8" w:rsidP="00C131AE">
      <w:pPr>
        <w:spacing w:before="240"/>
        <w:rPr>
          <w:lang w:val="fr-CH"/>
        </w:rPr>
      </w:pPr>
      <w:r w:rsidRPr="00A647BF">
        <w:rPr>
          <w:szCs w:val="24"/>
          <w:highlight w:val="green"/>
          <w:lang w:val="fr-CH"/>
        </w:rPr>
        <w:t>[Nom]</w:t>
      </w:r>
      <w:r w:rsidR="00C131AE">
        <w:rPr>
          <w:szCs w:val="24"/>
          <w:highlight w:val="green"/>
          <w:lang w:val="fr-CH"/>
        </w:rPr>
        <w:br/>
      </w:r>
      <w:r w:rsidRPr="00A647BF">
        <w:rPr>
          <w:szCs w:val="24"/>
          <w:highlight w:val="green"/>
          <w:lang w:val="fr-CH"/>
        </w:rPr>
        <w:t>[Rôle/titre officiel]</w:t>
      </w:r>
      <w:r w:rsidR="00C131AE">
        <w:rPr>
          <w:szCs w:val="24"/>
          <w:lang w:val="fr-CH"/>
        </w:rPr>
        <w:br/>
      </w:r>
      <w:r w:rsidRPr="00A647BF">
        <w:rPr>
          <w:lang w:val="fr-CH"/>
        </w:rPr>
        <w:t xml:space="preserve">Administration de </w:t>
      </w:r>
      <w:r w:rsidRPr="00A647BF">
        <w:rPr>
          <w:highlight w:val="green"/>
          <w:lang w:val="fr-CH"/>
        </w:rPr>
        <w:t>[</w:t>
      </w:r>
      <w:r w:rsidR="00264F93" w:rsidRPr="00A647BF">
        <w:rPr>
          <w:highlight w:val="green"/>
          <w:lang w:val="fr-CH"/>
        </w:rPr>
        <w:t>E</w:t>
      </w:r>
      <w:r w:rsidRPr="00A647BF">
        <w:rPr>
          <w:highlight w:val="green"/>
          <w:lang w:val="fr-CH"/>
        </w:rPr>
        <w:t>tat Membre]</w:t>
      </w:r>
    </w:p>
    <w:p w14:paraId="7E075174" w14:textId="77777777" w:rsidR="001232E7" w:rsidRDefault="001232E7" w:rsidP="00C131AE">
      <w:pPr>
        <w:spacing w:before="240"/>
        <w:rPr>
          <w:lang w:val="fr-CH"/>
        </w:rPr>
      </w:pPr>
      <w:bookmarkStart w:id="2" w:name="_GoBack"/>
      <w:bookmarkEnd w:id="2"/>
    </w:p>
    <w:p w14:paraId="6A8B758F" w14:textId="6D32DF56" w:rsidR="00EA41D2" w:rsidRDefault="00EA41D2" w:rsidP="00EA41D2">
      <w:pPr>
        <w:spacing w:before="240"/>
        <w:jc w:val="center"/>
        <w:rPr>
          <w:lang w:val="fr-CH"/>
        </w:rPr>
      </w:pPr>
      <w:r>
        <w:rPr>
          <w:lang w:val="fr-CH"/>
        </w:rPr>
        <w:t>___________</w:t>
      </w:r>
    </w:p>
    <w:sectPr w:rsidR="00EA41D2"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AC79F" w14:textId="77777777" w:rsidR="009B0714" w:rsidRDefault="009B0714">
      <w:r>
        <w:separator/>
      </w:r>
    </w:p>
  </w:endnote>
  <w:endnote w:type="continuationSeparator" w:id="0">
    <w:p w14:paraId="6ACBA266" w14:textId="77777777" w:rsidR="009B0714" w:rsidRDefault="009B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D340" w14:textId="025FFC46" w:rsidR="005120A2" w:rsidRPr="00AE0A80" w:rsidRDefault="00AE0A80" w:rsidP="00AE0A80">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1B0B58">
      <w:rPr>
        <w:color w:val="0070C0"/>
        <w:sz w:val="18"/>
        <w:szCs w:val="18"/>
        <w:lang w:val="fr-CH"/>
      </w:rPr>
      <w:t>Union internationale des télécommunications • Place des Nations, CH</w:t>
    </w:r>
    <w:r w:rsidRPr="001B0B58">
      <w:rPr>
        <w:color w:val="0070C0"/>
        <w:sz w:val="18"/>
        <w:szCs w:val="18"/>
        <w:lang w:val="fr-CH"/>
      </w:rPr>
      <w:noBreakHyphen/>
      <w:t xml:space="preserve">1211 Genève 20, Suisse </w:t>
    </w:r>
    <w:r w:rsidRPr="001B0B58">
      <w:rPr>
        <w:color w:val="0070C0"/>
        <w:sz w:val="18"/>
        <w:szCs w:val="18"/>
        <w:lang w:val="fr-CH"/>
      </w:rPr>
      <w:br/>
      <w:t xml:space="preserve">Tél.: +41 22 730 5111 • Fax: +41 22 733 7256 • Courriel: </w:t>
    </w:r>
    <w:hyperlink r:id="rId1" w:history="1">
      <w:r w:rsidRPr="001B0B58">
        <w:rPr>
          <w:rStyle w:val="Hyperlink"/>
          <w:color w:val="0070C0"/>
          <w:sz w:val="18"/>
          <w:szCs w:val="18"/>
        </w:rPr>
        <w:t>itumail@itu.int</w:t>
      </w:r>
    </w:hyperlink>
    <w:r w:rsidRPr="001B0B58">
      <w:rPr>
        <w:color w:val="0070C0"/>
        <w:sz w:val="18"/>
        <w:szCs w:val="18"/>
        <w:lang w:val="fr-CH"/>
      </w:rPr>
      <w:t xml:space="preserve"> • </w:t>
    </w:r>
    <w:hyperlink r:id="rId2" w:history="1">
      <w:r w:rsidRPr="001B0B58">
        <w:rPr>
          <w:rStyle w:val="Hyperlink"/>
          <w:color w:val="0070C0"/>
          <w:sz w:val="18"/>
          <w:szCs w:val="18"/>
        </w:rPr>
        <w:t>www.itu.int</w:t>
      </w:r>
    </w:hyperlink>
    <w:r w:rsidRPr="001B0B58">
      <w:rPr>
        <w:color w:val="0070C0"/>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C6A4" w14:textId="77777777" w:rsidR="009B0714" w:rsidRDefault="009B0714">
      <w:r>
        <w:t>____________________</w:t>
      </w:r>
    </w:p>
  </w:footnote>
  <w:footnote w:type="continuationSeparator" w:id="0">
    <w:p w14:paraId="0CC30CC8" w14:textId="77777777" w:rsidR="009B0714" w:rsidRDefault="009B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6267" w14:textId="37AAC622" w:rsidR="00697BC1" w:rsidRDefault="001232E7" w:rsidP="00697BC1">
    <w:pPr>
      <w:pStyle w:val="Header"/>
      <w:rPr>
        <w:noProof/>
        <w:sz w:val="18"/>
        <w:szCs w:val="16"/>
      </w:rPr>
    </w:pPr>
    <w:sdt>
      <w:sdtPr>
        <w:rPr>
          <w:sz w:val="18"/>
          <w:szCs w:val="16"/>
        </w:rPr>
        <w:id w:val="-1787727355"/>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58218A2D" w14:textId="39F981A4" w:rsidR="00846EDA" w:rsidRPr="00697BC1" w:rsidRDefault="00846EDA" w:rsidP="00AE0B5F">
    <w:pPr>
      <w:pStyle w:val="Header"/>
      <w:spacing w:after="360"/>
      <w:rPr>
        <w:sz w:val="18"/>
        <w:szCs w:val="16"/>
      </w:rPr>
    </w:pPr>
    <w:r>
      <w:rPr>
        <w:noProof/>
        <w:sz w:val="18"/>
        <w:szCs w:val="16"/>
      </w:rPr>
      <w:t>Circulaire</w:t>
    </w:r>
    <w:r w:rsidR="002A4E03">
      <w:rPr>
        <w:noProof/>
        <w:sz w:val="18"/>
        <w:szCs w:val="16"/>
      </w:rPr>
      <w:t xml:space="preserve"> TSB 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644F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21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6A0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FAF2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94D1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01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48D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9C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2A6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E8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FB"/>
    <w:rsid w:val="000039EE"/>
    <w:rsid w:val="00005622"/>
    <w:rsid w:val="00024157"/>
    <w:rsid w:val="00024460"/>
    <w:rsid w:val="0002519E"/>
    <w:rsid w:val="00035B43"/>
    <w:rsid w:val="00042616"/>
    <w:rsid w:val="0005236E"/>
    <w:rsid w:val="000707B2"/>
    <w:rsid w:val="000758B3"/>
    <w:rsid w:val="000B0D96"/>
    <w:rsid w:val="000B35B9"/>
    <w:rsid w:val="000B59D8"/>
    <w:rsid w:val="000C1F6B"/>
    <w:rsid w:val="000C56BE"/>
    <w:rsid w:val="000F65FB"/>
    <w:rsid w:val="001026FD"/>
    <w:rsid w:val="001077FD"/>
    <w:rsid w:val="0011545F"/>
    <w:rsid w:val="00115DD7"/>
    <w:rsid w:val="00116BD4"/>
    <w:rsid w:val="001225AE"/>
    <w:rsid w:val="001232E7"/>
    <w:rsid w:val="00167472"/>
    <w:rsid w:val="00167F92"/>
    <w:rsid w:val="00173738"/>
    <w:rsid w:val="00180F34"/>
    <w:rsid w:val="0018125D"/>
    <w:rsid w:val="00181C75"/>
    <w:rsid w:val="00190EB5"/>
    <w:rsid w:val="00193C88"/>
    <w:rsid w:val="00194A19"/>
    <w:rsid w:val="001B79A3"/>
    <w:rsid w:val="001C2839"/>
    <w:rsid w:val="001C526B"/>
    <w:rsid w:val="001F1405"/>
    <w:rsid w:val="001F1A2A"/>
    <w:rsid w:val="002152A3"/>
    <w:rsid w:val="00220C1A"/>
    <w:rsid w:val="0022634E"/>
    <w:rsid w:val="00230E87"/>
    <w:rsid w:val="00264F93"/>
    <w:rsid w:val="002946FD"/>
    <w:rsid w:val="002A4E03"/>
    <w:rsid w:val="002B36A1"/>
    <w:rsid w:val="002C1959"/>
    <w:rsid w:val="002E395D"/>
    <w:rsid w:val="002E3FF0"/>
    <w:rsid w:val="003040D8"/>
    <w:rsid w:val="003131F0"/>
    <w:rsid w:val="00333A80"/>
    <w:rsid w:val="00341117"/>
    <w:rsid w:val="0034274F"/>
    <w:rsid w:val="00364E95"/>
    <w:rsid w:val="00366B01"/>
    <w:rsid w:val="00372875"/>
    <w:rsid w:val="00394CCC"/>
    <w:rsid w:val="003B1E80"/>
    <w:rsid w:val="003B66E8"/>
    <w:rsid w:val="003C75B5"/>
    <w:rsid w:val="003D60EC"/>
    <w:rsid w:val="003F0D31"/>
    <w:rsid w:val="004033F1"/>
    <w:rsid w:val="00405B28"/>
    <w:rsid w:val="00410CE0"/>
    <w:rsid w:val="00414B0C"/>
    <w:rsid w:val="00423C21"/>
    <w:rsid w:val="004257AC"/>
    <w:rsid w:val="00427B03"/>
    <w:rsid w:val="0043711B"/>
    <w:rsid w:val="004522BD"/>
    <w:rsid w:val="004807B5"/>
    <w:rsid w:val="004977C9"/>
    <w:rsid w:val="004B732E"/>
    <w:rsid w:val="004C50FC"/>
    <w:rsid w:val="004D51F4"/>
    <w:rsid w:val="004D64E0"/>
    <w:rsid w:val="004E23A9"/>
    <w:rsid w:val="005120A2"/>
    <w:rsid w:val="0051210D"/>
    <w:rsid w:val="005136D2"/>
    <w:rsid w:val="00517A03"/>
    <w:rsid w:val="005543FE"/>
    <w:rsid w:val="00554789"/>
    <w:rsid w:val="00556D98"/>
    <w:rsid w:val="0059451F"/>
    <w:rsid w:val="005A36E3"/>
    <w:rsid w:val="005A3DD9"/>
    <w:rsid w:val="005B1DFC"/>
    <w:rsid w:val="005C0EC0"/>
    <w:rsid w:val="00601682"/>
    <w:rsid w:val="00625E79"/>
    <w:rsid w:val="006333F7"/>
    <w:rsid w:val="00635BB5"/>
    <w:rsid w:val="006427A1"/>
    <w:rsid w:val="00644741"/>
    <w:rsid w:val="00652EB8"/>
    <w:rsid w:val="00663DF3"/>
    <w:rsid w:val="00676AF9"/>
    <w:rsid w:val="00697BC1"/>
    <w:rsid w:val="006A542F"/>
    <w:rsid w:val="006A6FFE"/>
    <w:rsid w:val="006C0B64"/>
    <w:rsid w:val="006C379A"/>
    <w:rsid w:val="006C5A91"/>
    <w:rsid w:val="006D6B27"/>
    <w:rsid w:val="006E40F2"/>
    <w:rsid w:val="006E5062"/>
    <w:rsid w:val="007005AD"/>
    <w:rsid w:val="0071108D"/>
    <w:rsid w:val="00716BBC"/>
    <w:rsid w:val="007321BC"/>
    <w:rsid w:val="00734F7C"/>
    <w:rsid w:val="00760063"/>
    <w:rsid w:val="00762CEA"/>
    <w:rsid w:val="0077145A"/>
    <w:rsid w:val="00775E4B"/>
    <w:rsid w:val="007826DF"/>
    <w:rsid w:val="0079553B"/>
    <w:rsid w:val="00795679"/>
    <w:rsid w:val="007A40FE"/>
    <w:rsid w:val="007E5E9E"/>
    <w:rsid w:val="007F5558"/>
    <w:rsid w:val="007F6B78"/>
    <w:rsid w:val="00810105"/>
    <w:rsid w:val="008157E0"/>
    <w:rsid w:val="00846EDA"/>
    <w:rsid w:val="00851837"/>
    <w:rsid w:val="00851DE3"/>
    <w:rsid w:val="00854E1D"/>
    <w:rsid w:val="008617A1"/>
    <w:rsid w:val="008710F1"/>
    <w:rsid w:val="008743BD"/>
    <w:rsid w:val="00887FA6"/>
    <w:rsid w:val="008C4397"/>
    <w:rsid w:val="008C465A"/>
    <w:rsid w:val="008E39FE"/>
    <w:rsid w:val="008E67D6"/>
    <w:rsid w:val="008F2C9B"/>
    <w:rsid w:val="00910714"/>
    <w:rsid w:val="0091324B"/>
    <w:rsid w:val="00915362"/>
    <w:rsid w:val="00923A08"/>
    <w:rsid w:val="00923CD6"/>
    <w:rsid w:val="00935AA8"/>
    <w:rsid w:val="0095614B"/>
    <w:rsid w:val="00971C9A"/>
    <w:rsid w:val="009735EF"/>
    <w:rsid w:val="009B0714"/>
    <w:rsid w:val="009B793E"/>
    <w:rsid w:val="009D51FA"/>
    <w:rsid w:val="009D5349"/>
    <w:rsid w:val="009E3A90"/>
    <w:rsid w:val="009F1E23"/>
    <w:rsid w:val="00A050DA"/>
    <w:rsid w:val="00A15179"/>
    <w:rsid w:val="00A224D8"/>
    <w:rsid w:val="00A421F2"/>
    <w:rsid w:val="00A51537"/>
    <w:rsid w:val="00A5280F"/>
    <w:rsid w:val="00A60FC1"/>
    <w:rsid w:val="00A647BF"/>
    <w:rsid w:val="00A742BF"/>
    <w:rsid w:val="00A87195"/>
    <w:rsid w:val="00A96C87"/>
    <w:rsid w:val="00A97C37"/>
    <w:rsid w:val="00AA0A61"/>
    <w:rsid w:val="00AC37B5"/>
    <w:rsid w:val="00AD752F"/>
    <w:rsid w:val="00AE0A80"/>
    <w:rsid w:val="00AE0B5F"/>
    <w:rsid w:val="00AF08A4"/>
    <w:rsid w:val="00B04A6E"/>
    <w:rsid w:val="00B13258"/>
    <w:rsid w:val="00B27B41"/>
    <w:rsid w:val="00B42659"/>
    <w:rsid w:val="00B4692C"/>
    <w:rsid w:val="00B50E44"/>
    <w:rsid w:val="00B6200E"/>
    <w:rsid w:val="00B62ED1"/>
    <w:rsid w:val="00B77C9E"/>
    <w:rsid w:val="00B8573E"/>
    <w:rsid w:val="00B93996"/>
    <w:rsid w:val="00B972E0"/>
    <w:rsid w:val="00BB24C0"/>
    <w:rsid w:val="00BD6ECF"/>
    <w:rsid w:val="00BE6E0A"/>
    <w:rsid w:val="00C00C14"/>
    <w:rsid w:val="00C131AE"/>
    <w:rsid w:val="00C134B1"/>
    <w:rsid w:val="00C26F2E"/>
    <w:rsid w:val="00C302E3"/>
    <w:rsid w:val="00C438E0"/>
    <w:rsid w:val="00C45376"/>
    <w:rsid w:val="00C46160"/>
    <w:rsid w:val="00C62C62"/>
    <w:rsid w:val="00C727B9"/>
    <w:rsid w:val="00C9028F"/>
    <w:rsid w:val="00CA0416"/>
    <w:rsid w:val="00CB1125"/>
    <w:rsid w:val="00CD042E"/>
    <w:rsid w:val="00CF2560"/>
    <w:rsid w:val="00CF5B46"/>
    <w:rsid w:val="00D10242"/>
    <w:rsid w:val="00D37697"/>
    <w:rsid w:val="00D46B68"/>
    <w:rsid w:val="00D542A5"/>
    <w:rsid w:val="00DC3D47"/>
    <w:rsid w:val="00DD2A59"/>
    <w:rsid w:val="00DD77DA"/>
    <w:rsid w:val="00DE7290"/>
    <w:rsid w:val="00E06C61"/>
    <w:rsid w:val="00E07FEC"/>
    <w:rsid w:val="00E13DB3"/>
    <w:rsid w:val="00E21E5F"/>
    <w:rsid w:val="00E2408B"/>
    <w:rsid w:val="00E422D1"/>
    <w:rsid w:val="00E62CEA"/>
    <w:rsid w:val="00E64EC7"/>
    <w:rsid w:val="00E71F25"/>
    <w:rsid w:val="00E72AE1"/>
    <w:rsid w:val="00E86B7A"/>
    <w:rsid w:val="00E951F0"/>
    <w:rsid w:val="00EA41D2"/>
    <w:rsid w:val="00EB32D5"/>
    <w:rsid w:val="00ED14D8"/>
    <w:rsid w:val="00ED6A7A"/>
    <w:rsid w:val="00EE4C36"/>
    <w:rsid w:val="00F256B2"/>
    <w:rsid w:val="00F32075"/>
    <w:rsid w:val="00F333CF"/>
    <w:rsid w:val="00F346CE"/>
    <w:rsid w:val="00F34F98"/>
    <w:rsid w:val="00F40540"/>
    <w:rsid w:val="00F6500B"/>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A21217"/>
  <w15:docId w15:val="{603B4A4E-0F1E-488A-9891-0C044D02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3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rsid w:val="000F65FB"/>
    <w:rPr>
      <w:sz w:val="16"/>
      <w:szCs w:val="16"/>
    </w:rPr>
  </w:style>
  <w:style w:type="paragraph" w:styleId="CommentText">
    <w:name w:val="annotation text"/>
    <w:basedOn w:val="Normal"/>
    <w:link w:val="CommentTextChar"/>
    <w:rsid w:val="000F65FB"/>
    <w:rPr>
      <w:rFonts w:ascii="Calibri" w:hAnsi="Calibri"/>
      <w:sz w:val="20"/>
      <w:lang w:val="en-GB"/>
    </w:rPr>
  </w:style>
  <w:style w:type="character" w:customStyle="1" w:styleId="CommentTextChar">
    <w:name w:val="Comment Text Char"/>
    <w:basedOn w:val="DefaultParagraphFont"/>
    <w:link w:val="CommentText"/>
    <w:rsid w:val="000F65FB"/>
    <w:rPr>
      <w:rFonts w:ascii="Calibri" w:hAnsi="Calibri"/>
      <w:lang w:val="en-GB" w:eastAsia="en-US"/>
    </w:rPr>
  </w:style>
  <w:style w:type="paragraph" w:customStyle="1" w:styleId="Rectitle0">
    <w:name w:val="Rec_title"/>
    <w:basedOn w:val="Normal"/>
    <w:next w:val="Normal"/>
    <w:rsid w:val="00A224D8"/>
    <w:pPr>
      <w:keepNext/>
      <w:keepLines/>
      <w:spacing w:before="240"/>
      <w:jc w:val="center"/>
    </w:pPr>
    <w:rPr>
      <w:rFonts w:ascii="Calibri" w:hAnsi="Calibri"/>
      <w:b/>
      <w:sz w:val="28"/>
      <w:lang w:val="en-GB"/>
    </w:rPr>
  </w:style>
  <w:style w:type="paragraph" w:customStyle="1" w:styleId="Headingb0">
    <w:name w:val="Heading_b"/>
    <w:basedOn w:val="Normal"/>
    <w:next w:val="Normal"/>
    <w:qFormat/>
    <w:rsid w:val="00A224D8"/>
    <w:pPr>
      <w:keepNext/>
      <w:spacing w:before="160"/>
    </w:pPr>
    <w:rPr>
      <w:rFonts w:ascii="Calibri" w:hAnsi="Calibri"/>
      <w:b/>
      <w:lang w:val="en-GB"/>
    </w:rPr>
  </w:style>
  <w:style w:type="paragraph" w:customStyle="1" w:styleId="Annextitle0">
    <w:name w:val="Annex_title"/>
    <w:basedOn w:val="Normal"/>
    <w:next w:val="Normal"/>
    <w:rsid w:val="00A224D8"/>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846EDA"/>
    <w:rPr>
      <w:color w:val="800080" w:themeColor="followedHyperlink"/>
      <w:u w:val="single"/>
    </w:rPr>
  </w:style>
  <w:style w:type="character" w:customStyle="1" w:styleId="BodyTextChar">
    <w:name w:val="Body Text Char"/>
    <w:basedOn w:val="DefaultParagraphFont"/>
    <w:link w:val="BodyText"/>
    <w:rsid w:val="00846EDA"/>
    <w:rPr>
      <w:rFonts w:asciiTheme="minorHAnsi" w:hAnsiTheme="minorHAnsi"/>
      <w:sz w:val="24"/>
      <w:lang w:val="fr-FR" w:eastAsia="en-US"/>
    </w:rPr>
  </w:style>
  <w:style w:type="paragraph" w:customStyle="1" w:styleId="Reasons">
    <w:name w:val="Reasons"/>
    <w:basedOn w:val="Normal"/>
    <w:qFormat/>
    <w:rsid w:val="001C526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text0">
    <w:name w:val="Table_text"/>
    <w:basedOn w:val="Normal"/>
    <w:rsid w:val="001C2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styleId="CommentSubject">
    <w:name w:val="annotation subject"/>
    <w:basedOn w:val="CommentText"/>
    <w:next w:val="CommentText"/>
    <w:link w:val="CommentSubjectChar"/>
    <w:semiHidden/>
    <w:unhideWhenUsed/>
    <w:rsid w:val="0059451F"/>
    <w:rPr>
      <w:rFonts w:asciiTheme="minorHAnsi" w:hAnsiTheme="minorHAnsi"/>
      <w:b/>
      <w:bCs/>
      <w:lang w:val="fr-FR"/>
    </w:rPr>
  </w:style>
  <w:style w:type="character" w:customStyle="1" w:styleId="CommentSubjectChar">
    <w:name w:val="Comment Subject Char"/>
    <w:basedOn w:val="CommentTextChar"/>
    <w:link w:val="CommentSubject"/>
    <w:semiHidden/>
    <w:rsid w:val="0059451F"/>
    <w:rPr>
      <w:rFonts w:asciiTheme="minorHAnsi" w:hAnsiTheme="minorHAnsi"/>
      <w:b/>
      <w:bCs/>
      <w:lang w:val="fr-FR" w:eastAsia="en-US"/>
    </w:rPr>
  </w:style>
  <w:style w:type="paragraph" w:styleId="BalloonText">
    <w:name w:val="Balloon Text"/>
    <w:basedOn w:val="Normal"/>
    <w:link w:val="BalloonTextChar"/>
    <w:semiHidden/>
    <w:unhideWhenUsed/>
    <w:rsid w:val="005945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451F"/>
    <w:rPr>
      <w:rFonts w:ascii="Segoe UI" w:hAnsi="Segoe UI" w:cs="Segoe UI"/>
      <w:sz w:val="18"/>
      <w:szCs w:val="18"/>
      <w:lang w:val="fr-FR" w:eastAsia="en-US"/>
    </w:rPr>
  </w:style>
  <w:style w:type="paragraph" w:styleId="Revision">
    <w:name w:val="Revision"/>
    <w:hidden/>
    <w:uiPriority w:val="99"/>
    <w:semiHidden/>
    <w:rsid w:val="00C62C62"/>
    <w:rPr>
      <w:rFonts w:asciiTheme="minorHAnsi" w:hAnsiTheme="minorHAnsi"/>
      <w:sz w:val="24"/>
      <w:lang w:val="fr-FR" w:eastAsia="en-US"/>
    </w:rPr>
  </w:style>
  <w:style w:type="paragraph" w:customStyle="1" w:styleId="Annexno">
    <w:name w:val="Annex_no"/>
    <w:basedOn w:val="Annex"/>
    <w:rsid w:val="004522BD"/>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11-R-0015/en"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8248-ED58-4BD8-B80A-4881EBFD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131</TotalTime>
  <Pages>4</Pages>
  <Words>1043</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Manager>ITU-T</Manager>
  <Company>International Telecommunication Union (ITU)</Company>
  <LinksUpToDate>false</LinksUpToDate>
  <CharactersWithSpaces>7099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 Silva, Margaux</dc:creator>
  <dc:description>105F.DOCX  For: _x000d_Document date: _x000d_Saved by ITU51010703 at 16:14:01 on 21/09/2018</dc:description>
  <cp:lastModifiedBy>Osvath, Alexandra</cp:lastModifiedBy>
  <cp:revision>14</cp:revision>
  <cp:lastPrinted>2018-09-20T12:06:00Z</cp:lastPrinted>
  <dcterms:created xsi:type="dcterms:W3CDTF">2018-09-20T14:13:00Z</dcterms:created>
  <dcterms:modified xsi:type="dcterms:W3CDTF">2018-09-21T14:27:00Z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105F.DOCX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