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1945FA" w:rsidTr="00D85A52">
        <w:trPr>
          <w:cantSplit/>
        </w:trPr>
        <w:tc>
          <w:tcPr>
            <w:tcW w:w="1418" w:type="dxa"/>
            <w:vAlign w:val="center"/>
          </w:tcPr>
          <w:p w:rsidR="00884D12" w:rsidRPr="001945FA" w:rsidRDefault="00884D12" w:rsidP="00D85A5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1945FA">
              <w:rPr>
                <w:noProof/>
                <w:lang w:val="en-US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1945FA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1945FA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1945FA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1945FA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1945FA" w:rsidRDefault="00884D12" w:rsidP="00D85A52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Pr="001945FA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1945FA" w:rsidRDefault="00C34772" w:rsidP="001E1265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1945FA">
        <w:tab/>
        <w:t xml:space="preserve">Ginebra, </w:t>
      </w:r>
      <w:r w:rsidR="001E1265" w:rsidRPr="001945FA">
        <w:t>31</w:t>
      </w:r>
      <w:r w:rsidR="00BE7A3B" w:rsidRPr="001945FA">
        <w:t xml:space="preserve"> de </w:t>
      </w:r>
      <w:r w:rsidR="00EA0308" w:rsidRPr="001945FA">
        <w:t>julio</w:t>
      </w:r>
      <w:r w:rsidR="00D85A52" w:rsidRPr="001945FA">
        <w:t xml:space="preserve"> </w:t>
      </w:r>
      <w:r w:rsidR="00BF4DEF" w:rsidRPr="001945FA">
        <w:t>de 201</w:t>
      </w:r>
      <w:r w:rsidR="00EA0308" w:rsidRPr="001945FA">
        <w:t>8</w:t>
      </w:r>
    </w:p>
    <w:p w:rsidR="00C34772" w:rsidRPr="001945FA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4"/>
        <w:gridCol w:w="3583"/>
        <w:gridCol w:w="5329"/>
      </w:tblGrid>
      <w:tr w:rsidR="00DC6F95" w:rsidRPr="001945FA" w:rsidTr="00DC6F95">
        <w:trPr>
          <w:cantSplit/>
          <w:trHeight w:val="383"/>
        </w:trPr>
        <w:tc>
          <w:tcPr>
            <w:tcW w:w="1294" w:type="dxa"/>
          </w:tcPr>
          <w:p w:rsidR="00DC6F95" w:rsidRPr="001945FA" w:rsidRDefault="00DC6F95" w:rsidP="00DC6F95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1945FA">
              <w:rPr>
                <w:szCs w:val="24"/>
              </w:rPr>
              <w:t>Ref.:</w:t>
            </w:r>
          </w:p>
        </w:tc>
        <w:tc>
          <w:tcPr>
            <w:tcW w:w="3583" w:type="dxa"/>
          </w:tcPr>
          <w:p w:rsidR="00DC6F95" w:rsidRPr="00085465" w:rsidRDefault="00DC6F95" w:rsidP="001E1265">
            <w:pPr>
              <w:tabs>
                <w:tab w:val="left" w:pos="4111"/>
              </w:tabs>
              <w:spacing w:before="40" w:after="40"/>
              <w:ind w:left="57"/>
              <w:rPr>
                <w:b/>
                <w:lang w:val="en-GB"/>
              </w:rPr>
            </w:pPr>
            <w:r w:rsidRPr="00085465">
              <w:rPr>
                <w:b/>
                <w:lang w:val="en-GB"/>
              </w:rPr>
              <w:t xml:space="preserve">Circular TSB </w:t>
            </w:r>
            <w:r w:rsidR="00EA0308" w:rsidRPr="00085465">
              <w:rPr>
                <w:b/>
                <w:lang w:val="en-GB"/>
              </w:rPr>
              <w:t>10</w:t>
            </w:r>
            <w:r w:rsidR="001E1265" w:rsidRPr="00085465">
              <w:rPr>
                <w:b/>
                <w:lang w:val="en-GB"/>
              </w:rPr>
              <w:t>4</w:t>
            </w:r>
          </w:p>
          <w:p w:rsidR="00DC6F95" w:rsidRPr="00085465" w:rsidRDefault="001E1265" w:rsidP="00DC6F95">
            <w:pPr>
              <w:tabs>
                <w:tab w:val="left" w:pos="4111"/>
              </w:tabs>
              <w:spacing w:before="40" w:after="40"/>
              <w:ind w:left="57"/>
              <w:rPr>
                <w:b/>
                <w:lang w:val="en-GB"/>
              </w:rPr>
            </w:pPr>
            <w:r w:rsidRPr="00085465">
              <w:rPr>
                <w:szCs w:val="24"/>
                <w:lang w:val="en-GB"/>
              </w:rPr>
              <w:t>FG NET-2030/TK</w:t>
            </w:r>
          </w:p>
        </w:tc>
        <w:tc>
          <w:tcPr>
            <w:tcW w:w="5329" w:type="dxa"/>
            <w:vMerge w:val="restart"/>
          </w:tcPr>
          <w:p w:rsidR="00DC6F95" w:rsidRPr="001945FA" w:rsidRDefault="00DC6F95" w:rsidP="00DC6F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40" w:after="40"/>
              <w:ind w:left="283" w:hanging="226"/>
              <w:rPr>
                <w:b/>
                <w:bCs/>
              </w:rPr>
            </w:pPr>
            <w:bookmarkStart w:id="0" w:name="Addressee_S"/>
            <w:bookmarkEnd w:id="0"/>
            <w:r w:rsidRPr="001945FA">
              <w:rPr>
                <w:b/>
                <w:bCs/>
              </w:rPr>
              <w:t>A:</w:t>
            </w:r>
          </w:p>
          <w:p w:rsidR="00DC6F95" w:rsidRPr="001945FA" w:rsidRDefault="00DC6F95" w:rsidP="00DC6F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75" w:hanging="218"/>
            </w:pPr>
            <w:r w:rsidRPr="001945FA">
              <w:t>–</w:t>
            </w:r>
            <w:r w:rsidRPr="001945FA">
              <w:tab/>
              <w:t>las Administraciones de los Estados Miembros</w:t>
            </w:r>
            <w:r w:rsidRPr="001945FA">
              <w:br/>
              <w:t>de la Unión;</w:t>
            </w:r>
          </w:p>
          <w:p w:rsidR="00DC6F95" w:rsidRPr="001945FA" w:rsidRDefault="00DC6F95" w:rsidP="00DC6F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75" w:hanging="218"/>
            </w:pPr>
            <w:r w:rsidRPr="001945FA">
              <w:t>–</w:t>
            </w:r>
            <w:r w:rsidRPr="001945FA">
              <w:tab/>
              <w:t xml:space="preserve">los Miembros de Sector </w:t>
            </w:r>
            <w:r w:rsidR="001E1265" w:rsidRPr="001945FA">
              <w:t xml:space="preserve">del </w:t>
            </w:r>
            <w:r w:rsidRPr="001945FA">
              <w:t>UIT-T;</w:t>
            </w:r>
          </w:p>
          <w:p w:rsidR="00DC6F95" w:rsidRPr="001945FA" w:rsidRDefault="00DC6F95" w:rsidP="00DC6F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75" w:hanging="218"/>
            </w:pPr>
            <w:r w:rsidRPr="001945FA">
              <w:t>–</w:t>
            </w:r>
            <w:r w:rsidRPr="001945FA">
              <w:tab/>
              <w:t>los Asociados del UIT</w:t>
            </w:r>
            <w:r w:rsidRPr="001945FA">
              <w:noBreakHyphen/>
              <w:t>T;</w:t>
            </w:r>
          </w:p>
          <w:p w:rsidR="00DC6F95" w:rsidRPr="001945FA" w:rsidRDefault="00DC6F95" w:rsidP="00DC6F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75" w:hanging="218"/>
            </w:pPr>
            <w:r w:rsidRPr="001945FA">
              <w:t>–</w:t>
            </w:r>
            <w:r w:rsidRPr="001945FA">
              <w:tab/>
              <w:t>las Instituciones Académicas de la UIT</w:t>
            </w:r>
          </w:p>
        </w:tc>
      </w:tr>
      <w:tr w:rsidR="00DC6F95" w:rsidRPr="001945FA" w:rsidTr="00A95866">
        <w:trPr>
          <w:cantSplit/>
          <w:trHeight w:val="383"/>
        </w:trPr>
        <w:tc>
          <w:tcPr>
            <w:tcW w:w="1294" w:type="dxa"/>
          </w:tcPr>
          <w:p w:rsidR="00DC6F95" w:rsidRPr="001945FA" w:rsidRDefault="00DC6F95" w:rsidP="00DC6F95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</w:p>
        </w:tc>
        <w:tc>
          <w:tcPr>
            <w:tcW w:w="3583" w:type="dxa"/>
          </w:tcPr>
          <w:p w:rsidR="00DC6F95" w:rsidRPr="001945FA" w:rsidRDefault="00DC6F95" w:rsidP="00DC6F95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</w:p>
        </w:tc>
        <w:tc>
          <w:tcPr>
            <w:tcW w:w="5329" w:type="dxa"/>
            <w:vMerge/>
          </w:tcPr>
          <w:p w:rsidR="00DC6F95" w:rsidRPr="001945FA" w:rsidRDefault="00DC6F95" w:rsidP="00DC6F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40" w:after="40"/>
              <w:ind w:left="283" w:hanging="226"/>
              <w:rPr>
                <w:b/>
                <w:bCs/>
              </w:rPr>
            </w:pPr>
          </w:p>
        </w:tc>
      </w:tr>
      <w:tr w:rsidR="00DC6F95" w:rsidRPr="001945FA" w:rsidTr="00A95866">
        <w:trPr>
          <w:cantSplit/>
          <w:trHeight w:val="383"/>
        </w:trPr>
        <w:tc>
          <w:tcPr>
            <w:tcW w:w="1294" w:type="dxa"/>
          </w:tcPr>
          <w:p w:rsidR="00DC6F95" w:rsidRPr="001945FA" w:rsidRDefault="00DC6F95" w:rsidP="00DC6F95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1945FA">
              <w:rPr>
                <w:szCs w:val="24"/>
              </w:rPr>
              <w:t>Tel.:</w:t>
            </w:r>
          </w:p>
        </w:tc>
        <w:tc>
          <w:tcPr>
            <w:tcW w:w="3583" w:type="dxa"/>
          </w:tcPr>
          <w:p w:rsidR="00DC6F95" w:rsidRPr="001945FA" w:rsidRDefault="001E1265" w:rsidP="00DC6F95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1945FA">
              <w:t>+41 22 730 5126</w:t>
            </w:r>
          </w:p>
        </w:tc>
        <w:tc>
          <w:tcPr>
            <w:tcW w:w="5329" w:type="dxa"/>
            <w:vMerge/>
          </w:tcPr>
          <w:p w:rsidR="00DC6F95" w:rsidRPr="001945FA" w:rsidRDefault="00DC6F95" w:rsidP="00DC6F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40" w:after="40"/>
              <w:ind w:left="283" w:hanging="226"/>
              <w:rPr>
                <w:b/>
                <w:bCs/>
              </w:rPr>
            </w:pPr>
          </w:p>
        </w:tc>
      </w:tr>
      <w:tr w:rsidR="00DC6F95" w:rsidRPr="001945FA" w:rsidTr="00A95866">
        <w:trPr>
          <w:cantSplit/>
          <w:trHeight w:val="383"/>
        </w:trPr>
        <w:tc>
          <w:tcPr>
            <w:tcW w:w="1294" w:type="dxa"/>
          </w:tcPr>
          <w:p w:rsidR="00DC6F95" w:rsidRPr="001945FA" w:rsidRDefault="00DC6F95" w:rsidP="00DC6F95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1945FA">
              <w:rPr>
                <w:szCs w:val="24"/>
              </w:rPr>
              <w:t>Fax:</w:t>
            </w:r>
          </w:p>
        </w:tc>
        <w:tc>
          <w:tcPr>
            <w:tcW w:w="3583" w:type="dxa"/>
          </w:tcPr>
          <w:p w:rsidR="00DC6F95" w:rsidRPr="001945FA" w:rsidRDefault="00DC6F95" w:rsidP="00DC6F95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1945FA">
              <w:t>+41 22 730 5853</w:t>
            </w:r>
          </w:p>
        </w:tc>
        <w:tc>
          <w:tcPr>
            <w:tcW w:w="5329" w:type="dxa"/>
            <w:vMerge/>
          </w:tcPr>
          <w:p w:rsidR="00DC6F95" w:rsidRPr="001945FA" w:rsidRDefault="00DC6F95" w:rsidP="00DC6F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40" w:after="40"/>
              <w:ind w:left="283" w:hanging="226"/>
              <w:rPr>
                <w:b/>
                <w:bCs/>
              </w:rPr>
            </w:pPr>
          </w:p>
        </w:tc>
      </w:tr>
      <w:tr w:rsidR="00C34772" w:rsidRPr="001945FA" w:rsidTr="00A95866">
        <w:trPr>
          <w:cantSplit/>
        </w:trPr>
        <w:tc>
          <w:tcPr>
            <w:tcW w:w="1294" w:type="dxa"/>
          </w:tcPr>
          <w:p w:rsidR="00C34772" w:rsidRPr="001945FA" w:rsidRDefault="00C34772" w:rsidP="00DC6F95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1945FA">
              <w:rPr>
                <w:szCs w:val="24"/>
              </w:rPr>
              <w:t>Correo-e:</w:t>
            </w:r>
          </w:p>
        </w:tc>
        <w:tc>
          <w:tcPr>
            <w:tcW w:w="3583" w:type="dxa"/>
          </w:tcPr>
          <w:p w:rsidR="00C34772" w:rsidRPr="001945FA" w:rsidRDefault="00FC4F62" w:rsidP="00DC6F95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1E1265" w:rsidRPr="001945FA">
                <w:rPr>
                  <w:rStyle w:val="Hyperlink"/>
                  <w:szCs w:val="22"/>
                </w:rPr>
                <w:t>tsbfgnet2030@itu.int</w:t>
              </w:r>
            </w:hyperlink>
          </w:p>
        </w:tc>
        <w:tc>
          <w:tcPr>
            <w:tcW w:w="5329" w:type="dxa"/>
          </w:tcPr>
          <w:p w:rsidR="00C34772" w:rsidRPr="001945FA" w:rsidRDefault="00C34772" w:rsidP="00DC6F95">
            <w:pPr>
              <w:tabs>
                <w:tab w:val="left" w:pos="4111"/>
              </w:tabs>
              <w:spacing w:before="40" w:after="40"/>
              <w:ind w:left="57"/>
            </w:pPr>
            <w:r w:rsidRPr="001945FA">
              <w:rPr>
                <w:b/>
              </w:rPr>
              <w:t>Copia</w:t>
            </w:r>
            <w:r w:rsidRPr="001945FA">
              <w:t>:</w:t>
            </w:r>
          </w:p>
          <w:p w:rsidR="00B66599" w:rsidRPr="001945FA" w:rsidRDefault="00B66599" w:rsidP="005651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75" w:hanging="218"/>
            </w:pPr>
            <w:r w:rsidRPr="001945FA">
              <w:t>–</w:t>
            </w:r>
            <w:r w:rsidRPr="001945FA">
              <w:tab/>
            </w:r>
            <w:r w:rsidR="005651C1" w:rsidRPr="001945FA">
              <w:t>a los Presidentes y</w:t>
            </w:r>
            <w:r w:rsidRPr="001945FA">
              <w:rPr>
                <w:szCs w:val="24"/>
              </w:rPr>
              <w:t xml:space="preserve"> Vicepresidentes </w:t>
            </w:r>
            <w:r w:rsidRPr="001945FA">
              <w:t>de las Comisiones de Estudio del UIT-T;</w:t>
            </w:r>
          </w:p>
          <w:p w:rsidR="00B66599" w:rsidRPr="001945FA" w:rsidRDefault="00B66599" w:rsidP="00DC6F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75" w:hanging="218"/>
            </w:pPr>
            <w:r w:rsidRPr="001945FA">
              <w:t>–</w:t>
            </w:r>
            <w:r w:rsidRPr="001945FA">
              <w:tab/>
              <w:t>al Director de la Oficina de Desarrollo de las Telecomunicaciones;</w:t>
            </w:r>
          </w:p>
          <w:p w:rsidR="00C34772" w:rsidRPr="001945FA" w:rsidRDefault="00B66599" w:rsidP="00DC6F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75" w:hanging="218"/>
            </w:pPr>
            <w:r w:rsidRPr="001945FA">
              <w:t>–</w:t>
            </w:r>
            <w:r w:rsidRPr="001945FA">
              <w:tab/>
              <w:t>al Director de la Oficina de Radiocomunicaciones</w:t>
            </w:r>
          </w:p>
        </w:tc>
      </w:tr>
      <w:tr w:rsidR="00DC6F95" w:rsidRPr="001945FA" w:rsidTr="00EA0308">
        <w:trPr>
          <w:cantSplit/>
        </w:trPr>
        <w:tc>
          <w:tcPr>
            <w:tcW w:w="1294" w:type="dxa"/>
          </w:tcPr>
          <w:p w:rsidR="00DC6F95" w:rsidRPr="001945FA" w:rsidRDefault="00DC6F95" w:rsidP="00745DB0">
            <w:pPr>
              <w:tabs>
                <w:tab w:val="left" w:pos="4111"/>
              </w:tabs>
              <w:spacing w:after="120"/>
              <w:ind w:left="57"/>
              <w:rPr>
                <w:szCs w:val="24"/>
              </w:rPr>
            </w:pPr>
            <w:r w:rsidRPr="001945FA">
              <w:rPr>
                <w:szCs w:val="24"/>
              </w:rPr>
              <w:t>Asunto:</w:t>
            </w:r>
          </w:p>
        </w:tc>
        <w:tc>
          <w:tcPr>
            <w:tcW w:w="8912" w:type="dxa"/>
            <w:gridSpan w:val="2"/>
          </w:tcPr>
          <w:p w:rsidR="00A35B20" w:rsidRPr="001945FA" w:rsidRDefault="005C0145" w:rsidP="00AA122B">
            <w:pPr>
              <w:tabs>
                <w:tab w:val="left" w:pos="4111"/>
              </w:tabs>
              <w:spacing w:after="120"/>
              <w:ind w:left="57"/>
              <w:rPr>
                <w:b/>
              </w:rPr>
            </w:pPr>
            <w:r w:rsidRPr="001945FA">
              <w:rPr>
                <w:b/>
                <w:bCs/>
              </w:rPr>
              <w:t xml:space="preserve">Establecimiento del </w:t>
            </w:r>
            <w:r w:rsidR="00880D50" w:rsidRPr="001945FA">
              <w:rPr>
                <w:b/>
                <w:bCs/>
              </w:rPr>
              <w:t>n</w:t>
            </w:r>
            <w:r w:rsidRPr="001945FA">
              <w:rPr>
                <w:b/>
                <w:bCs/>
              </w:rPr>
              <w:t>uevo Grupo Temático del UIT-T</w:t>
            </w:r>
            <w:r w:rsidR="00A35B20" w:rsidRPr="001945FA">
              <w:rPr>
                <w:b/>
                <w:bCs/>
              </w:rPr>
              <w:t xml:space="preserve"> </w:t>
            </w:r>
            <w:r w:rsidR="00EB4FD7">
              <w:rPr>
                <w:b/>
                <w:bCs/>
              </w:rPr>
              <w:t>"</w:t>
            </w:r>
            <w:r w:rsidR="009447A3" w:rsidRPr="001945FA">
              <w:rPr>
                <w:b/>
                <w:bCs/>
              </w:rPr>
              <w:t>Tecnologías de R</w:t>
            </w:r>
            <w:r w:rsidR="002B7430" w:rsidRPr="001945FA">
              <w:rPr>
                <w:b/>
                <w:bCs/>
              </w:rPr>
              <w:t>ed 2030</w:t>
            </w:r>
            <w:r w:rsidR="00EB4FD7">
              <w:rPr>
                <w:b/>
                <w:bCs/>
              </w:rPr>
              <w:t>"</w:t>
            </w:r>
            <w:r w:rsidR="00A35B20" w:rsidRPr="001945FA">
              <w:rPr>
                <w:b/>
                <w:bCs/>
              </w:rPr>
              <w:t xml:space="preserve"> (</w:t>
            </w:r>
            <w:r w:rsidR="00880D50" w:rsidRPr="001945FA">
              <w:rPr>
                <w:b/>
                <w:bCs/>
              </w:rPr>
              <w:t>GT</w:t>
            </w:r>
            <w:r w:rsidR="00D222DB">
              <w:rPr>
                <w:b/>
                <w:bCs/>
              </w:rPr>
              <w:t> </w:t>
            </w:r>
            <w:r w:rsidR="00A35B20" w:rsidRPr="001945FA">
              <w:rPr>
                <w:b/>
                <w:bCs/>
              </w:rPr>
              <w:t>NET-2030)</w:t>
            </w:r>
            <w:r w:rsidR="00880D50" w:rsidRPr="001945FA">
              <w:rPr>
                <w:b/>
                <w:bCs/>
              </w:rPr>
              <w:t xml:space="preserve">, incluida </w:t>
            </w:r>
            <w:r w:rsidR="002B7430" w:rsidRPr="001945FA">
              <w:rPr>
                <w:b/>
                <w:bCs/>
              </w:rPr>
              <w:t>su</w:t>
            </w:r>
            <w:r w:rsidR="00A35B20" w:rsidRPr="001945FA">
              <w:rPr>
                <w:b/>
                <w:bCs/>
              </w:rPr>
              <w:t xml:space="preserve"> </w:t>
            </w:r>
            <w:r w:rsidR="002B7430" w:rsidRPr="001945FA">
              <w:rPr>
                <w:b/>
                <w:bCs/>
              </w:rPr>
              <w:t xml:space="preserve">reunión inaugural </w:t>
            </w:r>
            <w:r w:rsidR="00A35B20" w:rsidRPr="001945FA">
              <w:rPr>
                <w:b/>
                <w:bCs/>
              </w:rPr>
              <w:t>(N</w:t>
            </w:r>
            <w:r w:rsidR="002B7430" w:rsidRPr="001945FA">
              <w:rPr>
                <w:b/>
                <w:bCs/>
              </w:rPr>
              <w:t>ueva York</w:t>
            </w:r>
            <w:r w:rsidR="00D222DB">
              <w:rPr>
                <w:b/>
                <w:bCs/>
              </w:rPr>
              <w:t>, (</w:t>
            </w:r>
            <w:r w:rsidR="002B7430" w:rsidRPr="001945FA">
              <w:rPr>
                <w:b/>
                <w:bCs/>
              </w:rPr>
              <w:t>Estados Unidos</w:t>
            </w:r>
            <w:r w:rsidR="00D222DB">
              <w:rPr>
                <w:b/>
                <w:bCs/>
              </w:rPr>
              <w:t>)</w:t>
            </w:r>
            <w:r w:rsidR="002B7430" w:rsidRPr="001945FA">
              <w:rPr>
                <w:b/>
                <w:bCs/>
              </w:rPr>
              <w:t xml:space="preserve">, </w:t>
            </w:r>
            <w:r w:rsidR="00D222DB">
              <w:rPr>
                <w:b/>
                <w:bCs/>
              </w:rPr>
              <w:br/>
            </w:r>
            <w:r w:rsidR="002B7430" w:rsidRPr="001945FA">
              <w:rPr>
                <w:b/>
                <w:bCs/>
              </w:rPr>
              <w:t>3-4 de octubre de</w:t>
            </w:r>
            <w:r w:rsidR="00A35B20" w:rsidRPr="001945FA">
              <w:rPr>
                <w:b/>
                <w:bCs/>
              </w:rPr>
              <w:t xml:space="preserve"> 2018)</w:t>
            </w:r>
            <w:r w:rsidR="00D222DB">
              <w:rPr>
                <w:b/>
                <w:bCs/>
              </w:rPr>
              <w:br/>
            </w:r>
            <w:r w:rsidR="002B7430" w:rsidRPr="001945FA">
              <w:rPr>
                <w:b/>
              </w:rPr>
              <w:t>Primer taller</w:t>
            </w:r>
            <w:r w:rsidR="00034B89" w:rsidRPr="001945FA">
              <w:rPr>
                <w:b/>
              </w:rPr>
              <w:t xml:space="preserve"> sobre</w:t>
            </w:r>
            <w:r w:rsidR="002B7430" w:rsidRPr="001945FA">
              <w:rPr>
                <w:b/>
              </w:rPr>
              <w:t xml:space="preserve"> </w:t>
            </w:r>
            <w:r w:rsidR="00EB4FD7">
              <w:rPr>
                <w:b/>
              </w:rPr>
              <w:t>"</w:t>
            </w:r>
            <w:r w:rsidR="002B7430" w:rsidRPr="001945FA">
              <w:rPr>
                <w:b/>
              </w:rPr>
              <w:t>Red</w:t>
            </w:r>
            <w:r w:rsidR="00034B89" w:rsidRPr="001945FA">
              <w:rPr>
                <w:b/>
              </w:rPr>
              <w:t>es</w:t>
            </w:r>
            <w:r w:rsidR="002B7430" w:rsidRPr="001945FA">
              <w:rPr>
                <w:b/>
              </w:rPr>
              <w:t xml:space="preserve"> 2030</w:t>
            </w:r>
            <w:r w:rsidR="00EB4FD7">
              <w:rPr>
                <w:b/>
              </w:rPr>
              <w:t>"</w:t>
            </w:r>
            <w:r w:rsidR="00D222DB">
              <w:rPr>
                <w:b/>
              </w:rPr>
              <w:t>,</w:t>
            </w:r>
            <w:r w:rsidR="00EB4FD7">
              <w:rPr>
                <w:b/>
              </w:rPr>
              <w:t xml:space="preserve"> Nueva York</w:t>
            </w:r>
            <w:r w:rsidR="002B7430" w:rsidRPr="001945FA">
              <w:rPr>
                <w:b/>
              </w:rPr>
              <w:t xml:space="preserve"> </w:t>
            </w:r>
            <w:r w:rsidR="00EB4FD7">
              <w:rPr>
                <w:b/>
              </w:rPr>
              <w:t>(</w:t>
            </w:r>
            <w:r w:rsidR="002B7430" w:rsidRPr="001945FA">
              <w:rPr>
                <w:b/>
              </w:rPr>
              <w:t>Estados Unidos</w:t>
            </w:r>
            <w:r w:rsidR="00EB4FD7">
              <w:rPr>
                <w:b/>
              </w:rPr>
              <w:t>)</w:t>
            </w:r>
            <w:r w:rsidR="002B7430" w:rsidRPr="001945FA">
              <w:rPr>
                <w:b/>
              </w:rPr>
              <w:t>, 2 de octubre de</w:t>
            </w:r>
            <w:r w:rsidR="00A35B20" w:rsidRPr="001945FA">
              <w:rPr>
                <w:b/>
              </w:rPr>
              <w:t xml:space="preserve"> 2018</w:t>
            </w:r>
          </w:p>
        </w:tc>
      </w:tr>
    </w:tbl>
    <w:p w:rsidR="00C34772" w:rsidRPr="001945FA" w:rsidRDefault="00C34772" w:rsidP="004771DD">
      <w:pPr>
        <w:pStyle w:val="Normalaftertitle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1945FA">
        <w:t>Muy Señora mía/Muy Señor mío</w:t>
      </w:r>
      <w:r w:rsidR="004D4132" w:rsidRPr="001945FA">
        <w:t>:</w:t>
      </w:r>
    </w:p>
    <w:p w:rsidR="009447A3" w:rsidRPr="001945FA" w:rsidRDefault="00B66599" w:rsidP="00EB7C73">
      <w:r w:rsidRPr="001945FA">
        <w:t>1</w:t>
      </w:r>
      <w:r w:rsidRPr="001945FA">
        <w:tab/>
      </w:r>
      <w:r w:rsidR="009447A3" w:rsidRPr="001945FA">
        <w:t>A raíz del interés, cada vez mayor,</w:t>
      </w:r>
      <w:r w:rsidR="00AD7F61" w:rsidRPr="001945FA">
        <w:t xml:space="preserve"> </w:t>
      </w:r>
      <w:r w:rsidR="009447A3" w:rsidRPr="001945FA">
        <w:t xml:space="preserve">en </w:t>
      </w:r>
      <w:r w:rsidR="00AD7F61" w:rsidRPr="001945FA">
        <w:t>las f</w:t>
      </w:r>
      <w:r w:rsidR="009447A3" w:rsidRPr="001945FA">
        <w:t xml:space="preserve">uturas </w:t>
      </w:r>
      <w:r w:rsidR="00AD7F61" w:rsidRPr="001945FA">
        <w:t xml:space="preserve">tecnologías de red </w:t>
      </w:r>
      <w:r w:rsidR="007E699D" w:rsidRPr="001945FA">
        <w:t>para</w:t>
      </w:r>
      <w:r w:rsidR="009447A3" w:rsidRPr="001945FA">
        <w:t xml:space="preserve"> 2030</w:t>
      </w:r>
      <w:r w:rsidR="007E699D" w:rsidRPr="001945FA">
        <w:t>,</w:t>
      </w:r>
      <w:r w:rsidR="009447A3" w:rsidRPr="001945FA">
        <w:t xml:space="preserve"> y </w:t>
      </w:r>
      <w:r w:rsidR="00AD7F61" w:rsidRPr="001945FA">
        <w:t>en adelante</w:t>
      </w:r>
      <w:r w:rsidR="009447A3" w:rsidRPr="001945FA">
        <w:t xml:space="preserve">, me complace anunciar que en su reunión celebrada en Ginebra (16-27 de julio de 2018), la Comisión de Estudio 13 del UIT-T </w:t>
      </w:r>
      <w:r w:rsidR="00EB7C73">
        <w:t>acordó</w:t>
      </w:r>
      <w:r w:rsidR="009447A3" w:rsidRPr="001945FA">
        <w:t xml:space="preserve"> establecer el </w:t>
      </w:r>
      <w:hyperlink r:id="rId10" w:history="1">
        <w:r w:rsidR="00EB7C73">
          <w:rPr>
            <w:rStyle w:val="Hyperlink"/>
          </w:rPr>
          <w:t>Grupo T</w:t>
        </w:r>
        <w:r w:rsidR="009447A3" w:rsidRPr="001945FA">
          <w:rPr>
            <w:rStyle w:val="Hyperlink"/>
          </w:rPr>
          <w:t xml:space="preserve">emático del UIT-T </w:t>
        </w:r>
        <w:r w:rsidR="00EB4FD7">
          <w:rPr>
            <w:rStyle w:val="Hyperlink"/>
          </w:rPr>
          <w:t>"</w:t>
        </w:r>
        <w:r w:rsidR="009447A3" w:rsidRPr="001945FA">
          <w:rPr>
            <w:rStyle w:val="Hyperlink"/>
          </w:rPr>
          <w:t>Tecnologías de Red 2030</w:t>
        </w:r>
        <w:r w:rsidR="00EB4FD7">
          <w:rPr>
            <w:rStyle w:val="Hyperlink"/>
          </w:rPr>
          <w:t>"</w:t>
        </w:r>
        <w:r w:rsidR="009447A3" w:rsidRPr="001945FA">
          <w:rPr>
            <w:rStyle w:val="Hyperlink"/>
          </w:rPr>
          <w:t>(</w:t>
        </w:r>
        <w:r w:rsidR="00AD7F61" w:rsidRPr="001945FA">
          <w:rPr>
            <w:rStyle w:val="Hyperlink"/>
          </w:rPr>
          <w:t>GT</w:t>
        </w:r>
        <w:r w:rsidR="009447A3" w:rsidRPr="001945FA">
          <w:rPr>
            <w:rStyle w:val="Hyperlink"/>
          </w:rPr>
          <w:t xml:space="preserve"> NET-2030)</w:t>
        </w:r>
      </w:hyperlink>
      <w:r w:rsidR="009447A3" w:rsidRPr="001945FA">
        <w:t>.</w:t>
      </w:r>
    </w:p>
    <w:p w:rsidR="00B91CF0" w:rsidRPr="001945FA" w:rsidRDefault="00EB4FD7" w:rsidP="00034B89">
      <w:r>
        <w:t>2</w:t>
      </w:r>
      <w:r w:rsidR="009447A3" w:rsidRPr="001945FA">
        <w:tab/>
        <w:t xml:space="preserve">Bajo la presidencia del Sr. Richard Li (Huawei), en el marco del </w:t>
      </w:r>
      <w:r w:rsidR="00AD7F61" w:rsidRPr="001945FA">
        <w:t>GT</w:t>
      </w:r>
      <w:r w:rsidR="009447A3" w:rsidRPr="001945FA">
        <w:t xml:space="preserve"> NET-2030 se examinará la capacidad de las futuras </w:t>
      </w:r>
      <w:r w:rsidR="007E699D" w:rsidRPr="001945FA">
        <w:t xml:space="preserve">tecnologías de red </w:t>
      </w:r>
      <w:r w:rsidR="00034B89" w:rsidRPr="001945FA">
        <w:t xml:space="preserve">para </w:t>
      </w:r>
      <w:r w:rsidR="009447A3" w:rsidRPr="001945FA">
        <w:t>2030</w:t>
      </w:r>
      <w:r w:rsidR="00AD7F61" w:rsidRPr="001945FA">
        <w:t>,</w:t>
      </w:r>
      <w:r w:rsidR="009447A3" w:rsidRPr="001945FA">
        <w:t xml:space="preserve"> y </w:t>
      </w:r>
      <w:r w:rsidR="00AD7F61" w:rsidRPr="001945FA">
        <w:t>en adelante,</w:t>
      </w:r>
      <w:r w:rsidR="00B91CF0" w:rsidRPr="001945FA">
        <w:t xml:space="preserve"> </w:t>
      </w:r>
      <w:r w:rsidR="00034B89" w:rsidRPr="001945FA">
        <w:t>que permitan</w:t>
      </w:r>
      <w:r w:rsidR="005924EE" w:rsidRPr="001945FA">
        <w:t xml:space="preserve"> soportar </w:t>
      </w:r>
      <w:r w:rsidR="00AD7F61" w:rsidRPr="001945FA">
        <w:t xml:space="preserve">nuevas </w:t>
      </w:r>
      <w:r w:rsidR="005924EE" w:rsidRPr="001945FA">
        <w:t>aplicaciones</w:t>
      </w:r>
      <w:r w:rsidR="00B91CF0" w:rsidRPr="001945FA">
        <w:t xml:space="preserve">, en particular </w:t>
      </w:r>
      <w:r w:rsidR="009447A3" w:rsidRPr="001945FA">
        <w:t>comunicaciones de tipo holográfico</w:t>
      </w:r>
      <w:r w:rsidR="005924EE" w:rsidRPr="001945FA">
        <w:t xml:space="preserve"> y</w:t>
      </w:r>
      <w:r w:rsidR="009447A3" w:rsidRPr="001945FA">
        <w:t xml:space="preserve"> avatares industriales</w:t>
      </w:r>
      <w:r w:rsidR="005924EE" w:rsidRPr="001945FA">
        <w:t xml:space="preserve">, </w:t>
      </w:r>
      <w:r w:rsidR="00034B89" w:rsidRPr="001945FA">
        <w:t>y</w:t>
      </w:r>
      <w:r w:rsidR="007E699D" w:rsidRPr="001945FA">
        <w:t xml:space="preserve"> dar respuesta </w:t>
      </w:r>
      <w:r w:rsidR="00034B89" w:rsidRPr="001945FA">
        <w:t>a</w:t>
      </w:r>
      <w:r w:rsidR="005924EE" w:rsidRPr="001945FA">
        <w:t xml:space="preserve"> </w:t>
      </w:r>
      <w:r w:rsidR="009447A3" w:rsidRPr="001945FA">
        <w:t>situaciones críticas</w:t>
      </w:r>
      <w:r w:rsidR="00034B89" w:rsidRPr="001945FA">
        <w:t xml:space="preserve"> de forma muy rápida</w:t>
      </w:r>
      <w:r w:rsidR="009447A3" w:rsidRPr="001945FA">
        <w:t xml:space="preserve">. El estudio tiene como objetivo </w:t>
      </w:r>
      <w:r w:rsidR="00034B89" w:rsidRPr="001945FA">
        <w:t>arrojar luz sobre c</w:t>
      </w:r>
      <w:r w:rsidR="00B91CF0" w:rsidRPr="001945FA">
        <w:t xml:space="preserve">uestiones </w:t>
      </w:r>
      <w:r w:rsidR="009447A3" w:rsidRPr="001945FA">
        <w:t xml:space="preserve">específicas </w:t>
      </w:r>
      <w:r w:rsidR="00034B89" w:rsidRPr="001945FA">
        <w:t>en materia de</w:t>
      </w:r>
      <w:r w:rsidR="009447A3" w:rsidRPr="001945FA">
        <w:t xml:space="preserve"> arquitectura de red y mecanismos </w:t>
      </w:r>
      <w:r w:rsidR="00B91CF0" w:rsidRPr="001945FA">
        <w:t>habilitadores adecuados</w:t>
      </w:r>
      <w:r w:rsidR="009447A3" w:rsidRPr="001945FA">
        <w:t xml:space="preserve"> </w:t>
      </w:r>
      <w:r w:rsidR="00034B89" w:rsidRPr="001945FA">
        <w:t>para</w:t>
      </w:r>
      <w:r w:rsidR="00B91CF0" w:rsidRPr="001945FA">
        <w:t xml:space="preserve"> </w:t>
      </w:r>
      <w:r w:rsidR="00034B89" w:rsidRPr="001945FA">
        <w:t xml:space="preserve">facilitar </w:t>
      </w:r>
      <w:r w:rsidR="00B91CF0" w:rsidRPr="001945FA">
        <w:t xml:space="preserve">esas nuevas </w:t>
      </w:r>
      <w:r w:rsidR="00034B89" w:rsidRPr="001945FA">
        <w:t>aplicaciones</w:t>
      </w:r>
      <w:r w:rsidR="00D222DB">
        <w:t>.</w:t>
      </w:r>
    </w:p>
    <w:p w:rsidR="00B91CF0" w:rsidRPr="001945FA" w:rsidRDefault="00B91CF0" w:rsidP="00EB4FD7">
      <w:r w:rsidRPr="001945FA">
        <w:t xml:space="preserve">Según el Sr. Li, </w:t>
      </w:r>
      <w:r w:rsidR="00EB4FD7">
        <w:t>"</w:t>
      </w:r>
      <w:r w:rsidRPr="001945FA">
        <w:t>Red</w:t>
      </w:r>
      <w:r w:rsidR="00034B89" w:rsidRPr="001945FA">
        <w:t>es</w:t>
      </w:r>
      <w:r w:rsidR="000C383C" w:rsidRPr="001945FA">
        <w:t xml:space="preserve"> 2030</w:t>
      </w:r>
      <w:r w:rsidR="00EB4FD7">
        <w:t>"</w:t>
      </w:r>
      <w:r w:rsidR="00034B89" w:rsidRPr="001945FA">
        <w:t xml:space="preserve"> pone de manifiesto nuevas posibilidades </w:t>
      </w:r>
      <w:r w:rsidR="009F3C4F">
        <w:t>para la</w:t>
      </w:r>
      <w:r w:rsidR="00034B89" w:rsidRPr="001945FA">
        <w:t xml:space="preserve"> sociedad digital </w:t>
      </w:r>
      <w:r w:rsidRPr="001945FA">
        <w:t>en</w:t>
      </w:r>
      <w:r w:rsidR="00EB4FD7">
        <w:t> </w:t>
      </w:r>
      <w:r w:rsidRPr="001945FA">
        <w:t xml:space="preserve">2030 y </w:t>
      </w:r>
      <w:r w:rsidR="00034B89" w:rsidRPr="001945FA">
        <w:t>en adelante</w:t>
      </w:r>
      <w:r w:rsidR="00EB4FD7">
        <w:t>.</w:t>
      </w:r>
    </w:p>
    <w:p w:rsidR="00EB4FD7" w:rsidRDefault="00EA0308" w:rsidP="00F709F9">
      <w:r w:rsidRPr="001945FA">
        <w:t>3</w:t>
      </w:r>
      <w:r w:rsidRPr="001945FA">
        <w:tab/>
      </w:r>
      <w:r w:rsidR="00165D99" w:rsidRPr="001945FA">
        <w:t xml:space="preserve">La participación en </w:t>
      </w:r>
      <w:r w:rsidR="00F709F9" w:rsidRPr="001945FA">
        <w:t>el GT</w:t>
      </w:r>
      <w:r w:rsidR="00165D99" w:rsidRPr="001945FA">
        <w:t xml:space="preserve"> NET-2030 </w:t>
      </w:r>
      <w:r w:rsidR="00B91CF0" w:rsidRPr="001945FA">
        <w:t xml:space="preserve">es gratuita y </w:t>
      </w:r>
      <w:r w:rsidR="00165D99" w:rsidRPr="001945FA">
        <w:t>está abierta a los Estados Miembros, Miembros de Sector, Asociados e Insti</w:t>
      </w:r>
      <w:r w:rsidR="00861BDF">
        <w:t>tuciones Académicas de la UIT, así como</w:t>
      </w:r>
      <w:r w:rsidR="00165D99" w:rsidRPr="001945FA">
        <w:t xml:space="preserve"> a cualquier persona de un país Miembro de la UIT que desee contribuir a su trabajo, en particular las personas que también son miembros o representantes de organizaciones de normalización interesadas. Las personas interesadas en recibir anuncios y noticias del </w:t>
      </w:r>
      <w:r w:rsidR="00F709F9" w:rsidRPr="001945FA">
        <w:t>GT</w:t>
      </w:r>
      <w:r w:rsidR="00165D99" w:rsidRPr="001945FA">
        <w:t xml:space="preserve"> NET-2030 pueden darse de alta en su lista de distribución. En la página web del Grupo Temático se puede encontrar información para darse de alta: </w:t>
      </w:r>
      <w:hyperlink r:id="rId11" w:history="1">
        <w:r w:rsidR="00165D99" w:rsidRPr="001945FA">
          <w:rPr>
            <w:rStyle w:val="Hyperlink"/>
          </w:rPr>
          <w:t>https://www.itu.int/en/ITU-T/focusgroups/net2030</w:t>
        </w:r>
      </w:hyperlink>
      <w:r w:rsidR="00165D99" w:rsidRPr="001945FA">
        <w:t>.</w:t>
      </w:r>
    </w:p>
    <w:p w:rsidR="00B66599" w:rsidRPr="001945FA" w:rsidRDefault="00D85A52" w:rsidP="00F709F9">
      <w:r w:rsidRPr="001945FA">
        <w:lastRenderedPageBreak/>
        <w:t>4</w:t>
      </w:r>
      <w:r w:rsidRPr="001945FA">
        <w:tab/>
      </w:r>
      <w:r w:rsidR="004B2AD5" w:rsidRPr="001945FA">
        <w:t xml:space="preserve">El Grupo ejercerá sus funciones </w:t>
      </w:r>
      <w:r w:rsidR="007C20F6" w:rsidRPr="001945FA">
        <w:t>de conformidad con</w:t>
      </w:r>
      <w:r w:rsidR="004B2AD5" w:rsidRPr="001945FA">
        <w:t xml:space="preserve"> los procedimientos estipulados en la </w:t>
      </w:r>
      <w:hyperlink r:id="rId12" w:history="1">
        <w:r w:rsidR="004B2AD5" w:rsidRPr="001945FA">
          <w:rPr>
            <w:rStyle w:val="Hyperlink"/>
          </w:rPr>
          <w:t>Recomendación UIT-T A.7</w:t>
        </w:r>
      </w:hyperlink>
      <w:r w:rsidR="007C20F6" w:rsidRPr="001945FA">
        <w:t xml:space="preserve"> y e</w:t>
      </w:r>
      <w:r w:rsidR="004B2AD5" w:rsidRPr="001945FA">
        <w:t xml:space="preserve">l mandato </w:t>
      </w:r>
      <w:r w:rsidR="007C20F6" w:rsidRPr="001945FA">
        <w:t>convenido</w:t>
      </w:r>
      <w:r w:rsidR="004B2AD5" w:rsidRPr="001945FA">
        <w:t xml:space="preserve"> </w:t>
      </w:r>
      <w:r w:rsidR="00B91CF0" w:rsidRPr="001945FA">
        <w:t>que figura</w:t>
      </w:r>
      <w:r w:rsidR="004B2AD5" w:rsidRPr="001945FA">
        <w:t xml:space="preserve"> en el </w:t>
      </w:r>
      <w:r w:rsidR="004B2AD5" w:rsidRPr="001945FA">
        <w:rPr>
          <w:b/>
          <w:bCs/>
        </w:rPr>
        <w:t>Anexo 1</w:t>
      </w:r>
      <w:r w:rsidR="004B2AD5" w:rsidRPr="001945FA">
        <w:t xml:space="preserve">. </w:t>
      </w:r>
      <w:r w:rsidR="007C20F6" w:rsidRPr="001945FA">
        <w:t>La Comisión de Estudio 13 del UIT-R designó al Sr.</w:t>
      </w:r>
      <w:r w:rsidR="004B2AD5" w:rsidRPr="001945FA">
        <w:t xml:space="preserve"> Richard Li (Huawei, </w:t>
      </w:r>
      <w:r w:rsidR="007C20F6" w:rsidRPr="001945FA">
        <w:t>Estados Unidos) Presidente del Grupo Temático</w:t>
      </w:r>
      <w:r w:rsidR="004B2AD5" w:rsidRPr="001945FA">
        <w:t>.</w:t>
      </w:r>
      <w:r w:rsidR="007C20F6" w:rsidRPr="001945FA">
        <w:t xml:space="preserve"> El Sr.</w:t>
      </w:r>
      <w:r w:rsidR="004B2AD5" w:rsidRPr="001945FA">
        <w:t xml:space="preserve"> Mehmet Toy (Verizon, </w:t>
      </w:r>
      <w:r w:rsidR="007C20F6" w:rsidRPr="001945FA">
        <w:t>Estados Unidos</w:t>
      </w:r>
      <w:r w:rsidR="004B2AD5" w:rsidRPr="001945FA">
        <w:t xml:space="preserve">), </w:t>
      </w:r>
      <w:r w:rsidR="007C20F6" w:rsidRPr="001945FA">
        <w:t>el Sr.</w:t>
      </w:r>
      <w:r w:rsidR="004B2AD5" w:rsidRPr="001945FA">
        <w:t xml:space="preserve"> Alexey Borodin (Rostelecom, </w:t>
      </w:r>
      <w:r w:rsidR="007C20F6" w:rsidRPr="001945FA">
        <w:t>Federación de Rusia</w:t>
      </w:r>
      <w:r w:rsidR="004B2AD5" w:rsidRPr="001945FA">
        <w:t xml:space="preserve">), </w:t>
      </w:r>
      <w:r w:rsidR="007C20F6" w:rsidRPr="001945FA">
        <w:t>la Sra. Yuan Zhang (China Telecom) y el Sr.</w:t>
      </w:r>
      <w:r w:rsidR="004B2AD5" w:rsidRPr="001945FA">
        <w:t xml:space="preserve"> Yutaka Miyake (KDDI </w:t>
      </w:r>
      <w:r w:rsidR="007C20F6" w:rsidRPr="001945FA">
        <w:t>Japón</w:t>
      </w:r>
      <w:r w:rsidR="004B2AD5" w:rsidRPr="001945FA">
        <w:t xml:space="preserve">) </w:t>
      </w:r>
      <w:r w:rsidR="007C20F6" w:rsidRPr="001945FA">
        <w:t>fueron designados Vicepresidentes</w:t>
      </w:r>
      <w:r w:rsidR="004B2AD5" w:rsidRPr="001945FA">
        <w:t>.</w:t>
      </w:r>
    </w:p>
    <w:p w:rsidR="00B66599" w:rsidRPr="001945FA" w:rsidRDefault="00A7669C" w:rsidP="00F709F9">
      <w:r w:rsidRPr="001945FA">
        <w:t>5</w:t>
      </w:r>
      <w:r w:rsidR="00B66599" w:rsidRPr="001945FA">
        <w:tab/>
      </w:r>
      <w:r w:rsidR="000A42DB" w:rsidRPr="001945FA">
        <w:rPr>
          <w:b/>
          <w:bCs/>
        </w:rPr>
        <w:t xml:space="preserve">Primera reunión del </w:t>
      </w:r>
      <w:r w:rsidR="00F709F9" w:rsidRPr="001945FA">
        <w:rPr>
          <w:b/>
          <w:bCs/>
        </w:rPr>
        <w:t>GT</w:t>
      </w:r>
      <w:r w:rsidR="000A42DB" w:rsidRPr="001945FA">
        <w:rPr>
          <w:b/>
          <w:bCs/>
        </w:rPr>
        <w:t xml:space="preserve"> NET-2030 </w:t>
      </w:r>
      <w:r w:rsidR="00F709F9" w:rsidRPr="001945FA">
        <w:rPr>
          <w:b/>
          <w:bCs/>
        </w:rPr>
        <w:t>y taller conexo</w:t>
      </w:r>
    </w:p>
    <w:p w:rsidR="007928D9" w:rsidRPr="001945FA" w:rsidRDefault="007928D9" w:rsidP="00F709F9">
      <w:bookmarkStart w:id="4" w:name="lt_pId075"/>
      <w:r w:rsidRPr="001945FA">
        <w:t xml:space="preserve">La primera reunión del </w:t>
      </w:r>
      <w:r w:rsidR="00F709F9" w:rsidRPr="001945FA">
        <w:t>GT</w:t>
      </w:r>
      <w:r w:rsidRPr="001945FA">
        <w:t xml:space="preserve"> NET-2030 se celebrará del 3 al 4 de octubre de 2018 en </w:t>
      </w:r>
      <w:r w:rsidR="005A54B1" w:rsidRPr="001945FA">
        <w:t>Nueva</w:t>
      </w:r>
      <w:r w:rsidRPr="001945FA">
        <w:t xml:space="preserve"> York</w:t>
      </w:r>
      <w:r w:rsidR="00F709F9" w:rsidRPr="001945FA">
        <w:t xml:space="preserve">, </w:t>
      </w:r>
      <w:r w:rsidR="00052A06" w:rsidRPr="001945FA">
        <w:t>organizada</w:t>
      </w:r>
      <w:r w:rsidRPr="001945FA">
        <w:t xml:space="preserve"> </w:t>
      </w:r>
      <w:r w:rsidR="00052A06" w:rsidRPr="001945FA">
        <w:t>por la</w:t>
      </w:r>
      <w:r w:rsidRPr="001945FA">
        <w:t xml:space="preserve"> </w:t>
      </w:r>
      <w:r w:rsidR="005A54B1" w:rsidRPr="001945FA">
        <w:t>Universidad de dicha ciudad</w:t>
      </w:r>
      <w:r w:rsidRPr="001945FA">
        <w:t xml:space="preserve"> </w:t>
      </w:r>
      <w:r w:rsidR="00052A06" w:rsidRPr="001945FA">
        <w:t>en</w:t>
      </w:r>
      <w:r w:rsidRPr="001945FA">
        <w:t xml:space="preserve"> Brooklyn, de </w:t>
      </w:r>
      <w:r w:rsidR="00EB4FD7">
        <w:t>0</w:t>
      </w:r>
      <w:r w:rsidRPr="001945FA">
        <w:t xml:space="preserve">9.30 a 17.00 horas. Los objetivos de </w:t>
      </w:r>
      <w:r w:rsidR="00F709F9" w:rsidRPr="001945FA">
        <w:t>la</w:t>
      </w:r>
      <w:r w:rsidRPr="001945FA">
        <w:t xml:space="preserve"> reunión incluirán:</w:t>
      </w:r>
    </w:p>
    <w:p w:rsidR="007928D9" w:rsidRPr="001945FA" w:rsidRDefault="007928D9" w:rsidP="00F709F9">
      <w:pPr>
        <w:pStyle w:val="enumlev1"/>
      </w:pPr>
      <w:r w:rsidRPr="001945FA">
        <w:t>•</w:t>
      </w:r>
      <w:r w:rsidRPr="001945FA">
        <w:tab/>
        <w:t xml:space="preserve">un debate </w:t>
      </w:r>
      <w:r w:rsidR="005A54B1" w:rsidRPr="001945FA">
        <w:t xml:space="preserve">sobre redes futuras </w:t>
      </w:r>
      <w:r w:rsidR="00F709F9" w:rsidRPr="001945FA">
        <w:t>para</w:t>
      </w:r>
      <w:r w:rsidR="005A54B1" w:rsidRPr="001945FA">
        <w:t xml:space="preserve"> 2030: definición, visión,</w:t>
      </w:r>
      <w:r w:rsidRPr="001945FA">
        <w:t xml:space="preserve"> requisitos, expectativas, </w:t>
      </w:r>
      <w:r w:rsidR="005A54B1" w:rsidRPr="001945FA">
        <w:t>retos</w:t>
      </w:r>
      <w:r w:rsidRPr="001945FA">
        <w:t>, lagunas de investigación y necesidades en materia de normalización</w:t>
      </w:r>
      <w:r w:rsidR="005A54B1" w:rsidRPr="001945FA">
        <w:t xml:space="preserve"> </w:t>
      </w:r>
      <w:r w:rsidR="00F709F9" w:rsidRPr="001945FA">
        <w:t>de</w:t>
      </w:r>
      <w:r w:rsidR="005A54B1" w:rsidRPr="001945FA">
        <w:t xml:space="preserve"> redes futuras</w:t>
      </w:r>
      <w:r w:rsidRPr="001945FA">
        <w:t>;</w:t>
      </w:r>
    </w:p>
    <w:p w:rsidR="007928D9" w:rsidRPr="001945FA" w:rsidRDefault="007928D9" w:rsidP="00F709F9">
      <w:pPr>
        <w:pStyle w:val="enumlev1"/>
      </w:pPr>
      <w:r w:rsidRPr="001945FA">
        <w:t>•</w:t>
      </w:r>
      <w:r w:rsidRPr="001945FA">
        <w:tab/>
        <w:t>un acuerdo sobre el alcance y los objetivos precisos del Grupo Temático;</w:t>
      </w:r>
    </w:p>
    <w:p w:rsidR="007928D9" w:rsidRPr="001945FA" w:rsidRDefault="007928D9" w:rsidP="0094787D">
      <w:pPr>
        <w:pStyle w:val="enumlev1"/>
      </w:pPr>
      <w:r w:rsidRPr="001945FA">
        <w:t>•</w:t>
      </w:r>
      <w:r w:rsidRPr="001945FA">
        <w:tab/>
        <w:t xml:space="preserve">un acuerdo sobre la estructura, los productos previstos, las responsabilidades y el cronograma </w:t>
      </w:r>
      <w:r w:rsidR="00F709F9" w:rsidRPr="001945FA">
        <w:t>del G</w:t>
      </w:r>
      <w:r w:rsidRPr="001945FA">
        <w:t>rupo</w:t>
      </w:r>
      <w:r w:rsidR="0094787D">
        <w:t>,</w:t>
      </w:r>
      <w:r w:rsidRPr="001945FA">
        <w:t xml:space="preserve"> y</w:t>
      </w:r>
    </w:p>
    <w:p w:rsidR="007928D9" w:rsidRPr="001945FA" w:rsidRDefault="007928D9" w:rsidP="00F709F9">
      <w:pPr>
        <w:pStyle w:val="enumlev1"/>
      </w:pPr>
      <w:r w:rsidRPr="001945FA">
        <w:t>•</w:t>
      </w:r>
      <w:r w:rsidRPr="001945FA">
        <w:tab/>
        <w:t>un examen de las contribuciones escritas, tras el cual se emprenderá la elaboración de los productos.</w:t>
      </w:r>
    </w:p>
    <w:p w:rsidR="00B66599" w:rsidRPr="001945FA" w:rsidRDefault="00A7669C" w:rsidP="00F709F9">
      <w:r w:rsidRPr="001945FA">
        <w:t>6</w:t>
      </w:r>
      <w:r w:rsidR="00B66599" w:rsidRPr="001945FA">
        <w:tab/>
      </w:r>
      <w:bookmarkEnd w:id="4"/>
      <w:r w:rsidR="00EE66DC" w:rsidRPr="001945FA">
        <w:t xml:space="preserve">El 2 de octubre de 2018, víspera de la primera reunión del </w:t>
      </w:r>
      <w:r w:rsidR="00F709F9" w:rsidRPr="001945FA">
        <w:t>GT</w:t>
      </w:r>
      <w:r w:rsidR="00EE66DC" w:rsidRPr="001945FA">
        <w:t xml:space="preserve"> NET-2030, se celebrará </w:t>
      </w:r>
      <w:r w:rsidR="005A54B1" w:rsidRPr="001945FA">
        <w:t xml:space="preserve">en el mismo lugar </w:t>
      </w:r>
      <w:r w:rsidR="00EE66DC" w:rsidRPr="001945FA">
        <w:t xml:space="preserve">un </w:t>
      </w:r>
      <w:r w:rsidR="00EE66DC" w:rsidRPr="001945FA">
        <w:rPr>
          <w:b/>
          <w:bCs/>
        </w:rPr>
        <w:t>Primer</w:t>
      </w:r>
      <w:r w:rsidR="00EE66DC" w:rsidRPr="001945FA">
        <w:t xml:space="preserve"> </w:t>
      </w:r>
      <w:r w:rsidR="00EE66DC" w:rsidRPr="001945FA">
        <w:rPr>
          <w:b/>
          <w:bCs/>
        </w:rPr>
        <w:t xml:space="preserve">Taller </w:t>
      </w:r>
      <w:r w:rsidR="005A54B1" w:rsidRPr="001945FA">
        <w:rPr>
          <w:b/>
          <w:bCs/>
        </w:rPr>
        <w:t xml:space="preserve">sobre </w:t>
      </w:r>
      <w:r w:rsidR="00EB4FD7">
        <w:rPr>
          <w:b/>
          <w:bCs/>
        </w:rPr>
        <w:t>"</w:t>
      </w:r>
      <w:r w:rsidR="005A54B1" w:rsidRPr="001945FA">
        <w:rPr>
          <w:b/>
          <w:bCs/>
        </w:rPr>
        <w:t>Red</w:t>
      </w:r>
      <w:r w:rsidR="00F709F9" w:rsidRPr="001945FA">
        <w:rPr>
          <w:b/>
          <w:bCs/>
        </w:rPr>
        <w:t>es</w:t>
      </w:r>
      <w:r w:rsidR="00EE66DC" w:rsidRPr="001945FA">
        <w:rPr>
          <w:b/>
          <w:bCs/>
        </w:rPr>
        <w:t xml:space="preserve"> 2030</w:t>
      </w:r>
      <w:r w:rsidR="00EB4FD7">
        <w:rPr>
          <w:b/>
          <w:bCs/>
        </w:rPr>
        <w:t>"</w:t>
      </w:r>
      <w:r w:rsidR="00EE66DC" w:rsidRPr="001945FA">
        <w:t>.</w:t>
      </w:r>
    </w:p>
    <w:p w:rsidR="00B66599" w:rsidRPr="001945FA" w:rsidRDefault="008D4974" w:rsidP="007925DD">
      <w:r w:rsidRPr="001945FA">
        <w:t>7</w:t>
      </w:r>
      <w:r w:rsidR="00B66599" w:rsidRPr="001945FA">
        <w:rPr>
          <w:b/>
          <w:bCs/>
        </w:rPr>
        <w:tab/>
      </w:r>
      <w:r w:rsidR="005A54B1" w:rsidRPr="001945FA">
        <w:rPr>
          <w:b/>
          <w:bCs/>
        </w:rPr>
        <w:t xml:space="preserve">Se invita a </w:t>
      </w:r>
      <w:r w:rsidR="00F709F9" w:rsidRPr="001945FA">
        <w:rPr>
          <w:b/>
          <w:bCs/>
        </w:rPr>
        <w:t>efectuar</w:t>
      </w:r>
      <w:r w:rsidR="005A54B1" w:rsidRPr="001945FA">
        <w:rPr>
          <w:b/>
          <w:bCs/>
        </w:rPr>
        <w:t xml:space="preserve"> contribuciones por escrito a la reunión del </w:t>
      </w:r>
      <w:r w:rsidR="0043397F">
        <w:rPr>
          <w:b/>
          <w:bCs/>
        </w:rPr>
        <w:t>GT</w:t>
      </w:r>
      <w:r w:rsidR="005A54B1" w:rsidRPr="001945FA">
        <w:t xml:space="preserve"> y a remitirlas por correo electrónico a la Secretaría del </w:t>
      </w:r>
      <w:r w:rsidR="00F709F9" w:rsidRPr="001945FA">
        <w:t>GT</w:t>
      </w:r>
      <w:r w:rsidR="005A54B1" w:rsidRPr="001945FA">
        <w:t xml:space="preserve"> (</w:t>
      </w:r>
      <w:hyperlink r:id="rId13" w:history="1">
        <w:r w:rsidR="00AF35F7" w:rsidRPr="001945FA">
          <w:rPr>
            <w:rStyle w:val="Hyperlink"/>
          </w:rPr>
          <w:t>tsbfgnet2030@itu.int</w:t>
        </w:r>
      </w:hyperlink>
      <w:r w:rsidR="005A54B1" w:rsidRPr="001945FA">
        <w:t xml:space="preserve">) antes del </w:t>
      </w:r>
      <w:r w:rsidR="005A54B1" w:rsidRPr="001945FA">
        <w:rPr>
          <w:b/>
          <w:bCs/>
        </w:rPr>
        <w:t>23 de septiembre de</w:t>
      </w:r>
      <w:r w:rsidR="00EB4FD7">
        <w:rPr>
          <w:b/>
          <w:bCs/>
        </w:rPr>
        <w:t> </w:t>
      </w:r>
      <w:r w:rsidR="005A54B1" w:rsidRPr="001945FA">
        <w:rPr>
          <w:b/>
          <w:bCs/>
        </w:rPr>
        <w:t>2018</w:t>
      </w:r>
      <w:r w:rsidR="005A54B1" w:rsidRPr="001945FA">
        <w:t xml:space="preserve"> </w:t>
      </w:r>
      <w:r w:rsidR="00AF35F7" w:rsidRPr="001945FA">
        <w:t>mediante</w:t>
      </w:r>
      <w:r w:rsidR="005A54B1" w:rsidRPr="001945FA">
        <w:t xml:space="preserve"> la plantilla del documento</w:t>
      </w:r>
      <w:r w:rsidR="00AF35F7" w:rsidRPr="001945FA">
        <w:t xml:space="preserve"> disponible en </w:t>
      </w:r>
      <w:r w:rsidR="004352A8" w:rsidRPr="001945FA">
        <w:t>la</w:t>
      </w:r>
      <w:r w:rsidR="005A54B1" w:rsidRPr="001945FA">
        <w:t xml:space="preserve"> </w:t>
      </w:r>
      <w:hyperlink r:id="rId14" w:history="1">
        <w:r w:rsidR="004352A8" w:rsidRPr="001945FA">
          <w:rPr>
            <w:rStyle w:val="Hyperlink"/>
          </w:rPr>
          <w:t>página</w:t>
        </w:r>
        <w:r w:rsidR="00AF35F7" w:rsidRPr="001945FA">
          <w:rPr>
            <w:rStyle w:val="Hyperlink"/>
          </w:rPr>
          <w:t xml:space="preserve"> web del </w:t>
        </w:r>
        <w:r w:rsidR="00F709F9" w:rsidRPr="001945FA">
          <w:rPr>
            <w:rStyle w:val="Hyperlink"/>
          </w:rPr>
          <w:t>GT</w:t>
        </w:r>
        <w:r w:rsidR="00AF35F7" w:rsidRPr="001945FA">
          <w:rPr>
            <w:rStyle w:val="Hyperlink"/>
          </w:rPr>
          <w:t xml:space="preserve"> NET-2030</w:t>
        </w:r>
      </w:hyperlink>
      <w:r w:rsidR="005A54B1" w:rsidRPr="001945FA">
        <w:t xml:space="preserve">. </w:t>
      </w:r>
      <w:r w:rsidR="00AF35F7" w:rsidRPr="001945FA">
        <w:t xml:space="preserve">Se </w:t>
      </w:r>
      <w:r w:rsidR="00F709F9" w:rsidRPr="001945FA">
        <w:t>facilitará</w:t>
      </w:r>
      <w:r w:rsidR="005A54B1" w:rsidRPr="001945FA">
        <w:t xml:space="preserve"> acceso a todos los documentos </w:t>
      </w:r>
      <w:r w:rsidR="00AF35F7" w:rsidRPr="001945FA">
        <w:t>a través d</w:t>
      </w:r>
      <w:r w:rsidR="004352A8" w:rsidRPr="001945FA">
        <w:t xml:space="preserve">e </w:t>
      </w:r>
      <w:r w:rsidR="00F709F9" w:rsidRPr="001945FA">
        <w:t>dicha</w:t>
      </w:r>
      <w:r w:rsidR="00AF35F7" w:rsidRPr="001945FA">
        <w:t xml:space="preserve"> </w:t>
      </w:r>
      <w:hyperlink r:id="rId15" w:history="1">
        <w:r w:rsidR="007925DD" w:rsidRPr="007925DD">
          <w:rPr>
            <w:rStyle w:val="Hyperlink"/>
          </w:rPr>
          <w:t>página web</w:t>
        </w:r>
      </w:hyperlink>
      <w:r w:rsidR="00AF35F7" w:rsidRPr="001945FA">
        <w:t xml:space="preserve"> </w:t>
      </w:r>
      <w:r w:rsidR="005A54B1" w:rsidRPr="001945FA">
        <w:t>(</w:t>
      </w:r>
      <w:r w:rsidR="007A3EA5" w:rsidRPr="001945FA">
        <w:t>es necesaria una cuenta</w:t>
      </w:r>
      <w:r w:rsidR="005A54B1" w:rsidRPr="001945FA">
        <w:t xml:space="preserve"> TIES o cuenta de invitado).</w:t>
      </w:r>
    </w:p>
    <w:p w:rsidR="00EE6A1F" w:rsidRPr="001945FA" w:rsidRDefault="00EE6A1F" w:rsidP="00F709F9">
      <w:r w:rsidRPr="001945FA">
        <w:t>8</w:t>
      </w:r>
      <w:r w:rsidRPr="001945FA">
        <w:tab/>
        <w:t xml:space="preserve">La reunión </w:t>
      </w:r>
      <w:r w:rsidR="00F709F9" w:rsidRPr="001945FA">
        <w:t>dará comienzo</w:t>
      </w:r>
      <w:r w:rsidRPr="001945FA">
        <w:t xml:space="preserve"> a las 09.30 horas del primer día. El orden del día </w:t>
      </w:r>
      <w:r w:rsidR="004352A8" w:rsidRPr="001945FA">
        <w:t xml:space="preserve">de la misma </w:t>
      </w:r>
      <w:r w:rsidR="00F709F9" w:rsidRPr="001945FA">
        <w:t>figurará</w:t>
      </w:r>
      <w:r w:rsidRPr="001945FA">
        <w:t xml:space="preserve"> en la </w:t>
      </w:r>
      <w:hyperlink r:id="rId16" w:history="1">
        <w:r w:rsidRPr="001945FA">
          <w:rPr>
            <w:rStyle w:val="Hyperlink"/>
          </w:rPr>
          <w:t xml:space="preserve">página web del </w:t>
        </w:r>
        <w:r w:rsidR="00F709F9" w:rsidRPr="001945FA">
          <w:rPr>
            <w:rStyle w:val="Hyperlink"/>
          </w:rPr>
          <w:t>GT</w:t>
        </w:r>
        <w:r w:rsidR="00D90D0C" w:rsidRPr="001945FA">
          <w:rPr>
            <w:rStyle w:val="Hyperlink"/>
          </w:rPr>
          <w:t xml:space="preserve"> NET-2030</w:t>
        </w:r>
      </w:hyperlink>
      <w:r w:rsidRPr="001945FA">
        <w:t xml:space="preserve"> antes de la reunión. </w:t>
      </w:r>
      <w:r w:rsidR="004352A8" w:rsidRPr="001945FA">
        <w:t xml:space="preserve">También se facilitará información adicional sobre el lugar </w:t>
      </w:r>
      <w:r w:rsidR="00F709F9" w:rsidRPr="001945FA">
        <w:t xml:space="preserve">de celebración </w:t>
      </w:r>
      <w:r w:rsidR="004352A8" w:rsidRPr="001945FA">
        <w:t>y los aspectos logísticos de la reunión a través de la citada</w:t>
      </w:r>
      <w:r w:rsidR="00BB5B34" w:rsidRPr="001945FA">
        <w:t xml:space="preserve"> </w:t>
      </w:r>
      <w:hyperlink r:id="rId17" w:history="1">
        <w:r w:rsidR="004352A8" w:rsidRPr="001945FA">
          <w:rPr>
            <w:rStyle w:val="Hyperlink"/>
          </w:rPr>
          <w:t xml:space="preserve">página web del </w:t>
        </w:r>
        <w:r w:rsidR="00F709F9" w:rsidRPr="001945FA">
          <w:rPr>
            <w:rStyle w:val="Hyperlink"/>
          </w:rPr>
          <w:t>GT</w:t>
        </w:r>
        <w:r w:rsidR="004352A8" w:rsidRPr="001945FA">
          <w:rPr>
            <w:rStyle w:val="Hyperlink"/>
          </w:rPr>
          <w:t xml:space="preserve"> NET-2030</w:t>
        </w:r>
      </w:hyperlink>
      <w:r w:rsidR="00BB5B34" w:rsidRPr="001945FA">
        <w:t>.</w:t>
      </w:r>
    </w:p>
    <w:p w:rsidR="00D138ED" w:rsidRPr="001945FA" w:rsidRDefault="006D7572" w:rsidP="00F709F9">
      <w:r w:rsidRPr="001945FA">
        <w:t>9</w:t>
      </w:r>
      <w:r w:rsidRPr="001945FA">
        <w:tab/>
      </w:r>
      <w:r w:rsidR="00FF29F7" w:rsidRPr="001945FA">
        <w:t>En la reunión no se utilizarán documentos impresos.</w:t>
      </w:r>
      <w:r w:rsidRPr="001945FA">
        <w:t xml:space="preserve"> </w:t>
      </w:r>
      <w:r w:rsidR="00FF29F7" w:rsidRPr="001945FA">
        <w:t xml:space="preserve">La organización anfitriona </w:t>
      </w:r>
      <w:r w:rsidR="00F709F9" w:rsidRPr="001945FA">
        <w:t>facilitará</w:t>
      </w:r>
      <w:r w:rsidR="00FF29F7" w:rsidRPr="001945FA">
        <w:t xml:space="preserve"> acceso a la documentación </w:t>
      </w:r>
      <w:r w:rsidR="00F709F9" w:rsidRPr="001945FA">
        <w:t>de la reunión</w:t>
      </w:r>
      <w:r w:rsidR="00FF29F7" w:rsidRPr="001945FA">
        <w:t xml:space="preserve"> mediante redes WiFi</w:t>
      </w:r>
      <w:r w:rsidRPr="001945FA">
        <w:t xml:space="preserve">. </w:t>
      </w:r>
      <w:r w:rsidR="00EC6221" w:rsidRPr="001945FA">
        <w:t xml:space="preserve">Los debates </w:t>
      </w:r>
      <w:r w:rsidR="00FF29F7" w:rsidRPr="001945FA">
        <w:t>tendrán lugar</w:t>
      </w:r>
      <w:r w:rsidR="00EC6221" w:rsidRPr="001945FA">
        <w:t xml:space="preserve"> únicamente en inglés</w:t>
      </w:r>
      <w:r w:rsidRPr="001945FA">
        <w:t>.</w:t>
      </w:r>
    </w:p>
    <w:p w:rsidR="008D6A9A" w:rsidRPr="001945FA" w:rsidRDefault="008D6A9A" w:rsidP="0094787D">
      <w:r w:rsidRPr="001945FA">
        <w:t>10</w:t>
      </w:r>
      <w:r w:rsidRPr="001945FA">
        <w:tab/>
        <w:t xml:space="preserve">Con el fin de que la </w:t>
      </w:r>
      <w:r w:rsidR="00FF29F7" w:rsidRPr="001945FA">
        <w:t xml:space="preserve">organización anfitriona y la </w:t>
      </w:r>
      <w:r w:rsidRPr="001945FA">
        <w:t>UIT pueda</w:t>
      </w:r>
      <w:r w:rsidR="00FF29F7" w:rsidRPr="001945FA">
        <w:t>n</w:t>
      </w:r>
      <w:r w:rsidRPr="001945FA">
        <w:t xml:space="preserve"> organizar los aspectos logísticos necesarios, se invita a los participantes a </w:t>
      </w:r>
      <w:r w:rsidR="00F709F9" w:rsidRPr="001945FA">
        <w:rPr>
          <w:b/>
          <w:bCs/>
        </w:rPr>
        <w:t>inscribirse</w:t>
      </w:r>
      <w:r w:rsidRPr="001945FA">
        <w:t xml:space="preserve"> en línea en la </w:t>
      </w:r>
      <w:hyperlink r:id="rId18" w:history="1">
        <w:r w:rsidRPr="001945FA">
          <w:rPr>
            <w:rStyle w:val="Hyperlink"/>
          </w:rPr>
          <w:t xml:space="preserve">página web del </w:t>
        </w:r>
        <w:r w:rsidR="00F709F9" w:rsidRPr="001945FA">
          <w:rPr>
            <w:rStyle w:val="Hyperlink"/>
          </w:rPr>
          <w:t>GT</w:t>
        </w:r>
        <w:r w:rsidR="0094787D">
          <w:rPr>
            <w:rStyle w:val="Hyperlink"/>
          </w:rPr>
          <w:t> </w:t>
        </w:r>
        <w:r w:rsidRPr="001945FA">
          <w:rPr>
            <w:rStyle w:val="Hyperlink"/>
          </w:rPr>
          <w:t>NET-2030</w:t>
        </w:r>
      </w:hyperlink>
      <w:r w:rsidRPr="001945FA">
        <w:t xml:space="preserve"> lo antes posible, </w:t>
      </w:r>
      <w:r w:rsidRPr="001945FA">
        <w:rPr>
          <w:b/>
        </w:rPr>
        <w:t>no más tarde del</w:t>
      </w:r>
      <w:r w:rsidRPr="001945FA">
        <w:rPr>
          <w:b/>
          <w:bCs/>
        </w:rPr>
        <w:t xml:space="preserve"> 25 de septiembre</w:t>
      </w:r>
      <w:r w:rsidRPr="001945FA">
        <w:rPr>
          <w:bCs/>
        </w:rPr>
        <w:t>.</w:t>
      </w:r>
    </w:p>
    <w:p w:rsidR="007477D3" w:rsidRPr="001945FA" w:rsidRDefault="007477D3" w:rsidP="007477D3">
      <w:pPr>
        <w:pStyle w:val="Headingb0"/>
        <w:spacing w:after="120"/>
      </w:pPr>
      <w:r w:rsidRPr="001945FA">
        <w:t>Plazos más importantes:</w:t>
      </w:r>
    </w:p>
    <w:tbl>
      <w:tblPr>
        <w:tblW w:w="987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177"/>
      </w:tblGrid>
      <w:tr w:rsidR="007477D3" w:rsidRPr="001945FA" w:rsidTr="007477D3">
        <w:tc>
          <w:tcPr>
            <w:tcW w:w="2694" w:type="dxa"/>
            <w:shd w:val="clear" w:color="auto" w:fill="auto"/>
            <w:vAlign w:val="center"/>
          </w:tcPr>
          <w:p w:rsidR="007477D3" w:rsidRPr="001945FA" w:rsidRDefault="007477D3" w:rsidP="007477D3">
            <w:pPr>
              <w:pStyle w:val="Tabletext0"/>
              <w:spacing w:before="80" w:after="80"/>
            </w:pPr>
            <w:r w:rsidRPr="001945FA">
              <w:t>25 de septiembre de 2018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7477D3" w:rsidRPr="001945FA" w:rsidRDefault="007477D3" w:rsidP="00F709F9">
            <w:pPr>
              <w:pStyle w:val="Tabletext0"/>
              <w:spacing w:before="80" w:after="80"/>
              <w:ind w:left="284" w:hanging="284"/>
            </w:pPr>
            <w:r w:rsidRPr="001945FA">
              <w:t>–</w:t>
            </w:r>
            <w:r w:rsidRPr="001945FA">
              <w:tab/>
              <w:t xml:space="preserve">Preinscripción (en línea a través de la </w:t>
            </w:r>
            <w:hyperlink r:id="rId19" w:history="1">
              <w:r w:rsidRPr="001945FA">
                <w:rPr>
                  <w:rStyle w:val="Hyperlink"/>
                </w:rPr>
                <w:t xml:space="preserve">página web del </w:t>
              </w:r>
              <w:r w:rsidR="00F709F9" w:rsidRPr="001945FA">
                <w:rPr>
                  <w:rStyle w:val="Hyperlink"/>
                </w:rPr>
                <w:t>GT</w:t>
              </w:r>
              <w:r w:rsidRPr="001945FA">
                <w:rPr>
                  <w:rStyle w:val="Hyperlink"/>
                </w:rPr>
                <w:t xml:space="preserve"> NET-2030</w:t>
              </w:r>
            </w:hyperlink>
            <w:r w:rsidRPr="001945FA">
              <w:t>)</w:t>
            </w:r>
          </w:p>
        </w:tc>
      </w:tr>
      <w:tr w:rsidR="007477D3" w:rsidRPr="001945FA" w:rsidTr="007477D3">
        <w:tc>
          <w:tcPr>
            <w:tcW w:w="2694" w:type="dxa"/>
            <w:shd w:val="clear" w:color="auto" w:fill="auto"/>
            <w:vAlign w:val="center"/>
          </w:tcPr>
          <w:p w:rsidR="007477D3" w:rsidRPr="001945FA" w:rsidRDefault="007477D3" w:rsidP="007477D3">
            <w:pPr>
              <w:pStyle w:val="Tabletext0"/>
              <w:spacing w:before="80" w:after="80"/>
            </w:pPr>
            <w:r w:rsidRPr="001945FA">
              <w:t xml:space="preserve">23 de </w:t>
            </w:r>
            <w:r w:rsidR="007925DD" w:rsidRPr="001945FA">
              <w:t xml:space="preserve">septiembre </w:t>
            </w:r>
            <w:r w:rsidRPr="001945FA">
              <w:t>de 2018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7477D3" w:rsidRPr="001945FA" w:rsidRDefault="007477D3" w:rsidP="007477D3">
            <w:pPr>
              <w:pStyle w:val="Tabletext0"/>
              <w:spacing w:before="80" w:after="80"/>
              <w:ind w:left="284" w:hanging="284"/>
            </w:pPr>
            <w:r w:rsidRPr="001945FA">
              <w:t>–</w:t>
            </w:r>
            <w:r w:rsidRPr="001945FA">
              <w:tab/>
              <w:t xml:space="preserve">Envío de contribuciones por escrito (por correo-e a </w:t>
            </w:r>
            <w:hyperlink r:id="rId20" w:history="1">
              <w:r w:rsidRPr="001945FA">
                <w:rPr>
                  <w:rStyle w:val="Hyperlink"/>
                  <w:szCs w:val="22"/>
                </w:rPr>
                <w:t>tsbfgnet2030@itu.int</w:t>
              </w:r>
            </w:hyperlink>
            <w:r w:rsidRPr="001945FA">
              <w:t>)</w:t>
            </w:r>
          </w:p>
        </w:tc>
      </w:tr>
    </w:tbl>
    <w:p w:rsidR="0076556C" w:rsidRPr="001945FA" w:rsidRDefault="0076556C" w:rsidP="00EB4FD7">
      <w:pPr>
        <w:keepNext/>
        <w:keepLines/>
      </w:pPr>
      <w:r w:rsidRPr="001945FA">
        <w:lastRenderedPageBreak/>
        <w:t>11</w:t>
      </w:r>
      <w:r w:rsidRPr="001945FA">
        <w:tab/>
      </w:r>
      <w:r w:rsidR="00F709F9" w:rsidRPr="001945FA">
        <w:t>Los</w:t>
      </w:r>
      <w:r w:rsidRPr="001945FA">
        <w:t xml:space="preserve"> ciudadanos procedentes de ciertos países necesitan visado para entrar y permanecer en Estados Unidos. Ese visado deberá solicitarse en la oficina (embajada o consulado) que represente a los Estados Unidos en su país o, en su defecto, en la más próxima a su país de partida. </w:t>
      </w:r>
      <w:r w:rsidR="00FF29F7" w:rsidRPr="001945FA">
        <w:t xml:space="preserve">La organización anfitriona </w:t>
      </w:r>
      <w:r w:rsidR="00F86D23" w:rsidRPr="001945FA">
        <w:t>ha puesto a disposición</w:t>
      </w:r>
      <w:r w:rsidR="00FF29F7" w:rsidRPr="001945FA">
        <w:t xml:space="preserve"> </w:t>
      </w:r>
      <w:r w:rsidR="005A4C28" w:rsidRPr="001945FA">
        <w:t>la persona de contacto</w:t>
      </w:r>
      <w:r w:rsidR="00F86D23" w:rsidRPr="001945FA">
        <w:t xml:space="preserve"> cuyo nombre figura a continuación</w:t>
      </w:r>
      <w:r w:rsidR="00FF29F7" w:rsidRPr="001945FA">
        <w:t xml:space="preserve"> para </w:t>
      </w:r>
      <w:r w:rsidR="005A4C28" w:rsidRPr="001945FA">
        <w:t>facilitar información relativa a los visados</w:t>
      </w:r>
      <w:r w:rsidR="00FF29F7" w:rsidRPr="001945FA">
        <w:t>. Se</w:t>
      </w:r>
      <w:r w:rsidR="005A4C28" w:rsidRPr="001945FA">
        <w:t xml:space="preserve"> puede solicitar una carta de apoyo a la solicitud de visado</w:t>
      </w:r>
      <w:r w:rsidR="00FF29F7" w:rsidRPr="001945FA">
        <w:t xml:space="preserve"> </w:t>
      </w:r>
      <w:r w:rsidR="00FF29F7" w:rsidRPr="001945FA">
        <w:rPr>
          <w:i/>
          <w:iCs/>
        </w:rPr>
        <w:t xml:space="preserve">para </w:t>
      </w:r>
      <w:r w:rsidR="005A4C28" w:rsidRPr="001945FA">
        <w:rPr>
          <w:i/>
          <w:iCs/>
        </w:rPr>
        <w:t>la reunión</w:t>
      </w:r>
      <w:r w:rsidR="00FF29F7" w:rsidRPr="001945FA">
        <w:t xml:space="preserve"> </w:t>
      </w:r>
      <w:r w:rsidR="005A4C28" w:rsidRPr="001945FA">
        <w:t>a través de la siguiente persona</w:t>
      </w:r>
      <w:r w:rsidR="00FF29F7" w:rsidRPr="001945FA">
        <w:t xml:space="preserve"> de contacto</w:t>
      </w:r>
      <w:r w:rsidRPr="001945FA">
        <w:t>:</w:t>
      </w:r>
    </w:p>
    <w:p w:rsidR="00077771" w:rsidRPr="001945FA" w:rsidRDefault="00077771" w:rsidP="002774A9">
      <w:r w:rsidRPr="001945FA">
        <w:t>Prof. Yong Liu</w:t>
      </w:r>
      <w:r w:rsidRPr="001945FA">
        <w:br/>
        <w:t xml:space="preserve">Correo-e: </w:t>
      </w:r>
      <w:hyperlink r:id="rId21" w:history="1">
        <w:r w:rsidRPr="001945FA">
          <w:rPr>
            <w:rStyle w:val="Hyperlink"/>
          </w:rPr>
          <w:t>yongliu@nyu.edu</w:t>
        </w:r>
      </w:hyperlink>
      <w:r w:rsidRPr="001945FA">
        <w:br/>
        <w:t>Tel.: +1</w:t>
      </w:r>
      <w:r w:rsidR="002774A9">
        <w:t>-</w:t>
      </w:r>
      <w:r w:rsidRPr="001945FA">
        <w:t>413-687-3675</w:t>
      </w:r>
    </w:p>
    <w:p w:rsidR="00C16DE7" w:rsidRPr="001945FA" w:rsidRDefault="00C16DE7" w:rsidP="00EB4FD7">
      <w:r w:rsidRPr="001945FA">
        <w:t>Le deseo una reunión agradable y productiva.</w:t>
      </w:r>
    </w:p>
    <w:p w:rsidR="00FC4F62" w:rsidRDefault="00B66599" w:rsidP="00FC4F62">
      <w:pPr>
        <w:spacing w:before="240"/>
      </w:pPr>
      <w:r w:rsidRPr="001945FA">
        <w:t>Atentamente</w:t>
      </w:r>
      <w:r w:rsidR="000A7D26" w:rsidRPr="001945FA">
        <w:t>,</w:t>
      </w:r>
      <w:bookmarkStart w:id="5" w:name="_GoBack"/>
      <w:bookmarkEnd w:id="5"/>
    </w:p>
    <w:p w:rsidR="00FC4F62" w:rsidRPr="00FC4F62" w:rsidRDefault="00FC4F62" w:rsidP="00FC4F62">
      <w:pPr>
        <w:spacing w:before="240"/>
        <w:rPr>
          <w:i/>
          <w:iCs/>
        </w:rPr>
      </w:pPr>
      <w:r w:rsidRPr="00FC4F62">
        <w:rPr>
          <w:i/>
          <w:iCs/>
        </w:rPr>
        <w:t>(</w:t>
      </w:r>
      <w:proofErr w:type="gramStart"/>
      <w:r w:rsidRPr="00FC4F62">
        <w:rPr>
          <w:i/>
          <w:iCs/>
        </w:rPr>
        <w:t>firmado</w:t>
      </w:r>
      <w:proofErr w:type="gramEnd"/>
      <w:r w:rsidRPr="00FC4F62">
        <w:rPr>
          <w:i/>
          <w:iCs/>
        </w:rPr>
        <w:t>)</w:t>
      </w:r>
    </w:p>
    <w:p w:rsidR="00401C20" w:rsidRPr="001945FA" w:rsidRDefault="002E496E" w:rsidP="00FC4F62">
      <w:pPr>
        <w:spacing w:before="240"/>
      </w:pPr>
      <w:proofErr w:type="spellStart"/>
      <w:r w:rsidRPr="001945FA">
        <w:t>Chaesub</w:t>
      </w:r>
      <w:proofErr w:type="spellEnd"/>
      <w:r w:rsidRPr="001945FA">
        <w:t xml:space="preserve"> Lee</w:t>
      </w:r>
      <w:r w:rsidR="00C34772" w:rsidRPr="001945FA">
        <w:br/>
        <w:t>Director de la Oficina de</w:t>
      </w:r>
      <w:r w:rsidR="00C34772" w:rsidRPr="001945FA">
        <w:br/>
        <w:t>Normalización de las Telecomunicaciones</w:t>
      </w:r>
    </w:p>
    <w:p w:rsidR="00C16DE7" w:rsidRPr="001945FA" w:rsidRDefault="00C16DE7" w:rsidP="00914F48">
      <w:pPr>
        <w:spacing w:before="400"/>
      </w:pPr>
      <w:r w:rsidRPr="001945FA">
        <w:rPr>
          <w:b/>
          <w:bCs/>
        </w:rPr>
        <w:t>Anexo</w:t>
      </w:r>
      <w:r w:rsidRPr="001945FA">
        <w:t>: 1</w:t>
      </w:r>
    </w:p>
    <w:p w:rsidR="00C16DE7" w:rsidRPr="001945FA" w:rsidRDefault="00C16DE7" w:rsidP="00EB4FD7">
      <w:r w:rsidRPr="001945FA">
        <w:br w:type="page"/>
      </w:r>
    </w:p>
    <w:p w:rsidR="00F30478" w:rsidRPr="001945FA" w:rsidRDefault="00F30478" w:rsidP="00F30478">
      <w:pPr>
        <w:pStyle w:val="AnnexNo"/>
        <w:rPr>
          <w:szCs w:val="24"/>
        </w:rPr>
      </w:pPr>
      <w:r w:rsidRPr="001945FA">
        <w:lastRenderedPageBreak/>
        <w:t>ANEXO 1</w:t>
      </w:r>
    </w:p>
    <w:p w:rsidR="00F30478" w:rsidRPr="001945FA" w:rsidRDefault="00F30478" w:rsidP="00F86D23">
      <w:pPr>
        <w:pStyle w:val="Annextitle0"/>
        <w:rPr>
          <w:lang w:val="es-ES_tradnl"/>
        </w:rPr>
      </w:pPr>
      <w:r w:rsidRPr="001945FA">
        <w:rPr>
          <w:lang w:val="es-ES_tradnl"/>
        </w:rPr>
        <w:t>Mandato:</w:t>
      </w:r>
      <w:r w:rsidRPr="001945FA">
        <w:rPr>
          <w:lang w:val="es-ES_tradnl"/>
        </w:rPr>
        <w:br/>
        <w:t>Grupo Temático del UIT-T sobre "</w:t>
      </w:r>
      <w:r w:rsidR="005A4C28" w:rsidRPr="001945FA">
        <w:rPr>
          <w:lang w:val="es-ES_tradnl"/>
        </w:rPr>
        <w:t>Tecnologías de red 2030</w:t>
      </w:r>
      <w:r w:rsidRPr="001945FA">
        <w:rPr>
          <w:lang w:val="es-ES_tradnl"/>
        </w:rPr>
        <w:t xml:space="preserve">" </w:t>
      </w:r>
      <w:r w:rsidRPr="001945FA">
        <w:rPr>
          <w:lang w:val="es-ES_tradnl"/>
        </w:rPr>
        <w:br/>
        <w:t>(</w:t>
      </w:r>
      <w:r w:rsidR="00F86D23" w:rsidRPr="001945FA">
        <w:rPr>
          <w:lang w:val="es-ES_tradnl"/>
        </w:rPr>
        <w:t>GT</w:t>
      </w:r>
      <w:r w:rsidRPr="001945FA">
        <w:rPr>
          <w:lang w:val="es-ES_tradnl"/>
        </w:rPr>
        <w:t xml:space="preserve"> NET-2030)</w:t>
      </w:r>
    </w:p>
    <w:p w:rsidR="00F30478" w:rsidRPr="001945FA" w:rsidRDefault="00F30478" w:rsidP="00F30478">
      <w:pPr>
        <w:pStyle w:val="Heading1"/>
      </w:pPr>
      <w:r w:rsidRPr="001945FA">
        <w:t>1</w:t>
      </w:r>
      <w:r w:rsidRPr="001945FA">
        <w:tab/>
        <w:t>Motivación y alcance</w:t>
      </w:r>
    </w:p>
    <w:p w:rsidR="00E32633" w:rsidRPr="001945FA" w:rsidRDefault="00E32633" w:rsidP="00204B05">
      <w:r w:rsidRPr="001945FA">
        <w:t xml:space="preserve">En el próximo decenio </w:t>
      </w:r>
      <w:r w:rsidR="00F86D23" w:rsidRPr="001945FA">
        <w:t>se producirán profundos</w:t>
      </w:r>
      <w:r w:rsidRPr="001945FA">
        <w:t xml:space="preserve"> cambios en </w:t>
      </w:r>
      <w:r w:rsidR="00F86D23" w:rsidRPr="001945FA">
        <w:t xml:space="preserve">materia de </w:t>
      </w:r>
      <w:r w:rsidRPr="001945FA">
        <w:t>dispositivos y sistemas</w:t>
      </w:r>
      <w:r w:rsidR="00F86D23" w:rsidRPr="001945FA">
        <w:t xml:space="preserve"> tecnológicos</w:t>
      </w:r>
      <w:r w:rsidR="00315D0A" w:rsidRPr="001945FA">
        <w:t>, incluidas</w:t>
      </w:r>
      <w:r w:rsidRPr="001945FA">
        <w:t xml:space="preserve"> las funciones que permiten llevar a cabo. </w:t>
      </w:r>
      <w:r w:rsidR="00204B05" w:rsidRPr="001945FA">
        <w:t>C</w:t>
      </w:r>
      <w:r w:rsidRPr="001945FA">
        <w:t xml:space="preserve">omenzarán a surgir nuevas aplicaciones </w:t>
      </w:r>
      <w:r w:rsidR="00204B05" w:rsidRPr="001945FA">
        <w:t>con arreglo a</w:t>
      </w:r>
      <w:r w:rsidRPr="001945FA">
        <w:t xml:space="preserve"> requisitos de índole diversa, en particular sistemas multimedios holográficos, envío y transmisión de datos de forma instantánea, cirugía a distancia, robots humanoides, terminales de IoT de tamaño muy pequeño provistos de inteligencia, sistemas de transporte plenamente autónomos, etc. Todo ello incorporará </w:t>
      </w:r>
      <w:r w:rsidR="00204B05" w:rsidRPr="001945FA">
        <w:t>sistemas inteligentes</w:t>
      </w:r>
      <w:r w:rsidRPr="001945FA">
        <w:t xml:space="preserve"> o guardará relación con </w:t>
      </w:r>
      <w:r w:rsidR="00204B05" w:rsidRPr="001945FA">
        <w:t>los mismos</w:t>
      </w:r>
      <w:r w:rsidRPr="001945FA">
        <w:t xml:space="preserve">, con frecuencia ambas cosas, lo que proporcionará una mayor integración de los sistemas de comunicación y </w:t>
      </w:r>
      <w:r w:rsidR="00204B05" w:rsidRPr="001945FA">
        <w:t>tecnológicos y</w:t>
      </w:r>
      <w:r w:rsidRPr="001945FA">
        <w:t xml:space="preserve"> </w:t>
      </w:r>
      <w:r w:rsidR="00204B05" w:rsidRPr="001945FA">
        <w:t>el ser humano</w:t>
      </w:r>
      <w:r w:rsidRPr="001945FA">
        <w:t>.</w:t>
      </w:r>
    </w:p>
    <w:p w:rsidR="00E32633" w:rsidRPr="001945FA" w:rsidRDefault="00C64CAA" w:rsidP="0007730A">
      <w:r w:rsidRPr="001945FA">
        <w:t>La adopción generalizada de es</w:t>
      </w:r>
      <w:r w:rsidR="00876944" w:rsidRPr="001945FA">
        <w:t xml:space="preserve">as nuevas aplicaciones vendrá dada por </w:t>
      </w:r>
      <w:r w:rsidR="00D93848" w:rsidRPr="001945FA">
        <w:t>la capacidad de soportar</w:t>
      </w:r>
      <w:r w:rsidR="00876944" w:rsidRPr="001945FA">
        <w:t xml:space="preserve"> </w:t>
      </w:r>
      <w:r w:rsidR="00E32633" w:rsidRPr="001945FA">
        <w:t xml:space="preserve">las comunicaciones subyacentes a gran escala </w:t>
      </w:r>
      <w:r w:rsidRPr="001945FA">
        <w:t>mediante</w:t>
      </w:r>
      <w:r w:rsidR="00E32633" w:rsidRPr="001945FA">
        <w:t xml:space="preserve"> redes hiperconectadas. </w:t>
      </w:r>
      <w:r w:rsidR="0007730A" w:rsidRPr="001945FA">
        <w:t>Habida cuenta de ello,</w:t>
      </w:r>
      <w:r w:rsidR="00E32633" w:rsidRPr="001945FA">
        <w:t xml:space="preserve"> es necesari</w:t>
      </w:r>
      <w:r w:rsidRPr="001945FA">
        <w:t>o llevar a cabo</w:t>
      </w:r>
      <w:r w:rsidR="00E32633" w:rsidRPr="001945FA">
        <w:t xml:space="preserve"> una nueva evaluación de la arquitectura de red </w:t>
      </w:r>
      <w:r w:rsidRPr="001945FA">
        <w:t>pertinente</w:t>
      </w:r>
      <w:r w:rsidR="00E32633" w:rsidRPr="001945FA">
        <w:t xml:space="preserve"> </w:t>
      </w:r>
      <w:r w:rsidRPr="001945FA">
        <w:t>sobre la base de</w:t>
      </w:r>
      <w:r w:rsidR="00E32633" w:rsidRPr="001945FA">
        <w:t xml:space="preserve"> </w:t>
      </w:r>
      <w:r w:rsidR="0007730A" w:rsidRPr="001945FA">
        <w:t xml:space="preserve">las correspondientes </w:t>
      </w:r>
      <w:r w:rsidR="00E32633" w:rsidRPr="001945FA">
        <w:t xml:space="preserve">tecnologías </w:t>
      </w:r>
      <w:r w:rsidRPr="001945FA">
        <w:t>habilitadoras</w:t>
      </w:r>
      <w:r w:rsidR="00E32633" w:rsidRPr="001945FA">
        <w:t>.</w:t>
      </w:r>
    </w:p>
    <w:p w:rsidR="00E32633" w:rsidRPr="001945FA" w:rsidRDefault="00EB4FD7" w:rsidP="00EB4FD7">
      <w:r>
        <w:t>"</w:t>
      </w:r>
      <w:r w:rsidR="00C64CAA" w:rsidRPr="001945FA">
        <w:t>Red</w:t>
      </w:r>
      <w:r w:rsidR="0007730A" w:rsidRPr="001945FA">
        <w:t>es</w:t>
      </w:r>
      <w:r w:rsidR="00E32633" w:rsidRPr="001945FA">
        <w:t xml:space="preserve"> 2030</w:t>
      </w:r>
      <w:r>
        <w:t>"</w:t>
      </w:r>
      <w:r w:rsidR="00C64CAA" w:rsidRPr="001945FA">
        <w:t xml:space="preserve"> </w:t>
      </w:r>
      <w:r w:rsidR="0007730A" w:rsidRPr="001945FA">
        <w:t>trata sobre las nuevas redes previstas</w:t>
      </w:r>
      <w:r w:rsidR="00C64CAA" w:rsidRPr="001945FA">
        <w:t xml:space="preserve"> para</w:t>
      </w:r>
      <w:r w:rsidR="00E32633" w:rsidRPr="001945FA">
        <w:t xml:space="preserve"> 2030</w:t>
      </w:r>
      <w:r w:rsidR="0007730A" w:rsidRPr="001945FA">
        <w:t>,</w:t>
      </w:r>
      <w:r w:rsidR="00E32633" w:rsidRPr="001945FA">
        <w:t xml:space="preserve"> y </w:t>
      </w:r>
      <w:r w:rsidR="0007730A" w:rsidRPr="001945FA">
        <w:t>en adelante,</w:t>
      </w:r>
      <w:r w:rsidR="00C64CAA" w:rsidRPr="001945FA">
        <w:t xml:space="preserve"> </w:t>
      </w:r>
      <w:r w:rsidR="0007730A" w:rsidRPr="001945FA">
        <w:t xml:space="preserve">de </w:t>
      </w:r>
      <w:r w:rsidR="00C64CAA" w:rsidRPr="001945FA">
        <w:t xml:space="preserve">menor latencia </w:t>
      </w:r>
      <w:r w:rsidR="00E32633" w:rsidRPr="001945FA">
        <w:t xml:space="preserve">y mayor capacidad, </w:t>
      </w:r>
      <w:r w:rsidR="0007730A" w:rsidRPr="001945FA">
        <w:t xml:space="preserve">que </w:t>
      </w:r>
      <w:r w:rsidR="00B20A0D" w:rsidRPr="001945FA">
        <w:t>faciliten</w:t>
      </w:r>
      <w:r w:rsidR="00E32633" w:rsidRPr="001945FA">
        <w:t xml:space="preserve"> </w:t>
      </w:r>
      <w:r w:rsidR="00B20A0D" w:rsidRPr="001945FA">
        <w:t xml:space="preserve">enfoques </w:t>
      </w:r>
      <w:r w:rsidR="0094526A" w:rsidRPr="001945FA">
        <w:t xml:space="preserve">de índole diversa </w:t>
      </w:r>
      <w:r w:rsidR="00B20A0D" w:rsidRPr="001945FA">
        <w:t>para el</w:t>
      </w:r>
      <w:r w:rsidR="00E32633" w:rsidRPr="001945FA">
        <w:t xml:space="preserve"> </w:t>
      </w:r>
      <w:r w:rsidR="00C64CAA" w:rsidRPr="001945FA">
        <w:t>envío</w:t>
      </w:r>
      <w:r w:rsidR="00E32633" w:rsidRPr="001945FA">
        <w:t xml:space="preserve"> de información</w:t>
      </w:r>
      <w:r w:rsidR="007846E8" w:rsidRPr="001945FA">
        <w:t>, por ejemplo</w:t>
      </w:r>
      <w:r w:rsidR="00DA55DA">
        <w:t>,</w:t>
      </w:r>
      <w:r w:rsidR="00E32633" w:rsidRPr="001945FA">
        <w:t xml:space="preserve"> comunicaciones de tipo holográfico con detección háptica </w:t>
      </w:r>
      <w:r w:rsidR="007846E8" w:rsidRPr="001945FA">
        <w:t xml:space="preserve">y </w:t>
      </w:r>
      <w:r w:rsidR="00B03927" w:rsidRPr="001945FA">
        <w:t>transmisión</w:t>
      </w:r>
      <w:r w:rsidR="007846E8" w:rsidRPr="001945FA">
        <w:t xml:space="preserve"> instantánea </w:t>
      </w:r>
      <w:r w:rsidR="00E32633" w:rsidRPr="001945FA">
        <w:t xml:space="preserve">de información de </w:t>
      </w:r>
      <w:r w:rsidR="007846E8" w:rsidRPr="001945FA">
        <w:t>varios</w:t>
      </w:r>
      <w:r w:rsidR="00E32633" w:rsidRPr="001945FA">
        <w:t xml:space="preserve"> tipos</w:t>
      </w:r>
      <w:r w:rsidR="00B03927" w:rsidRPr="001945FA">
        <w:t>, incluida su</w:t>
      </w:r>
      <w:r w:rsidR="00E32633" w:rsidRPr="001945FA">
        <w:t xml:space="preserve"> determinación.</w:t>
      </w:r>
    </w:p>
    <w:p w:rsidR="00F30478" w:rsidRPr="001945FA" w:rsidRDefault="002A7B37" w:rsidP="005A1D23">
      <w:pPr>
        <w:rPr>
          <w:szCs w:val="24"/>
          <w:lang w:eastAsia="zh-CN"/>
        </w:rPr>
      </w:pPr>
      <w:r w:rsidRPr="001945FA">
        <w:t>Cabe esperar que el</w:t>
      </w:r>
      <w:r w:rsidR="00E32633" w:rsidRPr="001945FA">
        <w:t xml:space="preserve"> </w:t>
      </w:r>
      <w:r w:rsidR="00DC382A" w:rsidRPr="001945FA">
        <w:t>análisis</w:t>
      </w:r>
      <w:r w:rsidR="00E32633" w:rsidRPr="001945FA">
        <w:t xml:space="preserve"> de la arquitectura de</w:t>
      </w:r>
      <w:r w:rsidR="00DC382A" w:rsidRPr="001945FA">
        <w:t xml:space="preserve"> las</w:t>
      </w:r>
      <w:r w:rsidR="00E32633" w:rsidRPr="001945FA">
        <w:t xml:space="preserve"> </w:t>
      </w:r>
      <w:r w:rsidR="007846E8" w:rsidRPr="001945FA">
        <w:t>r</w:t>
      </w:r>
      <w:r w:rsidR="00E32633" w:rsidRPr="001945FA">
        <w:t>ed</w:t>
      </w:r>
      <w:r w:rsidR="00DC382A" w:rsidRPr="001945FA">
        <w:t>es para</w:t>
      </w:r>
      <w:r w:rsidR="00E32633" w:rsidRPr="001945FA">
        <w:t xml:space="preserve"> 2030</w:t>
      </w:r>
      <w:r w:rsidR="007846E8" w:rsidRPr="001945FA">
        <w:t xml:space="preserve"> </w:t>
      </w:r>
      <w:r w:rsidRPr="001945FA">
        <w:t xml:space="preserve">contribuya a </w:t>
      </w:r>
      <w:r w:rsidR="00DC382A" w:rsidRPr="001945FA">
        <w:t>establecer</w:t>
      </w:r>
      <w:r w:rsidR="00E32633" w:rsidRPr="001945FA">
        <w:t xml:space="preserve"> </w:t>
      </w:r>
      <w:r w:rsidR="00DC382A" w:rsidRPr="001945FA">
        <w:t>numerosos</w:t>
      </w:r>
      <w:r w:rsidR="00E32633" w:rsidRPr="001945FA">
        <w:t xml:space="preserve"> requisitos </w:t>
      </w:r>
      <w:r w:rsidR="00DC382A" w:rsidRPr="001945FA">
        <w:t>en materia de</w:t>
      </w:r>
      <w:r w:rsidR="00E32633" w:rsidRPr="001945FA">
        <w:t xml:space="preserve"> comunicación</w:t>
      </w:r>
      <w:r w:rsidR="00DC382A" w:rsidRPr="001945FA">
        <w:t>, a tenor de</w:t>
      </w:r>
      <w:r w:rsidR="00E32633" w:rsidRPr="001945FA">
        <w:t xml:space="preserve"> la demanda de recursos </w:t>
      </w:r>
      <w:r w:rsidR="007846E8" w:rsidRPr="001945FA">
        <w:t>que</w:t>
      </w:r>
      <w:r w:rsidR="00E32633" w:rsidRPr="001945FA">
        <w:t xml:space="preserve"> </w:t>
      </w:r>
      <w:r w:rsidR="005A1D23" w:rsidRPr="001945FA">
        <w:t xml:space="preserve">será necesario </w:t>
      </w:r>
      <w:r w:rsidR="00DC382A" w:rsidRPr="001945FA">
        <w:t>satisfacer</w:t>
      </w:r>
      <w:r w:rsidR="00E32633" w:rsidRPr="001945FA">
        <w:t xml:space="preserve">, </w:t>
      </w:r>
      <w:r w:rsidR="007846E8" w:rsidRPr="001945FA">
        <w:t>en particular</w:t>
      </w:r>
      <w:r w:rsidR="00F30478" w:rsidRPr="001945FA">
        <w:rPr>
          <w:szCs w:val="24"/>
          <w:lang w:eastAsia="zh-CN"/>
        </w:rPr>
        <w:t>:</w:t>
      </w:r>
    </w:p>
    <w:p w:rsidR="00BF4837" w:rsidRPr="001945FA" w:rsidRDefault="005648E1" w:rsidP="005A1D23">
      <w:pPr>
        <w:pStyle w:val="enumlev1"/>
      </w:pPr>
      <w:r w:rsidRPr="001945FA">
        <w:t>•</w:t>
      </w:r>
      <w:r w:rsidRPr="001945FA">
        <w:tab/>
      </w:r>
      <w:r w:rsidR="002A7B37" w:rsidRPr="001945FA">
        <w:t xml:space="preserve">una cantidad ingente de </w:t>
      </w:r>
      <w:r w:rsidR="00BF4837" w:rsidRPr="001945FA">
        <w:t>conexiones</w:t>
      </w:r>
      <w:r w:rsidR="002A7B37" w:rsidRPr="001945FA">
        <w:t xml:space="preserve">, </w:t>
      </w:r>
      <w:r w:rsidR="005A1D23" w:rsidRPr="001945FA">
        <w:t>muy superior a la</w:t>
      </w:r>
      <w:r w:rsidR="002A7B37" w:rsidRPr="001945FA">
        <w:t xml:space="preserve"> </w:t>
      </w:r>
      <w:r w:rsidR="005A1D23" w:rsidRPr="001945FA">
        <w:t>que requieren</w:t>
      </w:r>
      <w:r w:rsidR="002A7B37" w:rsidRPr="001945FA">
        <w:t xml:space="preserve"> las</w:t>
      </w:r>
      <w:r w:rsidR="00BF4837" w:rsidRPr="001945FA">
        <w:t xml:space="preserve"> redes actuales </w:t>
      </w:r>
      <w:r w:rsidR="002A7B37" w:rsidRPr="001945FA">
        <w:t>o</w:t>
      </w:r>
      <w:r w:rsidR="00BF4837" w:rsidRPr="001945FA">
        <w:t xml:space="preserve"> futuras, incluida</w:t>
      </w:r>
      <w:r w:rsidR="002A7B37" w:rsidRPr="001945FA">
        <w:t>s las redes</w:t>
      </w:r>
      <w:r w:rsidR="00BF4837" w:rsidRPr="001945FA">
        <w:t xml:space="preserve"> 5G/IMT-2020</w:t>
      </w:r>
      <w:r w:rsidR="002A7B37" w:rsidRPr="001945FA">
        <w:t>;</w:t>
      </w:r>
    </w:p>
    <w:p w:rsidR="00BF4837" w:rsidRPr="001945FA" w:rsidRDefault="00EB4FD7" w:rsidP="005A1D23">
      <w:pPr>
        <w:pStyle w:val="enumlev1"/>
      </w:pPr>
      <w:r>
        <w:t>•</w:t>
      </w:r>
      <w:r w:rsidR="00BF4837" w:rsidRPr="001945FA">
        <w:tab/>
      </w:r>
      <w:r w:rsidR="002A7B37" w:rsidRPr="001945FA">
        <w:t>un</w:t>
      </w:r>
      <w:r w:rsidR="00BF4837" w:rsidRPr="001945FA">
        <w:t xml:space="preserve"> rendimiento </w:t>
      </w:r>
      <w:r w:rsidR="002A7B37" w:rsidRPr="001945FA">
        <w:t xml:space="preserve">muy elevado </w:t>
      </w:r>
      <w:r w:rsidR="00BF4837" w:rsidRPr="001945FA">
        <w:t xml:space="preserve">para </w:t>
      </w:r>
      <w:r w:rsidR="002A7B37" w:rsidRPr="001945FA">
        <w:t>soportar</w:t>
      </w:r>
      <w:r w:rsidR="00BF4837" w:rsidRPr="001945FA">
        <w:t xml:space="preserve"> </w:t>
      </w:r>
      <w:r w:rsidR="005A1D23" w:rsidRPr="001945FA">
        <w:t xml:space="preserve">aplicaciones </w:t>
      </w:r>
      <w:r w:rsidR="00BF4837" w:rsidRPr="001945FA">
        <w:t xml:space="preserve">futuras </w:t>
      </w:r>
      <w:r w:rsidR="002A7B37" w:rsidRPr="001945FA">
        <w:t xml:space="preserve">que </w:t>
      </w:r>
      <w:r w:rsidR="005A1D23" w:rsidRPr="001945FA">
        <w:t>necesitarán</w:t>
      </w:r>
      <w:r w:rsidR="002A7B37" w:rsidRPr="001945FA">
        <w:t xml:space="preserve"> una anchura de banda muy amplia,</w:t>
      </w:r>
      <w:r w:rsidR="00BF4837" w:rsidRPr="001945FA">
        <w:t xml:space="preserve"> </w:t>
      </w:r>
      <w:r w:rsidR="005A1D23" w:rsidRPr="001945FA">
        <w:t xml:space="preserve">muy superior a la que requieren </w:t>
      </w:r>
      <w:r w:rsidR="002A7B37" w:rsidRPr="001945FA">
        <w:t>las redes actuales o futuras, incluidas las redes 5G/IMT-2020;</w:t>
      </w:r>
    </w:p>
    <w:p w:rsidR="00BF4837" w:rsidRPr="001945FA" w:rsidRDefault="00EB4FD7" w:rsidP="00DA55DA">
      <w:pPr>
        <w:pStyle w:val="enumlev1"/>
      </w:pPr>
      <w:r>
        <w:t>•</w:t>
      </w:r>
      <w:r w:rsidR="00BF4837" w:rsidRPr="001945FA">
        <w:tab/>
      </w:r>
      <w:r w:rsidR="002A7B37" w:rsidRPr="001945FA">
        <w:t>r</w:t>
      </w:r>
      <w:r w:rsidR="00BF4837" w:rsidRPr="001945FA">
        <w:t xml:space="preserve">edes </w:t>
      </w:r>
      <w:r w:rsidR="005A1D23" w:rsidRPr="001945FA">
        <w:t>con</w:t>
      </w:r>
      <w:r w:rsidR="00BF4837" w:rsidRPr="001945FA">
        <w:t xml:space="preserve"> latencia </w:t>
      </w:r>
      <w:r w:rsidR="002A7B37" w:rsidRPr="001945FA">
        <w:t xml:space="preserve">muy baja </w:t>
      </w:r>
      <w:r w:rsidR="005A1D23" w:rsidRPr="001945FA">
        <w:t>de características muy</w:t>
      </w:r>
      <w:r w:rsidR="00BF4837" w:rsidRPr="001945FA">
        <w:t xml:space="preserve"> determinista</w:t>
      </w:r>
      <w:r w:rsidR="005A1D23" w:rsidRPr="001945FA">
        <w:t>s</w:t>
      </w:r>
      <w:r w:rsidR="002A7B37" w:rsidRPr="001945FA">
        <w:t>,</w:t>
      </w:r>
      <w:r w:rsidR="00BF4837" w:rsidRPr="001945FA">
        <w:t xml:space="preserve"> </w:t>
      </w:r>
      <w:r w:rsidR="005A1D23" w:rsidRPr="001945FA">
        <w:t>muy superiores a las de las</w:t>
      </w:r>
      <w:r w:rsidR="002A7B37" w:rsidRPr="001945FA">
        <w:t xml:space="preserve"> redes actuales o futuras, incluidas las redes 5G/IMT-2020</w:t>
      </w:r>
      <w:r w:rsidR="00DA55DA">
        <w:t>;</w:t>
      </w:r>
    </w:p>
    <w:p w:rsidR="00BF4837" w:rsidRPr="001945FA" w:rsidRDefault="00EB4FD7" w:rsidP="00E75FE2">
      <w:pPr>
        <w:pStyle w:val="enumlev1"/>
      </w:pPr>
      <w:r>
        <w:t>•</w:t>
      </w:r>
      <w:r w:rsidR="00BF4837" w:rsidRPr="001945FA">
        <w:tab/>
      </w:r>
      <w:r w:rsidR="002A7B37" w:rsidRPr="001945FA">
        <w:t>i</w:t>
      </w:r>
      <w:r w:rsidR="00BF4837" w:rsidRPr="001945FA">
        <w:t>nfraestructura</w:t>
      </w:r>
      <w:r w:rsidR="002A7B37" w:rsidRPr="001945FA">
        <w:t>s</w:t>
      </w:r>
      <w:r w:rsidR="00BF4837" w:rsidRPr="001945FA">
        <w:t xml:space="preserve"> de red </w:t>
      </w:r>
      <w:r w:rsidR="00E75FE2" w:rsidRPr="001945FA">
        <w:t>fiables</w:t>
      </w:r>
      <w:r w:rsidR="002A7B37" w:rsidRPr="001945FA">
        <w:t>;</w:t>
      </w:r>
    </w:p>
    <w:p w:rsidR="005648E1" w:rsidRPr="001945FA" w:rsidRDefault="00EB4FD7" w:rsidP="00E75FE2">
      <w:pPr>
        <w:pStyle w:val="enumlev1"/>
      </w:pPr>
      <w:r>
        <w:t>•</w:t>
      </w:r>
      <w:r w:rsidR="00BF4837" w:rsidRPr="001945FA">
        <w:tab/>
      </w:r>
      <w:r w:rsidR="002A7B37" w:rsidRPr="001945FA">
        <w:t>m</w:t>
      </w:r>
      <w:r w:rsidR="00BF4837" w:rsidRPr="001945FA">
        <w:t>ecanismo</w:t>
      </w:r>
      <w:r w:rsidR="002A7B37" w:rsidRPr="001945FA">
        <w:t>s</w:t>
      </w:r>
      <w:r w:rsidR="00BF4837" w:rsidRPr="001945FA">
        <w:t xml:space="preserve"> de red </w:t>
      </w:r>
      <w:r w:rsidR="00E75FE2" w:rsidRPr="001945FA">
        <w:t>eficaces</w:t>
      </w:r>
      <w:r w:rsidR="002A7B37" w:rsidRPr="001945FA">
        <w:t xml:space="preserve"> basados</w:t>
      </w:r>
      <w:r w:rsidR="00BF4837" w:rsidRPr="001945FA">
        <w:t xml:space="preserve"> en la s</w:t>
      </w:r>
      <w:r w:rsidR="00E75FE2" w:rsidRPr="001945FA">
        <w:t xml:space="preserve">eguridad humana y </w:t>
      </w:r>
      <w:r w:rsidR="005A1D23" w:rsidRPr="001945FA">
        <w:t xml:space="preserve">en </w:t>
      </w:r>
      <w:r w:rsidR="00E75FE2" w:rsidRPr="001945FA">
        <w:t>la privacidad</w:t>
      </w:r>
      <w:r w:rsidR="005648E1" w:rsidRPr="001945FA">
        <w:t>.</w:t>
      </w:r>
    </w:p>
    <w:p w:rsidR="00BF4837" w:rsidRPr="001945FA" w:rsidRDefault="00BF4837" w:rsidP="00DA55DA">
      <w:r w:rsidRPr="001945FA">
        <w:t xml:space="preserve">El Grupo Temático </w:t>
      </w:r>
      <w:r w:rsidR="005A1D23" w:rsidRPr="001945FA">
        <w:t>GT</w:t>
      </w:r>
      <w:r w:rsidR="00DA55DA">
        <w:t> </w:t>
      </w:r>
      <w:r w:rsidRPr="001945FA">
        <w:t xml:space="preserve">NET-2030 tiene como objetivo analizar la capacidad </w:t>
      </w:r>
      <w:r w:rsidR="00A43295" w:rsidRPr="001945FA">
        <w:t xml:space="preserve">que requerirán las </w:t>
      </w:r>
      <w:r w:rsidRPr="001945FA">
        <w:t xml:space="preserve">redes </w:t>
      </w:r>
      <w:r w:rsidR="00A43295" w:rsidRPr="001945FA">
        <w:t>en el futuro, aproximadamente en</w:t>
      </w:r>
      <w:r w:rsidRPr="001945FA">
        <w:t xml:space="preserve"> el per</w:t>
      </w:r>
      <w:r w:rsidR="00D222DB">
        <w:t>i</w:t>
      </w:r>
      <w:r w:rsidRPr="001945FA">
        <w:t>odo de 2025-2035</w:t>
      </w:r>
      <w:r w:rsidR="00A616F9" w:rsidRPr="001945FA">
        <w:t>,</w:t>
      </w:r>
      <w:r w:rsidRPr="001945FA">
        <w:t xml:space="preserve"> </w:t>
      </w:r>
      <w:r w:rsidR="00A43295" w:rsidRPr="001945FA">
        <w:t>para</w:t>
      </w:r>
      <w:r w:rsidRPr="001945FA">
        <w:t xml:space="preserve"> soportar </w:t>
      </w:r>
      <w:r w:rsidR="00C461B8" w:rsidRPr="001945FA">
        <w:t>nuevas</w:t>
      </w:r>
      <w:r w:rsidRPr="001945FA">
        <w:t xml:space="preserve"> aplicaciones, en particular</w:t>
      </w:r>
      <w:r w:rsidR="00A43295" w:rsidRPr="001945FA">
        <w:t xml:space="preserve"> la </w:t>
      </w:r>
      <w:r w:rsidRPr="001945FA">
        <w:t>presencia holográfica</w:t>
      </w:r>
      <w:r w:rsidR="00A43295" w:rsidRPr="001945FA">
        <w:t xml:space="preserve"> a distancia</w:t>
      </w:r>
      <w:r w:rsidRPr="001945FA">
        <w:t>, avatares industriales</w:t>
      </w:r>
      <w:r w:rsidR="00A616F9" w:rsidRPr="001945FA">
        <w:t xml:space="preserve"> y sistemas que permitan </w:t>
      </w:r>
      <w:r w:rsidR="006D3CA8" w:rsidRPr="001945FA">
        <w:t>dar una rápida respuesta a</w:t>
      </w:r>
      <w:r w:rsidRPr="001945FA">
        <w:t xml:space="preserve"> situaciones críticas</w:t>
      </w:r>
      <w:r w:rsidR="00A43295" w:rsidRPr="001945FA">
        <w:t>. También se</w:t>
      </w:r>
      <w:r w:rsidRPr="001945FA">
        <w:t xml:space="preserve"> </w:t>
      </w:r>
      <w:r w:rsidR="00A616F9" w:rsidRPr="001945FA">
        <w:t xml:space="preserve">persigue </w:t>
      </w:r>
      <w:r w:rsidR="00FE565B" w:rsidRPr="001945FA">
        <w:t>arrojar luz sobre</w:t>
      </w:r>
      <w:r w:rsidR="00A616F9" w:rsidRPr="001945FA">
        <w:t xml:space="preserve"> </w:t>
      </w:r>
      <w:r w:rsidR="00FE565B" w:rsidRPr="001945FA">
        <w:t>los</w:t>
      </w:r>
      <w:r w:rsidR="00A616F9" w:rsidRPr="001945FA">
        <w:t xml:space="preserve"> </w:t>
      </w:r>
      <w:r w:rsidRPr="001945FA">
        <w:t xml:space="preserve">tipos de arquitectura de red y </w:t>
      </w:r>
      <w:r w:rsidR="00C461B8" w:rsidRPr="001945FA">
        <w:t xml:space="preserve">los </w:t>
      </w:r>
      <w:r w:rsidRPr="001945FA">
        <w:t xml:space="preserve">mecanismos de habilitación </w:t>
      </w:r>
      <w:r w:rsidR="00A616F9" w:rsidRPr="001945FA">
        <w:t>más</w:t>
      </w:r>
      <w:r w:rsidRPr="001945FA">
        <w:t xml:space="preserve"> adecuados para </w:t>
      </w:r>
      <w:r w:rsidR="00A616F9" w:rsidRPr="001945FA">
        <w:t>esas nuevas aplicaciones</w:t>
      </w:r>
      <w:r w:rsidRPr="001945FA">
        <w:t>.</w:t>
      </w:r>
    </w:p>
    <w:p w:rsidR="00BF4837" w:rsidRPr="001945FA" w:rsidRDefault="006D3CA8" w:rsidP="0094787D">
      <w:pPr>
        <w:keepNext/>
        <w:keepLines/>
      </w:pPr>
      <w:r w:rsidRPr="001945FA">
        <w:lastRenderedPageBreak/>
        <w:t xml:space="preserve">En </w:t>
      </w:r>
      <w:r w:rsidR="00EB4FD7">
        <w:t>"</w:t>
      </w:r>
      <w:r w:rsidR="00C461B8" w:rsidRPr="001945FA">
        <w:t>Redes 2030</w:t>
      </w:r>
      <w:r w:rsidR="00EB4FD7">
        <w:t>"</w:t>
      </w:r>
      <w:r w:rsidRPr="001945FA">
        <w:t xml:space="preserve"> se abordarán</w:t>
      </w:r>
      <w:r w:rsidR="00C461B8" w:rsidRPr="001945FA">
        <w:t xml:space="preserve"> </w:t>
      </w:r>
      <w:r w:rsidRPr="001945FA">
        <w:t xml:space="preserve">las </w:t>
      </w:r>
      <w:r w:rsidR="00FE565B" w:rsidRPr="001945FA">
        <w:t>redes</w:t>
      </w:r>
      <w:r w:rsidRPr="001945FA">
        <w:t xml:space="preserve"> futuras</w:t>
      </w:r>
      <w:r w:rsidR="00BF4837" w:rsidRPr="001945FA">
        <w:t xml:space="preserve"> </w:t>
      </w:r>
      <w:r w:rsidR="00FE565B" w:rsidRPr="001945FA">
        <w:t>para</w:t>
      </w:r>
      <w:r w:rsidR="00BF4837" w:rsidRPr="001945FA">
        <w:t xml:space="preserve"> 2030 y</w:t>
      </w:r>
      <w:r w:rsidR="00C461B8" w:rsidRPr="001945FA">
        <w:t xml:space="preserve">, en adelante, </w:t>
      </w:r>
      <w:r w:rsidRPr="001945FA">
        <w:t>mediante</w:t>
      </w:r>
      <w:r w:rsidR="00BF4837" w:rsidRPr="001945FA">
        <w:t xml:space="preserve"> </w:t>
      </w:r>
      <w:r w:rsidR="00FE565B" w:rsidRPr="001945FA">
        <w:t xml:space="preserve">el </w:t>
      </w:r>
      <w:r w:rsidR="00C461B8" w:rsidRPr="001945FA">
        <w:t>estudio</w:t>
      </w:r>
      <w:r w:rsidR="00BF4837" w:rsidRPr="001945FA">
        <w:t xml:space="preserve"> de</w:t>
      </w:r>
      <w:r w:rsidR="00C461B8" w:rsidRPr="001945FA">
        <w:t xml:space="preserve"> </w:t>
      </w:r>
      <w:r w:rsidRPr="001945FA">
        <w:t>diversos</w:t>
      </w:r>
      <w:r w:rsidR="00BF4837" w:rsidRPr="001945FA">
        <w:t xml:space="preserve"> mecanismos de comunicación </w:t>
      </w:r>
      <w:r w:rsidR="00FE565B" w:rsidRPr="001945FA">
        <w:t xml:space="preserve">con </w:t>
      </w:r>
      <w:r w:rsidR="00C4436D" w:rsidRPr="001945FA">
        <w:t>arreglo a muchos</w:t>
      </w:r>
      <w:r w:rsidR="00FE565B" w:rsidRPr="001945FA">
        <w:t xml:space="preserve"> puntos de vista, </w:t>
      </w:r>
      <w:r w:rsidRPr="001945FA">
        <w:t>más allá de los actuales conceptos de</w:t>
      </w:r>
      <w:r w:rsidR="00BF4837" w:rsidRPr="001945FA">
        <w:t xml:space="preserve"> capas de red </w:t>
      </w:r>
      <w:r w:rsidRPr="001945FA">
        <w:t>y</w:t>
      </w:r>
      <w:r w:rsidR="00BF4837" w:rsidRPr="001945FA">
        <w:t xml:space="preserve"> tecnología</w:t>
      </w:r>
      <w:r w:rsidR="00FE565B" w:rsidRPr="001945FA">
        <w:t>s específicas</w:t>
      </w:r>
      <w:r w:rsidR="00BF4837" w:rsidRPr="001945FA">
        <w:t xml:space="preserve">. </w:t>
      </w:r>
      <w:r w:rsidRPr="001945FA">
        <w:t>Habida cuenta de ello</w:t>
      </w:r>
      <w:r w:rsidR="00BF4837" w:rsidRPr="001945FA">
        <w:t xml:space="preserve">, </w:t>
      </w:r>
      <w:r w:rsidR="00FE565B" w:rsidRPr="001945FA">
        <w:t xml:space="preserve">la implantación de </w:t>
      </w:r>
      <w:r w:rsidRPr="001945FA">
        <w:t xml:space="preserve">esas </w:t>
      </w:r>
      <w:r w:rsidR="00FE565B" w:rsidRPr="001945FA">
        <w:t xml:space="preserve">redes </w:t>
      </w:r>
      <w:r w:rsidRPr="001945FA">
        <w:t>podría</w:t>
      </w:r>
      <w:r w:rsidR="00FE565B" w:rsidRPr="001945FA">
        <w:t xml:space="preserve"> </w:t>
      </w:r>
      <w:r w:rsidRPr="001945FA">
        <w:t>realizarse mediante</w:t>
      </w:r>
      <w:r w:rsidR="00BF4837" w:rsidRPr="001945FA">
        <w:t xml:space="preserve"> una nueva capa o arquitectura de red </w:t>
      </w:r>
      <w:r w:rsidRPr="001945FA">
        <w:t>que permita la transferencia de</w:t>
      </w:r>
      <w:r w:rsidR="00FE565B" w:rsidRPr="001945FA">
        <w:t xml:space="preserve"> información </w:t>
      </w:r>
      <w:r w:rsidRPr="001945FA">
        <w:t>de</w:t>
      </w:r>
      <w:r w:rsidR="00FE565B" w:rsidRPr="001945FA">
        <w:t xml:space="preserve"> modo </w:t>
      </w:r>
      <w:r w:rsidRPr="001945FA">
        <w:t>evolucionado</w:t>
      </w:r>
      <w:r w:rsidR="00BF4837" w:rsidRPr="001945FA">
        <w:t xml:space="preserve"> </w:t>
      </w:r>
      <w:r w:rsidR="00FE565B" w:rsidRPr="001945FA">
        <w:t>o</w:t>
      </w:r>
      <w:r w:rsidR="00BF4837" w:rsidRPr="001945FA">
        <w:t xml:space="preserve"> </w:t>
      </w:r>
      <w:r w:rsidR="00FE565B" w:rsidRPr="001945FA">
        <w:t>perfecciona</w:t>
      </w:r>
      <w:r w:rsidRPr="001945FA">
        <w:t>do</w:t>
      </w:r>
      <w:r w:rsidR="00BF4837" w:rsidRPr="001945FA">
        <w:t xml:space="preserve"> </w:t>
      </w:r>
      <w:r w:rsidRPr="001945FA">
        <w:t>respecto del de las</w:t>
      </w:r>
      <w:r w:rsidR="00BF4837" w:rsidRPr="001945FA">
        <w:t xml:space="preserve"> redes </w:t>
      </w:r>
      <w:r w:rsidRPr="001945FA">
        <w:t>actuales</w:t>
      </w:r>
      <w:r w:rsidR="00C4436D" w:rsidRPr="001945FA">
        <w:t>, o mediante un método muy diferente</w:t>
      </w:r>
      <w:r w:rsidR="00BF4837" w:rsidRPr="001945FA">
        <w:t xml:space="preserve">. </w:t>
      </w:r>
      <w:r w:rsidR="00FE565B" w:rsidRPr="001945FA">
        <w:t>No obstante</w:t>
      </w:r>
      <w:r w:rsidR="00BF4837" w:rsidRPr="001945FA">
        <w:t xml:space="preserve">, </w:t>
      </w:r>
      <w:r w:rsidR="00FE565B" w:rsidRPr="001945FA">
        <w:t xml:space="preserve">se </w:t>
      </w:r>
      <w:r w:rsidR="00BF4837" w:rsidRPr="001945FA">
        <w:t xml:space="preserve">debería </w:t>
      </w:r>
      <w:r w:rsidR="00FE565B" w:rsidRPr="001945FA">
        <w:t>velar por</w:t>
      </w:r>
      <w:r w:rsidR="00BF4837" w:rsidRPr="001945FA">
        <w:t xml:space="preserve"> que los futuros sistemas de red y aplicaciones sean </w:t>
      </w:r>
      <w:r w:rsidR="00FE565B" w:rsidRPr="001945FA">
        <w:t>plenamente</w:t>
      </w:r>
      <w:r w:rsidR="00BF4837" w:rsidRPr="001945FA">
        <w:t xml:space="preserve"> compatibles con versiones anteriores.</w:t>
      </w:r>
    </w:p>
    <w:p w:rsidR="00947E0C" w:rsidRPr="001945FA" w:rsidRDefault="00BF4837" w:rsidP="00DA55DA">
      <w:r w:rsidRPr="001945FA">
        <w:t>E</w:t>
      </w:r>
      <w:r w:rsidR="00FE565B" w:rsidRPr="001945FA">
        <w:t>n el marco de</w:t>
      </w:r>
      <w:r w:rsidR="00C4436D" w:rsidRPr="001945FA">
        <w:t>l GT</w:t>
      </w:r>
      <w:r w:rsidR="00DA55DA">
        <w:t> </w:t>
      </w:r>
      <w:r w:rsidRPr="001945FA">
        <w:t>NET-2030</w:t>
      </w:r>
      <w:r w:rsidR="00FE565B" w:rsidRPr="001945FA">
        <w:t xml:space="preserve">, </w:t>
      </w:r>
      <w:r w:rsidR="00C4436D" w:rsidRPr="001945FA">
        <w:t>que constituirá una</w:t>
      </w:r>
      <w:r w:rsidR="00FE565B" w:rsidRPr="001945FA">
        <w:t xml:space="preserve"> plataforma para analizar y promover tecnologías de red a nivel internacional, </w:t>
      </w:r>
      <w:r w:rsidR="00C4436D" w:rsidRPr="001945FA">
        <w:t>se analizarán</w:t>
      </w:r>
      <w:r w:rsidRPr="001945FA">
        <w:t xml:space="preserve"> la arquitectura</w:t>
      </w:r>
      <w:r w:rsidR="00C4436D" w:rsidRPr="001945FA">
        <w:t>, la capacidad</w:t>
      </w:r>
      <w:r w:rsidR="00FE565B" w:rsidRPr="001945FA">
        <w:t xml:space="preserve"> y</w:t>
      </w:r>
      <w:r w:rsidRPr="001945FA">
        <w:t xml:space="preserve"> los requisitos</w:t>
      </w:r>
      <w:r w:rsidR="00FE565B" w:rsidRPr="001945FA">
        <w:t xml:space="preserve"> de</w:t>
      </w:r>
      <w:r w:rsidR="00C4436D" w:rsidRPr="001945FA">
        <w:t xml:space="preserve"> las</w:t>
      </w:r>
      <w:r w:rsidR="00FE565B" w:rsidRPr="001945FA">
        <w:t xml:space="preserve"> redes futuras, así como</w:t>
      </w:r>
      <w:r w:rsidRPr="001945FA">
        <w:t xml:space="preserve"> </w:t>
      </w:r>
      <w:r w:rsidR="00C4436D" w:rsidRPr="001945FA">
        <w:t xml:space="preserve">posibles </w:t>
      </w:r>
      <w:r w:rsidRPr="001945FA">
        <w:t xml:space="preserve">casos de </w:t>
      </w:r>
      <w:r w:rsidR="00C4436D" w:rsidRPr="001945FA">
        <w:t>utilización</w:t>
      </w:r>
      <w:r w:rsidRPr="001945FA">
        <w:t xml:space="preserve"> </w:t>
      </w:r>
      <w:r w:rsidR="00685459" w:rsidRPr="001945FA">
        <w:t>relativos a las mismas en</w:t>
      </w:r>
      <w:r w:rsidRPr="001945FA">
        <w:t xml:space="preserve"> 2030</w:t>
      </w:r>
      <w:r w:rsidR="004E169D" w:rsidRPr="001945FA">
        <w:t>,</w:t>
      </w:r>
      <w:r w:rsidRPr="001945FA">
        <w:t xml:space="preserve"> y </w:t>
      </w:r>
      <w:r w:rsidR="00C4436D" w:rsidRPr="001945FA">
        <w:t>en adelante</w:t>
      </w:r>
      <w:r w:rsidR="004B34C9" w:rsidRPr="001945FA">
        <w:t>.</w:t>
      </w:r>
    </w:p>
    <w:p w:rsidR="00F30478" w:rsidRPr="001945FA" w:rsidRDefault="00F30478" w:rsidP="004E169D">
      <w:pPr>
        <w:pStyle w:val="Heading1"/>
      </w:pPr>
      <w:r w:rsidRPr="001945FA">
        <w:t>2</w:t>
      </w:r>
      <w:r w:rsidRPr="001945FA">
        <w:tab/>
        <w:t xml:space="preserve">Objetivos del </w:t>
      </w:r>
      <w:r w:rsidR="004E169D" w:rsidRPr="001945FA">
        <w:t>GT</w:t>
      </w:r>
      <w:r w:rsidR="004B34C9" w:rsidRPr="001945FA">
        <w:t xml:space="preserve"> NET-2030</w:t>
      </w:r>
    </w:p>
    <w:p w:rsidR="00CD314C" w:rsidRPr="001945FA" w:rsidRDefault="00D57894" w:rsidP="00EB4FD7">
      <w:r w:rsidRPr="001945FA">
        <w:t>El objetivo del Grupo Temático es llevar a cabo un amplio análisis de las redes futuras para 2030</w:t>
      </w:r>
      <w:r w:rsidR="001945FA">
        <w:t>,</w:t>
      </w:r>
      <w:r w:rsidRPr="001945FA">
        <w:t xml:space="preserve"> y en adelante. Con el fin de formular una visión </w:t>
      </w:r>
      <w:r w:rsidR="00EA2787" w:rsidRPr="001945FA">
        <w:t>adecuada</w:t>
      </w:r>
      <w:r w:rsidRPr="001945FA">
        <w:t xml:space="preserve">, </w:t>
      </w:r>
      <w:r w:rsidR="00EA2787" w:rsidRPr="001945FA">
        <w:t xml:space="preserve">se prevé que dicho Grupo determine </w:t>
      </w:r>
      <w:r w:rsidR="001945FA">
        <w:t xml:space="preserve">las </w:t>
      </w:r>
      <w:r w:rsidRPr="001945FA">
        <w:t xml:space="preserve">lagunas y </w:t>
      </w:r>
      <w:r w:rsidR="001945FA">
        <w:t xml:space="preserve">los </w:t>
      </w:r>
      <w:r w:rsidR="00EA2787" w:rsidRPr="001945FA">
        <w:t xml:space="preserve">retos </w:t>
      </w:r>
      <w:r w:rsidR="001945FA">
        <w:t xml:space="preserve">conexos </w:t>
      </w:r>
      <w:r w:rsidR="00EA2787" w:rsidRPr="001945FA">
        <w:t xml:space="preserve">sobre la base de </w:t>
      </w:r>
      <w:r w:rsidR="001945FA">
        <w:t xml:space="preserve">las </w:t>
      </w:r>
      <w:r w:rsidRPr="001945FA">
        <w:t>tecnologías de red</w:t>
      </w:r>
      <w:r w:rsidR="00EA2787" w:rsidRPr="001945FA">
        <w:t xml:space="preserve"> más </w:t>
      </w:r>
      <w:r w:rsidR="001945FA">
        <w:t>modernas</w:t>
      </w:r>
      <w:r w:rsidR="00EA2787" w:rsidRPr="001945FA">
        <w:t>, así como los</w:t>
      </w:r>
      <w:r w:rsidRPr="001945FA">
        <w:t xml:space="preserve"> requisitos fundamentales </w:t>
      </w:r>
      <w:r w:rsidR="001945FA">
        <w:t>relativos a</w:t>
      </w:r>
      <w:r w:rsidRPr="001945FA">
        <w:t xml:space="preserve"> nuevos casos de </w:t>
      </w:r>
      <w:r w:rsidR="00EA2787" w:rsidRPr="001945FA">
        <w:t>utilización</w:t>
      </w:r>
      <w:r w:rsidRPr="001945FA">
        <w:t xml:space="preserve">. </w:t>
      </w:r>
      <w:r w:rsidR="00EA2787" w:rsidRPr="001945FA">
        <w:t>Por otro lado, el Grupo Temático</w:t>
      </w:r>
      <w:r w:rsidRPr="001945FA">
        <w:t xml:space="preserve"> </w:t>
      </w:r>
      <w:r w:rsidR="00EA2787" w:rsidRPr="001945FA">
        <w:t xml:space="preserve">desea </w:t>
      </w:r>
      <w:r w:rsidRPr="001945FA">
        <w:t xml:space="preserve">formular un marco general </w:t>
      </w:r>
      <w:r w:rsidR="00EA2787" w:rsidRPr="001945FA">
        <w:t>para</w:t>
      </w:r>
      <w:r w:rsidR="001F3B0E">
        <w:t xml:space="preserve"> las</w:t>
      </w:r>
      <w:r w:rsidRPr="001945FA">
        <w:t xml:space="preserve"> </w:t>
      </w:r>
      <w:r w:rsidR="00EB4FD7">
        <w:t>"</w:t>
      </w:r>
      <w:r w:rsidRPr="001945FA">
        <w:t>Red</w:t>
      </w:r>
      <w:r w:rsidR="001F3B0E">
        <w:t>es</w:t>
      </w:r>
      <w:r w:rsidRPr="001945FA">
        <w:t xml:space="preserve"> 2030</w:t>
      </w:r>
      <w:r w:rsidR="00EB4FD7">
        <w:t>"</w:t>
      </w:r>
      <w:r w:rsidRPr="001945FA">
        <w:t xml:space="preserve">, </w:t>
      </w:r>
      <w:r w:rsidR="00EA2787" w:rsidRPr="001945FA">
        <w:t xml:space="preserve">al tiempo que </w:t>
      </w:r>
      <w:r w:rsidRPr="001945FA">
        <w:t>se propon</w:t>
      </w:r>
      <w:r w:rsidR="00EA2787" w:rsidRPr="001945FA">
        <w:t xml:space="preserve">en factores </w:t>
      </w:r>
      <w:r w:rsidRPr="001945FA">
        <w:t xml:space="preserve">habilitadores técnicos innovadores. </w:t>
      </w:r>
      <w:r w:rsidR="00EA2787" w:rsidRPr="001945FA">
        <w:t>El Grupo</w:t>
      </w:r>
      <w:r w:rsidRPr="001945FA">
        <w:t xml:space="preserve"> puede servir </w:t>
      </w:r>
      <w:r w:rsidR="00EA2787" w:rsidRPr="001945FA">
        <w:t>asimismo de</w:t>
      </w:r>
      <w:r w:rsidRPr="001945FA">
        <w:t xml:space="preserve"> plataforma abierta para que los expertos que representan a los miembros de la UIT</w:t>
      </w:r>
      <w:r w:rsidR="001F3B0E">
        <w:t>, así como a entidades ajenas a la Organización,</w:t>
      </w:r>
      <w:r w:rsidRPr="001945FA">
        <w:t xml:space="preserve"> </w:t>
      </w:r>
      <w:r w:rsidR="00EA2787" w:rsidRPr="001945FA">
        <w:t xml:space="preserve">logren </w:t>
      </w:r>
      <w:r w:rsidR="001F3B0E">
        <w:t xml:space="preserve">rápidos </w:t>
      </w:r>
      <w:r w:rsidR="00EA2787" w:rsidRPr="001945FA">
        <w:t>avances</w:t>
      </w:r>
      <w:r w:rsidRPr="001945FA">
        <w:t xml:space="preserve"> en </w:t>
      </w:r>
      <w:r w:rsidR="001F3B0E">
        <w:t>materia de elaboración de normas relativas a las</w:t>
      </w:r>
      <w:r w:rsidRPr="001945FA">
        <w:t xml:space="preserve"> redes futuras en el UIT-T, </w:t>
      </w:r>
      <w:r w:rsidR="00EA2787" w:rsidRPr="001945FA">
        <w:t>haciendo hincapié</w:t>
      </w:r>
      <w:r w:rsidRPr="001945FA">
        <w:t xml:space="preserve"> en </w:t>
      </w:r>
      <w:r w:rsidR="001F3B0E">
        <w:t xml:space="preserve">las </w:t>
      </w:r>
      <w:r w:rsidRPr="001945FA">
        <w:t xml:space="preserve">redes </w:t>
      </w:r>
      <w:r w:rsidR="001F3B0E">
        <w:t>del</w:t>
      </w:r>
      <w:r w:rsidR="00EA2787" w:rsidRPr="001945FA">
        <w:t xml:space="preserve"> próximo decenio</w:t>
      </w:r>
      <w:r w:rsidR="00CD314C" w:rsidRPr="001945FA">
        <w:t>.</w:t>
      </w:r>
    </w:p>
    <w:p w:rsidR="00F30478" w:rsidRPr="001945FA" w:rsidRDefault="00F30478" w:rsidP="00ED5495">
      <w:r w:rsidRPr="001945FA">
        <w:t xml:space="preserve">En </w:t>
      </w:r>
      <w:r w:rsidR="00ED5495">
        <w:t>particular</w:t>
      </w:r>
      <w:r w:rsidRPr="001945FA">
        <w:t>, sus objetivos incluyen:</w:t>
      </w:r>
    </w:p>
    <w:p w:rsidR="00F30478" w:rsidRPr="001945FA" w:rsidRDefault="00F30478" w:rsidP="007B1F79">
      <w:pPr>
        <w:pStyle w:val="enumlev1"/>
      </w:pPr>
      <w:r w:rsidRPr="001945FA">
        <w:t>•</w:t>
      </w:r>
      <w:r w:rsidRPr="001945FA">
        <w:tab/>
      </w:r>
      <w:r w:rsidR="00EA2787" w:rsidRPr="001945FA">
        <w:t>examinar</w:t>
      </w:r>
      <w:r w:rsidRPr="001945FA">
        <w:t xml:space="preserve">, revisar y evaluar las </w:t>
      </w:r>
      <w:r w:rsidR="00EA2787" w:rsidRPr="001945FA">
        <w:t xml:space="preserve">actuales </w:t>
      </w:r>
      <w:r w:rsidRPr="001945FA">
        <w:t xml:space="preserve">tecnologías, plataformas y normas </w:t>
      </w:r>
      <w:r w:rsidR="00EA2787" w:rsidRPr="001945FA">
        <w:t xml:space="preserve">para determinar </w:t>
      </w:r>
      <w:r w:rsidR="007B1F79">
        <w:t xml:space="preserve">posibles </w:t>
      </w:r>
      <w:r w:rsidR="00EA2787" w:rsidRPr="001945FA">
        <w:t xml:space="preserve">lagunas y </w:t>
      </w:r>
      <w:r w:rsidR="00ED5495">
        <w:t xml:space="preserve">dificultades </w:t>
      </w:r>
      <w:r w:rsidR="007B1F79">
        <w:t>con respecto a</w:t>
      </w:r>
      <w:r w:rsidR="00ED5495">
        <w:t xml:space="preserve"> las </w:t>
      </w:r>
      <w:r w:rsidR="00EB4FD7">
        <w:t>"</w:t>
      </w:r>
      <w:r w:rsidR="00ED5495">
        <w:t>Redes</w:t>
      </w:r>
      <w:r w:rsidR="00EA2787" w:rsidRPr="001945FA">
        <w:t xml:space="preserve"> 2030</w:t>
      </w:r>
      <w:r w:rsidR="00EB4FD7">
        <w:t>"</w:t>
      </w:r>
      <w:r w:rsidR="007B1F79">
        <w:t>,</w:t>
      </w:r>
      <w:r w:rsidR="00ED5495">
        <w:t xml:space="preserve"> más allá de</w:t>
      </w:r>
      <w:r w:rsidR="00EA2787" w:rsidRPr="001945FA">
        <w:t xml:space="preserve"> las redes actuales o futuras, en particular las redes 5G/IMT-2020</w:t>
      </w:r>
      <w:r w:rsidR="007B1F79">
        <w:t>;</w:t>
      </w:r>
    </w:p>
    <w:p w:rsidR="00393933" w:rsidRPr="001945FA" w:rsidRDefault="001F1DA0" w:rsidP="00ED5495">
      <w:pPr>
        <w:pStyle w:val="enumlev1"/>
      </w:pPr>
      <w:r w:rsidRPr="001945FA">
        <w:t>•</w:t>
      </w:r>
      <w:r w:rsidRPr="001945FA">
        <w:tab/>
      </w:r>
      <w:r w:rsidR="00393933" w:rsidRPr="001945FA">
        <w:t xml:space="preserve">formular todos los aspectos de </w:t>
      </w:r>
      <w:r w:rsidR="00ED5495">
        <w:t xml:space="preserve">las </w:t>
      </w:r>
      <w:r w:rsidR="00EB4FD7">
        <w:t>"</w:t>
      </w:r>
      <w:r w:rsidR="00ED5495">
        <w:t>Redes 2030</w:t>
      </w:r>
      <w:r w:rsidR="00EB4FD7">
        <w:t>"</w:t>
      </w:r>
      <w:r w:rsidR="00393933" w:rsidRPr="001945FA">
        <w:t xml:space="preserve">, en particular </w:t>
      </w:r>
      <w:r w:rsidR="00ED5495">
        <w:t>en cuanto a</w:t>
      </w:r>
      <w:r w:rsidR="00393933" w:rsidRPr="001945FA">
        <w:t xml:space="preserve"> visión, requisitos, arquitectura, nuevos casos de utilización y metodología de evaluación;</w:t>
      </w:r>
    </w:p>
    <w:p w:rsidR="001F1DA0" w:rsidRPr="001945FA" w:rsidRDefault="00EB4FD7" w:rsidP="00ED5495">
      <w:pPr>
        <w:pStyle w:val="enumlev1"/>
      </w:pPr>
      <w:r>
        <w:t>•</w:t>
      </w:r>
      <w:r w:rsidR="00393933" w:rsidRPr="001945FA">
        <w:tab/>
        <w:t xml:space="preserve">proporcionar directrices relativas a la hoja de ruta </w:t>
      </w:r>
      <w:r w:rsidR="00ED5495">
        <w:t>en materia de</w:t>
      </w:r>
      <w:r w:rsidR="00393933" w:rsidRPr="001945FA">
        <w:t xml:space="preserve"> normalización;</w:t>
      </w:r>
    </w:p>
    <w:p w:rsidR="00F30478" w:rsidRPr="001945FA" w:rsidRDefault="00F30478" w:rsidP="00ED5495">
      <w:pPr>
        <w:pStyle w:val="enumlev1"/>
        <w:rPr>
          <w:rFonts w:eastAsia="Batang"/>
        </w:rPr>
      </w:pPr>
      <w:r w:rsidRPr="001945FA">
        <w:t>•</w:t>
      </w:r>
      <w:r w:rsidRPr="001945FA">
        <w:tab/>
      </w:r>
      <w:r w:rsidR="00393933" w:rsidRPr="001945FA">
        <w:t>e</w:t>
      </w:r>
      <w:r w:rsidR="00935EE0" w:rsidRPr="001945FA">
        <w:t xml:space="preserve">stablecer </w:t>
      </w:r>
      <w:r w:rsidRPr="001945FA">
        <w:t xml:space="preserve">vínculos y relaciones con </w:t>
      </w:r>
      <w:r w:rsidR="00393933" w:rsidRPr="001945FA">
        <w:t xml:space="preserve">determinados </w:t>
      </w:r>
      <w:r w:rsidR="00BD39F8" w:rsidRPr="001945FA">
        <w:t>organismos de normalización</w:t>
      </w:r>
      <w:r w:rsidRPr="001945FA">
        <w:t>.</w:t>
      </w:r>
    </w:p>
    <w:p w:rsidR="00F30478" w:rsidRPr="001945FA" w:rsidRDefault="00F30478" w:rsidP="00F30478">
      <w:pPr>
        <w:pStyle w:val="Heading1"/>
      </w:pPr>
      <w:r w:rsidRPr="001945FA">
        <w:t>3</w:t>
      </w:r>
      <w:r w:rsidRPr="001945FA">
        <w:tab/>
        <w:t>Estructura</w:t>
      </w:r>
    </w:p>
    <w:p w:rsidR="00F30478" w:rsidRPr="001945FA" w:rsidRDefault="00F30478" w:rsidP="00ED5495">
      <w:r w:rsidRPr="001945FA">
        <w:t xml:space="preserve">En caso de necesidad, el </w:t>
      </w:r>
      <w:r w:rsidR="00ED5495">
        <w:t>GT</w:t>
      </w:r>
      <w:r w:rsidR="00AB1BFC" w:rsidRPr="001945FA">
        <w:t xml:space="preserve"> NET-2030</w:t>
      </w:r>
      <w:r w:rsidRPr="001945FA">
        <w:t xml:space="preserve"> puede crear subgrupos.</w:t>
      </w:r>
    </w:p>
    <w:p w:rsidR="00F30478" w:rsidRPr="001945FA" w:rsidRDefault="00F30478" w:rsidP="00F30478">
      <w:pPr>
        <w:pStyle w:val="Heading1"/>
      </w:pPr>
      <w:r w:rsidRPr="001945FA">
        <w:t>4</w:t>
      </w:r>
      <w:r w:rsidRPr="001945FA">
        <w:tab/>
        <w:t>Tareas específicas y productos finales</w:t>
      </w:r>
    </w:p>
    <w:p w:rsidR="00477374" w:rsidRPr="00EB4FD7" w:rsidRDefault="00B83548" w:rsidP="00EB4FD7">
      <w:r w:rsidRPr="00EB4FD7">
        <w:t xml:space="preserve">A continuación se enumeran las tareas </w:t>
      </w:r>
      <w:r w:rsidR="00662F62" w:rsidRPr="00EB4FD7">
        <w:t>para las que se prevé la elaboración de</w:t>
      </w:r>
      <w:r w:rsidR="00E512D1" w:rsidRPr="00EB4FD7">
        <w:t xml:space="preserve"> </w:t>
      </w:r>
      <w:r w:rsidRPr="00EB4FD7">
        <w:t>productos específicos</w:t>
      </w:r>
      <w:r w:rsidR="00477374" w:rsidRPr="00EB4FD7">
        <w:t>:</w:t>
      </w:r>
    </w:p>
    <w:p w:rsidR="00B83548" w:rsidRPr="001945FA" w:rsidRDefault="00477374" w:rsidP="0094787D">
      <w:pPr>
        <w:pStyle w:val="enumlev1"/>
      </w:pPr>
      <w:r w:rsidRPr="001945FA">
        <w:t>1)</w:t>
      </w:r>
      <w:r w:rsidRPr="001945FA">
        <w:tab/>
      </w:r>
      <w:r w:rsidR="00B83548" w:rsidRPr="001945FA">
        <w:t xml:space="preserve">Determinar las lagunas y </w:t>
      </w:r>
      <w:r w:rsidR="00662F62">
        <w:t>dificultades</w:t>
      </w:r>
      <w:r w:rsidR="00B83548" w:rsidRPr="001945FA">
        <w:t xml:space="preserve"> que no guardan relación con las tecnologías actuales o futuras, </w:t>
      </w:r>
      <w:r w:rsidR="00662F62">
        <w:t>en particular</w:t>
      </w:r>
      <w:r w:rsidR="00B83548" w:rsidRPr="001945FA">
        <w:t xml:space="preserve"> las redes 5G/IMT-2020, </w:t>
      </w:r>
      <w:r w:rsidR="00662F62">
        <w:t xml:space="preserve">especialmente en lo concerniente a </w:t>
      </w:r>
      <w:r w:rsidR="00B83548" w:rsidRPr="001945FA">
        <w:t>nuevas capas o arquitecturas de red</w:t>
      </w:r>
      <w:r w:rsidR="0094787D">
        <w:t>.</w:t>
      </w:r>
    </w:p>
    <w:p w:rsidR="00B83548" w:rsidRPr="001945FA" w:rsidRDefault="00EB4FD7" w:rsidP="0094787D">
      <w:pPr>
        <w:pStyle w:val="enumlev1"/>
      </w:pPr>
      <w:r>
        <w:t>2)</w:t>
      </w:r>
      <w:r w:rsidR="00B83548" w:rsidRPr="001945FA">
        <w:tab/>
        <w:t>Determinar los objetivos de rendimiento de la</w:t>
      </w:r>
      <w:r w:rsidR="00662F62">
        <w:t xml:space="preserve">s </w:t>
      </w:r>
      <w:r>
        <w:t>"</w:t>
      </w:r>
      <w:r w:rsidR="00B83548" w:rsidRPr="001945FA">
        <w:t>Red</w:t>
      </w:r>
      <w:r w:rsidR="00662F62">
        <w:t>es</w:t>
      </w:r>
      <w:r w:rsidR="00B83548" w:rsidRPr="001945FA">
        <w:t xml:space="preserve"> 2030</w:t>
      </w:r>
      <w:r>
        <w:t>"</w:t>
      </w:r>
      <w:r w:rsidR="00B83548" w:rsidRPr="001945FA">
        <w:t xml:space="preserve">, más allá de </w:t>
      </w:r>
      <w:r w:rsidR="00662F62">
        <w:t>los requisitos</w:t>
      </w:r>
      <w:r w:rsidR="00B83548" w:rsidRPr="001945FA">
        <w:t xml:space="preserve"> de las redes actuales o futuras, </w:t>
      </w:r>
      <w:r w:rsidR="00662F62">
        <w:t>en particular</w:t>
      </w:r>
      <w:r w:rsidR="00B83548" w:rsidRPr="001945FA">
        <w:t xml:space="preserve"> las redes 5G/IMT-2020</w:t>
      </w:r>
      <w:r w:rsidR="0094787D">
        <w:t>.</w:t>
      </w:r>
    </w:p>
    <w:p w:rsidR="00B83548" w:rsidRPr="001945FA" w:rsidRDefault="00EB4FD7" w:rsidP="0094787D">
      <w:pPr>
        <w:pStyle w:val="enumlev1"/>
      </w:pPr>
      <w:r>
        <w:t>3)</w:t>
      </w:r>
      <w:r w:rsidR="00B83548" w:rsidRPr="001945FA">
        <w:tab/>
      </w:r>
      <w:r w:rsidR="000A694F" w:rsidRPr="001945FA">
        <w:t>Elaborar</w:t>
      </w:r>
      <w:r w:rsidR="00B83548" w:rsidRPr="001945FA">
        <w:t xml:space="preserve"> un informe </w:t>
      </w:r>
      <w:r w:rsidR="0044206B">
        <w:t>relativo a las</w:t>
      </w:r>
      <w:r w:rsidR="00B83548" w:rsidRPr="001945FA">
        <w:t xml:space="preserve"> </w:t>
      </w:r>
      <w:r w:rsidR="000A694F" w:rsidRPr="001945FA">
        <w:t>definiciones,</w:t>
      </w:r>
      <w:r w:rsidR="0044206B">
        <w:t xml:space="preserve"> la</w:t>
      </w:r>
      <w:r w:rsidR="000A694F" w:rsidRPr="001945FA">
        <w:t xml:space="preserve"> terminología</w:t>
      </w:r>
      <w:r w:rsidR="00B83548" w:rsidRPr="001945FA">
        <w:t xml:space="preserve"> y </w:t>
      </w:r>
      <w:r w:rsidR="0044206B">
        <w:t xml:space="preserve">la </w:t>
      </w:r>
      <w:r w:rsidR="00662F62">
        <w:t xml:space="preserve">clasificación de las </w:t>
      </w:r>
      <w:r>
        <w:t>"</w:t>
      </w:r>
      <w:r w:rsidR="00662F62">
        <w:t>Redes 2030</w:t>
      </w:r>
      <w:r>
        <w:t>"</w:t>
      </w:r>
      <w:r w:rsidR="0044206B">
        <w:t xml:space="preserve">, incluido </w:t>
      </w:r>
      <w:r w:rsidR="00662F62">
        <w:t>su correspondiente</w:t>
      </w:r>
      <w:r w:rsidR="00B83548" w:rsidRPr="001945FA">
        <w:t xml:space="preserve"> ecosistema</w:t>
      </w:r>
      <w:r w:rsidR="0094787D">
        <w:t>.</w:t>
      </w:r>
    </w:p>
    <w:p w:rsidR="00B83548" w:rsidRPr="001945FA" w:rsidRDefault="00EB4FD7" w:rsidP="0094787D">
      <w:pPr>
        <w:pStyle w:val="enumlev1"/>
      </w:pPr>
      <w:r>
        <w:t>4)</w:t>
      </w:r>
      <w:r w:rsidR="00B83548" w:rsidRPr="001945FA">
        <w:tab/>
        <w:t xml:space="preserve">Describir la arquitectura y el marco </w:t>
      </w:r>
      <w:r w:rsidR="0044206B">
        <w:t xml:space="preserve">de las </w:t>
      </w:r>
      <w:r>
        <w:t>"</w:t>
      </w:r>
      <w:r w:rsidR="0044206B">
        <w:t xml:space="preserve">Redes </w:t>
      </w:r>
      <w:r w:rsidR="00E512D1" w:rsidRPr="001945FA">
        <w:t>2030</w:t>
      </w:r>
      <w:r>
        <w:t>"</w:t>
      </w:r>
      <w:r w:rsidR="0094787D">
        <w:t>.</w:t>
      </w:r>
    </w:p>
    <w:p w:rsidR="00B83548" w:rsidRPr="001945FA" w:rsidRDefault="00EB4FD7" w:rsidP="0094787D">
      <w:pPr>
        <w:pStyle w:val="enumlev1"/>
      </w:pPr>
      <w:r>
        <w:lastRenderedPageBreak/>
        <w:t>5)</w:t>
      </w:r>
      <w:r w:rsidR="00B83548" w:rsidRPr="001945FA">
        <w:tab/>
        <w:t xml:space="preserve">Analizar la compatibilidad </w:t>
      </w:r>
      <w:r w:rsidR="000A694F" w:rsidRPr="001945FA">
        <w:t xml:space="preserve">con versiones </w:t>
      </w:r>
      <w:r w:rsidR="0044206B">
        <w:t xml:space="preserve">de redes </w:t>
      </w:r>
      <w:r w:rsidR="000A694F" w:rsidRPr="001945FA">
        <w:t xml:space="preserve">anteriores </w:t>
      </w:r>
      <w:r w:rsidR="0044206B">
        <w:t>y</w:t>
      </w:r>
      <w:r w:rsidR="00B83548" w:rsidRPr="001945FA">
        <w:t xml:space="preserve"> </w:t>
      </w:r>
      <w:r w:rsidR="000A694F" w:rsidRPr="001945FA">
        <w:t xml:space="preserve">las </w:t>
      </w:r>
      <w:r w:rsidR="0044206B">
        <w:t>etapas necesarias en la implantación de</w:t>
      </w:r>
      <w:r w:rsidR="000A694F" w:rsidRPr="001945FA">
        <w:t xml:space="preserve"> las </w:t>
      </w:r>
      <w:r>
        <w:t>"</w:t>
      </w:r>
      <w:r w:rsidR="000A694F" w:rsidRPr="001945FA">
        <w:t>Redes</w:t>
      </w:r>
      <w:r w:rsidR="00B83548" w:rsidRPr="001945FA">
        <w:t xml:space="preserve"> 2030</w:t>
      </w:r>
      <w:r>
        <w:t>"</w:t>
      </w:r>
      <w:r w:rsidR="0044206B">
        <w:t xml:space="preserve"> con respecto a las</w:t>
      </w:r>
      <w:r w:rsidR="000A694F" w:rsidRPr="001945FA">
        <w:t xml:space="preserve"> redes actuales y futuras</w:t>
      </w:r>
      <w:r w:rsidR="00B83548" w:rsidRPr="001945FA">
        <w:t xml:space="preserve">, </w:t>
      </w:r>
      <w:r w:rsidR="000A694F" w:rsidRPr="001945FA">
        <w:t>en particular</w:t>
      </w:r>
      <w:r w:rsidR="00B83548" w:rsidRPr="001945FA">
        <w:t xml:space="preserve"> 5G/</w:t>
      </w:r>
      <w:r w:rsidR="00E512D1" w:rsidRPr="001945FA">
        <w:t>IMT-2020</w:t>
      </w:r>
      <w:r w:rsidR="0094787D">
        <w:t>.</w:t>
      </w:r>
    </w:p>
    <w:p w:rsidR="00B83548" w:rsidRPr="001945FA" w:rsidRDefault="00EB4FD7" w:rsidP="0094787D">
      <w:pPr>
        <w:pStyle w:val="enumlev1"/>
      </w:pPr>
      <w:r>
        <w:t>6)</w:t>
      </w:r>
      <w:r w:rsidR="00B83548" w:rsidRPr="001945FA">
        <w:tab/>
      </w:r>
      <w:r w:rsidR="00E512D1" w:rsidRPr="001945FA">
        <w:t>Examinar aplicaciones</w:t>
      </w:r>
      <w:r w:rsidR="00B83548" w:rsidRPr="001945FA">
        <w:t xml:space="preserve"> y casos de </w:t>
      </w:r>
      <w:r w:rsidR="00E512D1" w:rsidRPr="001945FA">
        <w:t>utilización</w:t>
      </w:r>
      <w:r w:rsidR="0044206B" w:rsidRPr="0044206B">
        <w:t xml:space="preserve"> </w:t>
      </w:r>
      <w:r w:rsidR="0044206B" w:rsidRPr="001945FA">
        <w:t>futur</w:t>
      </w:r>
      <w:r w:rsidR="0044206B">
        <w:t>o</w:t>
      </w:r>
      <w:r w:rsidR="0044206B" w:rsidRPr="001945FA">
        <w:t>s</w:t>
      </w:r>
      <w:r w:rsidR="0094787D">
        <w:t>.</w:t>
      </w:r>
    </w:p>
    <w:p w:rsidR="0018452F" w:rsidRPr="001945FA" w:rsidRDefault="00EB4FD7" w:rsidP="0094787D">
      <w:pPr>
        <w:pStyle w:val="enumlev1"/>
      </w:pPr>
      <w:r>
        <w:t>7)</w:t>
      </w:r>
      <w:r w:rsidR="00B83548" w:rsidRPr="001945FA">
        <w:tab/>
      </w:r>
      <w:r w:rsidR="00E512D1" w:rsidRPr="001945FA">
        <w:t>Elaborar</w:t>
      </w:r>
      <w:r w:rsidR="00B83548" w:rsidRPr="001945FA">
        <w:t xml:space="preserve"> un informe </w:t>
      </w:r>
      <w:r w:rsidR="00BD39F8" w:rsidRPr="001945FA">
        <w:t>descriptivo</w:t>
      </w:r>
      <w:r w:rsidR="00B83548" w:rsidRPr="001945FA">
        <w:t xml:space="preserve"> </w:t>
      </w:r>
      <w:r w:rsidR="0044206B">
        <w:t>sobre</w:t>
      </w:r>
      <w:r w:rsidR="00B83548" w:rsidRPr="001945FA">
        <w:t xml:space="preserve"> lagunas de normal</w:t>
      </w:r>
      <w:r w:rsidR="00BD39F8" w:rsidRPr="001945FA">
        <w:t xml:space="preserve">ización </w:t>
      </w:r>
      <w:r w:rsidR="0044206B">
        <w:t>destinado a</w:t>
      </w:r>
      <w:r w:rsidR="00BD39F8" w:rsidRPr="001945FA">
        <w:t xml:space="preserve"> las Comisiones de E</w:t>
      </w:r>
      <w:r w:rsidR="00B83548" w:rsidRPr="001945FA">
        <w:t>studio del UIT-T</w:t>
      </w:r>
      <w:r w:rsidR="0094787D">
        <w:t>.</w:t>
      </w:r>
    </w:p>
    <w:p w:rsidR="00F30478" w:rsidRPr="001945FA" w:rsidRDefault="001C021D" w:rsidP="0094787D">
      <w:pPr>
        <w:pStyle w:val="enumlev1"/>
      </w:pPr>
      <w:r w:rsidRPr="001945FA">
        <w:t>8)</w:t>
      </w:r>
      <w:r w:rsidRPr="001945FA">
        <w:tab/>
        <w:t xml:space="preserve">Organizar </w:t>
      </w:r>
      <w:r w:rsidR="00F30478" w:rsidRPr="001945FA">
        <w:t>talleres y foros temáticos sobre</w:t>
      </w:r>
      <w:r w:rsidR="00BD39F8" w:rsidRPr="001945FA">
        <w:t xml:space="preserve"> las</w:t>
      </w:r>
      <w:r w:rsidR="00F30478" w:rsidRPr="001945FA">
        <w:t xml:space="preserve"> </w:t>
      </w:r>
      <w:r w:rsidR="00EB4FD7">
        <w:t>"</w:t>
      </w:r>
      <w:r w:rsidR="00BD39F8" w:rsidRPr="001945FA">
        <w:t>Redes</w:t>
      </w:r>
      <w:r w:rsidRPr="001945FA">
        <w:t xml:space="preserve"> 2030</w:t>
      </w:r>
      <w:r w:rsidR="00EB4FD7">
        <w:t>"</w:t>
      </w:r>
      <w:r w:rsidR="00BD39F8" w:rsidRPr="001945FA">
        <w:t xml:space="preserve"> </w:t>
      </w:r>
      <w:r w:rsidR="00F30478" w:rsidRPr="001945FA">
        <w:t xml:space="preserve">que congreguen a todas las partes interesadas, promover las actividades del Grupo Temático y alentar a los miembros de la UIT y a </w:t>
      </w:r>
      <w:r w:rsidR="0044206B">
        <w:t>entidades ajenas a la O</w:t>
      </w:r>
      <w:r w:rsidR="00F30478" w:rsidRPr="001945FA">
        <w:t xml:space="preserve">rganización a participar en </w:t>
      </w:r>
      <w:r w:rsidR="00BD39F8" w:rsidRPr="001945FA">
        <w:t>esa labor</w:t>
      </w:r>
      <w:r w:rsidR="0094787D">
        <w:t>.</w:t>
      </w:r>
    </w:p>
    <w:p w:rsidR="000A7890" w:rsidRPr="001945FA" w:rsidRDefault="000A7890" w:rsidP="0094787D">
      <w:pPr>
        <w:pStyle w:val="enumlev1"/>
      </w:pPr>
      <w:r w:rsidRPr="001945FA">
        <w:t>9)</w:t>
      </w:r>
      <w:r w:rsidRPr="001945FA">
        <w:tab/>
      </w:r>
      <w:r w:rsidR="00BD39F8" w:rsidRPr="001945FA">
        <w:t xml:space="preserve">Establecer asociaciones con otros organismos de normalización, en particular ISG del ETSI, el IETF </w:t>
      </w:r>
      <w:r w:rsidR="0094787D">
        <w:t>e</w:t>
      </w:r>
      <w:r w:rsidR="00BD39F8" w:rsidRPr="001945FA">
        <w:t xml:space="preserve"> IRTF</w:t>
      </w:r>
      <w:r w:rsidRPr="001945FA">
        <w:t>.</w:t>
      </w:r>
    </w:p>
    <w:p w:rsidR="00F30478" w:rsidRPr="001945FA" w:rsidRDefault="00F30478" w:rsidP="0044206B">
      <w:pPr>
        <w:pStyle w:val="Heading1"/>
      </w:pPr>
      <w:r w:rsidRPr="001945FA">
        <w:t>5</w:t>
      </w:r>
      <w:r w:rsidRPr="001945FA">
        <w:tab/>
        <w:t>Relaciones</w:t>
      </w:r>
    </w:p>
    <w:p w:rsidR="00D37D43" w:rsidRPr="001945FA" w:rsidRDefault="00F30478" w:rsidP="0044206B">
      <w:pPr>
        <w:rPr>
          <w:szCs w:val="24"/>
        </w:rPr>
      </w:pPr>
      <w:r w:rsidRPr="001945FA">
        <w:t>E</w:t>
      </w:r>
      <w:r w:rsidR="0044206B">
        <w:t>l</w:t>
      </w:r>
      <w:r w:rsidRPr="001945FA">
        <w:t xml:space="preserve"> Grupo Temático colaborará estrechamente con la CE 13 por conducto de reuniones organizadas en el mismo lugar, de ser posible, y </w:t>
      </w:r>
      <w:r w:rsidR="00674509" w:rsidRPr="001945FA">
        <w:rPr>
          <w:szCs w:val="24"/>
        </w:rPr>
        <w:t>trabajará con otras Comisiones de Estudio del UIT-T pertinentes siempre que sea necesario.</w:t>
      </w:r>
    </w:p>
    <w:p w:rsidR="00F30478" w:rsidRPr="001945FA" w:rsidRDefault="00D37D43" w:rsidP="00DA55DA">
      <w:pPr>
        <w:rPr>
          <w:rFonts w:eastAsiaTheme="minorEastAsia"/>
        </w:rPr>
      </w:pPr>
      <w:r w:rsidRPr="001945FA">
        <w:t>E</w:t>
      </w:r>
      <w:r w:rsidR="00674509" w:rsidRPr="001945FA">
        <w:t>l</w:t>
      </w:r>
      <w:r w:rsidRPr="001945FA">
        <w:t xml:space="preserve"> Grupo Temático</w:t>
      </w:r>
      <w:r w:rsidR="0044206B">
        <w:t xml:space="preserve"> GT</w:t>
      </w:r>
      <w:r w:rsidR="00DA55DA">
        <w:t> </w:t>
      </w:r>
      <w:r w:rsidR="00674509" w:rsidRPr="001945FA">
        <w:t>NET-2030</w:t>
      </w:r>
      <w:r w:rsidRPr="001945FA">
        <w:t xml:space="preserve"> </w:t>
      </w:r>
      <w:r w:rsidR="00F30478" w:rsidRPr="001945FA">
        <w:t>también colaborará con otros grupos y entidades pertinentes, conforme a lo estipulado en la Recomendación UIT-T A.7</w:t>
      </w:r>
      <w:r w:rsidR="008D4012" w:rsidRPr="001945FA">
        <w:rPr>
          <w:szCs w:val="24"/>
        </w:rPr>
        <w:t xml:space="preserve">, </w:t>
      </w:r>
      <w:r w:rsidR="0044206B">
        <w:rPr>
          <w:szCs w:val="24"/>
        </w:rPr>
        <w:t>en particular</w:t>
      </w:r>
      <w:r w:rsidR="00F30478" w:rsidRPr="001945FA">
        <w:t xml:space="preserve"> municipios, organizaciones no gubernamentales (ONG), responsables de la elaboración de políticas, organizaciones de normalización, foros y consorcios industriales, empresas, instituciones académicas, instituciones de investigación y otras organizaciones pertinentes.</w:t>
      </w:r>
    </w:p>
    <w:p w:rsidR="00F30478" w:rsidRPr="001945FA" w:rsidRDefault="00F30478" w:rsidP="0044206B">
      <w:pPr>
        <w:pStyle w:val="Heading1"/>
      </w:pPr>
      <w:r w:rsidRPr="001945FA">
        <w:t>6</w:t>
      </w:r>
      <w:r w:rsidRPr="001945FA">
        <w:tab/>
        <w:t>Comisión rectora</w:t>
      </w:r>
    </w:p>
    <w:p w:rsidR="00F30478" w:rsidRPr="001945FA" w:rsidRDefault="00F30478" w:rsidP="0044206B">
      <w:r w:rsidRPr="001945FA">
        <w:t xml:space="preserve">La Comisión rectora del </w:t>
      </w:r>
      <w:r w:rsidR="0044206B">
        <w:t>GT</w:t>
      </w:r>
      <w:r w:rsidR="00E106F2" w:rsidRPr="001945FA">
        <w:t xml:space="preserve"> NET-2030</w:t>
      </w:r>
      <w:r w:rsidRPr="001945FA">
        <w:t xml:space="preserve"> es la </w:t>
      </w:r>
      <w:r w:rsidRPr="00DA55DA">
        <w:t>Comisión de Estudio 13 del UIT-T</w:t>
      </w:r>
      <w:r w:rsidRPr="001945FA">
        <w:t xml:space="preserve"> sobre </w:t>
      </w:r>
      <w:r w:rsidR="00EB4FD7">
        <w:t>"</w:t>
      </w:r>
      <w:r w:rsidRPr="001945FA">
        <w:t>Redes futuras, especialmente las IMT-2020, la computación en la nube y las infraestructuras de red de confianza</w:t>
      </w:r>
      <w:r w:rsidR="00EB4FD7">
        <w:t>"</w:t>
      </w:r>
      <w:r w:rsidRPr="001945FA">
        <w:t>.</w:t>
      </w:r>
    </w:p>
    <w:p w:rsidR="00F30478" w:rsidRPr="001945FA" w:rsidRDefault="00F30478" w:rsidP="00F30478">
      <w:pPr>
        <w:pStyle w:val="Heading1"/>
      </w:pPr>
      <w:r w:rsidRPr="001945FA">
        <w:t>7</w:t>
      </w:r>
      <w:r w:rsidRPr="001945FA">
        <w:tab/>
        <w:t>Dirección</w:t>
      </w:r>
    </w:p>
    <w:p w:rsidR="00F30478" w:rsidRPr="001945FA" w:rsidRDefault="00F30478" w:rsidP="00F30478">
      <w:r w:rsidRPr="001945FA">
        <w:t>Véase el apartado 2.3 de la Recomendación UIT-T A.7.</w:t>
      </w:r>
    </w:p>
    <w:p w:rsidR="00F30478" w:rsidRPr="001945FA" w:rsidRDefault="00F30478" w:rsidP="00F30478">
      <w:pPr>
        <w:pStyle w:val="Heading1"/>
      </w:pPr>
      <w:r w:rsidRPr="001945FA">
        <w:t>8</w:t>
      </w:r>
      <w:r w:rsidRPr="001945FA">
        <w:tab/>
        <w:t>Participación</w:t>
      </w:r>
    </w:p>
    <w:p w:rsidR="00F30478" w:rsidRPr="001945FA" w:rsidRDefault="00F30478" w:rsidP="0044206B">
      <w:r w:rsidRPr="001945FA">
        <w:t>Véase el apartado 3 de la Recomendación UIT-T A.7. Se mantendrá a efectos de referencia una lista de participantes que se comunicará a la Comisión rectora.</w:t>
      </w:r>
      <w:r w:rsidR="00EA00E8" w:rsidRPr="001945FA">
        <w:t xml:space="preserve"> </w:t>
      </w:r>
      <w:r w:rsidRPr="001945FA">
        <w:t xml:space="preserve">Cabe señalar que la participación en </w:t>
      </w:r>
      <w:r w:rsidR="0044206B">
        <w:t>el</w:t>
      </w:r>
      <w:r w:rsidRPr="001945FA">
        <w:t xml:space="preserve"> Grupo Temático ha de articularse en torno a </w:t>
      </w:r>
      <w:r w:rsidR="0044206B">
        <w:t>la aportación de</w:t>
      </w:r>
      <w:r w:rsidRPr="001945FA">
        <w:t xml:space="preserve"> contribuciones y la participación activa.</w:t>
      </w:r>
    </w:p>
    <w:p w:rsidR="00F30478" w:rsidRPr="001945FA" w:rsidRDefault="00F30478" w:rsidP="00F30478">
      <w:pPr>
        <w:pStyle w:val="Heading1"/>
      </w:pPr>
      <w:r w:rsidRPr="001945FA">
        <w:t>9</w:t>
      </w:r>
      <w:r w:rsidRPr="001945FA">
        <w:tab/>
        <w:t>Apoyo administrativo</w:t>
      </w:r>
    </w:p>
    <w:p w:rsidR="00F30478" w:rsidRPr="001945FA" w:rsidRDefault="00F30478" w:rsidP="00F30478">
      <w:pPr>
        <w:rPr>
          <w:rFonts w:eastAsiaTheme="minorEastAsia"/>
        </w:rPr>
      </w:pPr>
      <w:r w:rsidRPr="001945FA">
        <w:t>Véase el apartado 5 de la Recomendación UIT-T A.7.</w:t>
      </w:r>
    </w:p>
    <w:p w:rsidR="00F30478" w:rsidRPr="001945FA" w:rsidRDefault="00F30478" w:rsidP="00F30478">
      <w:pPr>
        <w:pStyle w:val="Heading1"/>
      </w:pPr>
      <w:r w:rsidRPr="001945FA">
        <w:t>10</w:t>
      </w:r>
      <w:r w:rsidRPr="001945FA">
        <w:tab/>
        <w:t>Financiación general</w:t>
      </w:r>
    </w:p>
    <w:p w:rsidR="00F30478" w:rsidRPr="001945FA" w:rsidRDefault="00F30478" w:rsidP="00F30478">
      <w:pPr>
        <w:rPr>
          <w:rFonts w:eastAsiaTheme="minorEastAsia"/>
        </w:rPr>
      </w:pPr>
      <w:r w:rsidRPr="001945FA">
        <w:t>Véanse los apartados 4 y 10.2 de la Recomendación UIT-T A.7.</w:t>
      </w:r>
    </w:p>
    <w:p w:rsidR="00F30478" w:rsidRPr="001945FA" w:rsidRDefault="00F30478" w:rsidP="00F30478">
      <w:pPr>
        <w:pStyle w:val="Heading1"/>
      </w:pPr>
      <w:r w:rsidRPr="001945FA">
        <w:lastRenderedPageBreak/>
        <w:t>11</w:t>
      </w:r>
      <w:r w:rsidRPr="001945FA">
        <w:tab/>
        <w:t>Reuniones</w:t>
      </w:r>
    </w:p>
    <w:p w:rsidR="00F30478" w:rsidRPr="001945FA" w:rsidRDefault="00F30478" w:rsidP="0094787D">
      <w:pPr>
        <w:rPr>
          <w:rFonts w:eastAsiaTheme="minorEastAsia"/>
        </w:rPr>
      </w:pPr>
      <w:r w:rsidRPr="001945FA">
        <w:t xml:space="preserve">El Grupo Temático celebrará reuniones periódicas. La dirección del </w:t>
      </w:r>
      <w:r w:rsidR="0044206B">
        <w:t>GT</w:t>
      </w:r>
      <w:r w:rsidRPr="001945FA">
        <w:t xml:space="preserve"> determinará la frecuencia y</w:t>
      </w:r>
      <w:r w:rsidRPr="001945FA">
        <w:rPr>
          <w:sz w:val="28"/>
          <w:szCs w:val="22"/>
        </w:rPr>
        <w:t xml:space="preserve"> </w:t>
      </w:r>
      <w:r w:rsidRPr="001945FA">
        <w:t xml:space="preserve">el lugar de las reuniones. El plan general de las reuniones se anunciará una vez </w:t>
      </w:r>
      <w:r w:rsidR="0044206B">
        <w:t xml:space="preserve">que se haya </w:t>
      </w:r>
      <w:r w:rsidRPr="001945FA">
        <w:t>aprobado el mandato. El Grupo Temático utilizará herramientas de colaboración a distancia en la medida de lo posible</w:t>
      </w:r>
      <w:r w:rsidR="0044206B">
        <w:t>, y</w:t>
      </w:r>
      <w:r w:rsidRPr="001945FA">
        <w:t xml:space="preserve"> se recomienda que el Grupo celebre sus reuniones en el mismo lugar que la CE</w:t>
      </w:r>
      <w:r w:rsidR="0094787D">
        <w:t> </w:t>
      </w:r>
      <w:r w:rsidRPr="001945FA">
        <w:t>13.</w:t>
      </w:r>
    </w:p>
    <w:p w:rsidR="00F30478" w:rsidRPr="001945FA" w:rsidRDefault="00F30478" w:rsidP="00F30478">
      <w:r w:rsidRPr="001945FA">
        <w:t>Las fechas de las reuniones se anunciarán por medios electrónicos (por ejemplo, correos electrónicos y páginas web) con al menos cuatro semanas de antelación.</w:t>
      </w:r>
    </w:p>
    <w:p w:rsidR="0044206B" w:rsidRPr="00EB4FD7" w:rsidRDefault="0044206B" w:rsidP="0094787D">
      <w:r w:rsidRPr="00EB4FD7">
        <w:t>Al menos la última reunión del GT debería tener lugar conjuntamente con la reunión de la CE</w:t>
      </w:r>
      <w:r w:rsidR="0094787D">
        <w:t> </w:t>
      </w:r>
      <w:r w:rsidRPr="00EB4FD7">
        <w:t>13.</w:t>
      </w:r>
    </w:p>
    <w:p w:rsidR="00F30478" w:rsidRPr="001945FA" w:rsidRDefault="00F30478" w:rsidP="00F30478">
      <w:pPr>
        <w:pStyle w:val="Heading1"/>
      </w:pPr>
      <w:r w:rsidRPr="001945FA">
        <w:t>12</w:t>
      </w:r>
      <w:r w:rsidRPr="001945FA">
        <w:tab/>
        <w:t>Contribuciones técnicas</w:t>
      </w:r>
    </w:p>
    <w:p w:rsidR="00F30478" w:rsidRPr="001945FA" w:rsidRDefault="00F30478" w:rsidP="00F30478">
      <w:pPr>
        <w:rPr>
          <w:rFonts w:eastAsiaTheme="minorEastAsia"/>
        </w:rPr>
      </w:pPr>
      <w:r w:rsidRPr="001945FA">
        <w:t>Véase el apartado 8 de la Recomendación UIT-T A.7.</w:t>
      </w:r>
    </w:p>
    <w:p w:rsidR="00F30478" w:rsidRPr="001945FA" w:rsidRDefault="00F30478" w:rsidP="00F30478">
      <w:pPr>
        <w:pStyle w:val="Heading1"/>
      </w:pPr>
      <w:r w:rsidRPr="001945FA">
        <w:t>13</w:t>
      </w:r>
      <w:r w:rsidRPr="001945FA">
        <w:tab/>
        <w:t>Idioma de trabajo</w:t>
      </w:r>
    </w:p>
    <w:p w:rsidR="00F30478" w:rsidRPr="001945FA" w:rsidRDefault="00F30478" w:rsidP="00F30478">
      <w:pPr>
        <w:rPr>
          <w:rFonts w:eastAsiaTheme="minorEastAsia"/>
        </w:rPr>
      </w:pPr>
      <w:r w:rsidRPr="001945FA">
        <w:t>El idioma de trabajo es el inglés.</w:t>
      </w:r>
    </w:p>
    <w:p w:rsidR="00F30478" w:rsidRPr="001945FA" w:rsidRDefault="00F30478" w:rsidP="00F30478">
      <w:pPr>
        <w:pStyle w:val="Heading1"/>
      </w:pPr>
      <w:r w:rsidRPr="001945FA">
        <w:t>14</w:t>
      </w:r>
      <w:r w:rsidRPr="001945FA">
        <w:tab/>
        <w:t>Aprobación de los resultados</w:t>
      </w:r>
    </w:p>
    <w:p w:rsidR="00F30478" w:rsidRPr="001945FA" w:rsidRDefault="00F30478" w:rsidP="00F30478">
      <w:pPr>
        <w:rPr>
          <w:rFonts w:eastAsiaTheme="minorEastAsia"/>
        </w:rPr>
      </w:pPr>
      <w:r w:rsidRPr="001945FA">
        <w:t>Los resultados se aprobarán por consenso.</w:t>
      </w:r>
    </w:p>
    <w:p w:rsidR="00F30478" w:rsidRPr="001945FA" w:rsidRDefault="00F30478" w:rsidP="00F30478">
      <w:pPr>
        <w:pStyle w:val="Heading1"/>
        <w:rPr>
          <w:rFonts w:eastAsiaTheme="minorEastAsia"/>
        </w:rPr>
      </w:pPr>
      <w:r w:rsidRPr="001945FA">
        <w:t>15</w:t>
      </w:r>
      <w:r w:rsidRPr="001945FA">
        <w:tab/>
        <w:t>Directrices relativas a los trabajos</w:t>
      </w:r>
    </w:p>
    <w:p w:rsidR="00F30478" w:rsidRPr="001945FA" w:rsidRDefault="00F30478" w:rsidP="00F30478">
      <w:pPr>
        <w:rPr>
          <w:rFonts w:eastAsiaTheme="minorEastAsia"/>
        </w:rPr>
      </w:pPr>
      <w:r w:rsidRPr="001945FA">
        <w:t>Los procedimientos de trabajo se ajustarán a los procedimientos de las reuniones de Relator. No se definen directrices de trabajo adicionales.</w:t>
      </w:r>
    </w:p>
    <w:p w:rsidR="00F30478" w:rsidRPr="001945FA" w:rsidRDefault="00F30478" w:rsidP="00F30478">
      <w:pPr>
        <w:pStyle w:val="Heading1"/>
        <w:rPr>
          <w:rFonts w:eastAsiaTheme="minorEastAsia"/>
        </w:rPr>
      </w:pPr>
      <w:r w:rsidRPr="001945FA">
        <w:t>16</w:t>
      </w:r>
      <w:r w:rsidRPr="001945FA">
        <w:tab/>
        <w:t>Informes sobre la marcha de los trabajos</w:t>
      </w:r>
    </w:p>
    <w:p w:rsidR="00F30478" w:rsidRPr="001945FA" w:rsidRDefault="00F30478" w:rsidP="00F30478">
      <w:pPr>
        <w:rPr>
          <w:rFonts w:eastAsiaTheme="minorEastAsia"/>
        </w:rPr>
      </w:pPr>
      <w:r w:rsidRPr="001945FA">
        <w:t>Véase el apartado 11 de la Recomendación UIT-T A.7.</w:t>
      </w:r>
    </w:p>
    <w:p w:rsidR="00F30478" w:rsidRPr="001945FA" w:rsidRDefault="00F30478" w:rsidP="00F30478">
      <w:pPr>
        <w:pStyle w:val="Heading1"/>
        <w:rPr>
          <w:rFonts w:eastAsiaTheme="minorEastAsia"/>
        </w:rPr>
      </w:pPr>
      <w:r w:rsidRPr="001945FA">
        <w:t>17</w:t>
      </w:r>
      <w:r w:rsidRPr="001945FA">
        <w:tab/>
        <w:t>Anuncio de constitución de</w:t>
      </w:r>
      <w:r w:rsidR="00A50E17">
        <w:t>l</w:t>
      </w:r>
      <w:r w:rsidRPr="001945FA">
        <w:t xml:space="preserve"> Grupo Temático</w:t>
      </w:r>
    </w:p>
    <w:p w:rsidR="00F30478" w:rsidRPr="001945FA" w:rsidRDefault="00F30478" w:rsidP="00F30478">
      <w:pPr>
        <w:rPr>
          <w:rFonts w:eastAsiaTheme="minorEastAsia"/>
        </w:rPr>
      </w:pPr>
      <w:r w:rsidRPr="001945FA">
        <w:t>La constitución del Grupo Temático se anunciará a través de una Circular TSB dirigida a todos los miembros de la UIT, a través del Newslog del UIT-T, comunicados de prensa y otros medios, incluida la comunicación con otras organizaciones implicadas.</w:t>
      </w:r>
    </w:p>
    <w:p w:rsidR="00F30478" w:rsidRPr="001945FA" w:rsidRDefault="00F30478" w:rsidP="00F30478">
      <w:pPr>
        <w:pStyle w:val="Heading1"/>
        <w:rPr>
          <w:rFonts w:eastAsiaTheme="minorEastAsia"/>
        </w:rPr>
      </w:pPr>
      <w:r w:rsidRPr="001945FA">
        <w:t>18</w:t>
      </w:r>
      <w:r w:rsidRPr="001945FA">
        <w:tab/>
        <w:t>Etapas y duración del Grupo Temático</w:t>
      </w:r>
    </w:p>
    <w:p w:rsidR="00F30478" w:rsidRPr="001945FA" w:rsidRDefault="00F30478" w:rsidP="00F30478">
      <w:r w:rsidRPr="001945FA">
        <w:t>Se ha previsto mantener el Grupo Temático durante los doce meses posteriores a su primera reunión, no obstante, el plazo podría ampliarse si fuese necesario por decisión de la Comisión rectora (véase el apartado 2.2 de la Recomendación UIT-T A.7).</w:t>
      </w:r>
    </w:p>
    <w:p w:rsidR="00F30478" w:rsidRPr="001945FA" w:rsidRDefault="00F30478" w:rsidP="00F30478">
      <w:pPr>
        <w:pStyle w:val="Heading1"/>
        <w:rPr>
          <w:rFonts w:eastAsiaTheme="minorEastAsia"/>
        </w:rPr>
      </w:pPr>
      <w:r w:rsidRPr="001945FA">
        <w:t>19</w:t>
      </w:r>
      <w:r w:rsidRPr="001945FA">
        <w:tab/>
        <w:t>Política de patentes</w:t>
      </w:r>
    </w:p>
    <w:p w:rsidR="00F30478" w:rsidRPr="001945FA" w:rsidRDefault="00F30478" w:rsidP="00F30478">
      <w:r w:rsidRPr="001945FA">
        <w:t>Véase el apartado 9 de la Recomendación UIT-T A.7.</w:t>
      </w:r>
    </w:p>
    <w:p w:rsidR="00501F5B" w:rsidRPr="001945FA" w:rsidRDefault="00501F5B" w:rsidP="002A7B37">
      <w:pPr>
        <w:pStyle w:val="Reasons"/>
        <w:rPr>
          <w:lang w:val="es-ES_tradnl"/>
        </w:rPr>
      </w:pPr>
    </w:p>
    <w:p w:rsidR="00501F5B" w:rsidRPr="001945FA" w:rsidRDefault="00501F5B">
      <w:pPr>
        <w:jc w:val="center"/>
      </w:pPr>
      <w:r w:rsidRPr="001945FA">
        <w:t>______________</w:t>
      </w:r>
    </w:p>
    <w:sectPr w:rsidR="00501F5B" w:rsidRPr="001945FA" w:rsidSect="00F94DC1">
      <w:headerReference w:type="default" r:id="rId22"/>
      <w:footerReference w:type="first" r:id="rId23"/>
      <w:pgSz w:w="11907" w:h="16840" w:code="9"/>
      <w:pgMar w:top="1134" w:right="1134" w:bottom="993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442" w:rsidRDefault="003C0442">
      <w:r>
        <w:separator/>
      </w:r>
    </w:p>
  </w:endnote>
  <w:endnote w:type="continuationSeparator" w:id="0">
    <w:p w:rsidR="003C0442" w:rsidRDefault="003C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B37" w:rsidRPr="00B66599" w:rsidRDefault="002A7B37" w:rsidP="00FC416A">
    <w:pPr>
      <w:pStyle w:val="FirstFooter"/>
      <w:ind w:left="-397" w:right="-397"/>
      <w:jc w:val="center"/>
      <w:rPr>
        <w:szCs w:val="18"/>
      </w:rPr>
    </w:pPr>
    <w:r w:rsidRPr="00B66599">
      <w:rPr>
        <w:szCs w:val="18"/>
      </w:rPr>
      <w:t>Unión Internacional de Telecomunicaciones • Place des Nations, CH</w:t>
    </w:r>
    <w:r w:rsidRPr="00B66599">
      <w:rPr>
        <w:szCs w:val="18"/>
      </w:rPr>
      <w:noBreakHyphen/>
      <w:t xml:space="preserve">1211 Ginebra 20, Suiza </w:t>
    </w:r>
    <w:r w:rsidRPr="00B66599">
      <w:rPr>
        <w:szCs w:val="18"/>
      </w:rPr>
      <w:br/>
      <w:t>Tel</w:t>
    </w:r>
    <w:r>
      <w:rPr>
        <w:szCs w:val="18"/>
      </w:rPr>
      <w:t>.</w:t>
    </w:r>
    <w:r w:rsidRPr="00B66599">
      <w:rPr>
        <w:szCs w:val="18"/>
      </w:rPr>
      <w:t xml:space="preserve">: +41 22 730 5111 • Fax: +41 22 733 7256 • Correo-e: </w:t>
    </w:r>
    <w:hyperlink r:id="rId1" w:history="1">
      <w:r w:rsidRPr="00B66599">
        <w:rPr>
          <w:rStyle w:val="Hyperlink"/>
        </w:rPr>
        <w:t>itumail@itu.int</w:t>
      </w:r>
    </w:hyperlink>
    <w:r w:rsidRPr="00B66599">
      <w:rPr>
        <w:szCs w:val="18"/>
      </w:rPr>
      <w:t xml:space="preserve"> • </w:t>
    </w:r>
    <w:hyperlink r:id="rId2" w:history="1">
      <w:r w:rsidRPr="00B66599">
        <w:rPr>
          <w:rStyle w:val="Hyperlink"/>
        </w:rPr>
        <w:t>www.itu.int</w:t>
      </w:r>
    </w:hyperlink>
    <w:r w:rsidRPr="00B66599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442" w:rsidRDefault="003C0442">
      <w:r>
        <w:t>____________________</w:t>
      </w:r>
    </w:p>
  </w:footnote>
  <w:footnote w:type="continuationSeparator" w:id="0">
    <w:p w:rsidR="003C0442" w:rsidRDefault="003C0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B37" w:rsidRPr="00BF4565" w:rsidRDefault="002A7B37" w:rsidP="00B4780F">
    <w:pPr>
      <w:spacing w:before="0"/>
      <w:jc w:val="center"/>
      <w:rPr>
        <w:rFonts w:ascii="Calibri" w:hAnsi="Calibri"/>
        <w:sz w:val="18"/>
        <w:lang w:val="en-US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FC4F62">
      <w:rPr>
        <w:rStyle w:val="PageNumber"/>
        <w:noProof/>
        <w:sz w:val="18"/>
        <w:szCs w:val="18"/>
      </w:rPr>
      <w:t>6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>
      <w:rPr>
        <w:rStyle w:val="PageNumber"/>
        <w:sz w:val="18"/>
        <w:szCs w:val="18"/>
      </w:rPr>
      <w:br/>
    </w:r>
    <w:r w:rsidRPr="004C58BA">
      <w:rPr>
        <w:rFonts w:ascii="Calibri" w:hAnsi="Calibri"/>
        <w:noProof/>
        <w:sz w:val="18"/>
        <w:lang w:val="en-GB"/>
      </w:rPr>
      <w:t xml:space="preserve">Circular TSB </w:t>
    </w:r>
    <w:r>
      <w:rPr>
        <w:rFonts w:ascii="Calibri" w:hAnsi="Calibri"/>
        <w:noProof/>
        <w:sz w:val="18"/>
        <w:lang w:val="en-GB"/>
      </w:rPr>
      <w:t>104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102BE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1E78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EEE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4C00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68CB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C8BA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2A82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90C5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CA3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AC5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12617"/>
    <w:multiLevelType w:val="hybridMultilevel"/>
    <w:tmpl w:val="3F7E26BA"/>
    <w:lvl w:ilvl="0" w:tplc="3C18BA22">
      <w:numFmt w:val="bullet"/>
      <w:lvlText w:val="•"/>
      <w:lvlJc w:val="left"/>
      <w:pPr>
        <w:ind w:left="1500" w:hanging="1140"/>
      </w:pPr>
      <w:rPr>
        <w:rFonts w:ascii="Calibri" w:eastAsia="Times New Roman" w:hAnsi="Calibri" w:cs="Times New Roman" w:hint="default"/>
      </w:rPr>
    </w:lvl>
    <w:lvl w:ilvl="1" w:tplc="576ADB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9EA0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DCB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80A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F27A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041A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284B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AB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9180A"/>
    <w:multiLevelType w:val="hybridMultilevel"/>
    <w:tmpl w:val="EF146084"/>
    <w:lvl w:ilvl="0" w:tplc="04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57773B16"/>
    <w:multiLevelType w:val="hybridMultilevel"/>
    <w:tmpl w:val="1B20E49C"/>
    <w:lvl w:ilvl="0" w:tplc="04090011">
      <w:start w:val="1"/>
      <w:numFmt w:val="decimal"/>
      <w:lvlText w:val="%1)"/>
      <w:lvlJc w:val="left"/>
      <w:pPr>
        <w:ind w:left="1154" w:hanging="360"/>
      </w:pPr>
    </w:lvl>
    <w:lvl w:ilvl="1" w:tplc="04090003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5" w15:restartNumberingAfterBreak="0">
    <w:nsid w:val="581B5878"/>
    <w:multiLevelType w:val="hybridMultilevel"/>
    <w:tmpl w:val="6F78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766AF"/>
    <w:multiLevelType w:val="hybridMultilevel"/>
    <w:tmpl w:val="9C0CE0CE"/>
    <w:lvl w:ilvl="0" w:tplc="33409990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6"/>
  </w:num>
  <w:num w:numId="17">
    <w:abstractNumId w:val="11"/>
  </w:num>
  <w:num w:numId="18">
    <w:abstractNumId w:val="15"/>
  </w:num>
  <w:num w:numId="1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99"/>
    <w:rsid w:val="00002529"/>
    <w:rsid w:val="00006825"/>
    <w:rsid w:val="00011C39"/>
    <w:rsid w:val="000158B7"/>
    <w:rsid w:val="0002291C"/>
    <w:rsid w:val="00025D53"/>
    <w:rsid w:val="00034B89"/>
    <w:rsid w:val="00035C1E"/>
    <w:rsid w:val="00052A06"/>
    <w:rsid w:val="0007202B"/>
    <w:rsid w:val="00076570"/>
    <w:rsid w:val="0007730A"/>
    <w:rsid w:val="00077771"/>
    <w:rsid w:val="00085465"/>
    <w:rsid w:val="00085662"/>
    <w:rsid w:val="000A42DB"/>
    <w:rsid w:val="000A694F"/>
    <w:rsid w:val="000A7890"/>
    <w:rsid w:val="000A7D26"/>
    <w:rsid w:val="000C382F"/>
    <w:rsid w:val="000C383C"/>
    <w:rsid w:val="001146F7"/>
    <w:rsid w:val="001173CC"/>
    <w:rsid w:val="00135B69"/>
    <w:rsid w:val="0014464D"/>
    <w:rsid w:val="00165D99"/>
    <w:rsid w:val="00175D8B"/>
    <w:rsid w:val="0018452F"/>
    <w:rsid w:val="001945FA"/>
    <w:rsid w:val="001A54CC"/>
    <w:rsid w:val="001C021D"/>
    <w:rsid w:val="001D19D4"/>
    <w:rsid w:val="001E1265"/>
    <w:rsid w:val="001E47A4"/>
    <w:rsid w:val="001F1DA0"/>
    <w:rsid w:val="001F3B0E"/>
    <w:rsid w:val="001F7D86"/>
    <w:rsid w:val="00204B05"/>
    <w:rsid w:val="0021609D"/>
    <w:rsid w:val="00240DF2"/>
    <w:rsid w:val="0025434E"/>
    <w:rsid w:val="00257FB4"/>
    <w:rsid w:val="002630A3"/>
    <w:rsid w:val="002774A9"/>
    <w:rsid w:val="002A7B37"/>
    <w:rsid w:val="002B4ED8"/>
    <w:rsid w:val="002B7430"/>
    <w:rsid w:val="002E496E"/>
    <w:rsid w:val="00303D62"/>
    <w:rsid w:val="00311AE2"/>
    <w:rsid w:val="00312481"/>
    <w:rsid w:val="00315D0A"/>
    <w:rsid w:val="00335367"/>
    <w:rsid w:val="00370C2D"/>
    <w:rsid w:val="00370D6E"/>
    <w:rsid w:val="00393933"/>
    <w:rsid w:val="003B10F1"/>
    <w:rsid w:val="003C0442"/>
    <w:rsid w:val="003D1E8D"/>
    <w:rsid w:val="003D673B"/>
    <w:rsid w:val="003F2855"/>
    <w:rsid w:val="00401C20"/>
    <w:rsid w:val="0043397F"/>
    <w:rsid w:val="0043450C"/>
    <w:rsid w:val="004352A8"/>
    <w:rsid w:val="0044206B"/>
    <w:rsid w:val="0044784B"/>
    <w:rsid w:val="00471749"/>
    <w:rsid w:val="004719F8"/>
    <w:rsid w:val="004771DD"/>
    <w:rsid w:val="00477374"/>
    <w:rsid w:val="004A7957"/>
    <w:rsid w:val="004B0AD1"/>
    <w:rsid w:val="004B2AD5"/>
    <w:rsid w:val="004B2E33"/>
    <w:rsid w:val="004B34C9"/>
    <w:rsid w:val="004C4144"/>
    <w:rsid w:val="004D4132"/>
    <w:rsid w:val="004E169D"/>
    <w:rsid w:val="004E21E7"/>
    <w:rsid w:val="00501F5B"/>
    <w:rsid w:val="005220C2"/>
    <w:rsid w:val="005648E1"/>
    <w:rsid w:val="005651C1"/>
    <w:rsid w:val="005924EE"/>
    <w:rsid w:val="005A1D23"/>
    <w:rsid w:val="005A4C28"/>
    <w:rsid w:val="005A54B1"/>
    <w:rsid w:val="005B64F8"/>
    <w:rsid w:val="005C0145"/>
    <w:rsid w:val="005C2C38"/>
    <w:rsid w:val="005D6669"/>
    <w:rsid w:val="005F17B8"/>
    <w:rsid w:val="00643E0B"/>
    <w:rsid w:val="0065739B"/>
    <w:rsid w:val="00662F62"/>
    <w:rsid w:val="00674509"/>
    <w:rsid w:val="00685459"/>
    <w:rsid w:val="006969B4"/>
    <w:rsid w:val="006D3CA8"/>
    <w:rsid w:val="006D7572"/>
    <w:rsid w:val="006E4F7B"/>
    <w:rsid w:val="00745DB0"/>
    <w:rsid w:val="007477D3"/>
    <w:rsid w:val="0076556C"/>
    <w:rsid w:val="00781E2A"/>
    <w:rsid w:val="007846E8"/>
    <w:rsid w:val="007925DD"/>
    <w:rsid w:val="007928D9"/>
    <w:rsid w:val="007933A2"/>
    <w:rsid w:val="007A3EA5"/>
    <w:rsid w:val="007B1F79"/>
    <w:rsid w:val="007C20F6"/>
    <w:rsid w:val="007E699D"/>
    <w:rsid w:val="00814503"/>
    <w:rsid w:val="008258C2"/>
    <w:rsid w:val="00832BF2"/>
    <w:rsid w:val="00840CE3"/>
    <w:rsid w:val="008505BD"/>
    <w:rsid w:val="00850C78"/>
    <w:rsid w:val="00856E95"/>
    <w:rsid w:val="00861BDF"/>
    <w:rsid w:val="00870C82"/>
    <w:rsid w:val="00876944"/>
    <w:rsid w:val="00880D50"/>
    <w:rsid w:val="00884D12"/>
    <w:rsid w:val="008A2545"/>
    <w:rsid w:val="008C17AD"/>
    <w:rsid w:val="008C3477"/>
    <w:rsid w:val="008D02CD"/>
    <w:rsid w:val="008D4012"/>
    <w:rsid w:val="008D4974"/>
    <w:rsid w:val="008D6A9A"/>
    <w:rsid w:val="008F51F7"/>
    <w:rsid w:val="00906C24"/>
    <w:rsid w:val="0091370C"/>
    <w:rsid w:val="00914F48"/>
    <w:rsid w:val="00935EE0"/>
    <w:rsid w:val="009447A3"/>
    <w:rsid w:val="0094526A"/>
    <w:rsid w:val="0094787D"/>
    <w:rsid w:val="00947E0C"/>
    <w:rsid w:val="0095172A"/>
    <w:rsid w:val="00972C38"/>
    <w:rsid w:val="00975374"/>
    <w:rsid w:val="009A0BA0"/>
    <w:rsid w:val="009C2F92"/>
    <w:rsid w:val="009D42F6"/>
    <w:rsid w:val="009E2CE2"/>
    <w:rsid w:val="009F3C4F"/>
    <w:rsid w:val="00A06142"/>
    <w:rsid w:val="00A15010"/>
    <w:rsid w:val="00A2349E"/>
    <w:rsid w:val="00A35B20"/>
    <w:rsid w:val="00A43295"/>
    <w:rsid w:val="00A50E17"/>
    <w:rsid w:val="00A54E47"/>
    <w:rsid w:val="00A616F9"/>
    <w:rsid w:val="00A61BAD"/>
    <w:rsid w:val="00A7669C"/>
    <w:rsid w:val="00A95866"/>
    <w:rsid w:val="00A968E4"/>
    <w:rsid w:val="00AA122B"/>
    <w:rsid w:val="00AA2439"/>
    <w:rsid w:val="00AB1BFC"/>
    <w:rsid w:val="00AB6E3A"/>
    <w:rsid w:val="00AD7A43"/>
    <w:rsid w:val="00AD7F61"/>
    <w:rsid w:val="00AE7093"/>
    <w:rsid w:val="00AF35F7"/>
    <w:rsid w:val="00B03927"/>
    <w:rsid w:val="00B20A0D"/>
    <w:rsid w:val="00B35A13"/>
    <w:rsid w:val="00B422BC"/>
    <w:rsid w:val="00B43F77"/>
    <w:rsid w:val="00B4780F"/>
    <w:rsid w:val="00B50D71"/>
    <w:rsid w:val="00B55A3E"/>
    <w:rsid w:val="00B63C5F"/>
    <w:rsid w:val="00B66599"/>
    <w:rsid w:val="00B83548"/>
    <w:rsid w:val="00B83EC6"/>
    <w:rsid w:val="00B87E9E"/>
    <w:rsid w:val="00B91CF0"/>
    <w:rsid w:val="00B95F0A"/>
    <w:rsid w:val="00B96180"/>
    <w:rsid w:val="00BA0DF0"/>
    <w:rsid w:val="00BA664C"/>
    <w:rsid w:val="00BB5B34"/>
    <w:rsid w:val="00BC7909"/>
    <w:rsid w:val="00BD39F8"/>
    <w:rsid w:val="00BE7A3B"/>
    <w:rsid w:val="00BF3474"/>
    <w:rsid w:val="00BF4565"/>
    <w:rsid w:val="00BF4837"/>
    <w:rsid w:val="00BF4DEF"/>
    <w:rsid w:val="00C116FE"/>
    <w:rsid w:val="00C16DE7"/>
    <w:rsid w:val="00C17AC0"/>
    <w:rsid w:val="00C34772"/>
    <w:rsid w:val="00C4436D"/>
    <w:rsid w:val="00C461B8"/>
    <w:rsid w:val="00C4717B"/>
    <w:rsid w:val="00C5465A"/>
    <w:rsid w:val="00C639FD"/>
    <w:rsid w:val="00C64CAA"/>
    <w:rsid w:val="00C82703"/>
    <w:rsid w:val="00C87AB0"/>
    <w:rsid w:val="00CB672B"/>
    <w:rsid w:val="00CD314C"/>
    <w:rsid w:val="00CD5191"/>
    <w:rsid w:val="00CD6B62"/>
    <w:rsid w:val="00D011EA"/>
    <w:rsid w:val="00D1282C"/>
    <w:rsid w:val="00D138ED"/>
    <w:rsid w:val="00D14850"/>
    <w:rsid w:val="00D222DB"/>
    <w:rsid w:val="00D37D43"/>
    <w:rsid w:val="00D54642"/>
    <w:rsid w:val="00D57894"/>
    <w:rsid w:val="00D85A52"/>
    <w:rsid w:val="00D90D0C"/>
    <w:rsid w:val="00D93848"/>
    <w:rsid w:val="00DA55DA"/>
    <w:rsid w:val="00DB3890"/>
    <w:rsid w:val="00DC382A"/>
    <w:rsid w:val="00DC6F95"/>
    <w:rsid w:val="00DD77C9"/>
    <w:rsid w:val="00DF3538"/>
    <w:rsid w:val="00E106F2"/>
    <w:rsid w:val="00E2103A"/>
    <w:rsid w:val="00E32633"/>
    <w:rsid w:val="00E512D1"/>
    <w:rsid w:val="00E75FE2"/>
    <w:rsid w:val="00E802A5"/>
    <w:rsid w:val="00E839B0"/>
    <w:rsid w:val="00E92C09"/>
    <w:rsid w:val="00EA00E8"/>
    <w:rsid w:val="00EA0308"/>
    <w:rsid w:val="00EA1E7C"/>
    <w:rsid w:val="00EA2787"/>
    <w:rsid w:val="00EB4FD7"/>
    <w:rsid w:val="00EB7C73"/>
    <w:rsid w:val="00EC6221"/>
    <w:rsid w:val="00ED5495"/>
    <w:rsid w:val="00EE66DC"/>
    <w:rsid w:val="00EE6A1F"/>
    <w:rsid w:val="00EF0159"/>
    <w:rsid w:val="00F0248F"/>
    <w:rsid w:val="00F0409A"/>
    <w:rsid w:val="00F07178"/>
    <w:rsid w:val="00F14380"/>
    <w:rsid w:val="00F30478"/>
    <w:rsid w:val="00F4654B"/>
    <w:rsid w:val="00F46710"/>
    <w:rsid w:val="00F6461F"/>
    <w:rsid w:val="00F709F9"/>
    <w:rsid w:val="00F77E60"/>
    <w:rsid w:val="00F8213E"/>
    <w:rsid w:val="00F86D23"/>
    <w:rsid w:val="00F94DC1"/>
    <w:rsid w:val="00FC416A"/>
    <w:rsid w:val="00FC4F62"/>
    <w:rsid w:val="00FD2B2D"/>
    <w:rsid w:val="00FE565B"/>
    <w:rsid w:val="00FF28D5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51F4900D-4B21-4473-8AFE-DC0AD932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B6659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character" w:customStyle="1" w:styleId="enumlev1Char">
    <w:name w:val="enumlev1 Char"/>
    <w:link w:val="enumlev1"/>
    <w:rsid w:val="007928D9"/>
    <w:rPr>
      <w:rFonts w:asciiTheme="minorHAnsi" w:hAnsiTheme="minorHAnsi"/>
      <w:sz w:val="24"/>
      <w:lang w:val="es-ES_tradnl" w:eastAsia="en-US"/>
    </w:rPr>
  </w:style>
  <w:style w:type="paragraph" w:customStyle="1" w:styleId="Annextitle0">
    <w:name w:val="Annex_title"/>
    <w:basedOn w:val="Normal"/>
    <w:next w:val="Normal"/>
    <w:rsid w:val="00F30478"/>
    <w:pPr>
      <w:keepNext/>
      <w:keepLines/>
      <w:spacing w:before="240" w:after="280"/>
      <w:jc w:val="center"/>
    </w:pPr>
    <w:rPr>
      <w:rFonts w:ascii="Calibri" w:hAnsi="Calibri"/>
      <w:b/>
      <w:sz w:val="28"/>
      <w:lang w:val="en-GB"/>
    </w:rPr>
  </w:style>
  <w:style w:type="paragraph" w:customStyle="1" w:styleId="AnnexNo">
    <w:name w:val="Annex_No"/>
    <w:basedOn w:val="AnnexNotitle"/>
    <w:rsid w:val="00F30478"/>
  </w:style>
  <w:style w:type="paragraph" w:styleId="PlainText">
    <w:name w:val="Plain Text"/>
    <w:basedOn w:val="Normal"/>
    <w:link w:val="PlainTextChar"/>
    <w:uiPriority w:val="99"/>
    <w:unhideWhenUsed/>
    <w:rsid w:val="004773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="Calibri" w:hAnsi="Calibri" w:cs="Arial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77374"/>
    <w:rPr>
      <w:rFonts w:ascii="Calibri" w:eastAsia="Calibri" w:hAnsi="Calibri" w:cs="Arial"/>
      <w:sz w:val="22"/>
      <w:szCs w:val="21"/>
      <w:lang w:eastAsia="en-US"/>
    </w:rPr>
  </w:style>
  <w:style w:type="paragraph" w:customStyle="1" w:styleId="Reasons">
    <w:name w:val="Reasons"/>
    <w:basedOn w:val="Normal"/>
    <w:qFormat/>
    <w:rsid w:val="00501F5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AA243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A2439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fgnet2030@itu.int" TargetMode="External"/><Relationship Id="rId18" Type="http://schemas.openxmlformats.org/officeDocument/2006/relationships/hyperlink" Target="https://www.itu.int/en/ITU-T/focusgroups/net2030/Pages/default.aspx" TargetMode="External"/><Relationship Id="rId3" Type="http://schemas.openxmlformats.org/officeDocument/2006/relationships/styles" Target="styles.xml"/><Relationship Id="rId21" Type="http://schemas.openxmlformats.org/officeDocument/2006/relationships/hyperlink" Target="mailto:yongliu@nyu.ed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rec/T-REC-A.7/es" TargetMode="External"/><Relationship Id="rId17" Type="http://schemas.openxmlformats.org/officeDocument/2006/relationships/hyperlink" Target="https://www.itu.int/en/ITU-T/focusgroups/net2030/Pages/default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focusgroups/net2030/Pages/default.aspx" TargetMode="External"/><Relationship Id="rId20" Type="http://schemas.openxmlformats.org/officeDocument/2006/relationships/hyperlink" Target="mailto:tsbfgnet2030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net203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focusgroups/net2030/Pages/default.aspx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en/ITU-T/focusgroups/net2030/Pages/default.aspx" TargetMode="External"/><Relationship Id="rId19" Type="http://schemas.openxmlformats.org/officeDocument/2006/relationships/hyperlink" Target="https://www.itu.int/en/ITU-T/focusgroups/net2030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net2030@itu.int" TargetMode="External"/><Relationship Id="rId14" Type="http://schemas.openxmlformats.org/officeDocument/2006/relationships/hyperlink" Target="https://www.itu.int/en/ITU-T/focusgroups/net2030/Pages/default.aspx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ejon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933A6-5874-4611-AF21-2F8856EC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178</TotalTime>
  <Pages>7</Pages>
  <Words>2503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16905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Osvath, Alexandra</cp:lastModifiedBy>
  <cp:revision>11</cp:revision>
  <cp:lastPrinted>2018-08-13T07:32:00Z</cp:lastPrinted>
  <dcterms:created xsi:type="dcterms:W3CDTF">2018-08-08T09:24:00Z</dcterms:created>
  <dcterms:modified xsi:type="dcterms:W3CDTF">2018-08-13T07:32:00Z</dcterms:modified>
</cp:coreProperties>
</file>