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333A8E" w:rsidTr="00C95F49">
        <w:trPr>
          <w:cantSplit/>
        </w:trPr>
        <w:tc>
          <w:tcPr>
            <w:tcW w:w="1418" w:type="dxa"/>
            <w:vAlign w:val="center"/>
          </w:tcPr>
          <w:p w:rsidR="00341117" w:rsidRPr="00333A8E" w:rsidRDefault="00341117" w:rsidP="00112EA5">
            <w:pPr>
              <w:tabs>
                <w:tab w:val="right" w:pos="8732"/>
              </w:tabs>
              <w:spacing w:before="0"/>
              <w:rPr>
                <w:rFonts w:asciiTheme="minorHAnsi" w:hAnsiTheme="minorHAnsi"/>
                <w:b/>
                <w:bCs/>
                <w:iCs/>
                <w:color w:val="FFFFFF"/>
                <w:sz w:val="30"/>
                <w:szCs w:val="30"/>
              </w:rPr>
            </w:pPr>
            <w:r w:rsidRPr="00333A8E">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333A8E" w:rsidRDefault="00341117" w:rsidP="00112EA5">
            <w:pPr>
              <w:spacing w:before="0"/>
              <w:rPr>
                <w:rFonts w:asciiTheme="minorHAnsi" w:hAnsiTheme="minorHAnsi" w:cs="Times New Roman Bold"/>
                <w:b/>
                <w:bCs/>
                <w:iCs/>
                <w:smallCaps/>
                <w:sz w:val="34"/>
                <w:szCs w:val="34"/>
              </w:rPr>
            </w:pPr>
            <w:r w:rsidRPr="00333A8E">
              <w:rPr>
                <w:rFonts w:asciiTheme="minorHAnsi" w:hAnsiTheme="minorHAnsi" w:cs="Times New Roman Bold"/>
                <w:b/>
                <w:bCs/>
                <w:iCs/>
                <w:smallCaps/>
                <w:sz w:val="34"/>
                <w:szCs w:val="34"/>
              </w:rPr>
              <w:t>Union internationale des télécommunications</w:t>
            </w:r>
          </w:p>
          <w:p w:rsidR="00341117" w:rsidRPr="00333A8E" w:rsidRDefault="00341117" w:rsidP="00112EA5">
            <w:pPr>
              <w:tabs>
                <w:tab w:val="right" w:pos="8732"/>
              </w:tabs>
              <w:spacing w:before="0"/>
              <w:rPr>
                <w:rFonts w:asciiTheme="minorHAnsi" w:hAnsiTheme="minorHAnsi"/>
                <w:b/>
                <w:bCs/>
                <w:iCs/>
                <w:color w:val="FFFFFF"/>
                <w:sz w:val="30"/>
                <w:szCs w:val="30"/>
              </w:rPr>
            </w:pPr>
            <w:r w:rsidRPr="00333A8E">
              <w:rPr>
                <w:rFonts w:asciiTheme="minorHAnsi" w:hAnsiTheme="minorHAnsi" w:cs="Times New Roman Bold"/>
                <w:b/>
                <w:bCs/>
                <w:iCs/>
                <w:smallCaps/>
                <w:sz w:val="28"/>
                <w:szCs w:val="28"/>
              </w:rPr>
              <w:t>B</w:t>
            </w:r>
            <w:r w:rsidRPr="00333A8E">
              <w:rPr>
                <w:rFonts w:asciiTheme="minorHAnsi" w:hAnsiTheme="minorHAnsi"/>
                <w:b/>
                <w:bCs/>
                <w:iCs/>
                <w:smallCaps/>
                <w:sz w:val="28"/>
                <w:szCs w:val="28"/>
              </w:rPr>
              <w:t>ureau de la Normalisation des Télécommunications</w:t>
            </w:r>
          </w:p>
        </w:tc>
        <w:tc>
          <w:tcPr>
            <w:tcW w:w="1984" w:type="dxa"/>
            <w:vAlign w:val="center"/>
          </w:tcPr>
          <w:p w:rsidR="00341117" w:rsidRPr="00333A8E" w:rsidRDefault="00341117" w:rsidP="00112EA5">
            <w:pPr>
              <w:spacing w:before="0"/>
              <w:jc w:val="right"/>
              <w:rPr>
                <w:rFonts w:asciiTheme="minorHAnsi" w:hAnsiTheme="minorHAnsi"/>
                <w:color w:val="FFFFFF"/>
                <w:sz w:val="26"/>
                <w:szCs w:val="26"/>
              </w:rPr>
            </w:pPr>
          </w:p>
        </w:tc>
      </w:tr>
    </w:tbl>
    <w:p w:rsidR="00341117" w:rsidRPr="00443110" w:rsidRDefault="00341117" w:rsidP="00112EA5">
      <w:pPr>
        <w:tabs>
          <w:tab w:val="clear" w:pos="794"/>
          <w:tab w:val="clear" w:pos="1191"/>
          <w:tab w:val="clear" w:pos="1588"/>
          <w:tab w:val="clear" w:pos="1985"/>
          <w:tab w:val="left" w:pos="4962"/>
        </w:tabs>
        <w:spacing w:before="0"/>
        <w:rPr>
          <w:rFonts w:asciiTheme="minorHAnsi" w:hAnsiTheme="minorHAnsi"/>
          <w:sz w:val="12"/>
          <w:szCs w:val="12"/>
        </w:rPr>
      </w:pPr>
    </w:p>
    <w:p w:rsidR="00517A03" w:rsidRPr="00333A8E" w:rsidRDefault="00517A03" w:rsidP="00F36FA5">
      <w:pPr>
        <w:tabs>
          <w:tab w:val="clear" w:pos="794"/>
          <w:tab w:val="clear" w:pos="1191"/>
          <w:tab w:val="clear" w:pos="1588"/>
          <w:tab w:val="clear" w:pos="1985"/>
          <w:tab w:val="left" w:pos="4962"/>
        </w:tabs>
        <w:spacing w:before="0"/>
        <w:rPr>
          <w:rFonts w:asciiTheme="minorHAnsi" w:hAnsiTheme="minorHAnsi"/>
        </w:rPr>
      </w:pPr>
      <w:r w:rsidRPr="00333A8E">
        <w:rPr>
          <w:rFonts w:asciiTheme="minorHAnsi" w:hAnsiTheme="minorHAnsi"/>
        </w:rPr>
        <w:tab/>
        <w:t xml:space="preserve">Genève, le </w:t>
      </w:r>
      <w:r w:rsidR="00F36FA5" w:rsidRPr="00333A8E">
        <w:rPr>
          <w:rFonts w:asciiTheme="minorHAnsi" w:hAnsiTheme="minorHAnsi"/>
        </w:rPr>
        <w:t xml:space="preserve">31 juillet </w:t>
      </w:r>
      <w:r w:rsidR="008314F5" w:rsidRPr="00333A8E">
        <w:rPr>
          <w:rFonts w:asciiTheme="minorHAnsi" w:hAnsiTheme="minorHAnsi"/>
        </w:rPr>
        <w:t>201</w:t>
      </w:r>
      <w:r w:rsidR="00F36FA5" w:rsidRPr="00333A8E">
        <w:rPr>
          <w:rFonts w:asciiTheme="minorHAnsi" w:hAnsiTheme="minorHAnsi"/>
        </w:rPr>
        <w:t>8</w:t>
      </w:r>
    </w:p>
    <w:p w:rsidR="00517A03" w:rsidRPr="00443110" w:rsidRDefault="00517A03" w:rsidP="00112EA5">
      <w:pPr>
        <w:spacing w:before="0"/>
        <w:rPr>
          <w:rFonts w:asciiTheme="minorHAnsi" w:hAnsiTheme="minorHAnsi"/>
          <w:sz w:val="12"/>
          <w:szCs w:val="12"/>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333A8E" w:rsidTr="00697BC1">
        <w:trPr>
          <w:cantSplit/>
          <w:trHeight w:val="340"/>
        </w:trPr>
        <w:tc>
          <w:tcPr>
            <w:tcW w:w="822" w:type="dxa"/>
          </w:tcPr>
          <w:p w:rsidR="00517A03" w:rsidRPr="00333A8E" w:rsidRDefault="00517A03" w:rsidP="00112EA5">
            <w:pPr>
              <w:tabs>
                <w:tab w:val="left" w:pos="4111"/>
              </w:tabs>
              <w:spacing w:before="10"/>
              <w:ind w:left="57"/>
              <w:rPr>
                <w:rFonts w:asciiTheme="minorHAnsi" w:hAnsiTheme="minorHAnsi"/>
                <w:b/>
                <w:bCs/>
              </w:rPr>
            </w:pPr>
            <w:r w:rsidRPr="00333A8E">
              <w:rPr>
                <w:rFonts w:asciiTheme="minorHAnsi" w:hAnsiTheme="minorHAnsi"/>
                <w:b/>
                <w:bCs/>
              </w:rPr>
              <w:t>Réf.:</w:t>
            </w:r>
          </w:p>
          <w:p w:rsidR="00517A03" w:rsidRPr="00333A8E" w:rsidRDefault="00517A03" w:rsidP="00112EA5">
            <w:pPr>
              <w:tabs>
                <w:tab w:val="left" w:pos="4111"/>
              </w:tabs>
              <w:spacing w:before="10"/>
              <w:ind w:left="57"/>
              <w:rPr>
                <w:rFonts w:asciiTheme="minorHAnsi" w:hAnsiTheme="minorHAnsi"/>
              </w:rPr>
            </w:pPr>
          </w:p>
          <w:p w:rsidR="00517A03" w:rsidRPr="00333A8E" w:rsidRDefault="00517A03" w:rsidP="00112EA5">
            <w:pPr>
              <w:tabs>
                <w:tab w:val="left" w:pos="4111"/>
              </w:tabs>
              <w:spacing w:before="10"/>
              <w:ind w:left="57"/>
              <w:rPr>
                <w:rFonts w:asciiTheme="minorHAnsi" w:hAnsiTheme="minorHAnsi"/>
              </w:rPr>
            </w:pPr>
          </w:p>
          <w:p w:rsidR="00517A03" w:rsidRPr="00333A8E" w:rsidRDefault="00517A03" w:rsidP="00112EA5">
            <w:pPr>
              <w:tabs>
                <w:tab w:val="left" w:pos="4111"/>
              </w:tabs>
              <w:spacing w:before="10"/>
              <w:ind w:left="57"/>
              <w:rPr>
                <w:rFonts w:asciiTheme="minorHAnsi" w:hAnsiTheme="minorHAnsi"/>
              </w:rPr>
            </w:pPr>
            <w:r w:rsidRPr="00333A8E">
              <w:rPr>
                <w:rFonts w:asciiTheme="minorHAnsi" w:hAnsiTheme="minorHAnsi"/>
                <w:b/>
                <w:bCs/>
              </w:rPr>
              <w:t>Tél.:</w:t>
            </w:r>
            <w:r w:rsidRPr="00333A8E">
              <w:rPr>
                <w:rFonts w:asciiTheme="minorHAnsi" w:hAnsiTheme="minorHAnsi"/>
              </w:rPr>
              <w:br/>
            </w:r>
            <w:r w:rsidRPr="00333A8E">
              <w:rPr>
                <w:rFonts w:asciiTheme="minorHAnsi" w:hAnsiTheme="minorHAnsi"/>
                <w:b/>
                <w:bCs/>
              </w:rPr>
              <w:t>Fax:</w:t>
            </w:r>
            <w:r w:rsidRPr="00333A8E">
              <w:rPr>
                <w:rFonts w:asciiTheme="minorHAnsi" w:hAnsiTheme="minorHAnsi"/>
              </w:rPr>
              <w:br/>
            </w:r>
            <w:r w:rsidRPr="00333A8E">
              <w:rPr>
                <w:rFonts w:asciiTheme="minorHAnsi" w:hAnsiTheme="minorHAnsi"/>
                <w:b/>
                <w:bCs/>
              </w:rPr>
              <w:t>E-mail:</w:t>
            </w:r>
          </w:p>
        </w:tc>
        <w:tc>
          <w:tcPr>
            <w:tcW w:w="4055" w:type="dxa"/>
          </w:tcPr>
          <w:p w:rsidR="00517A03" w:rsidRPr="00333A8E" w:rsidRDefault="00047A60" w:rsidP="00F36FA5">
            <w:pPr>
              <w:tabs>
                <w:tab w:val="left" w:pos="4111"/>
              </w:tabs>
              <w:spacing w:before="10"/>
              <w:ind w:left="57"/>
              <w:rPr>
                <w:rFonts w:asciiTheme="minorHAnsi" w:hAnsiTheme="minorHAnsi"/>
                <w:b/>
              </w:rPr>
            </w:pPr>
            <w:r w:rsidRPr="00333A8E">
              <w:rPr>
                <w:rFonts w:asciiTheme="minorHAnsi" w:hAnsiTheme="minorHAnsi"/>
                <w:b/>
              </w:rPr>
              <w:t xml:space="preserve">Circulaire TSB </w:t>
            </w:r>
            <w:r w:rsidR="00F36FA5" w:rsidRPr="00333A8E">
              <w:rPr>
                <w:rFonts w:asciiTheme="minorHAnsi" w:hAnsiTheme="minorHAnsi"/>
                <w:b/>
              </w:rPr>
              <w:t>104</w:t>
            </w:r>
          </w:p>
          <w:p w:rsidR="00517A03" w:rsidRPr="00333A8E" w:rsidRDefault="00F36FA5" w:rsidP="00112EA5">
            <w:pPr>
              <w:tabs>
                <w:tab w:val="left" w:pos="4111"/>
              </w:tabs>
              <w:spacing w:before="10"/>
              <w:ind w:left="57"/>
              <w:rPr>
                <w:rFonts w:asciiTheme="minorHAnsi" w:hAnsiTheme="minorHAnsi"/>
                <w:b/>
              </w:rPr>
            </w:pPr>
            <w:r w:rsidRPr="00333A8E">
              <w:t>FG NET-2030/TK</w:t>
            </w:r>
          </w:p>
          <w:p w:rsidR="00517A03" w:rsidRPr="00333A8E" w:rsidRDefault="00517A03" w:rsidP="00112EA5">
            <w:pPr>
              <w:tabs>
                <w:tab w:val="left" w:pos="4111"/>
              </w:tabs>
              <w:spacing w:before="10"/>
              <w:ind w:left="57"/>
              <w:rPr>
                <w:rFonts w:asciiTheme="minorHAnsi" w:hAnsiTheme="minorHAnsi"/>
              </w:rPr>
            </w:pPr>
          </w:p>
          <w:p w:rsidR="00517A03" w:rsidRPr="00333A8E" w:rsidRDefault="00517A03" w:rsidP="00EA78D7">
            <w:pPr>
              <w:tabs>
                <w:tab w:val="left" w:pos="4111"/>
              </w:tabs>
              <w:spacing w:before="10"/>
              <w:ind w:left="57"/>
              <w:rPr>
                <w:rFonts w:asciiTheme="minorHAnsi" w:hAnsiTheme="minorHAnsi"/>
              </w:rPr>
            </w:pPr>
            <w:r w:rsidRPr="00333A8E">
              <w:rPr>
                <w:rFonts w:asciiTheme="minorHAnsi" w:hAnsiTheme="minorHAnsi"/>
              </w:rPr>
              <w:t xml:space="preserve">+41 22 730 </w:t>
            </w:r>
            <w:r w:rsidR="00047A60" w:rsidRPr="00333A8E">
              <w:rPr>
                <w:rFonts w:asciiTheme="minorHAnsi" w:hAnsiTheme="minorHAnsi"/>
              </w:rPr>
              <w:t>5</w:t>
            </w:r>
            <w:r w:rsidR="008249C0" w:rsidRPr="00333A8E">
              <w:rPr>
                <w:rFonts w:asciiTheme="minorHAnsi" w:hAnsiTheme="minorHAnsi"/>
              </w:rPr>
              <w:t>126</w:t>
            </w:r>
            <w:r w:rsidRPr="00333A8E">
              <w:rPr>
                <w:rFonts w:asciiTheme="minorHAnsi" w:hAnsiTheme="minorHAnsi"/>
              </w:rPr>
              <w:br/>
              <w:t>+41 22 730 5853</w:t>
            </w:r>
            <w:r w:rsidRPr="00333A8E">
              <w:rPr>
                <w:rFonts w:asciiTheme="minorHAnsi" w:hAnsiTheme="minorHAnsi"/>
              </w:rPr>
              <w:br/>
            </w:r>
            <w:hyperlink r:id="rId9" w:history="1">
              <w:r w:rsidR="00EA78D7" w:rsidRPr="006E6BDC">
                <w:rPr>
                  <w:rStyle w:val="Hyperlink"/>
                  <w:szCs w:val="22"/>
                </w:rPr>
                <w:t>tsbfgnet2030@itu.int</w:t>
              </w:r>
            </w:hyperlink>
          </w:p>
        </w:tc>
        <w:tc>
          <w:tcPr>
            <w:tcW w:w="5046" w:type="dxa"/>
            <w:gridSpan w:val="2"/>
          </w:tcPr>
          <w:p w:rsidR="00517A03" w:rsidRPr="00333A8E" w:rsidRDefault="00517A03" w:rsidP="00112EA5">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333A8E">
              <w:rPr>
                <w:rFonts w:asciiTheme="minorHAnsi" w:hAnsiTheme="minorHAnsi"/>
              </w:rPr>
              <w:t>-</w:t>
            </w:r>
            <w:r w:rsidRPr="00333A8E">
              <w:rPr>
                <w:rFonts w:asciiTheme="minorHAnsi" w:hAnsiTheme="minorHAnsi"/>
              </w:rPr>
              <w:tab/>
              <w:t>Aux administrations des Etats Membres de l</w:t>
            </w:r>
            <w:r w:rsidR="00167472" w:rsidRPr="00333A8E">
              <w:rPr>
                <w:rFonts w:asciiTheme="minorHAnsi" w:hAnsiTheme="minorHAnsi"/>
              </w:rPr>
              <w:t>'</w:t>
            </w:r>
            <w:r w:rsidRPr="00333A8E">
              <w:rPr>
                <w:rFonts w:asciiTheme="minorHAnsi" w:hAnsiTheme="minorHAnsi"/>
              </w:rPr>
              <w:t>Union</w:t>
            </w:r>
            <w:r w:rsidR="00047A60" w:rsidRPr="00333A8E">
              <w:rPr>
                <w:rFonts w:asciiTheme="minorHAnsi" w:hAnsiTheme="minorHAnsi"/>
              </w:rPr>
              <w:t>;</w:t>
            </w:r>
          </w:p>
          <w:p w:rsidR="00047A60" w:rsidRPr="00333A8E" w:rsidRDefault="00047A60" w:rsidP="00112EA5">
            <w:pPr>
              <w:tabs>
                <w:tab w:val="clear" w:pos="794"/>
                <w:tab w:val="clear" w:pos="1191"/>
                <w:tab w:val="clear" w:pos="1588"/>
                <w:tab w:val="clear" w:pos="1985"/>
                <w:tab w:val="left" w:pos="284"/>
              </w:tabs>
              <w:spacing w:before="0"/>
              <w:ind w:left="284" w:hanging="227"/>
              <w:rPr>
                <w:rFonts w:asciiTheme="minorHAnsi" w:hAnsiTheme="minorHAnsi"/>
              </w:rPr>
            </w:pPr>
            <w:r w:rsidRPr="00333A8E">
              <w:rPr>
                <w:rFonts w:asciiTheme="minorHAnsi" w:hAnsiTheme="minorHAnsi"/>
              </w:rPr>
              <w:t>-</w:t>
            </w:r>
            <w:r w:rsidRPr="00333A8E">
              <w:rPr>
                <w:rFonts w:asciiTheme="minorHAnsi" w:hAnsiTheme="minorHAnsi"/>
              </w:rPr>
              <w:tab/>
              <w:t>Aux Membres du Secteur UIT-T;</w:t>
            </w:r>
          </w:p>
          <w:p w:rsidR="00047A60" w:rsidRPr="00333A8E" w:rsidRDefault="00047A60" w:rsidP="00112EA5">
            <w:pPr>
              <w:tabs>
                <w:tab w:val="clear" w:pos="794"/>
                <w:tab w:val="clear" w:pos="1191"/>
                <w:tab w:val="clear" w:pos="1588"/>
                <w:tab w:val="clear" w:pos="1985"/>
                <w:tab w:val="left" w:pos="284"/>
              </w:tabs>
              <w:spacing w:before="0"/>
              <w:ind w:left="284" w:hanging="227"/>
              <w:rPr>
                <w:rFonts w:asciiTheme="minorHAnsi" w:hAnsiTheme="minorHAnsi"/>
              </w:rPr>
            </w:pPr>
            <w:r w:rsidRPr="00333A8E">
              <w:rPr>
                <w:rFonts w:asciiTheme="minorHAnsi" w:hAnsiTheme="minorHAnsi"/>
              </w:rPr>
              <w:t>-</w:t>
            </w:r>
            <w:r w:rsidRPr="00333A8E">
              <w:rPr>
                <w:rFonts w:asciiTheme="minorHAnsi" w:hAnsiTheme="minorHAnsi"/>
              </w:rPr>
              <w:tab/>
              <w:t>Aux Associés de l'UIT-T;</w:t>
            </w:r>
          </w:p>
          <w:p w:rsidR="008249C0" w:rsidRPr="00333A8E" w:rsidRDefault="00047A60" w:rsidP="00443110">
            <w:pPr>
              <w:tabs>
                <w:tab w:val="clear" w:pos="794"/>
                <w:tab w:val="clear" w:pos="1191"/>
                <w:tab w:val="clear" w:pos="1588"/>
                <w:tab w:val="clear" w:pos="1985"/>
                <w:tab w:val="left" w:pos="284"/>
              </w:tabs>
              <w:spacing w:before="0"/>
              <w:ind w:left="284" w:hanging="227"/>
              <w:rPr>
                <w:rFonts w:asciiTheme="minorHAnsi" w:hAnsiTheme="minorHAnsi"/>
              </w:rPr>
            </w:pPr>
            <w:r w:rsidRPr="00333A8E">
              <w:rPr>
                <w:rFonts w:asciiTheme="minorHAnsi" w:hAnsiTheme="minorHAnsi"/>
              </w:rPr>
              <w:t>-</w:t>
            </w:r>
            <w:r w:rsidRPr="00333A8E">
              <w:rPr>
                <w:rFonts w:asciiTheme="minorHAnsi" w:hAnsiTheme="minorHAnsi"/>
              </w:rPr>
              <w:tab/>
              <w:t>Aux établissements universitaires participant aux travaux de l'UIT</w:t>
            </w:r>
          </w:p>
        </w:tc>
      </w:tr>
      <w:tr w:rsidR="00517A03" w:rsidRPr="00333A8E" w:rsidTr="00697BC1">
        <w:trPr>
          <w:cantSplit/>
        </w:trPr>
        <w:tc>
          <w:tcPr>
            <w:tcW w:w="822" w:type="dxa"/>
          </w:tcPr>
          <w:p w:rsidR="00517A03" w:rsidRPr="00333A8E" w:rsidRDefault="00517A03" w:rsidP="00112EA5">
            <w:pPr>
              <w:tabs>
                <w:tab w:val="left" w:pos="4111"/>
              </w:tabs>
              <w:spacing w:before="10"/>
              <w:ind w:left="57"/>
              <w:rPr>
                <w:rFonts w:asciiTheme="minorHAnsi" w:hAnsiTheme="minorHAnsi"/>
                <w:sz w:val="20"/>
              </w:rPr>
            </w:pPr>
          </w:p>
        </w:tc>
        <w:tc>
          <w:tcPr>
            <w:tcW w:w="4055" w:type="dxa"/>
          </w:tcPr>
          <w:p w:rsidR="00517A03" w:rsidRPr="00333A8E" w:rsidRDefault="00517A03" w:rsidP="00112EA5">
            <w:pPr>
              <w:tabs>
                <w:tab w:val="left" w:pos="4111"/>
              </w:tabs>
              <w:spacing w:before="0"/>
              <w:ind w:left="57"/>
              <w:rPr>
                <w:rFonts w:asciiTheme="minorHAnsi" w:hAnsiTheme="minorHAnsi"/>
              </w:rPr>
            </w:pPr>
          </w:p>
        </w:tc>
        <w:tc>
          <w:tcPr>
            <w:tcW w:w="5046" w:type="dxa"/>
            <w:gridSpan w:val="2"/>
          </w:tcPr>
          <w:p w:rsidR="00517A03" w:rsidRPr="00333A8E" w:rsidRDefault="00517A03" w:rsidP="00112EA5">
            <w:pPr>
              <w:tabs>
                <w:tab w:val="left" w:pos="4111"/>
              </w:tabs>
              <w:spacing w:before="0"/>
              <w:rPr>
                <w:rFonts w:asciiTheme="minorHAnsi" w:hAnsiTheme="minorHAnsi"/>
              </w:rPr>
            </w:pPr>
            <w:r w:rsidRPr="00333A8E">
              <w:rPr>
                <w:rFonts w:asciiTheme="minorHAnsi" w:hAnsiTheme="minorHAnsi"/>
                <w:b/>
              </w:rPr>
              <w:t>Copie</w:t>
            </w:r>
            <w:r w:rsidRPr="00333A8E">
              <w:rPr>
                <w:rFonts w:asciiTheme="minorHAnsi" w:hAnsiTheme="minorHAnsi"/>
              </w:rPr>
              <w:t>:</w:t>
            </w:r>
          </w:p>
          <w:p w:rsidR="00517A03" w:rsidRPr="00333A8E" w:rsidRDefault="00517A03" w:rsidP="00112EA5">
            <w:pPr>
              <w:tabs>
                <w:tab w:val="clear" w:pos="794"/>
                <w:tab w:val="left" w:pos="226"/>
                <w:tab w:val="left" w:pos="4111"/>
              </w:tabs>
              <w:spacing w:before="0"/>
              <w:ind w:left="226" w:hanging="226"/>
              <w:rPr>
                <w:rFonts w:asciiTheme="minorHAnsi" w:hAnsiTheme="minorHAnsi"/>
              </w:rPr>
            </w:pPr>
            <w:r w:rsidRPr="00333A8E">
              <w:rPr>
                <w:rFonts w:asciiTheme="minorHAnsi" w:hAnsiTheme="minorHAnsi"/>
              </w:rPr>
              <w:t>-</w:t>
            </w:r>
            <w:r w:rsidRPr="00333A8E">
              <w:rPr>
                <w:rFonts w:asciiTheme="minorHAnsi" w:hAnsiTheme="minorHAnsi"/>
              </w:rPr>
              <w:tab/>
              <w:t>Au</w:t>
            </w:r>
            <w:r w:rsidR="00ED60C5" w:rsidRPr="00333A8E">
              <w:rPr>
                <w:rFonts w:asciiTheme="minorHAnsi" w:hAnsiTheme="minorHAnsi"/>
              </w:rPr>
              <w:t>x</w:t>
            </w:r>
            <w:r w:rsidRPr="00333A8E">
              <w:rPr>
                <w:rFonts w:asciiTheme="minorHAnsi" w:hAnsiTheme="minorHAnsi"/>
              </w:rPr>
              <w:t xml:space="preserve"> Président</w:t>
            </w:r>
            <w:r w:rsidR="00ED60C5" w:rsidRPr="00333A8E">
              <w:rPr>
                <w:rFonts w:asciiTheme="minorHAnsi" w:hAnsiTheme="minorHAnsi"/>
              </w:rPr>
              <w:t>s</w:t>
            </w:r>
            <w:r w:rsidRPr="00333A8E">
              <w:rPr>
                <w:rFonts w:asciiTheme="minorHAnsi" w:hAnsiTheme="minorHAnsi"/>
              </w:rPr>
              <w:t xml:space="preserve"> e</w:t>
            </w:r>
            <w:r w:rsidR="00ED60C5" w:rsidRPr="00333A8E">
              <w:rPr>
                <w:rFonts w:asciiTheme="minorHAnsi" w:hAnsiTheme="minorHAnsi"/>
              </w:rPr>
              <w:t>t</w:t>
            </w:r>
            <w:r w:rsidR="004F5BE9" w:rsidRPr="00333A8E">
              <w:rPr>
                <w:rFonts w:asciiTheme="minorHAnsi" w:hAnsiTheme="minorHAnsi"/>
              </w:rPr>
              <w:t xml:space="preserve"> </w:t>
            </w:r>
            <w:r w:rsidRPr="00333A8E">
              <w:rPr>
                <w:rFonts w:asciiTheme="minorHAnsi" w:hAnsiTheme="minorHAnsi"/>
              </w:rPr>
              <w:t>Vice-Présidents de</w:t>
            </w:r>
            <w:r w:rsidR="00A90C58" w:rsidRPr="00333A8E">
              <w:rPr>
                <w:rFonts w:asciiTheme="minorHAnsi" w:hAnsiTheme="minorHAnsi"/>
              </w:rPr>
              <w:t>s</w:t>
            </w:r>
            <w:r w:rsidRPr="00333A8E">
              <w:rPr>
                <w:rFonts w:asciiTheme="minorHAnsi" w:hAnsiTheme="minorHAnsi"/>
              </w:rPr>
              <w:t xml:space="preserve"> </w:t>
            </w:r>
            <w:r w:rsidR="00A90C58" w:rsidRPr="00333A8E">
              <w:rPr>
                <w:rFonts w:asciiTheme="minorHAnsi" w:hAnsiTheme="minorHAnsi"/>
              </w:rPr>
              <w:t xml:space="preserve">Commissions </w:t>
            </w:r>
            <w:r w:rsidRPr="00333A8E">
              <w:rPr>
                <w:rFonts w:asciiTheme="minorHAnsi" w:hAnsiTheme="minorHAnsi"/>
              </w:rPr>
              <w:t>d</w:t>
            </w:r>
            <w:r w:rsidR="00167472" w:rsidRPr="00333A8E">
              <w:rPr>
                <w:rFonts w:asciiTheme="minorHAnsi" w:hAnsiTheme="minorHAnsi"/>
              </w:rPr>
              <w:t>'</w:t>
            </w:r>
            <w:r w:rsidRPr="00333A8E">
              <w:rPr>
                <w:rFonts w:asciiTheme="minorHAnsi" w:hAnsiTheme="minorHAnsi"/>
              </w:rPr>
              <w:t>études</w:t>
            </w:r>
            <w:r w:rsidR="00200B7D" w:rsidRPr="00333A8E">
              <w:rPr>
                <w:rFonts w:asciiTheme="minorHAnsi" w:hAnsiTheme="minorHAnsi"/>
              </w:rPr>
              <w:t xml:space="preserve"> de l'UIT</w:t>
            </w:r>
            <w:r w:rsidR="00200B7D" w:rsidRPr="00333A8E">
              <w:rPr>
                <w:rFonts w:asciiTheme="minorHAnsi" w:hAnsiTheme="minorHAnsi"/>
              </w:rPr>
              <w:noBreakHyphen/>
              <w:t>T</w:t>
            </w:r>
            <w:r w:rsidRPr="00333A8E">
              <w:rPr>
                <w:rFonts w:asciiTheme="minorHAnsi" w:hAnsiTheme="minorHAnsi"/>
              </w:rPr>
              <w:t>;</w:t>
            </w:r>
          </w:p>
          <w:p w:rsidR="00517A03" w:rsidRPr="00333A8E" w:rsidRDefault="00517A03" w:rsidP="00112EA5">
            <w:pPr>
              <w:tabs>
                <w:tab w:val="clear" w:pos="794"/>
                <w:tab w:val="left" w:pos="226"/>
                <w:tab w:val="left" w:pos="4111"/>
              </w:tabs>
              <w:spacing w:before="0"/>
              <w:ind w:left="226" w:hanging="226"/>
              <w:rPr>
                <w:rFonts w:asciiTheme="minorHAnsi" w:hAnsiTheme="minorHAnsi"/>
              </w:rPr>
            </w:pPr>
            <w:r w:rsidRPr="00333A8E">
              <w:rPr>
                <w:rFonts w:asciiTheme="minorHAnsi" w:hAnsiTheme="minorHAnsi"/>
              </w:rPr>
              <w:t>-</w:t>
            </w:r>
            <w:r w:rsidRPr="00333A8E">
              <w:rPr>
                <w:rFonts w:asciiTheme="minorHAnsi" w:hAnsiTheme="minorHAnsi"/>
              </w:rPr>
              <w:tab/>
              <w:t>Au Directeur</w:t>
            </w:r>
            <w:r w:rsidR="00443110">
              <w:rPr>
                <w:rFonts w:asciiTheme="minorHAnsi" w:hAnsiTheme="minorHAnsi"/>
              </w:rPr>
              <w:t xml:space="preserve"> du Bureau de développement des </w:t>
            </w:r>
            <w:r w:rsidRPr="00333A8E">
              <w:rPr>
                <w:rFonts w:asciiTheme="minorHAnsi" w:hAnsiTheme="minorHAnsi"/>
              </w:rPr>
              <w:t>télécommunications;</w:t>
            </w:r>
          </w:p>
          <w:p w:rsidR="00517A03" w:rsidRPr="00333A8E" w:rsidRDefault="00517A03" w:rsidP="00112EA5">
            <w:pPr>
              <w:tabs>
                <w:tab w:val="clear" w:pos="794"/>
                <w:tab w:val="left" w:pos="226"/>
                <w:tab w:val="left" w:pos="4111"/>
              </w:tabs>
              <w:spacing w:before="0"/>
              <w:ind w:left="226" w:hanging="226"/>
              <w:rPr>
                <w:rFonts w:asciiTheme="minorHAnsi" w:hAnsiTheme="minorHAnsi"/>
              </w:rPr>
            </w:pPr>
            <w:r w:rsidRPr="00333A8E">
              <w:rPr>
                <w:rFonts w:asciiTheme="minorHAnsi" w:hAnsiTheme="minorHAnsi"/>
              </w:rPr>
              <w:t>-</w:t>
            </w:r>
            <w:r w:rsidRPr="00333A8E">
              <w:rPr>
                <w:rFonts w:asciiTheme="minorHAnsi" w:hAnsiTheme="minorHAnsi"/>
              </w:rPr>
              <w:tab/>
              <w:t>Au Directeur du Bureau des</w:t>
            </w:r>
            <w:r w:rsidRPr="00333A8E">
              <w:rPr>
                <w:rFonts w:asciiTheme="minorHAnsi" w:hAnsiTheme="minorHAnsi"/>
              </w:rPr>
              <w:br/>
              <w:t>radiocommunications</w:t>
            </w:r>
          </w:p>
        </w:tc>
      </w:tr>
      <w:tr w:rsidR="00517A03" w:rsidRPr="00333A8E" w:rsidTr="00697BC1">
        <w:trPr>
          <w:gridAfter w:val="1"/>
          <w:wAfter w:w="8" w:type="dxa"/>
          <w:cantSplit/>
          <w:trHeight w:val="680"/>
        </w:trPr>
        <w:tc>
          <w:tcPr>
            <w:tcW w:w="822" w:type="dxa"/>
          </w:tcPr>
          <w:p w:rsidR="00517A03" w:rsidRPr="00333A8E" w:rsidRDefault="00517A03" w:rsidP="00112EA5">
            <w:pPr>
              <w:tabs>
                <w:tab w:val="left" w:pos="4111"/>
              </w:tabs>
              <w:ind w:left="57"/>
              <w:rPr>
                <w:rFonts w:asciiTheme="minorHAnsi" w:hAnsiTheme="minorHAnsi"/>
                <w:b/>
                <w:bCs/>
                <w:sz w:val="22"/>
              </w:rPr>
            </w:pPr>
            <w:r w:rsidRPr="00333A8E">
              <w:rPr>
                <w:rFonts w:asciiTheme="minorHAnsi" w:hAnsiTheme="minorHAnsi"/>
                <w:b/>
                <w:bCs/>
                <w:szCs w:val="22"/>
              </w:rPr>
              <w:t>Objet:</w:t>
            </w:r>
          </w:p>
        </w:tc>
        <w:tc>
          <w:tcPr>
            <w:tcW w:w="9093" w:type="dxa"/>
            <w:gridSpan w:val="2"/>
          </w:tcPr>
          <w:p w:rsidR="00517A03" w:rsidRPr="00333A8E" w:rsidRDefault="00A90C58" w:rsidP="00EA78D7">
            <w:pPr>
              <w:tabs>
                <w:tab w:val="left" w:pos="4111"/>
              </w:tabs>
              <w:ind w:left="57"/>
              <w:rPr>
                <w:rFonts w:asciiTheme="minorHAnsi" w:hAnsiTheme="minorHAnsi"/>
              </w:rPr>
            </w:pPr>
            <w:r w:rsidRPr="00333A8E">
              <w:rPr>
                <w:b/>
                <w:bCs/>
              </w:rPr>
              <w:t xml:space="preserve">Création </w:t>
            </w:r>
            <w:r w:rsidR="00F36FA5" w:rsidRPr="00333A8E">
              <w:rPr>
                <w:b/>
                <w:bCs/>
              </w:rPr>
              <w:t xml:space="preserve">du </w:t>
            </w:r>
            <w:r w:rsidRPr="00333A8E">
              <w:rPr>
                <w:b/>
                <w:bCs/>
              </w:rPr>
              <w:t xml:space="preserve">nouveau Groupe spécialisé de l'UIT-T sur </w:t>
            </w:r>
            <w:r w:rsidR="00F413B5">
              <w:rPr>
                <w:b/>
                <w:bCs/>
              </w:rPr>
              <w:t>les technologies pour le</w:t>
            </w:r>
            <w:r w:rsidR="00F36FA5" w:rsidRPr="00333A8E">
              <w:rPr>
                <w:b/>
                <w:bCs/>
              </w:rPr>
              <w:t xml:space="preserve"> réseau 2030 </w:t>
            </w:r>
            <w:r w:rsidR="008249C0" w:rsidRPr="00333A8E">
              <w:rPr>
                <w:b/>
                <w:bCs/>
              </w:rPr>
              <w:t>(FG</w:t>
            </w:r>
            <w:r w:rsidR="00EA78D7">
              <w:rPr>
                <w:b/>
                <w:bCs/>
              </w:rPr>
              <w:t> </w:t>
            </w:r>
            <w:r w:rsidR="00F36FA5" w:rsidRPr="00333A8E">
              <w:rPr>
                <w:b/>
                <w:bCs/>
              </w:rPr>
              <w:t>NET-2030</w:t>
            </w:r>
            <w:r w:rsidR="008249C0" w:rsidRPr="00333A8E">
              <w:rPr>
                <w:b/>
                <w:bCs/>
              </w:rPr>
              <w:t>)</w:t>
            </w:r>
            <w:r w:rsidR="004F5BE9" w:rsidRPr="00333A8E">
              <w:rPr>
                <w:b/>
                <w:bCs/>
              </w:rPr>
              <w:t xml:space="preserve">, dont la première réunion aura lieu </w:t>
            </w:r>
            <w:r w:rsidR="00F36FA5" w:rsidRPr="00333A8E">
              <w:rPr>
                <w:b/>
                <w:bCs/>
              </w:rPr>
              <w:t xml:space="preserve">les 3 et 4 octobre 2018 à New York (Etats-Unis) </w:t>
            </w:r>
            <w:r w:rsidR="00891432" w:rsidRPr="00333A8E">
              <w:rPr>
                <w:b/>
                <w:bCs/>
              </w:rPr>
              <w:br/>
            </w:r>
            <w:r w:rsidR="00F36FA5" w:rsidRPr="00333A8E">
              <w:rPr>
                <w:b/>
                <w:bCs/>
              </w:rPr>
              <w:t>Premier a</w:t>
            </w:r>
            <w:r w:rsidR="004F5BE9" w:rsidRPr="00333A8E">
              <w:rPr>
                <w:b/>
                <w:bCs/>
              </w:rPr>
              <w:t xml:space="preserve">telier sur </w:t>
            </w:r>
            <w:r w:rsidR="00F36FA5" w:rsidRPr="00333A8E">
              <w:rPr>
                <w:b/>
                <w:bCs/>
              </w:rPr>
              <w:t xml:space="preserve">le thème "Réseau 2030", New York (Etats-Unis), 2 octobre </w:t>
            </w:r>
            <w:r w:rsidR="008249C0" w:rsidRPr="00333A8E">
              <w:rPr>
                <w:b/>
                <w:bCs/>
              </w:rPr>
              <w:t>2018</w:t>
            </w:r>
          </w:p>
        </w:tc>
      </w:tr>
    </w:tbl>
    <w:p w:rsidR="00517A03" w:rsidRPr="00333A8E" w:rsidRDefault="00517A03" w:rsidP="00112EA5">
      <w:pPr>
        <w:spacing w:before="360"/>
        <w:rPr>
          <w:rFonts w:asciiTheme="minorHAnsi" w:hAnsiTheme="minorHAnsi"/>
        </w:rPr>
      </w:pPr>
      <w:bookmarkStart w:id="1" w:name="StartTyping_F"/>
      <w:bookmarkEnd w:id="1"/>
      <w:r w:rsidRPr="00333A8E">
        <w:rPr>
          <w:rFonts w:asciiTheme="minorHAnsi" w:hAnsiTheme="minorHAnsi"/>
        </w:rPr>
        <w:t>Madame, Monsieur,</w:t>
      </w:r>
    </w:p>
    <w:p w:rsidR="00445243" w:rsidRPr="00333A8E" w:rsidRDefault="00445243" w:rsidP="00EA78D7">
      <w:r w:rsidRPr="00333A8E">
        <w:t>1</w:t>
      </w:r>
      <w:r w:rsidRPr="00333A8E">
        <w:tab/>
      </w:r>
      <w:r w:rsidR="00B672D9" w:rsidRPr="00333A8E">
        <w:t xml:space="preserve">J'ai l'honneur de vous annoncer qu'en réponse à l'intérêt croissant pour les réseaux futurs à l'horizon 2030 et au-delà, la Commission d'études 13 de l'UIT-T a décidé, à la réunion qu'elle a tenue à Genève du 16 au 27 juillet 2018, de créer le </w:t>
      </w:r>
      <w:hyperlink r:id="rId10" w:history="1">
        <w:r w:rsidRPr="00333A8E">
          <w:rPr>
            <w:rStyle w:val="Hyperlink"/>
          </w:rPr>
          <w:t>Group</w:t>
        </w:r>
        <w:r w:rsidR="00B672D9" w:rsidRPr="00333A8E">
          <w:rPr>
            <w:rStyle w:val="Hyperlink"/>
          </w:rPr>
          <w:t>e spécialisé de l'UIT</w:t>
        </w:r>
        <w:r w:rsidR="00B672D9" w:rsidRPr="00333A8E">
          <w:rPr>
            <w:rStyle w:val="Hyperlink"/>
          </w:rPr>
          <w:noBreakHyphen/>
          <w:t>T sur les t</w:t>
        </w:r>
        <w:r w:rsidRPr="00333A8E">
          <w:rPr>
            <w:rStyle w:val="Hyperlink"/>
          </w:rPr>
          <w:t xml:space="preserve">echnologies </w:t>
        </w:r>
        <w:r w:rsidR="00C62625">
          <w:rPr>
            <w:rStyle w:val="Hyperlink"/>
          </w:rPr>
          <w:t>pour le</w:t>
        </w:r>
        <w:r w:rsidR="00B672D9" w:rsidRPr="00333A8E">
          <w:rPr>
            <w:rStyle w:val="Hyperlink"/>
          </w:rPr>
          <w:t xml:space="preserve"> réseau </w:t>
        </w:r>
        <w:r w:rsidRPr="00333A8E">
          <w:rPr>
            <w:rStyle w:val="Hyperlink"/>
          </w:rPr>
          <w:t>2030 (FG NET-2030)</w:t>
        </w:r>
      </w:hyperlink>
      <w:r w:rsidRPr="00333A8E">
        <w:t>.</w:t>
      </w:r>
      <w:r w:rsidRPr="00333A8E">
        <w:rPr>
          <w:b/>
          <w:bCs/>
        </w:rPr>
        <w:t xml:space="preserve"> </w:t>
      </w:r>
    </w:p>
    <w:p w:rsidR="005E5BE4" w:rsidRPr="00333A8E" w:rsidRDefault="005E5BE4" w:rsidP="00EA78D7">
      <w:r w:rsidRPr="00333A8E">
        <w:t>2</w:t>
      </w:r>
      <w:r w:rsidRPr="00333A8E">
        <w:tab/>
        <w:t xml:space="preserve">Sous la présidence de M. Richard Li (Huawei), le </w:t>
      </w:r>
      <w:r w:rsidR="00F5275F" w:rsidRPr="00333A8E">
        <w:t xml:space="preserve">Groupe </w:t>
      </w:r>
      <w:r w:rsidRPr="00333A8E">
        <w:t xml:space="preserve">FG NET-2030 étudiera les capacités des réseaux </w:t>
      </w:r>
      <w:r w:rsidR="00EA78D7" w:rsidRPr="00333A8E">
        <w:t xml:space="preserve">futurs </w:t>
      </w:r>
      <w:r w:rsidRPr="00333A8E">
        <w:t xml:space="preserve">à l'horizon 2030 et au-delà, </w:t>
      </w:r>
      <w:r w:rsidR="001270E7" w:rsidRPr="00333A8E">
        <w:t xml:space="preserve">en vue de </w:t>
      </w:r>
      <w:r w:rsidR="00EA78D7">
        <w:t xml:space="preserve">prendre en charge </w:t>
      </w:r>
      <w:r w:rsidRPr="00333A8E">
        <w:t>de nouveaux scénarios orientés vers l'avenir</w:t>
      </w:r>
      <w:r w:rsidR="003412D8" w:rsidRPr="00333A8E">
        <w:t>,</w:t>
      </w:r>
      <w:r w:rsidRPr="00333A8E">
        <w:t xml:space="preserve"> tels que les communications </w:t>
      </w:r>
      <w:r w:rsidR="001270E7" w:rsidRPr="00333A8E">
        <w:t>de type holographique</w:t>
      </w:r>
      <w:r w:rsidRPr="00333A8E">
        <w:t xml:space="preserve">, les avatars industriels, et </w:t>
      </w:r>
      <w:r w:rsidR="003412D8" w:rsidRPr="00333A8E">
        <w:t>l</w:t>
      </w:r>
      <w:r w:rsidRPr="00333A8E">
        <w:t xml:space="preserve">es </w:t>
      </w:r>
      <w:r w:rsidR="00C36387" w:rsidRPr="00333A8E">
        <w:t xml:space="preserve">interventions </w:t>
      </w:r>
      <w:r w:rsidRPr="00333A8E">
        <w:t xml:space="preserve">extrêmement rapides </w:t>
      </w:r>
      <w:r w:rsidR="003412D8" w:rsidRPr="00333A8E">
        <w:t>en situation</w:t>
      </w:r>
      <w:r w:rsidRPr="00333A8E">
        <w:t xml:space="preserve"> de crise. L'étude vise à répondre à des questions spécifiques sur les types d'architecture de réseau et les mécanismes </w:t>
      </w:r>
      <w:r w:rsidR="003412D8" w:rsidRPr="00333A8E">
        <w:t xml:space="preserve">de base </w:t>
      </w:r>
      <w:r w:rsidRPr="00333A8E">
        <w:t xml:space="preserve">qui </w:t>
      </w:r>
      <w:r w:rsidR="00C36387" w:rsidRPr="00333A8E">
        <w:t xml:space="preserve">sont adaptés </w:t>
      </w:r>
      <w:r w:rsidR="003412D8" w:rsidRPr="00333A8E">
        <w:t xml:space="preserve">pour </w:t>
      </w:r>
      <w:r w:rsidR="00C36387" w:rsidRPr="00333A8E">
        <w:t xml:space="preserve">ces nouveaux </w:t>
      </w:r>
      <w:r w:rsidRPr="00333A8E">
        <w:t>scénarios.</w:t>
      </w:r>
    </w:p>
    <w:p w:rsidR="005E5BE4" w:rsidRPr="00333A8E" w:rsidRDefault="00443110" w:rsidP="00443110">
      <w:r>
        <w:t>"</w:t>
      </w:r>
      <w:r w:rsidR="00E76F36" w:rsidRPr="00333A8E">
        <w:t>Le concept de r</w:t>
      </w:r>
      <w:r w:rsidR="009E6D27" w:rsidRPr="00333A8E">
        <w:t xml:space="preserve">éseau </w:t>
      </w:r>
      <w:r w:rsidR="005E5BE4" w:rsidRPr="00333A8E">
        <w:t xml:space="preserve">2030 </w:t>
      </w:r>
      <w:r w:rsidR="00EA78D7">
        <w:t xml:space="preserve">désigne le </w:t>
      </w:r>
      <w:r w:rsidR="009E6D27" w:rsidRPr="00333A8E">
        <w:t xml:space="preserve">nouvel </w:t>
      </w:r>
      <w:r w:rsidR="00EA78D7">
        <w:t xml:space="preserve">environnement qui se profile </w:t>
      </w:r>
      <w:r w:rsidR="009E6D27" w:rsidRPr="00333A8E">
        <w:t>pour la future société numérique à l'horizon 2030 et au-delà</w:t>
      </w:r>
      <w:r>
        <w:t>"</w:t>
      </w:r>
      <w:r w:rsidR="009E6D27" w:rsidRPr="00333A8E">
        <w:t>,</w:t>
      </w:r>
      <w:r w:rsidR="005E5BE4" w:rsidRPr="00333A8E">
        <w:t xml:space="preserve"> </w:t>
      </w:r>
      <w:r w:rsidR="009E6D27" w:rsidRPr="00333A8E">
        <w:t xml:space="preserve">a déclaré M. </w:t>
      </w:r>
      <w:r w:rsidR="005E5BE4" w:rsidRPr="00333A8E">
        <w:t>Richard Li.</w:t>
      </w:r>
    </w:p>
    <w:p w:rsidR="00445243" w:rsidRPr="00333A8E" w:rsidRDefault="00F5275F" w:rsidP="00F5275F">
      <w:r w:rsidRPr="00333A8E">
        <w:t>3</w:t>
      </w:r>
      <w:r w:rsidRPr="00333A8E">
        <w:tab/>
      </w:r>
      <w:bookmarkStart w:id="2" w:name="lt_pId053"/>
      <w:r w:rsidRPr="00333A8E">
        <w:t>La participation aux travaux du Groupe FG NET-2030 est gratuite et est ouverte aux Etats Membres, aux Membres de Secteur, aux Associés de l'UIT et aux établissements universitaires participant aux travaux de l'UIT, ainsi qu'à toute personne issue d'un pays membre de l'UIT qui souhaite contribuer à ses travaux, y compris les membres ou représentants d'organismes de normalisation intéressés. Les personnes qui souhaitent recevoir les annonces et les dernières informations relatives à ce Gro</w:t>
      </w:r>
      <w:r w:rsidR="00C62625">
        <w:t>upe sont invitées à s'inscrire sur</w:t>
      </w:r>
      <w:r w:rsidRPr="00333A8E">
        <w:t xml:space="preserve"> la liste de diffusion du Groupe FG NET-2030. Des précisions sur les modalités d'inscription sont disponibles </w:t>
      </w:r>
      <w:bookmarkEnd w:id="2"/>
      <w:r w:rsidRPr="00333A8E">
        <w:t>à l'adresse</w:t>
      </w:r>
      <w:r w:rsidR="00445243" w:rsidRPr="00333A8E">
        <w:t xml:space="preserve">: </w:t>
      </w:r>
      <w:hyperlink r:id="rId11" w:history="1">
        <w:r w:rsidR="00445243" w:rsidRPr="00333A8E">
          <w:rPr>
            <w:rStyle w:val="Hyperlink"/>
          </w:rPr>
          <w:t>https://www.itu.int/en/ITU-T/focusgroups/net2030</w:t>
        </w:r>
      </w:hyperlink>
      <w:r w:rsidR="00445243" w:rsidRPr="00333A8E">
        <w:t>.</w:t>
      </w:r>
    </w:p>
    <w:p w:rsidR="00F5275F" w:rsidRPr="00333A8E" w:rsidRDefault="00F5275F" w:rsidP="00EA78D7">
      <w:r w:rsidRPr="00333A8E">
        <w:lastRenderedPageBreak/>
        <w:t>4</w:t>
      </w:r>
      <w:r w:rsidRPr="00333A8E">
        <w:tab/>
        <w:t xml:space="preserve">Le Groupe spécialisé exercera ses activités conformément aux procédures exposées dans la </w:t>
      </w:r>
      <w:hyperlink r:id="rId12" w:history="1">
        <w:r w:rsidRPr="00333A8E">
          <w:rPr>
            <w:color w:val="0000FF"/>
            <w:u w:val="single"/>
          </w:rPr>
          <w:t>Recommandation UIT-T A.7</w:t>
        </w:r>
      </w:hyperlink>
      <w:r w:rsidRPr="00333A8E">
        <w:t xml:space="preserve"> et dans le cadre du mandat approuvé reproduit à l'</w:t>
      </w:r>
      <w:r w:rsidRPr="00333A8E">
        <w:rPr>
          <w:b/>
          <w:bCs/>
        </w:rPr>
        <w:t>Annexe 1.</w:t>
      </w:r>
      <w:r w:rsidRPr="00333A8E">
        <w:t xml:space="preserve"> La Commission d'études 13 de l'UIT</w:t>
      </w:r>
      <w:r w:rsidRPr="00333A8E">
        <w:noBreakHyphen/>
        <w:t>T a désigné M. Richard Li (Huawei, Etats-Unis)</w:t>
      </w:r>
      <w:r w:rsidR="009F68C1" w:rsidRPr="00333A8E">
        <w:t>,</w:t>
      </w:r>
      <w:r w:rsidRPr="00333A8E">
        <w:t xml:space="preserve"> </w:t>
      </w:r>
      <w:r w:rsidR="009F68C1" w:rsidRPr="00333A8E">
        <w:t>Président du Groupe spécialisé</w:t>
      </w:r>
      <w:r w:rsidRPr="00333A8E">
        <w:t>. M</w:t>
      </w:r>
      <w:r w:rsidR="009F68C1" w:rsidRPr="00333A8E">
        <w:t>.</w:t>
      </w:r>
      <w:r w:rsidRPr="00333A8E">
        <w:t xml:space="preserve"> Mehmet Toy (Verizon, </w:t>
      </w:r>
      <w:r w:rsidR="009F68C1" w:rsidRPr="00333A8E">
        <w:t>Etats-Unis</w:t>
      </w:r>
      <w:r w:rsidRPr="00333A8E">
        <w:t>), M</w:t>
      </w:r>
      <w:r w:rsidR="009F68C1" w:rsidRPr="00333A8E">
        <w:t>.</w:t>
      </w:r>
      <w:r w:rsidRPr="00333A8E">
        <w:t xml:space="preserve"> Alexey Borodin (Rostelecom</w:t>
      </w:r>
      <w:r w:rsidR="009F68C1" w:rsidRPr="00333A8E">
        <w:t>, Fédération de Russie</w:t>
      </w:r>
      <w:r w:rsidRPr="00333A8E">
        <w:t xml:space="preserve">), </w:t>
      </w:r>
      <w:r w:rsidRPr="00333A8E">
        <w:rPr>
          <w:color w:val="000000" w:themeColor="text1"/>
        </w:rPr>
        <w:t>M</w:t>
      </w:r>
      <w:r w:rsidR="009F68C1" w:rsidRPr="00333A8E">
        <w:rPr>
          <w:color w:val="000000" w:themeColor="text1"/>
        </w:rPr>
        <w:t>me Yuan Zhang (China Telecom)</w:t>
      </w:r>
      <w:r w:rsidRPr="00333A8E">
        <w:rPr>
          <w:color w:val="000000" w:themeColor="text1"/>
        </w:rPr>
        <w:t xml:space="preserve"> </w:t>
      </w:r>
      <w:r w:rsidR="009F68C1" w:rsidRPr="00333A8E">
        <w:rPr>
          <w:color w:val="000000" w:themeColor="text1"/>
        </w:rPr>
        <w:t xml:space="preserve">et </w:t>
      </w:r>
      <w:r w:rsidRPr="00333A8E">
        <w:rPr>
          <w:color w:val="000000" w:themeColor="text1"/>
        </w:rPr>
        <w:t>M</w:t>
      </w:r>
      <w:r w:rsidR="009F68C1" w:rsidRPr="00333A8E">
        <w:rPr>
          <w:color w:val="000000" w:themeColor="text1"/>
        </w:rPr>
        <w:t>.</w:t>
      </w:r>
      <w:r w:rsidRPr="00333A8E">
        <w:rPr>
          <w:color w:val="000000" w:themeColor="text1"/>
        </w:rPr>
        <w:t xml:space="preserve"> Yutaka Miyake (KDDI</w:t>
      </w:r>
      <w:r w:rsidR="00EA78D7">
        <w:rPr>
          <w:color w:val="000000" w:themeColor="text1"/>
        </w:rPr>
        <w:t>,</w:t>
      </w:r>
      <w:r w:rsidRPr="00333A8E">
        <w:rPr>
          <w:color w:val="000000" w:themeColor="text1"/>
        </w:rPr>
        <w:t xml:space="preserve"> Jap</w:t>
      </w:r>
      <w:r w:rsidR="00EA78D7">
        <w:rPr>
          <w:color w:val="000000" w:themeColor="text1"/>
        </w:rPr>
        <w:t>o</w:t>
      </w:r>
      <w:r w:rsidRPr="00333A8E">
        <w:rPr>
          <w:color w:val="000000" w:themeColor="text1"/>
        </w:rPr>
        <w:t xml:space="preserve">n) </w:t>
      </w:r>
      <w:r w:rsidR="009F68C1" w:rsidRPr="00333A8E">
        <w:t xml:space="preserve">ont été nommés </w:t>
      </w:r>
      <w:r w:rsidRPr="00333A8E">
        <w:t>Vice-</w:t>
      </w:r>
      <w:r w:rsidR="009F68C1" w:rsidRPr="00333A8E">
        <w:t>Présidents</w:t>
      </w:r>
      <w:r w:rsidRPr="00333A8E">
        <w:t>.</w:t>
      </w:r>
    </w:p>
    <w:p w:rsidR="009F68C1" w:rsidRPr="00333A8E" w:rsidRDefault="009F68C1" w:rsidP="009F68C1">
      <w:pPr>
        <w:pStyle w:val="headingb"/>
        <w:keepNext w:val="0"/>
        <w:keepLines w:val="0"/>
      </w:pPr>
      <w:r w:rsidRPr="00333A8E">
        <w:rPr>
          <w:b w:val="0"/>
          <w:bCs/>
        </w:rPr>
        <w:t>5</w:t>
      </w:r>
      <w:r w:rsidRPr="00333A8E">
        <w:rPr>
          <w:b w:val="0"/>
          <w:bCs/>
        </w:rPr>
        <w:tab/>
      </w:r>
      <w:r w:rsidRPr="00333A8E">
        <w:t>Première réunion du Groupe FG NET-2030 et atelier</w:t>
      </w:r>
    </w:p>
    <w:p w:rsidR="00445243" w:rsidRPr="00333A8E" w:rsidRDefault="009F68C1" w:rsidP="009F68C1">
      <w:r w:rsidRPr="00333A8E">
        <w:t xml:space="preserve">La première réunion du Groupe </w:t>
      </w:r>
      <w:r w:rsidR="00445243" w:rsidRPr="00333A8E">
        <w:t xml:space="preserve">FG NET-2030 </w:t>
      </w:r>
      <w:r w:rsidRPr="00333A8E">
        <w:t xml:space="preserve">se tiendra à </w:t>
      </w:r>
      <w:r w:rsidR="00445243" w:rsidRPr="00333A8E">
        <w:t xml:space="preserve">New York </w:t>
      </w:r>
      <w:r w:rsidRPr="00333A8E">
        <w:t xml:space="preserve">et sera organisée par l'Université de </w:t>
      </w:r>
      <w:r w:rsidR="00445243" w:rsidRPr="00333A8E">
        <w:t xml:space="preserve">New York </w:t>
      </w:r>
      <w:r w:rsidRPr="00333A8E">
        <w:t xml:space="preserve">à </w:t>
      </w:r>
      <w:r w:rsidR="00445243" w:rsidRPr="00333A8E">
        <w:t xml:space="preserve">Brooklyn </w:t>
      </w:r>
      <w:r w:rsidRPr="00333A8E">
        <w:t xml:space="preserve">les </w:t>
      </w:r>
      <w:r w:rsidR="00445243" w:rsidRPr="00333A8E">
        <w:t>3</w:t>
      </w:r>
      <w:r w:rsidRPr="00333A8E">
        <w:t xml:space="preserve"> et </w:t>
      </w:r>
      <w:r w:rsidR="00445243" w:rsidRPr="00333A8E">
        <w:t xml:space="preserve">4 </w:t>
      </w:r>
      <w:r w:rsidRPr="00333A8E">
        <w:t xml:space="preserve">octobre </w:t>
      </w:r>
      <w:r w:rsidR="00445243" w:rsidRPr="00333A8E">
        <w:t xml:space="preserve">2018 </w:t>
      </w:r>
      <w:r w:rsidRPr="00333A8E">
        <w:t xml:space="preserve">de </w:t>
      </w:r>
      <w:r w:rsidR="00445243" w:rsidRPr="00333A8E">
        <w:t>9</w:t>
      </w:r>
      <w:r w:rsidRPr="00333A8E">
        <w:t xml:space="preserve"> h </w:t>
      </w:r>
      <w:r w:rsidR="00445243" w:rsidRPr="00333A8E">
        <w:t xml:space="preserve">30 </w:t>
      </w:r>
      <w:r w:rsidRPr="00333A8E">
        <w:t xml:space="preserve">à 17 h </w:t>
      </w:r>
      <w:r w:rsidR="00445243" w:rsidRPr="00333A8E">
        <w:t xml:space="preserve">00. </w:t>
      </w:r>
      <w:r w:rsidRPr="00333A8E">
        <w:t xml:space="preserve">Les objectifs de la </w:t>
      </w:r>
      <w:r w:rsidR="00EA78D7">
        <w:t xml:space="preserve">première </w:t>
      </w:r>
      <w:r w:rsidRPr="00333A8E">
        <w:t>réunion seront les suivants:</w:t>
      </w:r>
    </w:p>
    <w:p w:rsidR="009F68C1" w:rsidRPr="00333A8E" w:rsidRDefault="009F68C1" w:rsidP="009F68C1">
      <w:pPr>
        <w:pStyle w:val="enumlev1"/>
      </w:pPr>
      <w:r w:rsidRPr="00333A8E">
        <w:t>–</w:t>
      </w:r>
      <w:r w:rsidRPr="00333A8E">
        <w:tab/>
      </w:r>
      <w:bookmarkStart w:id="3" w:name="lt_pId063"/>
      <w:r w:rsidRPr="00333A8E">
        <w:t>discussion sur les réseaux futurs à l'horizon 2030: définition, vision, exigences, attentes, enjeux, lacunes en matière de recherche et besoins de normalisation pour les réseaux futurs;</w:t>
      </w:r>
      <w:bookmarkEnd w:id="3"/>
    </w:p>
    <w:p w:rsidR="009F68C1" w:rsidRPr="00333A8E" w:rsidRDefault="009F68C1" w:rsidP="00462D97">
      <w:pPr>
        <w:pStyle w:val="enumlev1"/>
      </w:pPr>
      <w:r w:rsidRPr="00333A8E">
        <w:t>–</w:t>
      </w:r>
      <w:r w:rsidRPr="00333A8E">
        <w:tab/>
      </w:r>
      <w:bookmarkStart w:id="4" w:name="lt_pId064"/>
      <w:r w:rsidR="00EA78D7">
        <w:t xml:space="preserve">approbation du </w:t>
      </w:r>
      <w:r w:rsidRPr="00333A8E">
        <w:t xml:space="preserve">domaine de compétence et </w:t>
      </w:r>
      <w:r w:rsidR="00462D97">
        <w:t>d</w:t>
      </w:r>
      <w:r w:rsidRPr="00333A8E">
        <w:t>es objectifs précis du Groupe spécialisé;</w:t>
      </w:r>
      <w:bookmarkEnd w:id="4"/>
    </w:p>
    <w:p w:rsidR="009F68C1" w:rsidRPr="00333A8E" w:rsidRDefault="009F68C1" w:rsidP="00462D97">
      <w:pPr>
        <w:pStyle w:val="enumlev1"/>
      </w:pPr>
      <w:r w:rsidRPr="00333A8E">
        <w:t>–</w:t>
      </w:r>
      <w:r w:rsidRPr="00333A8E">
        <w:tab/>
      </w:r>
      <w:r w:rsidR="00462D97">
        <w:t xml:space="preserve">approbation de </w:t>
      </w:r>
      <w:r w:rsidRPr="00333A8E">
        <w:rPr>
          <w:rFonts w:asciiTheme="minorHAnsi" w:hAnsiTheme="minorHAnsi"/>
        </w:rPr>
        <w:t xml:space="preserve">la structure du Groupe, </w:t>
      </w:r>
      <w:r w:rsidR="00462D97">
        <w:rPr>
          <w:rFonts w:asciiTheme="minorHAnsi" w:hAnsiTheme="minorHAnsi"/>
        </w:rPr>
        <w:t>d</w:t>
      </w:r>
      <w:r w:rsidRPr="00333A8E">
        <w:rPr>
          <w:rFonts w:asciiTheme="minorHAnsi" w:hAnsiTheme="minorHAnsi"/>
        </w:rPr>
        <w:t xml:space="preserve">es </w:t>
      </w:r>
      <w:r w:rsidR="00E76F36" w:rsidRPr="00333A8E">
        <w:rPr>
          <w:rFonts w:asciiTheme="minorHAnsi" w:hAnsiTheme="minorHAnsi"/>
        </w:rPr>
        <w:t xml:space="preserve">résultats </w:t>
      </w:r>
      <w:r w:rsidRPr="00333A8E">
        <w:rPr>
          <w:rFonts w:asciiTheme="minorHAnsi" w:hAnsiTheme="minorHAnsi"/>
        </w:rPr>
        <w:t xml:space="preserve">attendus, </w:t>
      </w:r>
      <w:r w:rsidR="00462D97">
        <w:rPr>
          <w:rFonts w:asciiTheme="minorHAnsi" w:hAnsiTheme="minorHAnsi"/>
        </w:rPr>
        <w:t>d</w:t>
      </w:r>
      <w:r w:rsidRPr="00333A8E">
        <w:rPr>
          <w:rFonts w:asciiTheme="minorHAnsi" w:hAnsiTheme="minorHAnsi"/>
        </w:rPr>
        <w:t xml:space="preserve">es responsabilités, </w:t>
      </w:r>
      <w:r w:rsidR="00462D97">
        <w:rPr>
          <w:rFonts w:asciiTheme="minorHAnsi" w:hAnsiTheme="minorHAnsi"/>
        </w:rPr>
        <w:t xml:space="preserve">du </w:t>
      </w:r>
      <w:r w:rsidRPr="00333A8E">
        <w:rPr>
          <w:rFonts w:asciiTheme="minorHAnsi" w:hAnsiTheme="minorHAnsi"/>
        </w:rPr>
        <w:t>calendrier; et</w:t>
      </w:r>
    </w:p>
    <w:p w:rsidR="009F68C1" w:rsidRPr="00333A8E" w:rsidRDefault="009F68C1" w:rsidP="00462D97">
      <w:pPr>
        <w:pStyle w:val="enumlev1"/>
      </w:pPr>
      <w:r w:rsidRPr="00333A8E">
        <w:t>–</w:t>
      </w:r>
      <w:r w:rsidRPr="00333A8E">
        <w:tab/>
      </w:r>
      <w:r w:rsidRPr="00333A8E">
        <w:rPr>
          <w:rFonts w:asciiTheme="minorHAnsi" w:hAnsiTheme="minorHAnsi"/>
        </w:rPr>
        <w:t xml:space="preserve">examen des contributions écrites et </w:t>
      </w:r>
      <w:r w:rsidR="00462D97">
        <w:rPr>
          <w:rFonts w:asciiTheme="minorHAnsi" w:hAnsiTheme="minorHAnsi"/>
        </w:rPr>
        <w:t>début de l'</w:t>
      </w:r>
      <w:r w:rsidRPr="00333A8E">
        <w:rPr>
          <w:rFonts w:asciiTheme="minorHAnsi" w:hAnsiTheme="minorHAnsi"/>
        </w:rPr>
        <w:t xml:space="preserve">élaboration des </w:t>
      </w:r>
      <w:r w:rsidR="00E76F36" w:rsidRPr="00333A8E">
        <w:rPr>
          <w:rFonts w:asciiTheme="minorHAnsi" w:hAnsiTheme="minorHAnsi"/>
        </w:rPr>
        <w:t>résultats</w:t>
      </w:r>
      <w:r w:rsidRPr="00333A8E">
        <w:rPr>
          <w:rFonts w:asciiTheme="minorHAnsi" w:hAnsiTheme="minorHAnsi"/>
        </w:rPr>
        <w:t>.</w:t>
      </w:r>
    </w:p>
    <w:p w:rsidR="00445243" w:rsidRPr="00333A8E" w:rsidRDefault="00445243" w:rsidP="00426620">
      <w:r w:rsidRPr="00333A8E">
        <w:t>6</w:t>
      </w:r>
      <w:r w:rsidRPr="00333A8E">
        <w:tab/>
      </w:r>
      <w:r w:rsidR="00426620" w:rsidRPr="00333A8E">
        <w:t xml:space="preserve">Le </w:t>
      </w:r>
      <w:r w:rsidR="00426620" w:rsidRPr="00333A8E">
        <w:rPr>
          <w:b/>
          <w:bCs/>
        </w:rPr>
        <w:t xml:space="preserve">premier atelier sur le thème "Réseau </w:t>
      </w:r>
      <w:r w:rsidRPr="00333A8E">
        <w:rPr>
          <w:b/>
          <w:bCs/>
        </w:rPr>
        <w:t>2030</w:t>
      </w:r>
      <w:r w:rsidR="00426620" w:rsidRPr="00333A8E">
        <w:rPr>
          <w:b/>
          <w:bCs/>
        </w:rPr>
        <w:t>"</w:t>
      </w:r>
      <w:r w:rsidRPr="00333A8E">
        <w:rPr>
          <w:b/>
          <w:bCs/>
        </w:rPr>
        <w:t xml:space="preserve"> </w:t>
      </w:r>
      <w:r w:rsidR="00426620" w:rsidRPr="00333A8E">
        <w:t xml:space="preserve">aura lieu la veille de </w:t>
      </w:r>
      <w:r w:rsidR="00462D97">
        <w:t xml:space="preserve">l'ouverture de </w:t>
      </w:r>
      <w:r w:rsidR="00426620" w:rsidRPr="00333A8E">
        <w:t xml:space="preserve">la première réunion du Groupe </w:t>
      </w:r>
      <w:r w:rsidRPr="00333A8E">
        <w:t xml:space="preserve">FG NET-2030, </w:t>
      </w:r>
      <w:r w:rsidR="00426620" w:rsidRPr="00333A8E">
        <w:t xml:space="preserve">le </w:t>
      </w:r>
      <w:r w:rsidRPr="00333A8E">
        <w:t xml:space="preserve">2 </w:t>
      </w:r>
      <w:r w:rsidR="00426620" w:rsidRPr="00333A8E">
        <w:t xml:space="preserve">octobre </w:t>
      </w:r>
      <w:r w:rsidRPr="00333A8E">
        <w:t xml:space="preserve">2018, </w:t>
      </w:r>
      <w:r w:rsidR="00426620" w:rsidRPr="00333A8E">
        <w:t>au même endroit</w:t>
      </w:r>
      <w:r w:rsidRPr="00333A8E">
        <w:t>.</w:t>
      </w:r>
    </w:p>
    <w:p w:rsidR="00445243" w:rsidRPr="00333A8E" w:rsidRDefault="00445243" w:rsidP="00941DC6">
      <w:pPr>
        <w:rPr>
          <w:b/>
          <w:bCs/>
        </w:rPr>
      </w:pPr>
      <w:r w:rsidRPr="00333A8E">
        <w:t>7</w:t>
      </w:r>
      <w:r w:rsidRPr="00333A8E">
        <w:tab/>
      </w:r>
      <w:r w:rsidR="00426620" w:rsidRPr="00333A8E">
        <w:t xml:space="preserve">Des </w:t>
      </w:r>
      <w:r w:rsidRPr="00333A8E">
        <w:rPr>
          <w:b/>
          <w:bCs/>
        </w:rPr>
        <w:t xml:space="preserve">contributions </w:t>
      </w:r>
      <w:r w:rsidR="00426620" w:rsidRPr="00333A8E">
        <w:rPr>
          <w:b/>
          <w:bCs/>
        </w:rPr>
        <w:t>écrites à la réunion du Groupe spécialisé</w:t>
      </w:r>
      <w:r w:rsidRPr="00333A8E">
        <w:rPr>
          <w:b/>
          <w:bCs/>
        </w:rPr>
        <w:t xml:space="preserve"> </w:t>
      </w:r>
      <w:r w:rsidR="00426620" w:rsidRPr="00333A8E">
        <w:t xml:space="preserve">sont sollicitées. Elles doivent être envoyées par courrier électronique </w:t>
      </w:r>
      <w:r w:rsidR="00941DC6" w:rsidRPr="00333A8E">
        <w:t xml:space="preserve">au secrétariat du Groupe spécialisé </w:t>
      </w:r>
      <w:r w:rsidRPr="00333A8E">
        <w:t>(</w:t>
      </w:r>
      <w:hyperlink r:id="rId13" w:history="1">
        <w:r w:rsidRPr="00333A8E">
          <w:rPr>
            <w:rStyle w:val="Hyperlink"/>
          </w:rPr>
          <w:t>tsbfgnet2030@itu.int</w:t>
        </w:r>
      </w:hyperlink>
      <w:r w:rsidRPr="00333A8E">
        <w:t xml:space="preserve">) </w:t>
      </w:r>
      <w:hyperlink r:id="rId14" w:history="1"/>
      <w:r w:rsidR="00941DC6" w:rsidRPr="00333A8E">
        <w:t xml:space="preserve">au plus tard le </w:t>
      </w:r>
      <w:r w:rsidRPr="00333A8E">
        <w:rPr>
          <w:b/>
          <w:bCs/>
        </w:rPr>
        <w:t xml:space="preserve">23 </w:t>
      </w:r>
      <w:r w:rsidR="00941DC6" w:rsidRPr="00333A8E">
        <w:rPr>
          <w:b/>
          <w:bCs/>
        </w:rPr>
        <w:t xml:space="preserve">septembre </w:t>
      </w:r>
      <w:r w:rsidRPr="00333A8E">
        <w:rPr>
          <w:b/>
          <w:bCs/>
        </w:rPr>
        <w:t>2018</w:t>
      </w:r>
      <w:r w:rsidR="00941DC6" w:rsidRPr="00333A8E">
        <w:rPr>
          <w:bCs/>
        </w:rPr>
        <w:t xml:space="preserve">. Le gabarit à utiliser </w:t>
      </w:r>
      <w:r w:rsidR="00462D97">
        <w:rPr>
          <w:bCs/>
        </w:rPr>
        <w:t xml:space="preserve">pour les documents </w:t>
      </w:r>
      <w:r w:rsidR="00941DC6" w:rsidRPr="00333A8E">
        <w:t xml:space="preserve">se trouve sur la </w:t>
      </w:r>
      <w:hyperlink r:id="rId15" w:history="1">
        <w:r w:rsidR="00941DC6" w:rsidRPr="00333A8E">
          <w:rPr>
            <w:rStyle w:val="Hyperlink"/>
          </w:rPr>
          <w:t>page d'accueil du Groupe F</w:t>
        </w:r>
        <w:r w:rsidRPr="00333A8E">
          <w:rPr>
            <w:rStyle w:val="Hyperlink"/>
          </w:rPr>
          <w:t>G NET-2030</w:t>
        </w:r>
      </w:hyperlink>
      <w:r w:rsidRPr="00333A8E">
        <w:t xml:space="preserve">. </w:t>
      </w:r>
      <w:r w:rsidR="00941DC6" w:rsidRPr="00333A8E">
        <w:t xml:space="preserve">Tous les </w:t>
      </w:r>
      <w:r w:rsidRPr="00333A8E">
        <w:t xml:space="preserve">documents </w:t>
      </w:r>
      <w:r w:rsidR="00941DC6" w:rsidRPr="00333A8E">
        <w:t xml:space="preserve">seront accessibles depuis la </w:t>
      </w:r>
      <w:hyperlink r:id="rId16" w:history="1">
        <w:r w:rsidR="00941DC6" w:rsidRPr="00333A8E">
          <w:rPr>
            <w:rStyle w:val="Hyperlink"/>
          </w:rPr>
          <w:t>page d'accueil du Groupe FG NET-2030</w:t>
        </w:r>
      </w:hyperlink>
      <w:r w:rsidR="00941DC6" w:rsidRPr="00333A8E">
        <w:t xml:space="preserve"> </w:t>
      </w:r>
      <w:r w:rsidRPr="00333A8E">
        <w:t>(</w:t>
      </w:r>
      <w:r w:rsidR="00941DC6" w:rsidRPr="00333A8E">
        <w:t xml:space="preserve">un compte </w:t>
      </w:r>
      <w:r w:rsidRPr="00333A8E">
        <w:t xml:space="preserve">TIES </w:t>
      </w:r>
      <w:r w:rsidR="00941DC6" w:rsidRPr="00333A8E">
        <w:t>ou un compte Invité est nécessaire</w:t>
      </w:r>
      <w:r w:rsidRPr="00333A8E">
        <w:t>).</w:t>
      </w:r>
    </w:p>
    <w:p w:rsidR="00941DC6" w:rsidRPr="00333A8E" w:rsidRDefault="00A90C58" w:rsidP="00C15FBD">
      <w:pPr>
        <w:rPr>
          <w:rFonts w:asciiTheme="minorHAnsi" w:hAnsiTheme="minorHAnsi"/>
        </w:rPr>
      </w:pPr>
      <w:r w:rsidRPr="00333A8E">
        <w:t>8</w:t>
      </w:r>
      <w:r w:rsidRPr="00333A8E">
        <w:tab/>
      </w:r>
      <w:r w:rsidR="00EA0E6E" w:rsidRPr="00333A8E">
        <w:rPr>
          <w:rFonts w:asciiTheme="minorHAnsi" w:hAnsiTheme="minorHAnsi"/>
        </w:rPr>
        <w:t>La réunion s'ouvrira à 9 h 30 le premier jour. L'ordre du jour de la réunion ser</w:t>
      </w:r>
      <w:r w:rsidR="00B756F5" w:rsidRPr="00333A8E">
        <w:rPr>
          <w:rFonts w:asciiTheme="minorHAnsi" w:hAnsiTheme="minorHAnsi"/>
        </w:rPr>
        <w:t>a</w:t>
      </w:r>
      <w:r w:rsidR="00EA0E6E" w:rsidRPr="00333A8E">
        <w:rPr>
          <w:rFonts w:asciiTheme="minorHAnsi" w:hAnsiTheme="minorHAnsi"/>
        </w:rPr>
        <w:t xml:space="preserve"> disponible depuis la </w:t>
      </w:r>
      <w:hyperlink r:id="rId17" w:history="1">
        <w:r w:rsidR="00941DC6" w:rsidRPr="00333A8E">
          <w:rPr>
            <w:rStyle w:val="Hyperlink"/>
          </w:rPr>
          <w:t>page d'accueil du Groupe FG NET-2030</w:t>
        </w:r>
      </w:hyperlink>
      <w:r w:rsidR="00941DC6" w:rsidRPr="00281712">
        <w:rPr>
          <w:rStyle w:val="Hyperlink"/>
          <w:color w:val="auto"/>
          <w:u w:val="none"/>
        </w:rPr>
        <w:t xml:space="preserve"> </w:t>
      </w:r>
      <w:r w:rsidR="00EA0E6E" w:rsidRPr="00333A8E">
        <w:rPr>
          <w:rFonts w:asciiTheme="minorHAnsi" w:hAnsiTheme="minorHAnsi"/>
        </w:rPr>
        <w:t xml:space="preserve">avant la réunion. </w:t>
      </w:r>
      <w:r w:rsidR="00C15FBD" w:rsidRPr="00333A8E">
        <w:rPr>
          <w:rFonts w:asciiTheme="minorHAnsi" w:hAnsiTheme="minorHAnsi"/>
        </w:rPr>
        <w:t xml:space="preserve">De plus amples </w:t>
      </w:r>
      <w:r w:rsidR="00C15FBD" w:rsidRPr="00333A8E">
        <w:t xml:space="preserve">renseignements sur le lieu de la réunion et les dispositions </w:t>
      </w:r>
      <w:r w:rsidR="00333A8E" w:rsidRPr="00333A8E">
        <w:t>logistiques</w:t>
      </w:r>
      <w:r w:rsidR="00C15FBD" w:rsidRPr="00333A8E">
        <w:t xml:space="preserve"> seront mis à disposition sur la </w:t>
      </w:r>
      <w:hyperlink r:id="rId18" w:history="1">
        <w:r w:rsidR="00C15FBD" w:rsidRPr="00333A8E">
          <w:rPr>
            <w:rStyle w:val="Hyperlink"/>
          </w:rPr>
          <w:t>page d'accueil du Groupe FG NET-2030</w:t>
        </w:r>
      </w:hyperlink>
      <w:r w:rsidR="00C15FBD" w:rsidRPr="00333A8E">
        <w:t>.</w:t>
      </w:r>
    </w:p>
    <w:p w:rsidR="00C15FBD" w:rsidRPr="00333A8E" w:rsidRDefault="00C15FBD" w:rsidP="00C15FBD">
      <w:r w:rsidRPr="00333A8E">
        <w:t>9</w:t>
      </w:r>
      <w:r w:rsidRPr="00333A8E">
        <w:tab/>
        <w:t xml:space="preserve">La réunion se déroulera sans document papier. L'organisme hôte offrira un accès WiFi aux documents de la réunion. </w:t>
      </w:r>
      <w:r w:rsidRPr="00333A8E">
        <w:rPr>
          <w:rFonts w:asciiTheme="minorHAnsi" w:hAnsiTheme="minorHAnsi"/>
        </w:rPr>
        <w:t>Les discussions se dérouleront en anglais uniquement.</w:t>
      </w:r>
    </w:p>
    <w:p w:rsidR="00A90C58" w:rsidRPr="00333A8E" w:rsidRDefault="00C15FBD" w:rsidP="00C15FBD">
      <w:r w:rsidRPr="00333A8E">
        <w:t>10</w:t>
      </w:r>
      <w:r w:rsidR="00A90C58" w:rsidRPr="00333A8E">
        <w:tab/>
      </w:r>
      <w:r w:rsidR="00EA0E6E" w:rsidRPr="00333A8E">
        <w:rPr>
          <w:rFonts w:asciiTheme="minorHAnsi" w:hAnsiTheme="minorHAnsi"/>
        </w:rPr>
        <w:t xml:space="preserve">Pour permettre à </w:t>
      </w:r>
      <w:r w:rsidRPr="00333A8E">
        <w:rPr>
          <w:rFonts w:asciiTheme="minorHAnsi" w:hAnsiTheme="minorHAnsi"/>
        </w:rPr>
        <w:t xml:space="preserve">l'organisme hôte et à </w:t>
      </w:r>
      <w:r w:rsidR="00EA0E6E" w:rsidRPr="00333A8E">
        <w:rPr>
          <w:rFonts w:asciiTheme="minorHAnsi" w:hAnsiTheme="minorHAnsi"/>
        </w:rPr>
        <w:t xml:space="preserve">l'UIT de prévoir la logistique nécessaire, les participants sont invités à </w:t>
      </w:r>
      <w:r w:rsidR="00EA0E6E" w:rsidRPr="00333A8E">
        <w:rPr>
          <w:rFonts w:asciiTheme="minorHAnsi" w:hAnsiTheme="minorHAnsi"/>
          <w:b/>
          <w:bCs/>
        </w:rPr>
        <w:t>s'inscrire</w:t>
      </w:r>
      <w:r w:rsidR="00EA0E6E" w:rsidRPr="00333A8E">
        <w:rPr>
          <w:rFonts w:asciiTheme="minorHAnsi" w:hAnsiTheme="minorHAnsi"/>
        </w:rPr>
        <w:t xml:space="preserve"> en ligne via la </w:t>
      </w:r>
      <w:hyperlink r:id="rId19" w:history="1">
        <w:r w:rsidRPr="00333A8E">
          <w:rPr>
            <w:rStyle w:val="Hyperlink"/>
          </w:rPr>
          <w:t>page d'accueil du Groupe FG NET-2030</w:t>
        </w:r>
      </w:hyperlink>
      <w:r w:rsidRPr="00333A8E">
        <w:rPr>
          <w:rFonts w:asciiTheme="minorHAnsi" w:hAnsiTheme="minorHAnsi"/>
        </w:rPr>
        <w:t xml:space="preserve"> d</w:t>
      </w:r>
      <w:r w:rsidR="00EA0E6E" w:rsidRPr="00333A8E">
        <w:rPr>
          <w:rFonts w:asciiTheme="minorHAnsi" w:hAnsiTheme="minorHAnsi"/>
        </w:rPr>
        <w:t xml:space="preserve">ès que possible, et </w:t>
      </w:r>
      <w:r w:rsidR="00EA0E6E" w:rsidRPr="00333A8E">
        <w:rPr>
          <w:rFonts w:asciiTheme="minorHAnsi" w:hAnsiTheme="minorHAnsi"/>
          <w:b/>
          <w:bCs/>
        </w:rPr>
        <w:t xml:space="preserve">au plus tard le </w:t>
      </w:r>
      <w:r w:rsidRPr="00333A8E">
        <w:rPr>
          <w:rFonts w:asciiTheme="minorHAnsi" w:hAnsiTheme="minorHAnsi"/>
          <w:b/>
          <w:bCs/>
        </w:rPr>
        <w:t xml:space="preserve">25 septembre </w:t>
      </w:r>
      <w:r w:rsidR="00EA0E6E" w:rsidRPr="00333A8E">
        <w:rPr>
          <w:rFonts w:asciiTheme="minorHAnsi" w:hAnsiTheme="minorHAnsi"/>
          <w:b/>
          <w:bCs/>
        </w:rPr>
        <w:t>2018</w:t>
      </w:r>
      <w:r w:rsidR="00462D97" w:rsidRPr="00462D97">
        <w:rPr>
          <w:rFonts w:asciiTheme="minorHAnsi" w:hAnsiTheme="minorHAnsi"/>
        </w:rPr>
        <w:t>.</w:t>
      </w:r>
      <w:r w:rsidR="00EA0E6E" w:rsidRPr="00333A8E">
        <w:rPr>
          <w:rFonts w:asciiTheme="minorHAnsi" w:hAnsiTheme="minorHAnsi"/>
        </w:rPr>
        <w:t xml:space="preserve"> </w:t>
      </w:r>
    </w:p>
    <w:p w:rsidR="00A90C58" w:rsidRPr="00333A8E" w:rsidRDefault="00AF1C98" w:rsidP="00112EA5">
      <w:pPr>
        <w:pStyle w:val="headingb"/>
        <w:spacing w:after="240"/>
      </w:pPr>
      <w:r w:rsidRPr="00333A8E">
        <w:t>Principales échéances</w:t>
      </w:r>
      <w:r w:rsidR="00A90C58" w:rsidRPr="00333A8E">
        <w:t>:</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44"/>
      </w:tblGrid>
      <w:tr w:rsidR="00A90C58" w:rsidRPr="00333A8E" w:rsidTr="00C15FBD">
        <w:tc>
          <w:tcPr>
            <w:tcW w:w="1980" w:type="dxa"/>
            <w:shd w:val="clear" w:color="auto" w:fill="auto"/>
            <w:vAlign w:val="center"/>
          </w:tcPr>
          <w:p w:rsidR="00A90C58" w:rsidRPr="00333A8E" w:rsidRDefault="00C15FBD" w:rsidP="00C15FBD">
            <w:pPr>
              <w:pStyle w:val="TableText"/>
              <w:rPr>
                <w:highlight w:val="yellow"/>
              </w:rPr>
            </w:pPr>
            <w:r w:rsidRPr="00333A8E">
              <w:t xml:space="preserve">25 septembre </w:t>
            </w:r>
            <w:r w:rsidR="00EA0E6E" w:rsidRPr="00333A8E">
              <w:t>2018</w:t>
            </w:r>
          </w:p>
        </w:tc>
        <w:tc>
          <w:tcPr>
            <w:tcW w:w="7744" w:type="dxa"/>
            <w:shd w:val="clear" w:color="auto" w:fill="auto"/>
            <w:vAlign w:val="center"/>
          </w:tcPr>
          <w:p w:rsidR="00A90C58" w:rsidRPr="00333A8E" w:rsidRDefault="006160D2" w:rsidP="00C15FBD">
            <w:pPr>
              <w:pStyle w:val="TableText"/>
            </w:pPr>
            <w:r w:rsidRPr="00333A8E">
              <w:t>–</w:t>
            </w:r>
            <w:r w:rsidRPr="00333A8E">
              <w:tab/>
            </w:r>
            <w:r w:rsidR="00AF1C98" w:rsidRPr="00333A8E">
              <w:t xml:space="preserve">Inscription préalable </w:t>
            </w:r>
            <w:r w:rsidR="00A90C58" w:rsidRPr="00333A8E">
              <w:t>(</w:t>
            </w:r>
            <w:r w:rsidR="00AF1C98" w:rsidRPr="00333A8E">
              <w:t xml:space="preserve">en ligne </w:t>
            </w:r>
            <w:r w:rsidR="00672956" w:rsidRPr="00333A8E">
              <w:t>via</w:t>
            </w:r>
            <w:r w:rsidR="00AF1C98" w:rsidRPr="00333A8E">
              <w:t xml:space="preserve"> la </w:t>
            </w:r>
            <w:hyperlink r:id="rId20" w:history="1">
              <w:r w:rsidR="00C15FBD" w:rsidRPr="00333A8E">
                <w:rPr>
                  <w:rStyle w:val="Hyperlink"/>
                </w:rPr>
                <w:t>page d'accueil du Groupe FG NET-2030</w:t>
              </w:r>
            </w:hyperlink>
            <w:r w:rsidR="00A90C58" w:rsidRPr="00333A8E">
              <w:t>)</w:t>
            </w:r>
          </w:p>
        </w:tc>
      </w:tr>
      <w:tr w:rsidR="00C15FBD" w:rsidRPr="00333A8E" w:rsidTr="00C15FBD">
        <w:tc>
          <w:tcPr>
            <w:tcW w:w="1980" w:type="dxa"/>
            <w:shd w:val="clear" w:color="auto" w:fill="auto"/>
            <w:vAlign w:val="center"/>
          </w:tcPr>
          <w:p w:rsidR="00C15FBD" w:rsidRPr="00333A8E" w:rsidRDefault="00C15FBD" w:rsidP="00C15FBD">
            <w:pPr>
              <w:pStyle w:val="TableText"/>
            </w:pPr>
            <w:r w:rsidRPr="00333A8E">
              <w:t>23 septembre 2018</w:t>
            </w:r>
          </w:p>
        </w:tc>
        <w:tc>
          <w:tcPr>
            <w:tcW w:w="7744" w:type="dxa"/>
            <w:shd w:val="clear" w:color="auto" w:fill="auto"/>
            <w:vAlign w:val="center"/>
          </w:tcPr>
          <w:p w:rsidR="00C15FBD" w:rsidRPr="00333A8E" w:rsidRDefault="00C15FBD" w:rsidP="00540612">
            <w:pPr>
              <w:pStyle w:val="TableText"/>
              <w:ind w:left="284" w:hanging="284"/>
            </w:pPr>
            <w:r w:rsidRPr="00333A8E">
              <w:t>–</w:t>
            </w:r>
            <w:r w:rsidRPr="00333A8E">
              <w:tab/>
              <w:t xml:space="preserve">Soumission des contributions écrites (par courrier électronique à l'adresse </w:t>
            </w:r>
            <w:hyperlink r:id="rId21" w:history="1">
              <w:r w:rsidRPr="00333A8E">
                <w:rPr>
                  <w:rStyle w:val="Hyperlink"/>
                  <w:szCs w:val="22"/>
                </w:rPr>
                <w:t>tsbfgnet2030@itu.int</w:t>
              </w:r>
            </w:hyperlink>
            <w:r w:rsidRPr="00333A8E">
              <w:t>)</w:t>
            </w:r>
          </w:p>
        </w:tc>
      </w:tr>
    </w:tbl>
    <w:p w:rsidR="00733869" w:rsidRDefault="00733869" w:rsidP="003F7415">
      <w:pPr>
        <w:pStyle w:val="BodyText2"/>
        <w:spacing w:line="240" w:lineRule="auto"/>
      </w:pPr>
      <w:r>
        <w:br w:type="page"/>
      </w:r>
    </w:p>
    <w:p w:rsidR="003F7415" w:rsidRPr="00333A8E" w:rsidRDefault="00C15FBD" w:rsidP="003F7415">
      <w:pPr>
        <w:pStyle w:val="BodyText2"/>
        <w:spacing w:line="240" w:lineRule="auto"/>
        <w:rPr>
          <w:rFonts w:asciiTheme="minorHAnsi" w:hAnsiTheme="minorHAnsi"/>
          <w:bCs/>
        </w:rPr>
      </w:pPr>
      <w:r w:rsidRPr="00333A8E">
        <w:lastRenderedPageBreak/>
        <w:t>11</w:t>
      </w:r>
      <w:r w:rsidRPr="00333A8E">
        <w:tab/>
      </w:r>
      <w:r w:rsidR="00043BC0" w:rsidRPr="00333A8E">
        <w:rPr>
          <w:rFonts w:asciiTheme="minorHAnsi" w:hAnsiTheme="minorHAnsi"/>
          <w:bCs/>
        </w:rPr>
        <w:t xml:space="preserve">Pour les ressortissants de certains pays, l'entrée et le séjour, quelle qu'en soit la durée, aux Etats-Unis sont soumis à l'obtention d'un visa. Ce visa doit être obtenu auprès de la représentation des Etats-Unis (ambassade ou consulat) dans votre pays ou, à défaut, dans le pays le plus proche de votre pays de départ. </w:t>
      </w:r>
      <w:r w:rsidR="003F7415" w:rsidRPr="00333A8E">
        <w:rPr>
          <w:rFonts w:asciiTheme="minorHAnsi" w:hAnsiTheme="minorHAnsi"/>
          <w:bCs/>
        </w:rPr>
        <w:t xml:space="preserve">Vous pouvez vous adresser au point de contact suivant, désigné par l'organisme hôte, pour toute question concernant les visas ainsi que pour toute demande de lettre pour faciliter l'obtention de votre de visa </w:t>
      </w:r>
      <w:r w:rsidR="003F7415" w:rsidRPr="00333A8E">
        <w:rPr>
          <w:rFonts w:asciiTheme="minorHAnsi" w:hAnsiTheme="minorHAnsi"/>
          <w:bCs/>
          <w:i/>
          <w:iCs/>
        </w:rPr>
        <w:t>pour la manifestation</w:t>
      </w:r>
      <w:r w:rsidR="003F7415" w:rsidRPr="00333A8E">
        <w:rPr>
          <w:rFonts w:asciiTheme="minorHAnsi" w:hAnsiTheme="minorHAnsi"/>
          <w:bCs/>
        </w:rPr>
        <w:t>:</w:t>
      </w:r>
    </w:p>
    <w:p w:rsidR="00C15FBD" w:rsidRPr="00333A8E" w:rsidRDefault="00C15FBD" w:rsidP="008618B9">
      <w:pPr>
        <w:pStyle w:val="BodyText2"/>
        <w:spacing w:line="240" w:lineRule="auto"/>
      </w:pPr>
      <w:r w:rsidRPr="00333A8E">
        <w:t>Prof. Yong Liu</w:t>
      </w:r>
      <w:r w:rsidRPr="00333A8E">
        <w:br/>
      </w:r>
      <w:r w:rsidR="003F7415" w:rsidRPr="00333A8E">
        <w:t>Courriel</w:t>
      </w:r>
      <w:r w:rsidRPr="00333A8E">
        <w:t xml:space="preserve">: </w:t>
      </w:r>
      <w:hyperlink r:id="rId22" w:history="1">
        <w:r w:rsidRPr="00333A8E">
          <w:rPr>
            <w:rStyle w:val="Hyperlink"/>
          </w:rPr>
          <w:t>yongliu@nyu.edu</w:t>
        </w:r>
      </w:hyperlink>
      <w:r w:rsidRPr="00333A8E">
        <w:t xml:space="preserve"> </w:t>
      </w:r>
      <w:r w:rsidRPr="00333A8E">
        <w:br/>
      </w:r>
      <w:r w:rsidR="003F7415" w:rsidRPr="00333A8E">
        <w:t>Tél.</w:t>
      </w:r>
      <w:r w:rsidR="00281712">
        <w:t>: +1-</w:t>
      </w:r>
      <w:r w:rsidRPr="00333A8E">
        <w:t>413-687-3675</w:t>
      </w:r>
    </w:p>
    <w:p w:rsidR="00A90C58" w:rsidRPr="00333A8E" w:rsidRDefault="00AF1C98" w:rsidP="008618B9">
      <w:pPr>
        <w:spacing w:before="240"/>
      </w:pPr>
      <w:r w:rsidRPr="00333A8E">
        <w:t>Je vous souhaite une réunion constructive et agréable.</w:t>
      </w:r>
    </w:p>
    <w:p w:rsidR="003371B1" w:rsidRPr="00333A8E" w:rsidRDefault="003371B1" w:rsidP="00443110">
      <w:r w:rsidRPr="00333A8E">
        <w:t>Veuillez agréer, Madame, Monsieur, l'assurance de ma considération distinguée.</w:t>
      </w:r>
    </w:p>
    <w:p w:rsidR="003F7415" w:rsidRPr="00733869" w:rsidRDefault="003F7415" w:rsidP="008618B9">
      <w:pPr>
        <w:spacing w:before="480" w:after="120"/>
        <w:rPr>
          <w:i/>
          <w:iCs/>
        </w:rPr>
      </w:pPr>
      <w:r w:rsidRPr="00733869">
        <w:rPr>
          <w:i/>
          <w:iCs/>
        </w:rPr>
        <w:t>(</w:t>
      </w:r>
      <w:proofErr w:type="gramStart"/>
      <w:r w:rsidRPr="00733869">
        <w:rPr>
          <w:i/>
          <w:iCs/>
        </w:rPr>
        <w:t>signé</w:t>
      </w:r>
      <w:proofErr w:type="gramEnd"/>
      <w:r w:rsidRPr="00733869">
        <w:rPr>
          <w:i/>
          <w:iCs/>
        </w:rPr>
        <w:t>)</w:t>
      </w:r>
    </w:p>
    <w:p w:rsidR="00443110" w:rsidRPr="00333A8E" w:rsidRDefault="00443110" w:rsidP="008618B9">
      <w:pPr>
        <w:spacing w:before="480" w:after="120"/>
      </w:pPr>
      <w:proofErr w:type="spellStart"/>
      <w:r w:rsidRPr="00333A8E">
        <w:rPr>
          <w:szCs w:val="24"/>
        </w:rPr>
        <w:t>Chaesub</w:t>
      </w:r>
      <w:proofErr w:type="spellEnd"/>
      <w:r w:rsidRPr="00333A8E">
        <w:rPr>
          <w:szCs w:val="24"/>
        </w:rPr>
        <w:t xml:space="preserve"> Lee</w:t>
      </w:r>
      <w:bookmarkStart w:id="5" w:name="_GoBack"/>
      <w:bookmarkEnd w:id="5"/>
      <w:r w:rsidRPr="00333A8E">
        <w:br/>
        <w:t xml:space="preserve">Directeur du Bureau de la normalisation </w:t>
      </w:r>
      <w:r w:rsidRPr="00333A8E">
        <w:br/>
        <w:t>des télécommunications</w:t>
      </w:r>
    </w:p>
    <w:p w:rsidR="00A90C58" w:rsidRPr="00333A8E" w:rsidRDefault="00A90C58" w:rsidP="00A81679">
      <w:pPr>
        <w:spacing w:before="400"/>
        <w:rPr>
          <w:b/>
          <w:bCs/>
        </w:rPr>
      </w:pPr>
      <w:r w:rsidRPr="00333A8E">
        <w:rPr>
          <w:b/>
          <w:bCs/>
        </w:rPr>
        <w:t>Annexe</w:t>
      </w:r>
      <w:r w:rsidRPr="00333A8E">
        <w:t xml:space="preserve">: </w:t>
      </w:r>
      <w:r w:rsidR="003F7415" w:rsidRPr="00333A8E">
        <w:t>1</w:t>
      </w:r>
      <w:r w:rsidRPr="00333A8E">
        <w:rPr>
          <w:b/>
          <w:bCs/>
        </w:rPr>
        <w:br w:type="page"/>
      </w:r>
    </w:p>
    <w:p w:rsidR="00A90C58" w:rsidRPr="00333A8E" w:rsidRDefault="00A90C58" w:rsidP="00CA71F2">
      <w:pPr>
        <w:pStyle w:val="Annex"/>
        <w:rPr>
          <w:b/>
          <w:bCs/>
          <w:sz w:val="28"/>
          <w:szCs w:val="28"/>
        </w:rPr>
      </w:pPr>
      <w:r w:rsidRPr="00333A8E">
        <w:rPr>
          <w:b/>
          <w:bCs/>
          <w:sz w:val="28"/>
          <w:szCs w:val="28"/>
        </w:rPr>
        <w:lastRenderedPageBreak/>
        <w:t>ANNEX</w:t>
      </w:r>
      <w:r w:rsidR="007C1EC3" w:rsidRPr="00333A8E">
        <w:rPr>
          <w:b/>
          <w:bCs/>
          <w:sz w:val="28"/>
          <w:szCs w:val="28"/>
        </w:rPr>
        <w:t>E</w:t>
      </w:r>
      <w:r w:rsidRPr="00333A8E">
        <w:rPr>
          <w:b/>
          <w:bCs/>
          <w:sz w:val="28"/>
          <w:szCs w:val="28"/>
        </w:rPr>
        <w:t xml:space="preserve"> 1</w:t>
      </w:r>
    </w:p>
    <w:p w:rsidR="00A90C58" w:rsidRPr="00333A8E" w:rsidRDefault="00BC0268" w:rsidP="00CA71F2">
      <w:pPr>
        <w:pStyle w:val="AnnexTitle"/>
        <w:rPr>
          <w:caps/>
          <w:sz w:val="28"/>
          <w:szCs w:val="28"/>
        </w:rPr>
      </w:pPr>
      <w:r w:rsidRPr="00333A8E">
        <w:rPr>
          <w:sz w:val="28"/>
          <w:szCs w:val="28"/>
        </w:rPr>
        <w:t>Mandat:</w:t>
      </w:r>
      <w:r w:rsidR="005E10D7" w:rsidRPr="00333A8E">
        <w:rPr>
          <w:sz w:val="28"/>
          <w:szCs w:val="28"/>
        </w:rPr>
        <w:br/>
        <w:t xml:space="preserve">Groupe spécialisé de l'UIT-T sur </w:t>
      </w:r>
      <w:r w:rsidR="00CA71F2">
        <w:rPr>
          <w:sz w:val="28"/>
          <w:szCs w:val="28"/>
        </w:rPr>
        <w:t>les technologies pour le</w:t>
      </w:r>
      <w:r w:rsidR="00164F3D" w:rsidRPr="00333A8E">
        <w:rPr>
          <w:sz w:val="28"/>
          <w:szCs w:val="28"/>
        </w:rPr>
        <w:t xml:space="preserve"> réseau 2030 </w:t>
      </w:r>
      <w:r w:rsidR="00164F3D" w:rsidRPr="00333A8E">
        <w:rPr>
          <w:sz w:val="28"/>
          <w:szCs w:val="28"/>
        </w:rPr>
        <w:br/>
      </w:r>
      <w:r w:rsidR="00250049" w:rsidRPr="00333A8E">
        <w:rPr>
          <w:sz w:val="28"/>
          <w:szCs w:val="28"/>
        </w:rPr>
        <w:t>(FG</w:t>
      </w:r>
      <w:r w:rsidR="00164F3D" w:rsidRPr="00333A8E">
        <w:rPr>
          <w:sz w:val="28"/>
          <w:szCs w:val="28"/>
        </w:rPr>
        <w:t xml:space="preserve"> NET-2030</w:t>
      </w:r>
      <w:r w:rsidR="00250049" w:rsidRPr="00333A8E">
        <w:rPr>
          <w:sz w:val="28"/>
          <w:szCs w:val="28"/>
        </w:rPr>
        <w:t>)</w:t>
      </w:r>
    </w:p>
    <w:p w:rsidR="00A90C58" w:rsidRPr="00333A8E" w:rsidRDefault="00A90C58" w:rsidP="00CA71F2">
      <w:pPr>
        <w:pStyle w:val="Heading1"/>
        <w:rPr>
          <w:rFonts w:eastAsia="SimSun"/>
          <w:lang w:eastAsia="ja-JP"/>
        </w:rPr>
      </w:pPr>
      <w:r w:rsidRPr="00333A8E">
        <w:rPr>
          <w:rFonts w:eastAsia="SimSun"/>
          <w:lang w:eastAsia="ja-JP"/>
        </w:rPr>
        <w:t>1</w:t>
      </w:r>
      <w:r w:rsidRPr="00333A8E">
        <w:rPr>
          <w:rFonts w:eastAsia="SimSun"/>
          <w:lang w:eastAsia="ja-JP"/>
        </w:rPr>
        <w:tab/>
      </w:r>
      <w:r w:rsidR="00DB6E7C" w:rsidRPr="00333A8E">
        <w:rPr>
          <w:rFonts w:eastAsia="SimSun"/>
          <w:lang w:eastAsia="ja-JP"/>
        </w:rPr>
        <w:t>Justification et domaine de compétence</w:t>
      </w:r>
    </w:p>
    <w:p w:rsidR="00E76F36" w:rsidRPr="00333A8E" w:rsidRDefault="00884694" w:rsidP="00CA71F2">
      <w:pPr>
        <w:rPr>
          <w:szCs w:val="24"/>
          <w:lang w:eastAsia="zh-CN"/>
        </w:rPr>
      </w:pPr>
      <w:r w:rsidRPr="00333A8E">
        <w:rPr>
          <w:szCs w:val="24"/>
          <w:lang w:eastAsia="zh-CN"/>
        </w:rPr>
        <w:t>Au cours de l</w:t>
      </w:r>
      <w:r w:rsidR="00E76F36" w:rsidRPr="00333A8E">
        <w:rPr>
          <w:szCs w:val="24"/>
          <w:lang w:eastAsia="zh-CN"/>
        </w:rPr>
        <w:t>a prochaine décennie</w:t>
      </w:r>
      <w:r w:rsidRPr="00333A8E">
        <w:rPr>
          <w:szCs w:val="24"/>
          <w:lang w:eastAsia="zh-CN"/>
        </w:rPr>
        <w:t>,</w:t>
      </w:r>
      <w:r w:rsidR="00E76F36" w:rsidRPr="00333A8E">
        <w:rPr>
          <w:szCs w:val="24"/>
          <w:lang w:eastAsia="zh-CN"/>
        </w:rPr>
        <w:t xml:space="preserve"> les technologies relatives aux nouveaux types de dispositifs, de systèmes et de fonctions </w:t>
      </w:r>
      <w:r w:rsidR="00462D97">
        <w:rPr>
          <w:szCs w:val="24"/>
          <w:lang w:eastAsia="zh-CN"/>
        </w:rPr>
        <w:t xml:space="preserve">associées </w:t>
      </w:r>
      <w:r w:rsidR="003B6D77" w:rsidRPr="00333A8E">
        <w:rPr>
          <w:szCs w:val="24"/>
          <w:lang w:eastAsia="zh-CN"/>
        </w:rPr>
        <w:t>évolueront</w:t>
      </w:r>
      <w:r w:rsidRPr="00333A8E">
        <w:rPr>
          <w:szCs w:val="24"/>
          <w:lang w:eastAsia="zh-CN"/>
        </w:rPr>
        <w:t xml:space="preserve"> rapidement</w:t>
      </w:r>
      <w:r w:rsidR="00E76F36" w:rsidRPr="00333A8E">
        <w:rPr>
          <w:szCs w:val="24"/>
          <w:lang w:eastAsia="zh-CN"/>
        </w:rPr>
        <w:t xml:space="preserve">. </w:t>
      </w:r>
      <w:r w:rsidR="003B6D77" w:rsidRPr="00333A8E">
        <w:rPr>
          <w:szCs w:val="24"/>
          <w:lang w:eastAsia="zh-CN"/>
        </w:rPr>
        <w:t>En outre, d</w:t>
      </w:r>
      <w:r w:rsidR="00E76F36" w:rsidRPr="00333A8E">
        <w:rPr>
          <w:szCs w:val="24"/>
          <w:lang w:eastAsia="zh-CN"/>
        </w:rPr>
        <w:t xml:space="preserve">e nouvelles applications </w:t>
      </w:r>
      <w:r w:rsidR="003B6D77" w:rsidRPr="00333A8E">
        <w:rPr>
          <w:szCs w:val="24"/>
          <w:lang w:eastAsia="zh-CN"/>
        </w:rPr>
        <w:t xml:space="preserve">aux </w:t>
      </w:r>
      <w:r w:rsidR="00E76F36" w:rsidRPr="00333A8E">
        <w:rPr>
          <w:szCs w:val="24"/>
          <w:lang w:eastAsia="zh-CN"/>
        </w:rPr>
        <w:t xml:space="preserve">exigences diverses </w:t>
      </w:r>
      <w:r w:rsidR="003B6D77" w:rsidRPr="00333A8E">
        <w:rPr>
          <w:szCs w:val="24"/>
          <w:lang w:eastAsia="zh-CN"/>
        </w:rPr>
        <w:t xml:space="preserve">verront </w:t>
      </w:r>
      <w:r w:rsidR="00E76F36" w:rsidRPr="00333A8E">
        <w:rPr>
          <w:szCs w:val="24"/>
          <w:lang w:eastAsia="zh-CN"/>
        </w:rPr>
        <w:t>le jour</w:t>
      </w:r>
      <w:r w:rsidR="003B6D77" w:rsidRPr="00333A8E">
        <w:rPr>
          <w:szCs w:val="24"/>
          <w:lang w:eastAsia="zh-CN"/>
        </w:rPr>
        <w:t>:</w:t>
      </w:r>
      <w:r w:rsidR="00E76F36" w:rsidRPr="00333A8E">
        <w:rPr>
          <w:szCs w:val="24"/>
          <w:lang w:eastAsia="zh-CN"/>
        </w:rPr>
        <w:t xml:space="preserve"> </w:t>
      </w:r>
      <w:r w:rsidR="003B6D77" w:rsidRPr="00333A8E">
        <w:rPr>
          <w:szCs w:val="24"/>
          <w:lang w:eastAsia="zh-CN"/>
        </w:rPr>
        <w:t xml:space="preserve">applications </w:t>
      </w:r>
      <w:r w:rsidR="00E76F36" w:rsidRPr="00333A8E">
        <w:rPr>
          <w:szCs w:val="24"/>
          <w:lang w:eastAsia="zh-CN"/>
        </w:rPr>
        <w:t>multimédia</w:t>
      </w:r>
      <w:r w:rsidR="003B6D77" w:rsidRPr="00333A8E">
        <w:rPr>
          <w:szCs w:val="24"/>
          <w:lang w:eastAsia="zh-CN"/>
        </w:rPr>
        <w:t>s</w:t>
      </w:r>
      <w:r w:rsidR="00E76F36" w:rsidRPr="00333A8E">
        <w:rPr>
          <w:szCs w:val="24"/>
          <w:lang w:eastAsia="zh-CN"/>
        </w:rPr>
        <w:t xml:space="preserve"> holographique</w:t>
      </w:r>
      <w:r w:rsidR="003B6D77" w:rsidRPr="00333A8E">
        <w:rPr>
          <w:szCs w:val="24"/>
          <w:lang w:eastAsia="zh-CN"/>
        </w:rPr>
        <w:t>s</w:t>
      </w:r>
      <w:r w:rsidR="00E76F36" w:rsidRPr="00333A8E">
        <w:rPr>
          <w:szCs w:val="24"/>
          <w:lang w:eastAsia="zh-CN"/>
        </w:rPr>
        <w:t xml:space="preserve">, </w:t>
      </w:r>
      <w:r w:rsidR="003B6D77" w:rsidRPr="00333A8E">
        <w:rPr>
          <w:szCs w:val="24"/>
          <w:lang w:eastAsia="zh-CN"/>
        </w:rPr>
        <w:t xml:space="preserve">fourniture et transfert de données </w:t>
      </w:r>
      <w:r w:rsidR="00E76F36" w:rsidRPr="00333A8E">
        <w:rPr>
          <w:szCs w:val="24"/>
          <w:lang w:eastAsia="zh-CN"/>
        </w:rPr>
        <w:t xml:space="preserve">instantanés, chirurgie à distance, robots humanoïdes, minuscules terminaux IoT intelligents, système de transport entièrement autonome, etc. Tout sera connecté ou </w:t>
      </w:r>
      <w:r w:rsidR="003B6D77" w:rsidRPr="00333A8E">
        <w:rPr>
          <w:szCs w:val="24"/>
          <w:lang w:eastAsia="zh-CN"/>
        </w:rPr>
        <w:t>intelligent</w:t>
      </w:r>
      <w:r w:rsidR="00E76F36" w:rsidRPr="00333A8E">
        <w:rPr>
          <w:szCs w:val="24"/>
          <w:lang w:eastAsia="zh-CN"/>
        </w:rPr>
        <w:t xml:space="preserve">, </w:t>
      </w:r>
      <w:r w:rsidR="00462D97">
        <w:rPr>
          <w:szCs w:val="24"/>
          <w:lang w:eastAsia="zh-CN"/>
        </w:rPr>
        <w:t xml:space="preserve">et </w:t>
      </w:r>
      <w:r w:rsidR="00E76F36" w:rsidRPr="00333A8E">
        <w:rPr>
          <w:szCs w:val="24"/>
          <w:lang w:eastAsia="zh-CN"/>
        </w:rPr>
        <w:t xml:space="preserve">souvent les deux, </w:t>
      </w:r>
      <w:r w:rsidR="00462D97">
        <w:rPr>
          <w:szCs w:val="24"/>
          <w:lang w:eastAsia="zh-CN"/>
        </w:rPr>
        <w:t xml:space="preserve">si bien que les </w:t>
      </w:r>
      <w:r w:rsidR="00E76F36" w:rsidRPr="00333A8E">
        <w:rPr>
          <w:szCs w:val="24"/>
          <w:lang w:eastAsia="zh-CN"/>
        </w:rPr>
        <w:t>communication</w:t>
      </w:r>
      <w:r w:rsidR="003B6D77" w:rsidRPr="00333A8E">
        <w:rPr>
          <w:szCs w:val="24"/>
          <w:lang w:eastAsia="zh-CN"/>
        </w:rPr>
        <w:t>s</w:t>
      </w:r>
      <w:r w:rsidR="00462D97">
        <w:rPr>
          <w:szCs w:val="24"/>
          <w:lang w:eastAsia="zh-CN"/>
        </w:rPr>
        <w:t xml:space="preserve"> et l</w:t>
      </w:r>
      <w:r w:rsidR="00E76F36" w:rsidRPr="00333A8E">
        <w:rPr>
          <w:szCs w:val="24"/>
          <w:lang w:eastAsia="zh-CN"/>
        </w:rPr>
        <w:t>e</w:t>
      </w:r>
      <w:r w:rsidR="003B6D77" w:rsidRPr="00333A8E">
        <w:rPr>
          <w:szCs w:val="24"/>
          <w:lang w:eastAsia="zh-CN"/>
        </w:rPr>
        <w:t>s</w:t>
      </w:r>
      <w:r w:rsidR="00E76F36" w:rsidRPr="00333A8E">
        <w:rPr>
          <w:szCs w:val="24"/>
          <w:lang w:eastAsia="zh-CN"/>
        </w:rPr>
        <w:t xml:space="preserve"> technologie</w:t>
      </w:r>
      <w:r w:rsidR="003B6D77" w:rsidRPr="00333A8E">
        <w:rPr>
          <w:szCs w:val="24"/>
          <w:lang w:eastAsia="zh-CN"/>
        </w:rPr>
        <w:t>s</w:t>
      </w:r>
      <w:r w:rsidR="00E76F36" w:rsidRPr="00333A8E">
        <w:rPr>
          <w:szCs w:val="24"/>
          <w:lang w:eastAsia="zh-CN"/>
        </w:rPr>
        <w:t xml:space="preserve"> </w:t>
      </w:r>
      <w:r w:rsidR="00462D97">
        <w:rPr>
          <w:szCs w:val="24"/>
          <w:lang w:eastAsia="zh-CN"/>
        </w:rPr>
        <w:t xml:space="preserve">seront encore plus étroitement intégrées </w:t>
      </w:r>
      <w:r w:rsidR="003B6D77" w:rsidRPr="00333A8E">
        <w:rPr>
          <w:szCs w:val="24"/>
          <w:lang w:eastAsia="zh-CN"/>
        </w:rPr>
        <w:t xml:space="preserve">dans </w:t>
      </w:r>
      <w:r w:rsidR="00E76F36" w:rsidRPr="00333A8E">
        <w:rPr>
          <w:szCs w:val="24"/>
          <w:lang w:eastAsia="zh-CN"/>
        </w:rPr>
        <w:t>la vie humaine.</w:t>
      </w:r>
    </w:p>
    <w:p w:rsidR="00E76F36" w:rsidRPr="00333A8E" w:rsidRDefault="00E76F36" w:rsidP="00CA71F2">
      <w:pPr>
        <w:rPr>
          <w:szCs w:val="24"/>
          <w:lang w:eastAsia="zh-CN"/>
        </w:rPr>
      </w:pPr>
      <w:r w:rsidRPr="00333A8E">
        <w:rPr>
          <w:szCs w:val="24"/>
          <w:lang w:eastAsia="zh-CN"/>
        </w:rPr>
        <w:t>L'adoption massive de ces nouvelles applications dépend</w:t>
      </w:r>
      <w:r w:rsidR="00462D97">
        <w:rPr>
          <w:szCs w:val="24"/>
          <w:lang w:eastAsia="zh-CN"/>
        </w:rPr>
        <w:t>ra</w:t>
      </w:r>
      <w:r w:rsidRPr="00333A8E">
        <w:rPr>
          <w:szCs w:val="24"/>
          <w:lang w:eastAsia="zh-CN"/>
        </w:rPr>
        <w:t xml:space="preserve"> de la qualité de la prise en charge des communications sous-jacentes à grande échelle sur les réseaux hyper-connectés. Par conséquent, </w:t>
      </w:r>
      <w:r w:rsidR="003E593F" w:rsidRPr="00333A8E">
        <w:rPr>
          <w:szCs w:val="24"/>
          <w:lang w:eastAsia="zh-CN"/>
        </w:rPr>
        <w:t xml:space="preserve">il faut absolument </w:t>
      </w:r>
      <w:r w:rsidRPr="00333A8E">
        <w:rPr>
          <w:szCs w:val="24"/>
          <w:lang w:eastAsia="zh-CN"/>
        </w:rPr>
        <w:t>évalu</w:t>
      </w:r>
      <w:r w:rsidR="003E593F" w:rsidRPr="00333A8E">
        <w:rPr>
          <w:szCs w:val="24"/>
          <w:lang w:eastAsia="zh-CN"/>
        </w:rPr>
        <w:t xml:space="preserve">er de manière plus approfondie </w:t>
      </w:r>
      <w:r w:rsidRPr="00333A8E">
        <w:rPr>
          <w:szCs w:val="24"/>
          <w:lang w:eastAsia="zh-CN"/>
        </w:rPr>
        <w:t xml:space="preserve">l'architecture de réseau </w:t>
      </w:r>
      <w:r w:rsidR="003E593F" w:rsidRPr="00333A8E">
        <w:rPr>
          <w:szCs w:val="24"/>
          <w:lang w:eastAsia="zh-CN"/>
        </w:rPr>
        <w:t xml:space="preserve">et </w:t>
      </w:r>
      <w:r w:rsidRPr="00333A8E">
        <w:rPr>
          <w:szCs w:val="24"/>
          <w:lang w:eastAsia="zh-CN"/>
        </w:rPr>
        <w:t xml:space="preserve">les technologies </w:t>
      </w:r>
      <w:r w:rsidR="003E593F" w:rsidRPr="00333A8E">
        <w:rPr>
          <w:szCs w:val="24"/>
          <w:lang w:eastAsia="zh-CN"/>
        </w:rPr>
        <w:t xml:space="preserve">de base </w:t>
      </w:r>
      <w:r w:rsidRPr="00333A8E">
        <w:rPr>
          <w:szCs w:val="24"/>
          <w:lang w:eastAsia="zh-CN"/>
        </w:rPr>
        <w:t>associées.</w:t>
      </w:r>
    </w:p>
    <w:p w:rsidR="00E76F36" w:rsidRPr="00333A8E" w:rsidRDefault="00E76F36" w:rsidP="00CA71F2">
      <w:pPr>
        <w:rPr>
          <w:szCs w:val="24"/>
        </w:rPr>
      </w:pPr>
      <w:r w:rsidRPr="00333A8E">
        <w:rPr>
          <w:szCs w:val="24"/>
        </w:rPr>
        <w:t xml:space="preserve">Le concept de réseau 2030 </w:t>
      </w:r>
      <w:r w:rsidR="003E593F" w:rsidRPr="00333A8E">
        <w:rPr>
          <w:szCs w:val="24"/>
        </w:rPr>
        <w:t xml:space="preserve">désigne </w:t>
      </w:r>
      <w:r w:rsidRPr="00333A8E">
        <w:rPr>
          <w:szCs w:val="24"/>
        </w:rPr>
        <w:t xml:space="preserve">un nouveau réseau </w:t>
      </w:r>
      <w:r w:rsidR="003E593F" w:rsidRPr="00333A8E">
        <w:rPr>
          <w:szCs w:val="24"/>
        </w:rPr>
        <w:t xml:space="preserve">à l'horizon </w:t>
      </w:r>
      <w:r w:rsidRPr="00333A8E">
        <w:rPr>
          <w:szCs w:val="24"/>
        </w:rPr>
        <w:t xml:space="preserve">2030 et au-delà, </w:t>
      </w:r>
      <w:r w:rsidR="003E593F" w:rsidRPr="00333A8E">
        <w:rPr>
          <w:szCs w:val="24"/>
        </w:rPr>
        <w:t xml:space="preserve">qui </w:t>
      </w:r>
      <w:r w:rsidRPr="00333A8E">
        <w:rPr>
          <w:szCs w:val="24"/>
        </w:rPr>
        <w:t xml:space="preserve">non seulement </w:t>
      </w:r>
      <w:r w:rsidR="003E593F" w:rsidRPr="00333A8E">
        <w:rPr>
          <w:szCs w:val="24"/>
        </w:rPr>
        <w:t xml:space="preserve">présente </w:t>
      </w:r>
      <w:r w:rsidRPr="00333A8E">
        <w:rPr>
          <w:szCs w:val="24"/>
        </w:rPr>
        <w:t xml:space="preserve">une latence plus </w:t>
      </w:r>
      <w:r w:rsidR="00462D97">
        <w:rPr>
          <w:szCs w:val="24"/>
        </w:rPr>
        <w:t xml:space="preserve">faible </w:t>
      </w:r>
      <w:r w:rsidRPr="00333A8E">
        <w:rPr>
          <w:szCs w:val="24"/>
        </w:rPr>
        <w:t xml:space="preserve">et une capacité plus élevée, mais aussi </w:t>
      </w:r>
      <w:r w:rsidR="003E593F" w:rsidRPr="00333A8E">
        <w:rPr>
          <w:szCs w:val="24"/>
        </w:rPr>
        <w:t xml:space="preserve">peut prendre en charge </w:t>
      </w:r>
      <w:r w:rsidRPr="00333A8E">
        <w:rPr>
          <w:szCs w:val="24"/>
        </w:rPr>
        <w:t xml:space="preserve">des </w:t>
      </w:r>
      <w:r w:rsidR="003E593F" w:rsidRPr="00333A8E">
        <w:rPr>
          <w:szCs w:val="24"/>
        </w:rPr>
        <w:t>méthodes de fourniture de l'information</w:t>
      </w:r>
      <w:r w:rsidRPr="00333A8E">
        <w:rPr>
          <w:szCs w:val="24"/>
        </w:rPr>
        <w:t xml:space="preserve"> </w:t>
      </w:r>
      <w:r w:rsidR="003E593F" w:rsidRPr="00333A8E">
        <w:rPr>
          <w:szCs w:val="24"/>
        </w:rPr>
        <w:t xml:space="preserve">à plusieurs dimensions, </w:t>
      </w:r>
      <w:r w:rsidRPr="00333A8E">
        <w:rPr>
          <w:szCs w:val="24"/>
        </w:rPr>
        <w:t xml:space="preserve">telles que les communications de type holographique avec détection haptique, </w:t>
      </w:r>
      <w:r w:rsidR="003E593F" w:rsidRPr="00333A8E">
        <w:rPr>
          <w:szCs w:val="24"/>
        </w:rPr>
        <w:t xml:space="preserve">la </w:t>
      </w:r>
      <w:r w:rsidRPr="00333A8E">
        <w:rPr>
          <w:szCs w:val="24"/>
        </w:rPr>
        <w:t xml:space="preserve">téléportation </w:t>
      </w:r>
      <w:r w:rsidR="003E593F" w:rsidRPr="00333A8E">
        <w:rPr>
          <w:szCs w:val="24"/>
        </w:rPr>
        <w:t xml:space="preserve">instantanée </w:t>
      </w:r>
      <w:r w:rsidRPr="00333A8E">
        <w:rPr>
          <w:szCs w:val="24"/>
        </w:rPr>
        <w:t xml:space="preserve">d'informations </w:t>
      </w:r>
      <w:r w:rsidR="003E593F" w:rsidRPr="00333A8E">
        <w:rPr>
          <w:szCs w:val="24"/>
        </w:rPr>
        <w:t xml:space="preserve">de plusieurs </w:t>
      </w:r>
      <w:r w:rsidRPr="00333A8E">
        <w:rPr>
          <w:szCs w:val="24"/>
        </w:rPr>
        <w:t>type</w:t>
      </w:r>
      <w:r w:rsidR="003E593F" w:rsidRPr="00333A8E">
        <w:rPr>
          <w:szCs w:val="24"/>
        </w:rPr>
        <w:t>s</w:t>
      </w:r>
      <w:r w:rsidRPr="00333A8E">
        <w:rPr>
          <w:szCs w:val="24"/>
        </w:rPr>
        <w:t xml:space="preserve"> avec déterminisme, etc.</w:t>
      </w:r>
    </w:p>
    <w:p w:rsidR="00E76F36" w:rsidRPr="00333A8E" w:rsidRDefault="00462D97" w:rsidP="00CA71F2">
      <w:pPr>
        <w:rPr>
          <w:szCs w:val="24"/>
          <w:lang w:eastAsia="zh-CN"/>
        </w:rPr>
      </w:pPr>
      <w:r>
        <w:rPr>
          <w:szCs w:val="24"/>
          <w:lang w:eastAsia="zh-CN"/>
        </w:rPr>
        <w:t>L</w:t>
      </w:r>
      <w:r w:rsidR="00E76F36" w:rsidRPr="00333A8E">
        <w:rPr>
          <w:szCs w:val="24"/>
          <w:lang w:eastAsia="zh-CN"/>
        </w:rPr>
        <w:t>'étude de l'architecture du réseau 2030</w:t>
      </w:r>
      <w:r>
        <w:rPr>
          <w:szCs w:val="24"/>
          <w:lang w:eastAsia="zh-CN"/>
        </w:rPr>
        <w:t xml:space="preserve"> fera certainement </w:t>
      </w:r>
      <w:r w:rsidR="00F727A8" w:rsidRPr="00333A8E">
        <w:rPr>
          <w:szCs w:val="24"/>
          <w:lang w:eastAsia="zh-CN"/>
        </w:rPr>
        <w:t xml:space="preserve">apparaître </w:t>
      </w:r>
      <w:r w:rsidR="00E76F36" w:rsidRPr="00333A8E">
        <w:rPr>
          <w:szCs w:val="24"/>
          <w:lang w:eastAsia="zh-CN"/>
        </w:rPr>
        <w:t xml:space="preserve">de nombreuses nouvelles exigences de communication </w:t>
      </w:r>
      <w:r w:rsidR="00F727A8" w:rsidRPr="00333A8E">
        <w:rPr>
          <w:szCs w:val="24"/>
          <w:lang w:eastAsia="zh-CN"/>
        </w:rPr>
        <w:t xml:space="preserve">qui nécessiteront davantage de </w:t>
      </w:r>
      <w:r w:rsidR="00E76F36" w:rsidRPr="00333A8E">
        <w:rPr>
          <w:szCs w:val="24"/>
          <w:lang w:eastAsia="zh-CN"/>
        </w:rPr>
        <w:t xml:space="preserve">ressources et </w:t>
      </w:r>
      <w:r w:rsidR="00F727A8" w:rsidRPr="00333A8E">
        <w:rPr>
          <w:szCs w:val="24"/>
          <w:lang w:eastAsia="zh-CN"/>
        </w:rPr>
        <w:t xml:space="preserve">devront </w:t>
      </w:r>
      <w:r w:rsidR="00E76F36" w:rsidRPr="00333A8E">
        <w:rPr>
          <w:szCs w:val="24"/>
          <w:lang w:eastAsia="zh-CN"/>
        </w:rPr>
        <w:t>être satisfaites, en particulier:</w:t>
      </w:r>
    </w:p>
    <w:p w:rsidR="00E76F36" w:rsidRPr="00333A8E" w:rsidRDefault="0038206A" w:rsidP="00CA71F2">
      <w:pPr>
        <w:pStyle w:val="enumlev1"/>
      </w:pPr>
      <w:r>
        <w:t>•</w:t>
      </w:r>
      <w:r w:rsidR="00164F3D" w:rsidRPr="00333A8E">
        <w:tab/>
      </w:r>
      <w:r w:rsidR="00F727A8" w:rsidRPr="00333A8E">
        <w:t>q</w:t>
      </w:r>
      <w:r w:rsidR="00E76F36" w:rsidRPr="00333A8E">
        <w:t xml:space="preserve">uantité </w:t>
      </w:r>
      <w:r w:rsidR="00F727A8" w:rsidRPr="00333A8E">
        <w:t xml:space="preserve">considérable </w:t>
      </w:r>
      <w:r w:rsidR="00E76F36" w:rsidRPr="00333A8E">
        <w:t>de connexions</w:t>
      </w:r>
      <w:r w:rsidR="00F727A8" w:rsidRPr="00333A8E">
        <w:t>,</w:t>
      </w:r>
      <w:r w:rsidR="00E76F36" w:rsidRPr="00333A8E">
        <w:t xml:space="preserve"> </w:t>
      </w:r>
      <w:r w:rsidR="00516965" w:rsidRPr="00333A8E">
        <w:t xml:space="preserve">dépassant les </w:t>
      </w:r>
      <w:r w:rsidR="00F727A8" w:rsidRPr="00333A8E">
        <w:t xml:space="preserve">capacités </w:t>
      </w:r>
      <w:r w:rsidR="00E76F36" w:rsidRPr="00333A8E">
        <w:t xml:space="preserve">des réseaux </w:t>
      </w:r>
      <w:r w:rsidR="00F727A8" w:rsidRPr="00333A8E">
        <w:t>exploités actuellement ou dans un futur proche</w:t>
      </w:r>
      <w:r w:rsidR="00E76F36" w:rsidRPr="00333A8E">
        <w:t xml:space="preserve">, y compris </w:t>
      </w:r>
      <w:r w:rsidR="00F727A8" w:rsidRPr="00333A8E">
        <w:t>les réseaux 5G/</w:t>
      </w:r>
      <w:r w:rsidR="00E76F36" w:rsidRPr="00333A8E">
        <w:t>IMT-2020;</w:t>
      </w:r>
    </w:p>
    <w:p w:rsidR="00E76F36" w:rsidRPr="00333A8E" w:rsidRDefault="0038206A" w:rsidP="00CA71F2">
      <w:pPr>
        <w:pStyle w:val="enumlev1"/>
      </w:pPr>
      <w:r>
        <w:t>•</w:t>
      </w:r>
      <w:r w:rsidR="00164F3D" w:rsidRPr="00333A8E">
        <w:tab/>
      </w:r>
      <w:r w:rsidR="00E76F36" w:rsidRPr="00333A8E">
        <w:t xml:space="preserve">très haut </w:t>
      </w:r>
      <w:r w:rsidR="00F727A8" w:rsidRPr="00333A8E">
        <w:t>débit pour prendre en charge un très grand nombre de futures</w:t>
      </w:r>
      <w:r w:rsidR="00E76F36" w:rsidRPr="00333A8E">
        <w:t xml:space="preserve"> applications </w:t>
      </w:r>
      <w:r w:rsidR="00F727A8" w:rsidRPr="00333A8E">
        <w:t xml:space="preserve">nécessitant une très grande </w:t>
      </w:r>
      <w:r w:rsidR="00E76F36" w:rsidRPr="00333A8E">
        <w:t xml:space="preserve">bande passante, </w:t>
      </w:r>
      <w:r w:rsidR="00516965" w:rsidRPr="00333A8E">
        <w:t xml:space="preserve">dépassant les </w:t>
      </w:r>
      <w:r w:rsidR="00F727A8" w:rsidRPr="00333A8E">
        <w:t>capacités des réseaux exploités actuellement ou dans un futur proche, y compris les réseaux 5G/IMT-2020</w:t>
      </w:r>
      <w:r w:rsidR="00E76F36" w:rsidRPr="00333A8E">
        <w:t>;</w:t>
      </w:r>
    </w:p>
    <w:p w:rsidR="00E76F36" w:rsidRPr="00333A8E" w:rsidRDefault="0038206A" w:rsidP="00CA71F2">
      <w:pPr>
        <w:pStyle w:val="enumlev1"/>
      </w:pPr>
      <w:r>
        <w:t>•</w:t>
      </w:r>
      <w:r w:rsidR="00164F3D" w:rsidRPr="00333A8E">
        <w:tab/>
      </w:r>
      <w:r w:rsidR="00F727A8" w:rsidRPr="00333A8E">
        <w:t>r</w:t>
      </w:r>
      <w:r w:rsidR="00E76F36" w:rsidRPr="00333A8E">
        <w:t xml:space="preserve">éseau à </w:t>
      </w:r>
      <w:r w:rsidR="00F727A8" w:rsidRPr="00333A8E">
        <w:t>super-</w:t>
      </w:r>
      <w:r w:rsidR="00E76F36" w:rsidRPr="00333A8E">
        <w:t>ultra-faible latence, avec garantie déterministe</w:t>
      </w:r>
      <w:r w:rsidR="00F727A8" w:rsidRPr="00333A8E">
        <w:t xml:space="preserve">, </w:t>
      </w:r>
      <w:r w:rsidR="00516965" w:rsidRPr="00333A8E">
        <w:t xml:space="preserve">dépassant les </w:t>
      </w:r>
      <w:r w:rsidR="00F727A8" w:rsidRPr="00333A8E">
        <w:t>capacités des réseaux exploités actuellement ou dans un futur proche, y compris les réseaux 5G/IMT-2020</w:t>
      </w:r>
      <w:r w:rsidR="00E76F36" w:rsidRPr="00333A8E">
        <w:t>;</w:t>
      </w:r>
    </w:p>
    <w:p w:rsidR="00164F3D" w:rsidRPr="00333A8E" w:rsidRDefault="0038206A" w:rsidP="00CA71F2">
      <w:pPr>
        <w:pStyle w:val="enumlev1"/>
      </w:pPr>
      <w:r>
        <w:t>•</w:t>
      </w:r>
      <w:r w:rsidR="00164F3D" w:rsidRPr="00333A8E">
        <w:tab/>
        <w:t>infrastructure</w:t>
      </w:r>
      <w:r w:rsidR="00E76F36" w:rsidRPr="00333A8E">
        <w:t xml:space="preserve"> de réseau fiable</w:t>
      </w:r>
      <w:r w:rsidR="00164F3D" w:rsidRPr="00333A8E">
        <w:t>;</w:t>
      </w:r>
    </w:p>
    <w:p w:rsidR="00884694" w:rsidRPr="00333A8E" w:rsidRDefault="0038206A" w:rsidP="00CA71F2">
      <w:pPr>
        <w:pStyle w:val="enumlev1"/>
      </w:pPr>
      <w:r>
        <w:t>•</w:t>
      </w:r>
      <w:r w:rsidR="00164F3D" w:rsidRPr="00333A8E">
        <w:tab/>
      </w:r>
      <w:r w:rsidR="00F727A8" w:rsidRPr="00333A8E">
        <w:t>m</w:t>
      </w:r>
      <w:r w:rsidR="00884694" w:rsidRPr="00333A8E">
        <w:t xml:space="preserve">écanisme de réseau fiable centré sur la sécurité humaine et </w:t>
      </w:r>
      <w:r w:rsidR="003412D8" w:rsidRPr="00333A8E">
        <w:t>le respect de la vie privée</w:t>
      </w:r>
      <w:r w:rsidR="00884694" w:rsidRPr="00333A8E">
        <w:t>, etc.</w:t>
      </w:r>
    </w:p>
    <w:p w:rsidR="003412D8" w:rsidRPr="00333A8E" w:rsidRDefault="00884694" w:rsidP="00CA71F2">
      <w:r w:rsidRPr="00333A8E">
        <w:rPr>
          <w:szCs w:val="24"/>
        </w:rPr>
        <w:t xml:space="preserve">Le </w:t>
      </w:r>
      <w:r w:rsidR="003412D8" w:rsidRPr="00333A8E">
        <w:rPr>
          <w:szCs w:val="24"/>
        </w:rPr>
        <w:t>G</w:t>
      </w:r>
      <w:r w:rsidRPr="00333A8E">
        <w:rPr>
          <w:szCs w:val="24"/>
        </w:rPr>
        <w:t xml:space="preserve">roupe </w:t>
      </w:r>
      <w:r w:rsidR="003412D8" w:rsidRPr="00333A8E">
        <w:rPr>
          <w:szCs w:val="24"/>
        </w:rPr>
        <w:t xml:space="preserve">spécialisé </w:t>
      </w:r>
      <w:r w:rsidRPr="00333A8E">
        <w:rPr>
          <w:szCs w:val="24"/>
        </w:rPr>
        <w:t xml:space="preserve">FG-NET-2030 </w:t>
      </w:r>
      <w:r w:rsidR="00540612" w:rsidRPr="00333A8E">
        <w:rPr>
          <w:szCs w:val="24"/>
        </w:rPr>
        <w:t>sera chargé d'</w:t>
      </w:r>
      <w:r w:rsidRPr="00333A8E">
        <w:rPr>
          <w:szCs w:val="24"/>
        </w:rPr>
        <w:t xml:space="preserve">étudier les capacités des réseaux </w:t>
      </w:r>
      <w:r w:rsidR="003412D8" w:rsidRPr="00333A8E">
        <w:rPr>
          <w:szCs w:val="24"/>
        </w:rPr>
        <w:t xml:space="preserve">futurs </w:t>
      </w:r>
      <w:r w:rsidRPr="00333A8E">
        <w:rPr>
          <w:szCs w:val="24"/>
        </w:rPr>
        <w:t xml:space="preserve">à l'horizon 2025-2035, </w:t>
      </w:r>
      <w:r w:rsidR="003412D8" w:rsidRPr="00333A8E">
        <w:t xml:space="preserve">en vue de </w:t>
      </w:r>
      <w:r w:rsidR="00462D97">
        <w:t xml:space="preserve">prendre en charge </w:t>
      </w:r>
      <w:r w:rsidR="003412D8" w:rsidRPr="00333A8E">
        <w:t xml:space="preserve">de nouveaux scénarios orientés vers l'avenir, tels </w:t>
      </w:r>
      <w:r w:rsidR="00333A8E">
        <w:t xml:space="preserve">que </w:t>
      </w:r>
      <w:r w:rsidR="003412D8" w:rsidRPr="00333A8E">
        <w:t>la téléprésence holographique, les avatars industriels, et les interventions extrêmement rapides en situation de crise. L'étude vise à répondre à des questions spécifiques sur les types d'architecture de réseau et les mécanismes de base qui sont adaptés pour ces nouveaux scénarios.</w:t>
      </w:r>
    </w:p>
    <w:p w:rsidR="00884694" w:rsidRPr="00333A8E" w:rsidRDefault="00663A67" w:rsidP="00CA71F2">
      <w:pPr>
        <w:rPr>
          <w:szCs w:val="24"/>
        </w:rPr>
      </w:pPr>
      <w:r w:rsidRPr="00333A8E">
        <w:rPr>
          <w:szCs w:val="24"/>
        </w:rPr>
        <w:lastRenderedPageBreak/>
        <w:t>Pour réaliser l</w:t>
      </w:r>
      <w:r w:rsidR="00884694" w:rsidRPr="00333A8E">
        <w:rPr>
          <w:szCs w:val="24"/>
        </w:rPr>
        <w:t xml:space="preserve">e réseau </w:t>
      </w:r>
      <w:r w:rsidR="00B73C1B" w:rsidRPr="00333A8E">
        <w:rPr>
          <w:szCs w:val="24"/>
        </w:rPr>
        <w:t xml:space="preserve">futur à l'horizon </w:t>
      </w:r>
      <w:r w:rsidR="00884694" w:rsidRPr="00333A8E">
        <w:rPr>
          <w:szCs w:val="24"/>
        </w:rPr>
        <w:t xml:space="preserve">2030 et au-delà, </w:t>
      </w:r>
      <w:r w:rsidR="00B73C1B" w:rsidRPr="00333A8E">
        <w:rPr>
          <w:szCs w:val="24"/>
        </w:rPr>
        <w:t xml:space="preserve">baptisé réseau </w:t>
      </w:r>
      <w:r w:rsidR="00884694" w:rsidRPr="00333A8E">
        <w:rPr>
          <w:szCs w:val="24"/>
        </w:rPr>
        <w:t xml:space="preserve">2030, </w:t>
      </w:r>
      <w:r w:rsidRPr="00333A8E">
        <w:rPr>
          <w:szCs w:val="24"/>
        </w:rPr>
        <w:t xml:space="preserve">on étudiera </w:t>
      </w:r>
      <w:r w:rsidR="00462D97">
        <w:rPr>
          <w:szCs w:val="24"/>
        </w:rPr>
        <w:t>l</w:t>
      </w:r>
      <w:r w:rsidR="00B73C1B" w:rsidRPr="00333A8E">
        <w:rPr>
          <w:szCs w:val="24"/>
        </w:rPr>
        <w:t xml:space="preserve">es </w:t>
      </w:r>
      <w:r w:rsidR="00884694" w:rsidRPr="00333A8E">
        <w:rPr>
          <w:szCs w:val="24"/>
        </w:rPr>
        <w:t xml:space="preserve">mécanismes de communication </w:t>
      </w:r>
      <w:r w:rsidRPr="00333A8E">
        <w:rPr>
          <w:szCs w:val="24"/>
        </w:rPr>
        <w:t xml:space="preserve">par le réseau selon </w:t>
      </w:r>
      <w:r w:rsidR="00884694" w:rsidRPr="00333A8E">
        <w:rPr>
          <w:szCs w:val="24"/>
        </w:rPr>
        <w:t xml:space="preserve">de nombreuses </w:t>
      </w:r>
      <w:r w:rsidRPr="00333A8E">
        <w:rPr>
          <w:szCs w:val="24"/>
        </w:rPr>
        <w:t xml:space="preserve">et vastes </w:t>
      </w:r>
      <w:r w:rsidR="00884694" w:rsidRPr="00333A8E">
        <w:rPr>
          <w:szCs w:val="24"/>
        </w:rPr>
        <w:t>perspectives</w:t>
      </w:r>
      <w:r w:rsidRPr="00333A8E">
        <w:rPr>
          <w:szCs w:val="24"/>
        </w:rPr>
        <w:t>,</w:t>
      </w:r>
      <w:r w:rsidR="00884694" w:rsidRPr="00333A8E">
        <w:rPr>
          <w:szCs w:val="24"/>
        </w:rPr>
        <w:t xml:space="preserve"> </w:t>
      </w:r>
      <w:r w:rsidRPr="00333A8E">
        <w:rPr>
          <w:szCs w:val="24"/>
        </w:rPr>
        <w:t xml:space="preserve">dépassant les </w:t>
      </w:r>
      <w:r w:rsidR="00884694" w:rsidRPr="00333A8E">
        <w:rPr>
          <w:szCs w:val="24"/>
        </w:rPr>
        <w:t xml:space="preserve">notions existantes de couches </w:t>
      </w:r>
      <w:r w:rsidRPr="00333A8E">
        <w:rPr>
          <w:szCs w:val="24"/>
        </w:rPr>
        <w:t xml:space="preserve">de </w:t>
      </w:r>
      <w:r w:rsidR="00884694" w:rsidRPr="00333A8E">
        <w:rPr>
          <w:szCs w:val="24"/>
        </w:rPr>
        <w:t xml:space="preserve">réseau </w:t>
      </w:r>
      <w:r w:rsidRPr="00333A8E">
        <w:rPr>
          <w:szCs w:val="24"/>
        </w:rPr>
        <w:t xml:space="preserve">et ne se limitant pas à telle ou telle </w:t>
      </w:r>
      <w:r w:rsidR="00884694" w:rsidRPr="00333A8E">
        <w:rPr>
          <w:szCs w:val="24"/>
        </w:rPr>
        <w:t>te</w:t>
      </w:r>
      <w:r w:rsidRPr="00333A8E">
        <w:rPr>
          <w:szCs w:val="24"/>
        </w:rPr>
        <w:t>chnologie utilisée aujourd'hui</w:t>
      </w:r>
      <w:r w:rsidR="00884694" w:rsidRPr="00333A8E">
        <w:rPr>
          <w:szCs w:val="24"/>
        </w:rPr>
        <w:t xml:space="preserve">. Ainsi, </w:t>
      </w:r>
      <w:r w:rsidRPr="00333A8E">
        <w:rPr>
          <w:szCs w:val="24"/>
        </w:rPr>
        <w:t xml:space="preserve">le réseau 2030 pourra reposer sur </w:t>
      </w:r>
      <w:r w:rsidR="00884694" w:rsidRPr="00333A8E">
        <w:rPr>
          <w:szCs w:val="24"/>
        </w:rPr>
        <w:t xml:space="preserve">une nouvelle couche de réseau ou une nouvelle architecture de réseau pour </w:t>
      </w:r>
      <w:r w:rsidR="006E57F6" w:rsidRPr="00333A8E">
        <w:rPr>
          <w:szCs w:val="24"/>
        </w:rPr>
        <w:t>le transport</w:t>
      </w:r>
      <w:r w:rsidR="00884694" w:rsidRPr="00333A8E">
        <w:rPr>
          <w:szCs w:val="24"/>
        </w:rPr>
        <w:t xml:space="preserve"> </w:t>
      </w:r>
      <w:r w:rsidR="006E57F6" w:rsidRPr="00333A8E">
        <w:rPr>
          <w:szCs w:val="24"/>
        </w:rPr>
        <w:t>d</w:t>
      </w:r>
      <w:r w:rsidR="00884694" w:rsidRPr="00333A8E">
        <w:rPr>
          <w:szCs w:val="24"/>
        </w:rPr>
        <w:t>es informations</w:t>
      </w:r>
      <w:r w:rsidR="006E57F6" w:rsidRPr="00333A8E">
        <w:rPr>
          <w:szCs w:val="24"/>
        </w:rPr>
        <w:t>,</w:t>
      </w:r>
      <w:r w:rsidR="00884694" w:rsidRPr="00333A8E">
        <w:rPr>
          <w:szCs w:val="24"/>
        </w:rPr>
        <w:t xml:space="preserve"> qui </w:t>
      </w:r>
      <w:r w:rsidR="006E57F6" w:rsidRPr="00333A8E">
        <w:rPr>
          <w:szCs w:val="24"/>
        </w:rPr>
        <w:t xml:space="preserve">pourra constituer </w:t>
      </w:r>
      <w:r w:rsidR="00884694" w:rsidRPr="00333A8E">
        <w:rPr>
          <w:szCs w:val="24"/>
        </w:rPr>
        <w:t xml:space="preserve">une évolution </w:t>
      </w:r>
      <w:r w:rsidR="006E57F6" w:rsidRPr="00333A8E">
        <w:rPr>
          <w:szCs w:val="24"/>
        </w:rPr>
        <w:t xml:space="preserve">ou une amélioration par rapport aux </w:t>
      </w:r>
      <w:r w:rsidR="00884694" w:rsidRPr="00333A8E">
        <w:rPr>
          <w:szCs w:val="24"/>
        </w:rPr>
        <w:t xml:space="preserve">réseaux existants ou </w:t>
      </w:r>
      <w:r w:rsidR="006E57F6" w:rsidRPr="00333A8E">
        <w:rPr>
          <w:szCs w:val="24"/>
        </w:rPr>
        <w:t xml:space="preserve">un système de transport très </w:t>
      </w:r>
      <w:r w:rsidR="00884694" w:rsidRPr="00333A8E">
        <w:rPr>
          <w:szCs w:val="24"/>
        </w:rPr>
        <w:t xml:space="preserve">différent. </w:t>
      </w:r>
      <w:r w:rsidR="006E57F6" w:rsidRPr="00333A8E">
        <w:rPr>
          <w:szCs w:val="24"/>
        </w:rPr>
        <w:t xml:space="preserve">Il faut toutefois veiller à maintenir la </w:t>
      </w:r>
      <w:r w:rsidR="00462D97">
        <w:rPr>
          <w:szCs w:val="24"/>
        </w:rPr>
        <w:t xml:space="preserve">parfaite </w:t>
      </w:r>
      <w:r w:rsidR="006E57F6" w:rsidRPr="00333A8E">
        <w:rPr>
          <w:szCs w:val="24"/>
        </w:rPr>
        <w:t xml:space="preserve">rétrocompatibilité des </w:t>
      </w:r>
      <w:r w:rsidR="00884694" w:rsidRPr="00333A8E">
        <w:rPr>
          <w:szCs w:val="24"/>
        </w:rPr>
        <w:t>futurs systèmes et applications de réseau.</w:t>
      </w:r>
    </w:p>
    <w:p w:rsidR="00884694" w:rsidRPr="00333A8E" w:rsidRDefault="00884694" w:rsidP="00CA71F2">
      <w:pPr>
        <w:rPr>
          <w:szCs w:val="24"/>
        </w:rPr>
      </w:pPr>
      <w:r w:rsidRPr="00333A8E">
        <w:rPr>
          <w:szCs w:val="24"/>
        </w:rPr>
        <w:t xml:space="preserve">Le </w:t>
      </w:r>
      <w:r w:rsidR="0014189A" w:rsidRPr="00333A8E">
        <w:rPr>
          <w:szCs w:val="24"/>
        </w:rPr>
        <w:t xml:space="preserve">Groupe </w:t>
      </w:r>
      <w:r w:rsidRPr="00333A8E">
        <w:rPr>
          <w:szCs w:val="24"/>
        </w:rPr>
        <w:t xml:space="preserve">FG-NET-2030, </w:t>
      </w:r>
      <w:r w:rsidR="0014189A" w:rsidRPr="00333A8E">
        <w:rPr>
          <w:szCs w:val="24"/>
        </w:rPr>
        <w:t xml:space="preserve">qui constitue une </w:t>
      </w:r>
      <w:r w:rsidRPr="00333A8E">
        <w:rPr>
          <w:szCs w:val="24"/>
        </w:rPr>
        <w:t>plate-forme pour étudier et faire progresser les technologies de réseau</w:t>
      </w:r>
      <w:r w:rsidR="0014189A" w:rsidRPr="00333A8E">
        <w:rPr>
          <w:szCs w:val="24"/>
        </w:rPr>
        <w:t xml:space="preserve"> </w:t>
      </w:r>
      <w:r w:rsidR="00462D97">
        <w:rPr>
          <w:szCs w:val="24"/>
        </w:rPr>
        <w:t>au niveau international</w:t>
      </w:r>
      <w:r w:rsidRPr="00333A8E">
        <w:rPr>
          <w:szCs w:val="24"/>
        </w:rPr>
        <w:t xml:space="preserve">, examinera </w:t>
      </w:r>
      <w:r w:rsidR="0014189A" w:rsidRPr="00333A8E">
        <w:rPr>
          <w:szCs w:val="24"/>
        </w:rPr>
        <w:t>l'</w:t>
      </w:r>
      <w:r w:rsidRPr="00333A8E">
        <w:rPr>
          <w:szCs w:val="24"/>
        </w:rPr>
        <w:t>architecture</w:t>
      </w:r>
      <w:r w:rsidR="0014189A" w:rsidRPr="00333A8E">
        <w:rPr>
          <w:szCs w:val="24"/>
        </w:rPr>
        <w:t xml:space="preserve"> du réseau futur</w:t>
      </w:r>
      <w:r w:rsidRPr="00333A8E">
        <w:rPr>
          <w:szCs w:val="24"/>
        </w:rPr>
        <w:t>, les exigences, les cas d'utilisation</w:t>
      </w:r>
      <w:r w:rsidR="00462D97">
        <w:rPr>
          <w:szCs w:val="24"/>
        </w:rPr>
        <w:t>,</w:t>
      </w:r>
      <w:r w:rsidRPr="00333A8E">
        <w:rPr>
          <w:szCs w:val="24"/>
        </w:rPr>
        <w:t xml:space="preserve"> et les capacités des réseaux </w:t>
      </w:r>
      <w:r w:rsidR="0014189A" w:rsidRPr="00333A8E">
        <w:rPr>
          <w:szCs w:val="24"/>
        </w:rPr>
        <w:t xml:space="preserve">à l'horizon </w:t>
      </w:r>
      <w:r w:rsidRPr="00333A8E">
        <w:rPr>
          <w:szCs w:val="24"/>
        </w:rPr>
        <w:t>2030 et au-delà.</w:t>
      </w:r>
    </w:p>
    <w:p w:rsidR="00A90C58" w:rsidRPr="00333A8E" w:rsidRDefault="004D4E5C" w:rsidP="00CA71F2">
      <w:pPr>
        <w:pStyle w:val="Heading1"/>
        <w:rPr>
          <w:rFonts w:eastAsia="SimSun"/>
          <w:lang w:eastAsia="ja-JP"/>
        </w:rPr>
      </w:pPr>
      <w:r w:rsidRPr="00333A8E">
        <w:rPr>
          <w:rFonts w:eastAsia="SimSun"/>
          <w:lang w:eastAsia="ja-JP"/>
        </w:rPr>
        <w:t>2</w:t>
      </w:r>
      <w:r w:rsidRPr="00333A8E">
        <w:rPr>
          <w:rFonts w:eastAsia="SimSun"/>
          <w:lang w:eastAsia="ja-JP"/>
        </w:rPr>
        <w:tab/>
        <w:t>Objectif</w:t>
      </w:r>
      <w:r w:rsidR="00A90C58" w:rsidRPr="00333A8E">
        <w:rPr>
          <w:rFonts w:eastAsia="SimSun"/>
          <w:lang w:eastAsia="ja-JP"/>
        </w:rPr>
        <w:t>s</w:t>
      </w:r>
      <w:r w:rsidR="00540612" w:rsidRPr="00333A8E">
        <w:rPr>
          <w:rFonts w:eastAsia="SimSun"/>
          <w:lang w:eastAsia="ja-JP"/>
        </w:rPr>
        <w:t xml:space="preserve"> du Groupe FG N</w:t>
      </w:r>
      <w:r w:rsidR="00462D97">
        <w:rPr>
          <w:rFonts w:eastAsia="SimSun"/>
          <w:lang w:eastAsia="ja-JP"/>
        </w:rPr>
        <w:t>E</w:t>
      </w:r>
      <w:r w:rsidR="00540612" w:rsidRPr="00333A8E">
        <w:rPr>
          <w:rFonts w:eastAsia="SimSun"/>
          <w:lang w:eastAsia="ja-JP"/>
        </w:rPr>
        <w:t>T-2030</w:t>
      </w:r>
    </w:p>
    <w:p w:rsidR="00E54FEF" w:rsidRPr="00333A8E" w:rsidRDefault="00540612" w:rsidP="00CA71F2">
      <w:pPr>
        <w:rPr>
          <w:szCs w:val="24"/>
        </w:rPr>
      </w:pPr>
      <w:r w:rsidRPr="00333A8E">
        <w:rPr>
          <w:szCs w:val="24"/>
        </w:rPr>
        <w:t xml:space="preserve">Le Groupe spécialisé a pour objectif </w:t>
      </w:r>
      <w:r w:rsidR="00884694" w:rsidRPr="00333A8E">
        <w:rPr>
          <w:szCs w:val="24"/>
        </w:rPr>
        <w:t xml:space="preserve">de </w:t>
      </w:r>
      <w:r w:rsidRPr="00333A8E">
        <w:rPr>
          <w:szCs w:val="24"/>
        </w:rPr>
        <w:t xml:space="preserve">mener </w:t>
      </w:r>
      <w:r w:rsidR="00884694" w:rsidRPr="00333A8E">
        <w:rPr>
          <w:szCs w:val="24"/>
        </w:rPr>
        <w:t xml:space="preserve">une analyse </w:t>
      </w:r>
      <w:r w:rsidRPr="00333A8E">
        <w:rPr>
          <w:szCs w:val="24"/>
        </w:rPr>
        <w:t xml:space="preserve">générale relative aux </w:t>
      </w:r>
      <w:r w:rsidR="00884694" w:rsidRPr="00333A8E">
        <w:rPr>
          <w:szCs w:val="24"/>
        </w:rPr>
        <w:t xml:space="preserve">réseaux futurs à l'horizon 2030 et au-delà. Afin de formuler une vision juste, </w:t>
      </w:r>
      <w:r w:rsidRPr="00333A8E">
        <w:rPr>
          <w:szCs w:val="24"/>
        </w:rPr>
        <w:t>il devra</w:t>
      </w:r>
      <w:r w:rsidR="00884694" w:rsidRPr="00333A8E">
        <w:rPr>
          <w:szCs w:val="24"/>
        </w:rPr>
        <w:t xml:space="preserve"> identifier les lacunes et les </w:t>
      </w:r>
      <w:r w:rsidRPr="00333A8E">
        <w:rPr>
          <w:szCs w:val="24"/>
        </w:rPr>
        <w:t>enjeux compte tenu d</w:t>
      </w:r>
      <w:r w:rsidR="00884694" w:rsidRPr="00333A8E">
        <w:rPr>
          <w:szCs w:val="24"/>
        </w:rPr>
        <w:t>es technologies de réseau</w:t>
      </w:r>
      <w:r w:rsidRPr="00333A8E">
        <w:rPr>
          <w:szCs w:val="24"/>
        </w:rPr>
        <w:t xml:space="preserve"> les plus récentes</w:t>
      </w:r>
      <w:r w:rsidR="00884694" w:rsidRPr="00333A8E">
        <w:rPr>
          <w:szCs w:val="24"/>
        </w:rPr>
        <w:t xml:space="preserve">, et </w:t>
      </w:r>
      <w:r w:rsidRPr="00333A8E">
        <w:rPr>
          <w:szCs w:val="24"/>
        </w:rPr>
        <w:t>définir l</w:t>
      </w:r>
      <w:r w:rsidR="00884694" w:rsidRPr="00333A8E">
        <w:rPr>
          <w:szCs w:val="24"/>
        </w:rPr>
        <w:t xml:space="preserve">es exigences fondamentales à partir de nouveaux cas d'utilisation. </w:t>
      </w:r>
      <w:r w:rsidR="00462D97">
        <w:rPr>
          <w:szCs w:val="24"/>
        </w:rPr>
        <w:t>I</w:t>
      </w:r>
      <w:r w:rsidRPr="00333A8E">
        <w:rPr>
          <w:szCs w:val="24"/>
        </w:rPr>
        <w:t xml:space="preserve">l sera </w:t>
      </w:r>
      <w:r w:rsidR="00462D97">
        <w:rPr>
          <w:szCs w:val="24"/>
        </w:rPr>
        <w:t xml:space="preserve">également </w:t>
      </w:r>
      <w:r w:rsidRPr="00333A8E">
        <w:rPr>
          <w:szCs w:val="24"/>
        </w:rPr>
        <w:t xml:space="preserve">chargé de </w:t>
      </w:r>
      <w:r w:rsidR="00884694" w:rsidRPr="00333A8E">
        <w:rPr>
          <w:szCs w:val="24"/>
        </w:rPr>
        <w:t xml:space="preserve">formuler un cadre général </w:t>
      </w:r>
      <w:r w:rsidRPr="00333A8E">
        <w:rPr>
          <w:szCs w:val="24"/>
        </w:rPr>
        <w:t>applicable au r</w:t>
      </w:r>
      <w:r w:rsidR="00884694" w:rsidRPr="00333A8E">
        <w:rPr>
          <w:szCs w:val="24"/>
        </w:rPr>
        <w:t xml:space="preserve">éseau 2030, </w:t>
      </w:r>
      <w:r w:rsidRPr="00333A8E">
        <w:rPr>
          <w:szCs w:val="24"/>
        </w:rPr>
        <w:t xml:space="preserve">et de proposer </w:t>
      </w:r>
      <w:r w:rsidR="00884694" w:rsidRPr="00333A8E">
        <w:rPr>
          <w:szCs w:val="24"/>
        </w:rPr>
        <w:t xml:space="preserve">des </w:t>
      </w:r>
      <w:r w:rsidRPr="00333A8E">
        <w:rPr>
          <w:szCs w:val="24"/>
        </w:rPr>
        <w:t xml:space="preserve">catalyseurs </w:t>
      </w:r>
      <w:r w:rsidR="00884694" w:rsidRPr="00333A8E">
        <w:rPr>
          <w:szCs w:val="24"/>
        </w:rPr>
        <w:t xml:space="preserve">techniques novateurs. En outre, </w:t>
      </w:r>
      <w:r w:rsidRPr="00333A8E">
        <w:rPr>
          <w:szCs w:val="24"/>
        </w:rPr>
        <w:t xml:space="preserve">il </w:t>
      </w:r>
      <w:r w:rsidR="00884694" w:rsidRPr="00333A8E">
        <w:rPr>
          <w:szCs w:val="24"/>
        </w:rPr>
        <w:t xml:space="preserve">peut </w:t>
      </w:r>
      <w:r w:rsidR="00462D97">
        <w:rPr>
          <w:szCs w:val="24"/>
        </w:rPr>
        <w:t xml:space="preserve">aussi </w:t>
      </w:r>
      <w:r w:rsidR="00884694" w:rsidRPr="00333A8E">
        <w:rPr>
          <w:szCs w:val="24"/>
        </w:rPr>
        <w:t xml:space="preserve">servir de plate-forme ouverte </w:t>
      </w:r>
      <w:r w:rsidRPr="00333A8E">
        <w:rPr>
          <w:szCs w:val="24"/>
        </w:rPr>
        <w:t xml:space="preserve">pour les experts qui représentent des membres de l'UIT et des entités non membres, afin de faire progresser rapidement </w:t>
      </w:r>
      <w:r w:rsidR="00424BA7" w:rsidRPr="00333A8E">
        <w:rPr>
          <w:szCs w:val="24"/>
        </w:rPr>
        <w:t xml:space="preserve">la normalisation </w:t>
      </w:r>
      <w:r w:rsidRPr="00333A8E">
        <w:rPr>
          <w:szCs w:val="24"/>
        </w:rPr>
        <w:t>des réseaux futurs à l'UIT</w:t>
      </w:r>
      <w:r w:rsidRPr="00333A8E">
        <w:rPr>
          <w:szCs w:val="24"/>
        </w:rPr>
        <w:noBreakHyphen/>
        <w:t>T</w:t>
      </w:r>
      <w:r w:rsidR="00E54FEF" w:rsidRPr="00333A8E">
        <w:rPr>
          <w:szCs w:val="24"/>
        </w:rPr>
        <w:t xml:space="preserve">, </w:t>
      </w:r>
      <w:r w:rsidR="00424BA7" w:rsidRPr="00333A8E">
        <w:rPr>
          <w:szCs w:val="24"/>
        </w:rPr>
        <w:t>et principalement des réseaux futurs pour la prochaine décennie</w:t>
      </w:r>
      <w:r w:rsidR="00E54FEF" w:rsidRPr="00333A8E">
        <w:rPr>
          <w:szCs w:val="24"/>
        </w:rPr>
        <w:t xml:space="preserve">. </w:t>
      </w:r>
    </w:p>
    <w:p w:rsidR="00E54FEF" w:rsidRPr="00333A8E" w:rsidRDefault="00884694" w:rsidP="00CA71F2">
      <w:pPr>
        <w:rPr>
          <w:szCs w:val="24"/>
        </w:rPr>
      </w:pPr>
      <w:r w:rsidRPr="00333A8E">
        <w:rPr>
          <w:szCs w:val="24"/>
        </w:rPr>
        <w:t>Plus préci</w:t>
      </w:r>
      <w:r w:rsidR="00333A8E">
        <w:rPr>
          <w:szCs w:val="24"/>
        </w:rPr>
        <w:t>sé</w:t>
      </w:r>
      <w:r w:rsidRPr="00333A8E">
        <w:rPr>
          <w:szCs w:val="24"/>
        </w:rPr>
        <w:t>ment</w:t>
      </w:r>
      <w:r w:rsidR="00E54FEF" w:rsidRPr="00333A8E">
        <w:rPr>
          <w:szCs w:val="24"/>
        </w:rPr>
        <w:t xml:space="preserve">, </w:t>
      </w:r>
      <w:r w:rsidRPr="00333A8E">
        <w:rPr>
          <w:szCs w:val="24"/>
        </w:rPr>
        <w:t>les objectif</w:t>
      </w:r>
      <w:r w:rsidR="00E54FEF" w:rsidRPr="00333A8E">
        <w:rPr>
          <w:szCs w:val="24"/>
        </w:rPr>
        <w:t xml:space="preserve">s </w:t>
      </w:r>
      <w:r w:rsidRPr="00333A8E">
        <w:rPr>
          <w:szCs w:val="24"/>
        </w:rPr>
        <w:t>sont les suivants</w:t>
      </w:r>
      <w:r w:rsidR="00E54FEF" w:rsidRPr="00333A8E">
        <w:rPr>
          <w:szCs w:val="24"/>
        </w:rPr>
        <w:t>:</w:t>
      </w:r>
    </w:p>
    <w:p w:rsidR="00E54FEF" w:rsidRPr="00333A8E" w:rsidRDefault="00281712" w:rsidP="00CA71F2">
      <w:pPr>
        <w:pStyle w:val="enumlev1"/>
      </w:pPr>
      <w:r>
        <w:t>•</w:t>
      </w:r>
      <w:r w:rsidR="00E54FEF" w:rsidRPr="00333A8E">
        <w:tab/>
      </w:r>
      <w:r w:rsidR="00424BA7" w:rsidRPr="00333A8E">
        <w:t>Etudier, examiner et faire le point des technologies, plates-formes et normes existantes afin d'identifier</w:t>
      </w:r>
      <w:r w:rsidR="00E21909" w:rsidRPr="00333A8E">
        <w:t>,</w:t>
      </w:r>
      <w:r w:rsidR="00424BA7" w:rsidRPr="00333A8E">
        <w:t xml:space="preserve"> </w:t>
      </w:r>
      <w:r w:rsidR="00E21909" w:rsidRPr="00333A8E">
        <w:t xml:space="preserve">en vue </w:t>
      </w:r>
      <w:r w:rsidR="00516965" w:rsidRPr="00333A8E">
        <w:t xml:space="preserve">de la réalisation </w:t>
      </w:r>
      <w:r w:rsidR="00E21909" w:rsidRPr="00333A8E">
        <w:t xml:space="preserve">du réseau 2030, </w:t>
      </w:r>
      <w:r w:rsidR="00424BA7" w:rsidRPr="00333A8E">
        <w:t>les lacunes et les enjeux</w:t>
      </w:r>
      <w:r w:rsidR="00E54FEF" w:rsidRPr="00333A8E">
        <w:t xml:space="preserve"> </w:t>
      </w:r>
      <w:r w:rsidR="00424BA7" w:rsidRPr="00333A8E">
        <w:t xml:space="preserve">qui ne sont pas pris en compte </w:t>
      </w:r>
      <w:r w:rsidR="00462D97">
        <w:t>dans le cadre d</w:t>
      </w:r>
      <w:r w:rsidR="00424BA7" w:rsidRPr="00333A8E">
        <w:t xml:space="preserve">es réseaux exploités actuellement ou dans un futur proche, par exemple les réseaux </w:t>
      </w:r>
      <w:r w:rsidR="00E54FEF" w:rsidRPr="00333A8E">
        <w:t>5G/IMT-2020.</w:t>
      </w:r>
    </w:p>
    <w:p w:rsidR="00E54FEF" w:rsidRPr="00333A8E" w:rsidRDefault="00281712" w:rsidP="00CA71F2">
      <w:pPr>
        <w:pStyle w:val="enumlev1"/>
      </w:pPr>
      <w:r>
        <w:t>•</w:t>
      </w:r>
      <w:r w:rsidR="00E54FEF" w:rsidRPr="00333A8E">
        <w:tab/>
      </w:r>
      <w:r w:rsidR="00424BA7" w:rsidRPr="00333A8E">
        <w:t xml:space="preserve">Formuler tous les </w:t>
      </w:r>
      <w:r w:rsidR="00E54FEF" w:rsidRPr="00333A8E">
        <w:t xml:space="preserve">aspects </w:t>
      </w:r>
      <w:r w:rsidR="00424BA7" w:rsidRPr="00333A8E">
        <w:t xml:space="preserve">relatifs au réseau </w:t>
      </w:r>
      <w:r w:rsidR="00E54FEF" w:rsidRPr="00333A8E">
        <w:t>2030</w:t>
      </w:r>
      <w:r w:rsidR="00424BA7" w:rsidRPr="00333A8E">
        <w:t>:</w:t>
      </w:r>
      <w:r w:rsidR="00E54FEF" w:rsidRPr="00333A8E">
        <w:t xml:space="preserve"> vision, </w:t>
      </w:r>
      <w:r w:rsidR="00424BA7" w:rsidRPr="00333A8E">
        <w:t>exigences</w:t>
      </w:r>
      <w:r w:rsidR="00E54FEF" w:rsidRPr="00333A8E">
        <w:t xml:space="preserve">, architecture, </w:t>
      </w:r>
      <w:r w:rsidR="00333A8E" w:rsidRPr="00333A8E">
        <w:t>nouveaux</w:t>
      </w:r>
      <w:r w:rsidR="00424BA7" w:rsidRPr="00333A8E">
        <w:t xml:space="preserve"> cas d'utilisation</w:t>
      </w:r>
      <w:r w:rsidR="00E54FEF" w:rsidRPr="00333A8E">
        <w:t xml:space="preserve">, </w:t>
      </w:r>
      <w:r w:rsidR="00424BA7" w:rsidRPr="00333A8E">
        <w:t>méthode d'é</w:t>
      </w:r>
      <w:r w:rsidR="00E54FEF" w:rsidRPr="00333A8E">
        <w:t xml:space="preserve">valuation, </w:t>
      </w:r>
      <w:r w:rsidR="00424BA7" w:rsidRPr="00333A8E">
        <w:t>etc</w:t>
      </w:r>
      <w:r w:rsidR="00E54FEF" w:rsidRPr="00333A8E">
        <w:t>.</w:t>
      </w:r>
    </w:p>
    <w:p w:rsidR="00E54FEF" w:rsidRPr="00333A8E" w:rsidRDefault="00281712" w:rsidP="00CA71F2">
      <w:pPr>
        <w:pStyle w:val="enumlev1"/>
      </w:pPr>
      <w:r>
        <w:t>•</w:t>
      </w:r>
      <w:r w:rsidR="00E54FEF" w:rsidRPr="00333A8E">
        <w:tab/>
      </w:r>
      <w:r w:rsidR="00424BA7" w:rsidRPr="00333A8E">
        <w:t>Elaborer des lignes directrices pour la feuille de route relative à la normalisation</w:t>
      </w:r>
      <w:r w:rsidR="00E54FEF" w:rsidRPr="00333A8E">
        <w:t>.</w:t>
      </w:r>
    </w:p>
    <w:p w:rsidR="00E54FEF" w:rsidRPr="00333A8E" w:rsidRDefault="00281712" w:rsidP="00CA71F2">
      <w:pPr>
        <w:pStyle w:val="enumlev1"/>
      </w:pPr>
      <w:r>
        <w:t>•</w:t>
      </w:r>
      <w:r w:rsidR="00E54FEF" w:rsidRPr="00333A8E">
        <w:tab/>
      </w:r>
      <w:r w:rsidR="00424BA7" w:rsidRPr="00333A8E">
        <w:t>Etablir une liaison et des relations avec d'autres organismes de normalisation</w:t>
      </w:r>
      <w:r w:rsidR="00E54FEF" w:rsidRPr="00333A8E">
        <w:t>.</w:t>
      </w:r>
    </w:p>
    <w:p w:rsidR="00250049" w:rsidRPr="00CA71F2" w:rsidRDefault="00250049" w:rsidP="00CA71F2">
      <w:pPr>
        <w:pStyle w:val="Heading1"/>
        <w:rPr>
          <w:rFonts w:eastAsia="SimSun"/>
        </w:rPr>
      </w:pPr>
      <w:r w:rsidRPr="00CA71F2">
        <w:rPr>
          <w:rFonts w:eastAsia="SimSun"/>
        </w:rPr>
        <w:t>3</w:t>
      </w:r>
      <w:r w:rsidRPr="00CA71F2">
        <w:rPr>
          <w:rFonts w:eastAsia="SimSun"/>
        </w:rPr>
        <w:tab/>
        <w:t>Structure</w:t>
      </w:r>
    </w:p>
    <w:p w:rsidR="00250049" w:rsidRPr="00333A8E" w:rsidRDefault="00250049" w:rsidP="00CA71F2">
      <w:pPr>
        <w:rPr>
          <w:rFonts w:eastAsia="SimSun"/>
          <w:lang w:eastAsia="ja-JP"/>
        </w:rPr>
      </w:pPr>
      <w:r w:rsidRPr="00333A8E">
        <w:rPr>
          <w:rFonts w:eastAsia="SimSun"/>
          <w:lang w:eastAsia="ja-JP"/>
        </w:rPr>
        <w:t>Le Groupe FG</w:t>
      </w:r>
      <w:r w:rsidR="00E54FEF" w:rsidRPr="00333A8E">
        <w:rPr>
          <w:rFonts w:eastAsia="SimSun"/>
          <w:lang w:eastAsia="ja-JP"/>
        </w:rPr>
        <w:t xml:space="preserve"> NET-2030 </w:t>
      </w:r>
      <w:r w:rsidRPr="00333A8E">
        <w:rPr>
          <w:rFonts w:eastAsia="SimSun"/>
          <w:lang w:eastAsia="ja-JP"/>
        </w:rPr>
        <w:t>peut créer des sous-groupes si nécessaire.</w:t>
      </w:r>
    </w:p>
    <w:p w:rsidR="00250049" w:rsidRPr="00333A8E" w:rsidRDefault="00250049" w:rsidP="00CA71F2">
      <w:pPr>
        <w:pStyle w:val="Heading1"/>
        <w:rPr>
          <w:rFonts w:eastAsia="SimSun"/>
          <w:lang w:eastAsia="ja-JP"/>
        </w:rPr>
      </w:pPr>
      <w:r w:rsidRPr="00333A8E">
        <w:rPr>
          <w:rFonts w:eastAsia="SimSun"/>
          <w:lang w:eastAsia="ja-JP"/>
        </w:rPr>
        <w:t>4</w:t>
      </w:r>
      <w:r w:rsidRPr="00333A8E">
        <w:rPr>
          <w:rFonts w:eastAsia="SimSun"/>
          <w:lang w:eastAsia="ja-JP"/>
        </w:rPr>
        <w:tab/>
        <w:t>Tâches spécifiques et résultats</w:t>
      </w:r>
    </w:p>
    <w:p w:rsidR="00E54FEF" w:rsidRPr="00333A8E" w:rsidRDefault="00516965" w:rsidP="008618B9">
      <w:pPr>
        <w:rPr>
          <w:b/>
          <w:bCs/>
          <w:szCs w:val="24"/>
        </w:rPr>
      </w:pPr>
      <w:r w:rsidRPr="00333A8E">
        <w:rPr>
          <w:rFonts w:eastAsia="SimSun"/>
          <w:szCs w:val="24"/>
          <w:lang w:eastAsia="ja-JP"/>
        </w:rPr>
        <w:t>Les tâches attendues, assorties des résultats potentiels, sont énuméré</w:t>
      </w:r>
      <w:r w:rsidR="00462D97">
        <w:rPr>
          <w:rFonts w:eastAsia="SimSun"/>
          <w:szCs w:val="24"/>
          <w:lang w:eastAsia="ja-JP"/>
        </w:rPr>
        <w:t>e</w:t>
      </w:r>
      <w:r w:rsidRPr="00333A8E">
        <w:rPr>
          <w:rFonts w:eastAsia="SimSun"/>
          <w:szCs w:val="24"/>
          <w:lang w:eastAsia="ja-JP"/>
        </w:rPr>
        <w:t>s ci-après</w:t>
      </w:r>
      <w:r w:rsidR="00E54FEF" w:rsidRPr="00333A8E">
        <w:rPr>
          <w:rFonts w:eastAsia="SimSun"/>
          <w:szCs w:val="24"/>
          <w:lang w:eastAsia="ja-JP"/>
        </w:rPr>
        <w:t xml:space="preserve">: </w:t>
      </w:r>
    </w:p>
    <w:p w:rsidR="00E54FEF" w:rsidRPr="00333A8E" w:rsidRDefault="00E54FEF" w:rsidP="00CA71F2">
      <w:pPr>
        <w:pStyle w:val="enumlev1"/>
        <w:rPr>
          <w:rFonts w:eastAsia="SimSun"/>
          <w:lang w:eastAsia="ja-JP"/>
        </w:rPr>
      </w:pPr>
      <w:r w:rsidRPr="00333A8E">
        <w:rPr>
          <w:rFonts w:eastAsia="SimSun"/>
          <w:lang w:eastAsia="ja-JP"/>
        </w:rPr>
        <w:t>1</w:t>
      </w:r>
      <w:r w:rsidR="00281712">
        <w:rPr>
          <w:rFonts w:eastAsia="SimSun"/>
          <w:lang w:eastAsia="ja-JP"/>
        </w:rPr>
        <w:t>)</w:t>
      </w:r>
      <w:r w:rsidRPr="00333A8E">
        <w:rPr>
          <w:rFonts w:eastAsia="SimSun"/>
          <w:lang w:eastAsia="ja-JP"/>
        </w:rPr>
        <w:tab/>
      </w:r>
      <w:r w:rsidR="00E21909" w:rsidRPr="00333A8E">
        <w:t xml:space="preserve">Identifier les lacunes et les enjeux qui ne sont pas pris en compte </w:t>
      </w:r>
      <w:r w:rsidR="00462D97">
        <w:t xml:space="preserve">dans le cadre des technologies utilisées </w:t>
      </w:r>
      <w:r w:rsidR="00E21909" w:rsidRPr="00333A8E">
        <w:t xml:space="preserve">actuellement ou dans un futur proche, par exemple les réseaux 5G/IMT-2020, </w:t>
      </w:r>
      <w:r w:rsidR="00E21909" w:rsidRPr="00333A8E">
        <w:rPr>
          <w:rFonts w:eastAsia="SimSun"/>
          <w:lang w:eastAsia="ja-JP"/>
        </w:rPr>
        <w:t xml:space="preserve">y compris </w:t>
      </w:r>
      <w:r w:rsidR="00462D97">
        <w:rPr>
          <w:rFonts w:eastAsia="SimSun"/>
          <w:lang w:eastAsia="ja-JP"/>
        </w:rPr>
        <w:t xml:space="preserve">en ce qui concerne </w:t>
      </w:r>
      <w:r w:rsidR="00E21909" w:rsidRPr="00333A8E">
        <w:rPr>
          <w:rFonts w:eastAsia="SimSun"/>
          <w:lang w:eastAsia="ja-JP"/>
        </w:rPr>
        <w:t xml:space="preserve">une nouvelle couche de réseau ou une nouvelle </w:t>
      </w:r>
      <w:r w:rsidRPr="00333A8E">
        <w:rPr>
          <w:rFonts w:eastAsia="SimSun"/>
          <w:lang w:eastAsia="ja-JP"/>
        </w:rPr>
        <w:t>architecture</w:t>
      </w:r>
      <w:r w:rsidR="00E21909" w:rsidRPr="00333A8E">
        <w:rPr>
          <w:rFonts w:eastAsia="SimSun"/>
          <w:lang w:eastAsia="ja-JP"/>
        </w:rPr>
        <w:t xml:space="preserve"> de réseau</w:t>
      </w:r>
      <w:r w:rsidRPr="00333A8E">
        <w:rPr>
          <w:rFonts w:eastAsia="SimSun"/>
          <w:lang w:eastAsia="ja-JP"/>
        </w:rPr>
        <w:t xml:space="preserve">. </w:t>
      </w:r>
    </w:p>
    <w:p w:rsidR="00516965" w:rsidRPr="00333A8E" w:rsidRDefault="00E54FEF" w:rsidP="00CA71F2">
      <w:pPr>
        <w:pStyle w:val="enumlev1"/>
      </w:pPr>
      <w:r w:rsidRPr="00333A8E">
        <w:rPr>
          <w:rFonts w:eastAsia="SimSun"/>
        </w:rPr>
        <w:lastRenderedPageBreak/>
        <w:t>2</w:t>
      </w:r>
      <w:r w:rsidR="00281712">
        <w:rPr>
          <w:rFonts w:eastAsia="SimSun"/>
          <w:lang w:eastAsia="ja-JP"/>
        </w:rPr>
        <w:t>)</w:t>
      </w:r>
      <w:r w:rsidRPr="00333A8E">
        <w:rPr>
          <w:rFonts w:eastAsia="SimSun"/>
        </w:rPr>
        <w:tab/>
      </w:r>
      <w:r w:rsidR="00516965" w:rsidRPr="00333A8E">
        <w:rPr>
          <w:rFonts w:eastAsia="SimSun"/>
        </w:rPr>
        <w:t>Identifier</w:t>
      </w:r>
      <w:r w:rsidRPr="00333A8E">
        <w:rPr>
          <w:rFonts w:eastAsia="SimSun"/>
        </w:rPr>
        <w:t xml:space="preserve"> </w:t>
      </w:r>
      <w:r w:rsidR="00516965" w:rsidRPr="00333A8E">
        <w:rPr>
          <w:rFonts w:eastAsia="SimSun"/>
        </w:rPr>
        <w:t xml:space="preserve">les objectifs de </w:t>
      </w:r>
      <w:r w:rsidRPr="00333A8E">
        <w:rPr>
          <w:rFonts w:eastAsia="SimSun"/>
        </w:rPr>
        <w:t xml:space="preserve">performance </w:t>
      </w:r>
      <w:r w:rsidR="00516965" w:rsidRPr="00333A8E">
        <w:rPr>
          <w:rFonts w:eastAsia="SimSun"/>
        </w:rPr>
        <w:t xml:space="preserve">du réseau </w:t>
      </w:r>
      <w:r w:rsidRPr="00333A8E">
        <w:rPr>
          <w:rFonts w:eastAsia="SimSun"/>
        </w:rPr>
        <w:t>2030</w:t>
      </w:r>
      <w:r w:rsidR="00516965" w:rsidRPr="00333A8E">
        <w:rPr>
          <w:rFonts w:eastAsia="SimSun"/>
        </w:rPr>
        <w:t>,</w:t>
      </w:r>
      <w:r w:rsidRPr="00333A8E">
        <w:rPr>
          <w:rFonts w:eastAsia="SimSun"/>
        </w:rPr>
        <w:t xml:space="preserve"> </w:t>
      </w:r>
      <w:r w:rsidR="00516965" w:rsidRPr="00333A8E">
        <w:rPr>
          <w:rFonts w:eastAsia="SimSun"/>
        </w:rPr>
        <w:t xml:space="preserve">dépassant </w:t>
      </w:r>
      <w:r w:rsidR="00516965" w:rsidRPr="00333A8E">
        <w:t>les capacités des réseaux exploités actuellement ou dans un futur proch</w:t>
      </w:r>
      <w:r w:rsidR="00281712">
        <w:t>e, y compris les réseaux 5G/IMT</w:t>
      </w:r>
      <w:r w:rsidR="00281712">
        <w:noBreakHyphen/>
      </w:r>
      <w:r w:rsidR="00516965" w:rsidRPr="00333A8E">
        <w:t>2020.</w:t>
      </w:r>
    </w:p>
    <w:p w:rsidR="00E54FEF" w:rsidRPr="00333A8E" w:rsidRDefault="00E54FEF" w:rsidP="00CA71F2">
      <w:pPr>
        <w:pStyle w:val="enumlev1"/>
        <w:rPr>
          <w:rFonts w:eastAsia="SimSun"/>
        </w:rPr>
      </w:pPr>
      <w:r w:rsidRPr="00333A8E">
        <w:rPr>
          <w:rFonts w:eastAsia="SimSun"/>
        </w:rPr>
        <w:t>3</w:t>
      </w:r>
      <w:r w:rsidR="00281712">
        <w:rPr>
          <w:rFonts w:eastAsia="SimSun"/>
          <w:lang w:eastAsia="ja-JP"/>
        </w:rPr>
        <w:t>)</w:t>
      </w:r>
      <w:r w:rsidRPr="00333A8E">
        <w:rPr>
          <w:rFonts w:eastAsia="SimSun"/>
        </w:rPr>
        <w:tab/>
      </w:r>
      <w:r w:rsidR="00516965" w:rsidRPr="00333A8E">
        <w:rPr>
          <w:rFonts w:eastAsia="SimSun"/>
        </w:rPr>
        <w:t xml:space="preserve">Elaborer un rapport sur les </w:t>
      </w:r>
      <w:r w:rsidRPr="00333A8E">
        <w:rPr>
          <w:rFonts w:eastAsia="SimSun"/>
        </w:rPr>
        <w:t>d</w:t>
      </w:r>
      <w:r w:rsidR="00516965" w:rsidRPr="00333A8E">
        <w:rPr>
          <w:rFonts w:eastAsia="SimSun"/>
        </w:rPr>
        <w:t>é</w:t>
      </w:r>
      <w:r w:rsidRPr="00333A8E">
        <w:rPr>
          <w:rFonts w:eastAsia="SimSun"/>
        </w:rPr>
        <w:t xml:space="preserve">finitions, </w:t>
      </w:r>
      <w:r w:rsidR="00516965" w:rsidRPr="00333A8E">
        <w:rPr>
          <w:rFonts w:eastAsia="SimSun"/>
        </w:rPr>
        <w:t>la terminologie</w:t>
      </w:r>
      <w:r w:rsidRPr="00333A8E">
        <w:rPr>
          <w:rFonts w:eastAsia="SimSun"/>
        </w:rPr>
        <w:t xml:space="preserve"> </w:t>
      </w:r>
      <w:r w:rsidR="00516965" w:rsidRPr="00333A8E">
        <w:rPr>
          <w:rFonts w:eastAsia="SimSun"/>
        </w:rPr>
        <w:t xml:space="preserve">et la taxinomie concernant le réseau </w:t>
      </w:r>
      <w:r w:rsidRPr="00333A8E">
        <w:rPr>
          <w:rFonts w:eastAsia="SimSun"/>
        </w:rPr>
        <w:t xml:space="preserve">2030 </w:t>
      </w:r>
      <w:r w:rsidR="00516965" w:rsidRPr="00333A8E">
        <w:rPr>
          <w:rFonts w:eastAsia="SimSun"/>
        </w:rPr>
        <w:t>et l'écosystème correspondant</w:t>
      </w:r>
      <w:r w:rsidRPr="00333A8E">
        <w:rPr>
          <w:rFonts w:eastAsia="SimSun"/>
        </w:rPr>
        <w:t>.</w:t>
      </w:r>
    </w:p>
    <w:p w:rsidR="00E54FEF" w:rsidRPr="00333A8E" w:rsidRDefault="00E54FEF" w:rsidP="00CA71F2">
      <w:pPr>
        <w:pStyle w:val="enumlev1"/>
        <w:rPr>
          <w:rFonts w:eastAsia="SimSun"/>
        </w:rPr>
      </w:pPr>
      <w:r w:rsidRPr="00333A8E">
        <w:rPr>
          <w:rFonts w:eastAsia="SimSun"/>
        </w:rPr>
        <w:t>4</w:t>
      </w:r>
      <w:r w:rsidR="00281712">
        <w:rPr>
          <w:rFonts w:eastAsia="SimSun"/>
          <w:lang w:eastAsia="ja-JP"/>
        </w:rPr>
        <w:t>)</w:t>
      </w:r>
      <w:r w:rsidRPr="00333A8E">
        <w:rPr>
          <w:rFonts w:eastAsia="SimSun"/>
        </w:rPr>
        <w:tab/>
      </w:r>
      <w:r w:rsidR="00516965" w:rsidRPr="00333A8E">
        <w:rPr>
          <w:rFonts w:eastAsia="SimSun"/>
        </w:rPr>
        <w:t>Décrire l'a</w:t>
      </w:r>
      <w:r w:rsidRPr="00333A8E">
        <w:rPr>
          <w:rFonts w:eastAsia="SimSun"/>
        </w:rPr>
        <w:t xml:space="preserve">rchitecture </w:t>
      </w:r>
      <w:r w:rsidR="00516965" w:rsidRPr="00333A8E">
        <w:rPr>
          <w:rFonts w:eastAsia="SimSun"/>
        </w:rPr>
        <w:t>potentielle du réseau 2030 et le cadre applicable</w:t>
      </w:r>
      <w:r w:rsidRPr="00333A8E">
        <w:rPr>
          <w:rFonts w:eastAsia="SimSun"/>
        </w:rPr>
        <w:t>.</w:t>
      </w:r>
    </w:p>
    <w:p w:rsidR="00E54FEF" w:rsidRPr="00333A8E" w:rsidRDefault="00E54FEF" w:rsidP="00CA71F2">
      <w:pPr>
        <w:pStyle w:val="enumlev1"/>
        <w:rPr>
          <w:rFonts w:eastAsia="SimSun"/>
        </w:rPr>
      </w:pPr>
      <w:r w:rsidRPr="00333A8E">
        <w:rPr>
          <w:rFonts w:eastAsia="SimSun"/>
        </w:rPr>
        <w:t>5</w:t>
      </w:r>
      <w:r w:rsidR="00281712">
        <w:rPr>
          <w:rFonts w:eastAsia="SimSun"/>
          <w:lang w:eastAsia="ja-JP"/>
        </w:rPr>
        <w:t>)</w:t>
      </w:r>
      <w:r w:rsidRPr="00333A8E">
        <w:rPr>
          <w:rFonts w:eastAsia="SimSun"/>
        </w:rPr>
        <w:tab/>
      </w:r>
      <w:r w:rsidR="00516965" w:rsidRPr="00333A8E">
        <w:rPr>
          <w:rFonts w:eastAsia="SimSun"/>
        </w:rPr>
        <w:t>A</w:t>
      </w:r>
      <w:r w:rsidRPr="00333A8E">
        <w:rPr>
          <w:rFonts w:eastAsia="SimSun"/>
        </w:rPr>
        <w:t>nalyse</w:t>
      </w:r>
      <w:r w:rsidR="00516965" w:rsidRPr="00333A8E">
        <w:rPr>
          <w:rFonts w:eastAsia="SimSun"/>
        </w:rPr>
        <w:t>r</w:t>
      </w:r>
      <w:r w:rsidRPr="00333A8E">
        <w:rPr>
          <w:rFonts w:eastAsia="SimSun"/>
        </w:rPr>
        <w:t xml:space="preserve"> </w:t>
      </w:r>
      <w:r w:rsidR="00516965" w:rsidRPr="00333A8E">
        <w:rPr>
          <w:rFonts w:eastAsia="SimSun"/>
        </w:rPr>
        <w:t>la rétrocompatibilité</w:t>
      </w:r>
      <w:r w:rsidRPr="00333A8E">
        <w:rPr>
          <w:rFonts w:eastAsia="SimSun"/>
        </w:rPr>
        <w:t xml:space="preserve"> </w:t>
      </w:r>
      <w:r w:rsidR="00516965" w:rsidRPr="00333A8E">
        <w:rPr>
          <w:rFonts w:eastAsia="SimSun"/>
        </w:rPr>
        <w:t xml:space="preserve">et les étapes en vue de la réalisation du réseau </w:t>
      </w:r>
      <w:r w:rsidRPr="00333A8E">
        <w:rPr>
          <w:rFonts w:eastAsia="SimSun"/>
        </w:rPr>
        <w:t xml:space="preserve">2030, </w:t>
      </w:r>
      <w:r w:rsidR="00516965" w:rsidRPr="00333A8E">
        <w:t>compte tenu des réseaux exploités actuellement ou dans un futur proche, y compris les réseaux 5G/IMT-2020</w:t>
      </w:r>
      <w:r w:rsidRPr="00333A8E">
        <w:rPr>
          <w:rFonts w:eastAsia="SimSun"/>
        </w:rPr>
        <w:t>.</w:t>
      </w:r>
    </w:p>
    <w:p w:rsidR="00E54FEF" w:rsidRPr="00333A8E" w:rsidRDefault="00E54FEF" w:rsidP="00CA71F2">
      <w:pPr>
        <w:pStyle w:val="enumlev1"/>
        <w:rPr>
          <w:rFonts w:eastAsia="SimSun"/>
        </w:rPr>
      </w:pPr>
      <w:r w:rsidRPr="00333A8E">
        <w:rPr>
          <w:rFonts w:eastAsia="SimSun"/>
        </w:rPr>
        <w:t>6</w:t>
      </w:r>
      <w:r w:rsidR="00281712">
        <w:rPr>
          <w:rFonts w:eastAsia="SimSun"/>
          <w:lang w:eastAsia="ja-JP"/>
        </w:rPr>
        <w:t>)</w:t>
      </w:r>
      <w:r w:rsidRPr="00333A8E">
        <w:rPr>
          <w:rFonts w:eastAsia="SimSun"/>
        </w:rPr>
        <w:tab/>
      </w:r>
      <w:r w:rsidR="00516965" w:rsidRPr="00333A8E">
        <w:rPr>
          <w:rFonts w:eastAsia="SimSun"/>
        </w:rPr>
        <w:t xml:space="preserve">Etudier les futurs </w:t>
      </w:r>
      <w:r w:rsidRPr="00333A8E">
        <w:rPr>
          <w:rFonts w:eastAsia="SimSun"/>
        </w:rPr>
        <w:t>sc</w:t>
      </w:r>
      <w:r w:rsidR="00516965" w:rsidRPr="00333A8E">
        <w:rPr>
          <w:rFonts w:eastAsia="SimSun"/>
        </w:rPr>
        <w:t>é</w:t>
      </w:r>
      <w:r w:rsidRPr="00333A8E">
        <w:rPr>
          <w:rFonts w:eastAsia="SimSun"/>
        </w:rPr>
        <w:t xml:space="preserve">narios </w:t>
      </w:r>
      <w:r w:rsidR="00516965" w:rsidRPr="00333A8E">
        <w:rPr>
          <w:rFonts w:eastAsia="SimSun"/>
        </w:rPr>
        <w:t>et cas d'utilisation</w:t>
      </w:r>
      <w:r w:rsidR="008618B9">
        <w:rPr>
          <w:rFonts w:eastAsia="SimSun"/>
        </w:rPr>
        <w:t>.</w:t>
      </w:r>
    </w:p>
    <w:p w:rsidR="00E54FEF" w:rsidRPr="00333A8E" w:rsidRDefault="00E54FEF" w:rsidP="00CA71F2">
      <w:pPr>
        <w:pStyle w:val="enumlev1"/>
        <w:rPr>
          <w:rFonts w:eastAsia="SimSun"/>
        </w:rPr>
      </w:pPr>
      <w:r w:rsidRPr="00333A8E">
        <w:rPr>
          <w:rFonts w:eastAsia="SimSun"/>
        </w:rPr>
        <w:t>7</w:t>
      </w:r>
      <w:r w:rsidR="00281712">
        <w:rPr>
          <w:rFonts w:eastAsia="SimSun"/>
          <w:lang w:eastAsia="ja-JP"/>
        </w:rPr>
        <w:t>)</w:t>
      </w:r>
      <w:r w:rsidRPr="00333A8E">
        <w:rPr>
          <w:rFonts w:eastAsia="SimSun"/>
        </w:rPr>
        <w:tab/>
      </w:r>
      <w:r w:rsidR="00516965" w:rsidRPr="00333A8E">
        <w:rPr>
          <w:rFonts w:eastAsia="SimSun"/>
        </w:rPr>
        <w:t>Elaborer un rapport décrivant les lacunes en matière de normalisation à l'intention des commissions d'études de l'UIT</w:t>
      </w:r>
      <w:r w:rsidRPr="00333A8E">
        <w:rPr>
          <w:rFonts w:eastAsia="SimSun"/>
        </w:rPr>
        <w:t>-T.</w:t>
      </w:r>
    </w:p>
    <w:p w:rsidR="00E21909" w:rsidRPr="00333A8E" w:rsidRDefault="00E54FEF" w:rsidP="00CA71F2">
      <w:pPr>
        <w:pStyle w:val="enumlev1"/>
        <w:rPr>
          <w:rFonts w:eastAsia="SimSun"/>
        </w:rPr>
      </w:pPr>
      <w:r w:rsidRPr="00333A8E">
        <w:rPr>
          <w:rFonts w:eastAsia="SimSun"/>
        </w:rPr>
        <w:t>8</w:t>
      </w:r>
      <w:r w:rsidR="00281712">
        <w:rPr>
          <w:rFonts w:eastAsia="SimSun"/>
          <w:lang w:eastAsia="ja-JP"/>
        </w:rPr>
        <w:t>)</w:t>
      </w:r>
      <w:r w:rsidRPr="00333A8E">
        <w:rPr>
          <w:rFonts w:eastAsia="SimSun"/>
        </w:rPr>
        <w:tab/>
      </w:r>
      <w:r w:rsidR="00E21909" w:rsidRPr="00333A8E">
        <w:rPr>
          <w:rFonts w:eastAsia="SimSun"/>
        </w:rPr>
        <w:t xml:space="preserve">Organiser des ateliers et des forums thématiques sur le réseau 2030, </w:t>
      </w:r>
      <w:r w:rsidR="00462D97">
        <w:rPr>
          <w:rFonts w:eastAsia="SimSun"/>
        </w:rPr>
        <w:t xml:space="preserve">qui </w:t>
      </w:r>
      <w:r w:rsidR="00E21909" w:rsidRPr="00333A8E">
        <w:rPr>
          <w:rFonts w:eastAsia="SimSun"/>
        </w:rPr>
        <w:t>rassembler</w:t>
      </w:r>
      <w:r w:rsidR="00462D97">
        <w:rPr>
          <w:rFonts w:eastAsia="SimSun"/>
        </w:rPr>
        <w:t>ont</w:t>
      </w:r>
      <w:r w:rsidR="00E21909" w:rsidRPr="00333A8E">
        <w:rPr>
          <w:rFonts w:eastAsia="SimSun"/>
        </w:rPr>
        <w:t xml:space="preserve"> toutes les parties prenantes, et promouvoir les activités du Groupe spécialisé et encourager les membres de l’UIT et les entités non membres de l’UIT à apporter conjointement leur contribution à ces travaux.</w:t>
      </w:r>
    </w:p>
    <w:p w:rsidR="00E54FEF" w:rsidRPr="00333A8E" w:rsidRDefault="00E54FEF" w:rsidP="00CA71F2">
      <w:pPr>
        <w:pStyle w:val="enumlev1"/>
        <w:rPr>
          <w:rFonts w:eastAsia="SimSun"/>
        </w:rPr>
      </w:pPr>
      <w:r w:rsidRPr="00333A8E">
        <w:rPr>
          <w:rFonts w:eastAsia="SimSun"/>
        </w:rPr>
        <w:t>9</w:t>
      </w:r>
      <w:r w:rsidR="00281712">
        <w:rPr>
          <w:rFonts w:eastAsia="SimSun"/>
          <w:lang w:eastAsia="ja-JP"/>
        </w:rPr>
        <w:t>)</w:t>
      </w:r>
      <w:r w:rsidRPr="00333A8E">
        <w:rPr>
          <w:rFonts w:eastAsia="SimSun"/>
        </w:rPr>
        <w:tab/>
      </w:r>
      <w:r w:rsidR="00424BA7" w:rsidRPr="00333A8E">
        <w:rPr>
          <w:rFonts w:eastAsia="SimSun"/>
        </w:rPr>
        <w:t xml:space="preserve">Etablir une </w:t>
      </w:r>
      <w:r w:rsidRPr="00333A8E">
        <w:rPr>
          <w:rFonts w:eastAsia="SimSun"/>
        </w:rPr>
        <w:t xml:space="preserve">liaison </w:t>
      </w:r>
      <w:r w:rsidR="00424BA7" w:rsidRPr="00333A8E">
        <w:rPr>
          <w:rFonts w:eastAsia="SimSun"/>
        </w:rPr>
        <w:t>avec d'autres organismes de normalisation</w:t>
      </w:r>
      <w:r w:rsidRPr="00333A8E">
        <w:rPr>
          <w:rFonts w:eastAsia="SimSun"/>
        </w:rPr>
        <w:t xml:space="preserve">, </w:t>
      </w:r>
      <w:r w:rsidR="00424BA7" w:rsidRPr="00333A8E">
        <w:rPr>
          <w:rFonts w:eastAsia="SimSun"/>
        </w:rPr>
        <w:t xml:space="preserve">par exemple </w:t>
      </w:r>
      <w:r w:rsidR="00462D97">
        <w:rPr>
          <w:rFonts w:eastAsia="SimSun"/>
        </w:rPr>
        <w:t xml:space="preserve">certains </w:t>
      </w:r>
      <w:r w:rsidR="00424BA7" w:rsidRPr="00333A8E">
        <w:rPr>
          <w:rFonts w:eastAsia="SimSun"/>
        </w:rPr>
        <w:t>groupes ISG de l'</w:t>
      </w:r>
      <w:r w:rsidRPr="00333A8E">
        <w:rPr>
          <w:rFonts w:eastAsia="SimSun"/>
        </w:rPr>
        <w:t xml:space="preserve">ETSI, </w:t>
      </w:r>
      <w:r w:rsidR="00424BA7" w:rsidRPr="00333A8E">
        <w:rPr>
          <w:rFonts w:eastAsia="SimSun"/>
        </w:rPr>
        <w:t>l'</w:t>
      </w:r>
      <w:r w:rsidRPr="00333A8E">
        <w:rPr>
          <w:rFonts w:eastAsia="SimSun"/>
        </w:rPr>
        <w:t xml:space="preserve">IETF, </w:t>
      </w:r>
      <w:r w:rsidR="00424BA7" w:rsidRPr="00333A8E">
        <w:rPr>
          <w:rFonts w:eastAsia="SimSun"/>
        </w:rPr>
        <w:t>l'</w:t>
      </w:r>
      <w:r w:rsidRPr="00333A8E">
        <w:rPr>
          <w:rFonts w:eastAsia="SimSun"/>
        </w:rPr>
        <w:t>IRTF.</w:t>
      </w:r>
    </w:p>
    <w:p w:rsidR="00A90C58" w:rsidRPr="00333A8E" w:rsidRDefault="00A90C58" w:rsidP="00CA71F2">
      <w:pPr>
        <w:pStyle w:val="Heading1"/>
        <w:rPr>
          <w:rFonts w:eastAsia="SimSun"/>
          <w:lang w:eastAsia="ja-JP"/>
        </w:rPr>
      </w:pPr>
      <w:r w:rsidRPr="00333A8E">
        <w:rPr>
          <w:rFonts w:eastAsia="SimSun"/>
          <w:lang w:eastAsia="ja-JP"/>
        </w:rPr>
        <w:t>5</w:t>
      </w:r>
      <w:r w:rsidRPr="00333A8E">
        <w:rPr>
          <w:rFonts w:eastAsia="SimSun"/>
          <w:lang w:eastAsia="ja-JP"/>
        </w:rPr>
        <w:tab/>
        <w:t>Relations</w:t>
      </w:r>
    </w:p>
    <w:p w:rsidR="00E54FEF" w:rsidRPr="00333A8E" w:rsidRDefault="000B325C" w:rsidP="00CA71F2">
      <w:r w:rsidRPr="00333A8E">
        <w:t>Le Groupe spécialisé travaillera en</w:t>
      </w:r>
      <w:r w:rsidR="00735E9F" w:rsidRPr="00333A8E">
        <w:t xml:space="preserve"> étroite</w:t>
      </w:r>
      <w:r w:rsidRPr="00333A8E">
        <w:t xml:space="preserve"> collaboration avec la CE </w:t>
      </w:r>
      <w:r w:rsidR="006F1821" w:rsidRPr="00333A8E">
        <w:t>13</w:t>
      </w:r>
      <w:r w:rsidR="00F33A65" w:rsidRPr="00333A8E">
        <w:t xml:space="preserve"> </w:t>
      </w:r>
      <w:r w:rsidRPr="00333A8E">
        <w:t>dans le cadre de réunions c</w:t>
      </w:r>
      <w:r w:rsidR="00145616" w:rsidRPr="00333A8E">
        <w:t>olocalis</w:t>
      </w:r>
      <w:r w:rsidRPr="00333A8E">
        <w:t>ées</w:t>
      </w:r>
      <w:r w:rsidR="00735E9F" w:rsidRPr="00333A8E">
        <w:t>,</w:t>
      </w:r>
      <w:r w:rsidRPr="00333A8E">
        <w:t xml:space="preserve"> dans la mesure du </w:t>
      </w:r>
      <w:r w:rsidR="00F33A65" w:rsidRPr="00333A8E">
        <w:t>possible</w:t>
      </w:r>
      <w:r w:rsidR="00462D97">
        <w:t>,</w:t>
      </w:r>
      <w:r w:rsidR="006F1821" w:rsidRPr="00333A8E">
        <w:t xml:space="preserve"> </w:t>
      </w:r>
      <w:r w:rsidR="00462D97">
        <w:t>ainsi qu'</w:t>
      </w:r>
      <w:r w:rsidR="00E54FEF" w:rsidRPr="00333A8E">
        <w:t>avec d'autres commissions d'études de l'UIT</w:t>
      </w:r>
      <w:r w:rsidR="00E54FEF" w:rsidRPr="00333A8E">
        <w:noBreakHyphen/>
        <w:t xml:space="preserve">T, selon </w:t>
      </w:r>
      <w:r w:rsidR="006277FE" w:rsidRPr="00333A8E">
        <w:t xml:space="preserve">qu'il </w:t>
      </w:r>
      <w:r w:rsidR="00333A8E" w:rsidRPr="00333A8E">
        <w:t>conviendra</w:t>
      </w:r>
      <w:r w:rsidR="00E54FEF" w:rsidRPr="00333A8E">
        <w:t xml:space="preserve">, chaque fois que cela sera nécessaire. </w:t>
      </w:r>
    </w:p>
    <w:p w:rsidR="00A90C58" w:rsidRPr="00333A8E" w:rsidRDefault="000B325C" w:rsidP="00CA71F2">
      <w:pPr>
        <w:rPr>
          <w:rFonts w:eastAsia="SimSun"/>
          <w:lang w:eastAsia="ja-JP"/>
        </w:rPr>
      </w:pPr>
      <w:r w:rsidRPr="00333A8E">
        <w:rPr>
          <w:rFonts w:eastAsia="SimSun"/>
          <w:lang w:eastAsia="ja-JP"/>
        </w:rPr>
        <w:t xml:space="preserve">Le Groupe </w:t>
      </w:r>
      <w:r w:rsidR="000D6D97" w:rsidRPr="00333A8E">
        <w:rPr>
          <w:rFonts w:eastAsia="SimSun"/>
          <w:lang w:eastAsia="ja-JP"/>
        </w:rPr>
        <w:t>F</w:t>
      </w:r>
      <w:r w:rsidR="00F33A65" w:rsidRPr="00333A8E">
        <w:rPr>
          <w:rFonts w:eastAsia="SimSun"/>
          <w:lang w:eastAsia="ja-JP"/>
        </w:rPr>
        <w:t>G</w:t>
      </w:r>
      <w:r w:rsidR="00E54FEF" w:rsidRPr="00333A8E">
        <w:rPr>
          <w:rFonts w:eastAsia="SimSun"/>
          <w:lang w:eastAsia="ja-JP"/>
        </w:rPr>
        <w:t xml:space="preserve"> NET-2030 </w:t>
      </w:r>
      <w:r w:rsidRPr="00333A8E">
        <w:rPr>
          <w:rFonts w:eastAsia="SimSun"/>
          <w:lang w:eastAsia="ja-JP"/>
        </w:rPr>
        <w:t xml:space="preserve">travaillera en collaboration avec d'autres </w:t>
      </w:r>
      <w:r w:rsidR="000D6D97" w:rsidRPr="00333A8E">
        <w:rPr>
          <w:rFonts w:eastAsia="SimSun"/>
          <w:lang w:eastAsia="ja-JP"/>
        </w:rPr>
        <w:t>groupes et entités concerné</w:t>
      </w:r>
      <w:r w:rsidRPr="00333A8E">
        <w:rPr>
          <w:rFonts w:eastAsia="SimSun"/>
          <w:lang w:eastAsia="ja-JP"/>
        </w:rPr>
        <w:t>s, conformément à la Recommandation UIT-T A.7</w:t>
      </w:r>
      <w:r w:rsidR="00E54FEF" w:rsidRPr="00333A8E">
        <w:rPr>
          <w:rFonts w:eastAsia="SimSun"/>
          <w:lang w:eastAsia="ja-JP"/>
        </w:rPr>
        <w:t>, à savoir</w:t>
      </w:r>
      <w:r w:rsidR="00DF367E" w:rsidRPr="00333A8E">
        <w:rPr>
          <w:rFonts w:eastAsia="SimSun"/>
          <w:lang w:eastAsia="ja-JP"/>
        </w:rPr>
        <w:t>: municipalité</w:t>
      </w:r>
      <w:r w:rsidR="00A90C58" w:rsidRPr="00333A8E">
        <w:rPr>
          <w:rFonts w:eastAsia="SimSun"/>
          <w:lang w:eastAsia="ja-JP"/>
        </w:rPr>
        <w:t>s, organi</w:t>
      </w:r>
      <w:r w:rsidR="00DF367E" w:rsidRPr="00333A8E">
        <w:rPr>
          <w:rFonts w:eastAsia="SimSun"/>
          <w:lang w:eastAsia="ja-JP"/>
        </w:rPr>
        <w:t>s</w:t>
      </w:r>
      <w:r w:rsidR="00A90C58" w:rsidRPr="00333A8E">
        <w:rPr>
          <w:rFonts w:eastAsia="SimSun"/>
          <w:lang w:eastAsia="ja-JP"/>
        </w:rPr>
        <w:t xml:space="preserve">ations </w:t>
      </w:r>
      <w:r w:rsidR="00DF367E" w:rsidRPr="00333A8E">
        <w:rPr>
          <w:rFonts w:eastAsia="SimSun"/>
          <w:lang w:eastAsia="ja-JP"/>
        </w:rPr>
        <w:t xml:space="preserve">non gouvernementales </w:t>
      </w:r>
      <w:r w:rsidR="00A90C58" w:rsidRPr="00333A8E">
        <w:rPr>
          <w:rFonts w:eastAsia="SimSun"/>
          <w:lang w:eastAsia="ja-JP"/>
        </w:rPr>
        <w:t>(</w:t>
      </w:r>
      <w:r w:rsidR="00DF367E" w:rsidRPr="00333A8E">
        <w:rPr>
          <w:rFonts w:eastAsia="SimSun"/>
          <w:lang w:eastAsia="ja-JP"/>
        </w:rPr>
        <w:t>ONG</w:t>
      </w:r>
      <w:r w:rsidR="00A90C58" w:rsidRPr="00333A8E">
        <w:rPr>
          <w:rFonts w:eastAsia="SimSun"/>
          <w:lang w:eastAsia="ja-JP"/>
        </w:rPr>
        <w:t xml:space="preserve">), </w:t>
      </w:r>
      <w:r w:rsidR="00DF367E" w:rsidRPr="00333A8E">
        <w:rPr>
          <w:rFonts w:eastAsia="SimSun"/>
          <w:lang w:eastAsia="ja-JP"/>
        </w:rPr>
        <w:t>décideurs</w:t>
      </w:r>
      <w:r w:rsidR="00A90C58" w:rsidRPr="00333A8E">
        <w:rPr>
          <w:rFonts w:eastAsia="SimSun"/>
          <w:lang w:eastAsia="ja-JP"/>
        </w:rPr>
        <w:t xml:space="preserve">, </w:t>
      </w:r>
      <w:r w:rsidR="00DF367E" w:rsidRPr="00333A8E">
        <w:rPr>
          <w:rFonts w:eastAsia="SimSun"/>
          <w:lang w:eastAsia="ja-JP"/>
        </w:rPr>
        <w:t>organismes de normalisation</w:t>
      </w:r>
      <w:r w:rsidR="00A90C58" w:rsidRPr="00333A8E">
        <w:rPr>
          <w:rFonts w:eastAsia="SimSun"/>
          <w:lang w:eastAsia="ja-JP"/>
        </w:rPr>
        <w:t xml:space="preserve">, forums </w:t>
      </w:r>
      <w:r w:rsidR="00DF367E" w:rsidRPr="00333A8E">
        <w:rPr>
          <w:rFonts w:eastAsia="SimSun"/>
          <w:lang w:eastAsia="ja-JP"/>
        </w:rPr>
        <w:t>et consortiums du secteur privé</w:t>
      </w:r>
      <w:r w:rsidR="00A90C58" w:rsidRPr="00333A8E">
        <w:rPr>
          <w:rFonts w:eastAsia="SimSun"/>
          <w:lang w:eastAsia="ja-JP"/>
        </w:rPr>
        <w:t xml:space="preserve">, </w:t>
      </w:r>
      <w:r w:rsidR="00DF367E" w:rsidRPr="00333A8E">
        <w:rPr>
          <w:rFonts w:eastAsia="SimSun"/>
          <w:lang w:eastAsia="ja-JP"/>
        </w:rPr>
        <w:t>entreprises</w:t>
      </w:r>
      <w:r w:rsidR="00A90C58" w:rsidRPr="00333A8E">
        <w:rPr>
          <w:rFonts w:eastAsia="SimSun"/>
          <w:lang w:eastAsia="ja-JP"/>
        </w:rPr>
        <w:t xml:space="preserve">, </w:t>
      </w:r>
      <w:r w:rsidR="00DF367E" w:rsidRPr="00333A8E">
        <w:rPr>
          <w:rFonts w:eastAsia="SimSun"/>
          <w:lang w:eastAsia="ja-JP"/>
        </w:rPr>
        <w:t>établissements universitaires</w:t>
      </w:r>
      <w:r w:rsidR="00A90C58" w:rsidRPr="00333A8E">
        <w:rPr>
          <w:rFonts w:eastAsia="SimSun"/>
          <w:lang w:eastAsia="ja-JP"/>
        </w:rPr>
        <w:t xml:space="preserve">, </w:t>
      </w:r>
      <w:r w:rsidR="00DF367E" w:rsidRPr="00333A8E">
        <w:rPr>
          <w:rFonts w:eastAsia="SimSun"/>
          <w:lang w:eastAsia="ja-JP"/>
        </w:rPr>
        <w:t>institut</w:t>
      </w:r>
      <w:r w:rsidR="00A90C58" w:rsidRPr="00333A8E">
        <w:rPr>
          <w:rFonts w:eastAsia="SimSun"/>
          <w:lang w:eastAsia="ja-JP"/>
        </w:rPr>
        <w:t xml:space="preserve">s </w:t>
      </w:r>
      <w:r w:rsidR="00DF367E" w:rsidRPr="00333A8E">
        <w:rPr>
          <w:rFonts w:eastAsia="SimSun"/>
          <w:lang w:eastAsia="ja-JP"/>
        </w:rPr>
        <w:t>de recherche et autres organismes concernés</w:t>
      </w:r>
      <w:r w:rsidR="00A90C58" w:rsidRPr="00333A8E">
        <w:rPr>
          <w:rFonts w:eastAsia="SimSun"/>
          <w:lang w:eastAsia="ja-JP"/>
        </w:rPr>
        <w:t>.</w:t>
      </w:r>
    </w:p>
    <w:p w:rsidR="00A90C58" w:rsidRPr="00333A8E" w:rsidRDefault="00A90C58" w:rsidP="00CA71F2">
      <w:pPr>
        <w:pStyle w:val="Heading1"/>
        <w:rPr>
          <w:rFonts w:eastAsia="SimSun"/>
          <w:lang w:eastAsia="ja-JP"/>
        </w:rPr>
      </w:pPr>
      <w:r w:rsidRPr="00333A8E">
        <w:rPr>
          <w:rFonts w:eastAsia="SimSun"/>
          <w:lang w:eastAsia="ja-JP"/>
        </w:rPr>
        <w:t>6</w:t>
      </w:r>
      <w:r w:rsidRPr="00333A8E">
        <w:rPr>
          <w:rFonts w:eastAsia="SimSun"/>
          <w:lang w:eastAsia="ja-JP"/>
        </w:rPr>
        <w:tab/>
      </w:r>
      <w:r w:rsidR="00F33A65" w:rsidRPr="00333A8E">
        <w:rPr>
          <w:rFonts w:eastAsia="SimSun"/>
          <w:lang w:eastAsia="ja-JP"/>
        </w:rPr>
        <w:t>Entité de rattachement</w:t>
      </w:r>
    </w:p>
    <w:p w:rsidR="00A90C58" w:rsidRPr="00333A8E" w:rsidRDefault="00DF367E" w:rsidP="00CA71F2">
      <w:pPr>
        <w:rPr>
          <w:rFonts w:eastAsia="SimSun"/>
          <w:lang w:eastAsia="ja-JP"/>
        </w:rPr>
      </w:pPr>
      <w:r w:rsidRPr="00333A8E">
        <w:rPr>
          <w:rFonts w:eastAsia="SimSun"/>
          <w:lang w:eastAsia="ja-JP"/>
        </w:rPr>
        <w:t xml:space="preserve">L'entité de rattachement </w:t>
      </w:r>
      <w:r w:rsidR="000D6D97" w:rsidRPr="00333A8E">
        <w:rPr>
          <w:rFonts w:eastAsia="SimSun"/>
          <w:lang w:eastAsia="ja-JP"/>
        </w:rPr>
        <w:t>du Groupe FG</w:t>
      </w:r>
      <w:r w:rsidR="006277FE" w:rsidRPr="00333A8E">
        <w:rPr>
          <w:rFonts w:eastAsia="SimSun"/>
          <w:lang w:eastAsia="ja-JP"/>
        </w:rPr>
        <w:t xml:space="preserve"> NET-2030 </w:t>
      </w:r>
      <w:r w:rsidRPr="00333A8E">
        <w:rPr>
          <w:rFonts w:eastAsia="SimSun"/>
          <w:lang w:eastAsia="ja-JP"/>
        </w:rPr>
        <w:t xml:space="preserve">est la </w:t>
      </w:r>
      <w:r w:rsidRPr="00462D97">
        <w:rPr>
          <w:rFonts w:eastAsia="SimSun"/>
          <w:lang w:eastAsia="ja-JP"/>
        </w:rPr>
        <w:t>Commission d'études </w:t>
      </w:r>
      <w:r w:rsidR="001C3BDE" w:rsidRPr="00462D97">
        <w:rPr>
          <w:rFonts w:eastAsia="SimSun"/>
          <w:lang w:eastAsia="ja-JP"/>
        </w:rPr>
        <w:t>13</w:t>
      </w:r>
      <w:r w:rsidR="00A90C58" w:rsidRPr="00462D97">
        <w:rPr>
          <w:rFonts w:eastAsia="SimSun"/>
          <w:lang w:eastAsia="ja-JP"/>
        </w:rPr>
        <w:t xml:space="preserve"> </w:t>
      </w:r>
      <w:r w:rsidRPr="00462D97">
        <w:rPr>
          <w:rFonts w:eastAsia="SimSun"/>
          <w:lang w:eastAsia="ja-JP"/>
        </w:rPr>
        <w:t>de l'UIT</w:t>
      </w:r>
      <w:r w:rsidRPr="00462D97">
        <w:rPr>
          <w:rFonts w:eastAsia="SimSun"/>
          <w:lang w:eastAsia="ja-JP"/>
        </w:rPr>
        <w:noBreakHyphen/>
        <w:t>T</w:t>
      </w:r>
      <w:r w:rsidR="000D6D97" w:rsidRPr="00333A8E">
        <w:rPr>
          <w:rFonts w:eastAsia="SimSun"/>
          <w:lang w:eastAsia="ja-JP"/>
        </w:rPr>
        <w:t xml:space="preserve"> </w:t>
      </w:r>
      <w:r w:rsidR="000E7370" w:rsidRPr="00333A8E">
        <w:rPr>
          <w:rFonts w:eastAsia="SimSun"/>
          <w:lang w:eastAsia="ja-JP"/>
        </w:rPr>
        <w:t>"</w:t>
      </w:r>
      <w:r w:rsidR="000D6D97" w:rsidRPr="00333A8E">
        <w:rPr>
          <w:color w:val="000000"/>
        </w:rPr>
        <w:t>Réseaux futurs, en particulier les IMT-2020, l'informatique en nuage et les infrastructures de réseau de confiance</w:t>
      </w:r>
      <w:r w:rsidR="000E7370" w:rsidRPr="00333A8E">
        <w:rPr>
          <w:rFonts w:eastAsia="SimSun"/>
          <w:lang w:eastAsia="ja-JP"/>
        </w:rPr>
        <w:t>"</w:t>
      </w:r>
      <w:r w:rsidR="00A90C58" w:rsidRPr="00333A8E">
        <w:rPr>
          <w:rFonts w:eastAsia="SimSun"/>
          <w:lang w:eastAsia="ja-JP"/>
        </w:rPr>
        <w:t>.</w:t>
      </w:r>
    </w:p>
    <w:p w:rsidR="00A90C58" w:rsidRPr="00333A8E" w:rsidRDefault="00A90C58" w:rsidP="00CA71F2">
      <w:pPr>
        <w:pStyle w:val="Heading1"/>
        <w:rPr>
          <w:rFonts w:eastAsia="SimSun"/>
          <w:lang w:eastAsia="ja-JP"/>
        </w:rPr>
      </w:pPr>
      <w:r w:rsidRPr="00333A8E">
        <w:rPr>
          <w:rFonts w:eastAsia="SimSun"/>
          <w:lang w:eastAsia="ja-JP"/>
        </w:rPr>
        <w:t>7</w:t>
      </w:r>
      <w:r w:rsidRPr="00333A8E">
        <w:rPr>
          <w:rFonts w:eastAsia="SimSun"/>
          <w:lang w:eastAsia="ja-JP"/>
        </w:rPr>
        <w:tab/>
      </w:r>
      <w:r w:rsidR="00285455" w:rsidRPr="00333A8E">
        <w:rPr>
          <w:rFonts w:eastAsia="SimSun"/>
          <w:lang w:eastAsia="ja-JP"/>
        </w:rPr>
        <w:t>E</w:t>
      </w:r>
      <w:r w:rsidR="00853459" w:rsidRPr="00333A8E">
        <w:rPr>
          <w:rFonts w:eastAsia="SimSun"/>
          <w:lang w:eastAsia="ja-JP"/>
        </w:rPr>
        <w:t>quipe de direction</w:t>
      </w:r>
      <w:r w:rsidRPr="00333A8E">
        <w:rPr>
          <w:rFonts w:eastAsia="SimSun"/>
          <w:lang w:eastAsia="ja-JP"/>
        </w:rPr>
        <w:t xml:space="preserve"> </w:t>
      </w:r>
    </w:p>
    <w:p w:rsidR="00A90C58" w:rsidRDefault="00853459" w:rsidP="00CA71F2">
      <w:pPr>
        <w:rPr>
          <w:rFonts w:eastAsia="SimSun"/>
          <w:lang w:eastAsia="ja-JP"/>
        </w:rPr>
      </w:pPr>
      <w:r w:rsidRPr="00333A8E">
        <w:rPr>
          <w:rFonts w:eastAsia="SimSun"/>
          <w:lang w:eastAsia="ja-JP"/>
        </w:rPr>
        <w:t>Voir le § 2.3 de la Recommandation UIT-T A.7.</w:t>
      </w:r>
    </w:p>
    <w:p w:rsidR="00CA71F2" w:rsidRDefault="00CA71F2" w:rsidP="00CA71F2">
      <w:pPr>
        <w:tabs>
          <w:tab w:val="clear" w:pos="794"/>
          <w:tab w:val="clear" w:pos="1191"/>
          <w:tab w:val="clear" w:pos="1588"/>
          <w:tab w:val="clear" w:pos="1985"/>
        </w:tabs>
        <w:overflowPunct/>
        <w:autoSpaceDE/>
        <w:autoSpaceDN/>
        <w:adjustRightInd/>
        <w:spacing w:before="0"/>
        <w:textAlignment w:val="auto"/>
        <w:rPr>
          <w:rFonts w:eastAsia="SimSun"/>
          <w:lang w:eastAsia="ja-JP"/>
        </w:rPr>
      </w:pPr>
      <w:r>
        <w:rPr>
          <w:rFonts w:eastAsia="SimSun"/>
          <w:lang w:eastAsia="ja-JP"/>
        </w:rPr>
        <w:br w:type="page"/>
      </w:r>
    </w:p>
    <w:p w:rsidR="00A90C58" w:rsidRPr="00333A8E" w:rsidRDefault="00A90C58" w:rsidP="00CA71F2">
      <w:pPr>
        <w:pStyle w:val="Heading1"/>
        <w:rPr>
          <w:rFonts w:eastAsia="SimSun"/>
          <w:lang w:eastAsia="ja-JP"/>
        </w:rPr>
      </w:pPr>
      <w:r w:rsidRPr="00333A8E">
        <w:rPr>
          <w:rFonts w:eastAsia="SimSun"/>
          <w:lang w:eastAsia="ja-JP"/>
        </w:rPr>
        <w:lastRenderedPageBreak/>
        <w:t>8</w:t>
      </w:r>
      <w:r w:rsidRPr="00333A8E">
        <w:rPr>
          <w:rFonts w:eastAsia="SimSun"/>
          <w:lang w:eastAsia="ja-JP"/>
        </w:rPr>
        <w:tab/>
        <w:t xml:space="preserve">Participation </w:t>
      </w:r>
    </w:p>
    <w:p w:rsidR="00A90C58" w:rsidRPr="00333A8E" w:rsidRDefault="001B2229" w:rsidP="00CA71F2">
      <w:pPr>
        <w:rPr>
          <w:rFonts w:eastAsia="SimSun"/>
          <w:lang w:eastAsia="ja-JP"/>
        </w:rPr>
      </w:pPr>
      <w:r w:rsidRPr="00333A8E">
        <w:rPr>
          <w:rFonts w:eastAsia="SimSun"/>
          <w:lang w:eastAsia="ja-JP"/>
        </w:rPr>
        <w:t>Voir le § </w:t>
      </w:r>
      <w:r w:rsidR="00A90C58" w:rsidRPr="00333A8E">
        <w:rPr>
          <w:rFonts w:eastAsia="SimSun"/>
          <w:lang w:eastAsia="ja-JP"/>
        </w:rPr>
        <w:t xml:space="preserve">3 </w:t>
      </w:r>
      <w:r w:rsidRPr="00333A8E">
        <w:rPr>
          <w:rFonts w:eastAsia="SimSun"/>
          <w:lang w:eastAsia="ja-JP"/>
        </w:rPr>
        <w:t xml:space="preserve">de la </w:t>
      </w:r>
      <w:r w:rsidR="00A90C58" w:rsidRPr="00333A8E">
        <w:rPr>
          <w:rFonts w:eastAsia="SimSun"/>
          <w:lang w:eastAsia="ja-JP"/>
        </w:rPr>
        <w:t>Recomm</w:t>
      </w:r>
      <w:r w:rsidRPr="00333A8E">
        <w:rPr>
          <w:rFonts w:eastAsia="SimSun"/>
          <w:lang w:eastAsia="ja-JP"/>
        </w:rPr>
        <w:t>a</w:t>
      </w:r>
      <w:r w:rsidR="00A90C58" w:rsidRPr="00333A8E">
        <w:rPr>
          <w:rFonts w:eastAsia="SimSun"/>
          <w:lang w:eastAsia="ja-JP"/>
        </w:rPr>
        <w:t xml:space="preserve">ndation </w:t>
      </w:r>
      <w:r w:rsidRPr="00333A8E">
        <w:rPr>
          <w:rFonts w:eastAsia="SimSun"/>
          <w:lang w:eastAsia="ja-JP"/>
        </w:rPr>
        <w:t>UIT</w:t>
      </w:r>
      <w:r w:rsidR="00A90C58" w:rsidRPr="00333A8E">
        <w:rPr>
          <w:rFonts w:eastAsia="SimSun"/>
          <w:lang w:eastAsia="ja-JP"/>
        </w:rPr>
        <w:t xml:space="preserve">-T A.7. </w:t>
      </w:r>
      <w:r w:rsidR="00285455" w:rsidRPr="00333A8E">
        <w:rPr>
          <w:rFonts w:eastAsia="SimSun"/>
          <w:lang w:eastAsia="ja-JP"/>
        </w:rPr>
        <w:t>La</w:t>
      </w:r>
      <w:r w:rsidR="00DF367E" w:rsidRPr="00333A8E">
        <w:rPr>
          <w:rFonts w:eastAsia="SimSun"/>
          <w:lang w:eastAsia="ja-JP"/>
        </w:rPr>
        <w:t xml:space="preserve"> liste des participants sera tenue à jour à toutes fins utiles et sera transmise à l'entité de rattachement</w:t>
      </w:r>
      <w:r w:rsidR="00A90C58" w:rsidRPr="00333A8E">
        <w:rPr>
          <w:rFonts w:eastAsia="SimSun"/>
          <w:lang w:eastAsia="ja-JP"/>
        </w:rPr>
        <w:t xml:space="preserve">. </w:t>
      </w:r>
      <w:r w:rsidR="00DF367E" w:rsidRPr="00333A8E">
        <w:rPr>
          <w:rFonts w:eastAsia="SimSun"/>
          <w:lang w:eastAsia="ja-JP"/>
        </w:rPr>
        <w:t>Il est important de mentionner que les participants aux travaux du Groupe spécialisé doivent soumettre des contributions et participer activement.</w:t>
      </w:r>
    </w:p>
    <w:p w:rsidR="00A90C58" w:rsidRPr="00333A8E" w:rsidRDefault="00A90C58" w:rsidP="00CA71F2">
      <w:pPr>
        <w:pStyle w:val="Heading1"/>
        <w:rPr>
          <w:rFonts w:eastAsia="SimSun"/>
          <w:lang w:eastAsia="ja-JP"/>
        </w:rPr>
      </w:pPr>
      <w:r w:rsidRPr="00333A8E">
        <w:rPr>
          <w:rFonts w:eastAsia="SimSun"/>
          <w:lang w:eastAsia="ja-JP"/>
        </w:rPr>
        <w:t>9</w:t>
      </w:r>
      <w:r w:rsidRPr="00333A8E">
        <w:rPr>
          <w:rFonts w:eastAsia="SimSun"/>
          <w:lang w:eastAsia="ja-JP"/>
        </w:rPr>
        <w:tab/>
        <w:t>A</w:t>
      </w:r>
      <w:r w:rsidR="001B2229" w:rsidRPr="00333A8E">
        <w:rPr>
          <w:rFonts w:eastAsia="SimSun"/>
          <w:lang w:eastAsia="ja-JP"/>
        </w:rPr>
        <w:t>ppui administratif</w:t>
      </w:r>
      <w:r w:rsidRPr="00333A8E">
        <w:rPr>
          <w:rFonts w:eastAsia="SimSun"/>
          <w:lang w:eastAsia="ja-JP"/>
        </w:rPr>
        <w:t xml:space="preserve"> </w:t>
      </w:r>
    </w:p>
    <w:p w:rsidR="00A90C58" w:rsidRPr="00333A8E" w:rsidRDefault="001B2229" w:rsidP="00CA71F2">
      <w:pPr>
        <w:rPr>
          <w:rFonts w:eastAsia="SimSun"/>
          <w:lang w:eastAsia="ja-JP"/>
        </w:rPr>
      </w:pPr>
      <w:r w:rsidRPr="00333A8E">
        <w:rPr>
          <w:rFonts w:eastAsia="SimSun"/>
          <w:lang w:eastAsia="ja-JP"/>
        </w:rPr>
        <w:t>Voir le § </w:t>
      </w:r>
      <w:r w:rsidR="00A90C58" w:rsidRPr="00333A8E">
        <w:rPr>
          <w:rFonts w:eastAsia="SimSun"/>
          <w:lang w:eastAsia="ja-JP"/>
        </w:rPr>
        <w:t xml:space="preserve">5 </w:t>
      </w:r>
      <w:r w:rsidRPr="00333A8E">
        <w:rPr>
          <w:rFonts w:eastAsia="SimSun"/>
          <w:lang w:eastAsia="ja-JP"/>
        </w:rPr>
        <w:t>de la Recomma</w:t>
      </w:r>
      <w:r w:rsidR="00A90C58" w:rsidRPr="00333A8E">
        <w:rPr>
          <w:rFonts w:eastAsia="SimSun"/>
          <w:lang w:eastAsia="ja-JP"/>
        </w:rPr>
        <w:t xml:space="preserve">ndation </w:t>
      </w:r>
      <w:r w:rsidRPr="00333A8E">
        <w:rPr>
          <w:rFonts w:eastAsia="SimSun"/>
          <w:lang w:eastAsia="ja-JP"/>
        </w:rPr>
        <w:t>UIT</w:t>
      </w:r>
      <w:r w:rsidR="00A90C58" w:rsidRPr="00333A8E">
        <w:rPr>
          <w:rFonts w:eastAsia="SimSun"/>
          <w:lang w:eastAsia="ja-JP"/>
        </w:rPr>
        <w:t xml:space="preserve">-T A.7. </w:t>
      </w:r>
    </w:p>
    <w:p w:rsidR="00A90C58" w:rsidRPr="00333A8E" w:rsidRDefault="00A90C58" w:rsidP="00CA71F2">
      <w:pPr>
        <w:pStyle w:val="Heading1"/>
        <w:rPr>
          <w:rFonts w:eastAsia="SimSun"/>
          <w:lang w:eastAsia="ja-JP"/>
        </w:rPr>
      </w:pPr>
      <w:r w:rsidRPr="00333A8E">
        <w:rPr>
          <w:rFonts w:eastAsia="SimSun"/>
          <w:lang w:eastAsia="ja-JP"/>
        </w:rPr>
        <w:t>10</w:t>
      </w:r>
      <w:r w:rsidRPr="00333A8E">
        <w:rPr>
          <w:rFonts w:eastAsia="SimSun"/>
          <w:lang w:eastAsia="ja-JP"/>
        </w:rPr>
        <w:tab/>
      </w:r>
      <w:r w:rsidR="001B2229" w:rsidRPr="00333A8E">
        <w:rPr>
          <w:rFonts w:eastAsia="SimSun"/>
          <w:lang w:eastAsia="ja-JP"/>
        </w:rPr>
        <w:t>Aspects financiers généraux</w:t>
      </w:r>
    </w:p>
    <w:p w:rsidR="00A90C58" w:rsidRPr="00333A8E" w:rsidRDefault="001B2229" w:rsidP="00CA71F2">
      <w:pPr>
        <w:rPr>
          <w:rFonts w:eastAsia="SimSun"/>
          <w:lang w:eastAsia="ja-JP"/>
        </w:rPr>
      </w:pPr>
      <w:r w:rsidRPr="00333A8E">
        <w:rPr>
          <w:rFonts w:eastAsia="SimSun"/>
          <w:lang w:eastAsia="ja-JP"/>
        </w:rPr>
        <w:t>Voir les § </w:t>
      </w:r>
      <w:r w:rsidR="00A90C58" w:rsidRPr="00333A8E">
        <w:rPr>
          <w:rFonts w:eastAsia="SimSun"/>
          <w:lang w:eastAsia="ja-JP"/>
        </w:rPr>
        <w:t xml:space="preserve">4 </w:t>
      </w:r>
      <w:r w:rsidRPr="00333A8E">
        <w:rPr>
          <w:rFonts w:eastAsia="SimSun"/>
          <w:lang w:eastAsia="ja-JP"/>
        </w:rPr>
        <w:t xml:space="preserve">et </w:t>
      </w:r>
      <w:r w:rsidR="00A90C58" w:rsidRPr="00333A8E">
        <w:rPr>
          <w:rFonts w:eastAsia="SimSun"/>
          <w:lang w:eastAsia="ja-JP"/>
        </w:rPr>
        <w:t xml:space="preserve">10.2 </w:t>
      </w:r>
      <w:r w:rsidRPr="00333A8E">
        <w:rPr>
          <w:rFonts w:eastAsia="SimSun"/>
          <w:lang w:eastAsia="ja-JP"/>
        </w:rPr>
        <w:t>de la Recomma</w:t>
      </w:r>
      <w:r w:rsidR="00A90C58" w:rsidRPr="00333A8E">
        <w:rPr>
          <w:rFonts w:eastAsia="SimSun"/>
          <w:lang w:eastAsia="ja-JP"/>
        </w:rPr>
        <w:t xml:space="preserve">ndation </w:t>
      </w:r>
      <w:r w:rsidRPr="00333A8E">
        <w:rPr>
          <w:rFonts w:eastAsia="SimSun"/>
          <w:lang w:eastAsia="ja-JP"/>
        </w:rPr>
        <w:t>UIT</w:t>
      </w:r>
      <w:r w:rsidR="00A90C58" w:rsidRPr="00333A8E">
        <w:rPr>
          <w:rFonts w:eastAsia="SimSun"/>
          <w:lang w:eastAsia="ja-JP"/>
        </w:rPr>
        <w:t xml:space="preserve">-T A.7. </w:t>
      </w:r>
    </w:p>
    <w:p w:rsidR="00A90C58" w:rsidRPr="00333A8E" w:rsidRDefault="00A90C58" w:rsidP="00CA71F2">
      <w:pPr>
        <w:pStyle w:val="Heading1"/>
        <w:rPr>
          <w:rFonts w:eastAsia="SimSun"/>
          <w:lang w:eastAsia="ja-JP"/>
        </w:rPr>
      </w:pPr>
      <w:r w:rsidRPr="00333A8E">
        <w:rPr>
          <w:rFonts w:eastAsia="SimSun"/>
          <w:lang w:eastAsia="ja-JP"/>
        </w:rPr>
        <w:t>11</w:t>
      </w:r>
      <w:r w:rsidRPr="00333A8E">
        <w:rPr>
          <w:rFonts w:eastAsia="SimSun"/>
          <w:lang w:eastAsia="ja-JP"/>
        </w:rPr>
        <w:tab/>
      </w:r>
      <w:r w:rsidR="00281712">
        <w:rPr>
          <w:rFonts w:eastAsia="SimSun"/>
          <w:lang w:eastAsia="ja-JP"/>
        </w:rPr>
        <w:t>Réunions</w:t>
      </w:r>
    </w:p>
    <w:p w:rsidR="00DF367E" w:rsidRPr="00333A8E" w:rsidRDefault="000D6D97" w:rsidP="00CA71F2">
      <w:pPr>
        <w:rPr>
          <w:rFonts w:eastAsia="SimSun"/>
          <w:lang w:eastAsia="ja-JP"/>
        </w:rPr>
      </w:pPr>
      <w:r w:rsidRPr="00333A8E">
        <w:t>Le Groupe spécialisé tiendra des réunions régulières.</w:t>
      </w:r>
      <w:r w:rsidR="007857AB" w:rsidRPr="00333A8E">
        <w:t xml:space="preserve"> </w:t>
      </w:r>
      <w:r w:rsidR="00DF367E" w:rsidRPr="00333A8E">
        <w:rPr>
          <w:rFonts w:eastAsia="SimSun"/>
          <w:lang w:eastAsia="ja-JP"/>
        </w:rPr>
        <w:t>La fréquence et le lieu des réunions seront déterminés par l'équipe de direction du Groupe spécialisé. Le calendrier général des réunions sera annoncé après l'approbation du mandat</w:t>
      </w:r>
      <w:r w:rsidR="00A90C58" w:rsidRPr="00333A8E">
        <w:rPr>
          <w:rFonts w:eastAsia="SimSun"/>
          <w:lang w:eastAsia="ja-JP"/>
        </w:rPr>
        <w:t xml:space="preserve">. </w:t>
      </w:r>
      <w:r w:rsidR="00375BD1" w:rsidRPr="00333A8E">
        <w:rPr>
          <w:rFonts w:eastAsia="SimSun"/>
          <w:lang w:eastAsia="ja-JP"/>
        </w:rPr>
        <w:t>L</w:t>
      </w:r>
      <w:r w:rsidR="00DF367E" w:rsidRPr="00333A8E">
        <w:rPr>
          <w:rFonts w:eastAsia="SimSun"/>
          <w:lang w:eastAsia="ja-JP"/>
        </w:rPr>
        <w:t xml:space="preserve">e Groupe spécialisé utilisera les outils de collaboration à distance dans la mesure du possible, et </w:t>
      </w:r>
      <w:r w:rsidR="00375BD1" w:rsidRPr="00333A8E">
        <w:rPr>
          <w:rFonts w:eastAsia="SimSun"/>
          <w:lang w:eastAsia="ja-JP"/>
        </w:rPr>
        <w:t xml:space="preserve">la colocalisation avec les </w:t>
      </w:r>
      <w:r w:rsidR="00DF367E" w:rsidRPr="00333A8E">
        <w:rPr>
          <w:rFonts w:eastAsia="SimSun"/>
          <w:lang w:eastAsia="ja-JP"/>
        </w:rPr>
        <w:t xml:space="preserve">réunions </w:t>
      </w:r>
      <w:r w:rsidR="00375BD1" w:rsidRPr="00333A8E">
        <w:rPr>
          <w:rFonts w:eastAsia="SimSun"/>
          <w:lang w:eastAsia="ja-JP"/>
        </w:rPr>
        <w:t>existantes de la CE </w:t>
      </w:r>
      <w:r w:rsidR="001C3BDE" w:rsidRPr="00333A8E">
        <w:rPr>
          <w:rFonts w:eastAsia="SimSun"/>
          <w:lang w:eastAsia="ja-JP"/>
        </w:rPr>
        <w:t>13</w:t>
      </w:r>
      <w:r w:rsidR="00375BD1" w:rsidRPr="00333A8E">
        <w:rPr>
          <w:rFonts w:eastAsia="SimSun"/>
          <w:lang w:eastAsia="ja-JP"/>
        </w:rPr>
        <w:t xml:space="preserve"> est souhaitée</w:t>
      </w:r>
      <w:r w:rsidR="00DF367E" w:rsidRPr="00333A8E">
        <w:rPr>
          <w:rFonts w:eastAsia="SimSun"/>
          <w:lang w:eastAsia="ja-JP"/>
        </w:rPr>
        <w:t>.</w:t>
      </w:r>
    </w:p>
    <w:p w:rsidR="00375BD1" w:rsidRPr="00333A8E" w:rsidRDefault="00375BD1" w:rsidP="00CA71F2">
      <w:pPr>
        <w:rPr>
          <w:rFonts w:eastAsia="SimSun"/>
          <w:lang w:eastAsia="ja-JP"/>
        </w:rPr>
      </w:pPr>
      <w:r w:rsidRPr="00333A8E">
        <w:rPr>
          <w:rFonts w:eastAsia="SimSun"/>
          <w:lang w:eastAsia="ja-JP"/>
        </w:rPr>
        <w:t>Les dates des réunions seront annoncées par voie électronique (courrier électronique, site web, etc.) au moins quatre semaines à l'avance.</w:t>
      </w:r>
    </w:p>
    <w:p w:rsidR="006277FE" w:rsidRPr="00333A8E" w:rsidRDefault="006277FE" w:rsidP="00CA71F2">
      <w:pPr>
        <w:rPr>
          <w:rFonts w:eastAsia="SimSun"/>
          <w:lang w:eastAsia="ja-JP"/>
        </w:rPr>
      </w:pPr>
      <w:r w:rsidRPr="00333A8E">
        <w:rPr>
          <w:rFonts w:eastAsia="MS Mincho"/>
          <w:szCs w:val="24"/>
          <w:lang w:eastAsia="ja-JP"/>
        </w:rPr>
        <w:t>La dernière réunion au moins du Groupe spécialisé devrait avoir lieu parallèle</w:t>
      </w:r>
      <w:r w:rsidR="00462D97">
        <w:rPr>
          <w:rFonts w:eastAsia="MS Mincho"/>
          <w:szCs w:val="24"/>
          <w:lang w:eastAsia="ja-JP"/>
        </w:rPr>
        <w:t>ment</w:t>
      </w:r>
      <w:r w:rsidRPr="00333A8E">
        <w:rPr>
          <w:rFonts w:eastAsia="MS Mincho"/>
          <w:szCs w:val="24"/>
          <w:lang w:eastAsia="ja-JP"/>
        </w:rPr>
        <w:t xml:space="preserve"> </w:t>
      </w:r>
      <w:r w:rsidR="00462D97">
        <w:rPr>
          <w:rFonts w:eastAsia="MS Mincho"/>
          <w:szCs w:val="24"/>
          <w:lang w:eastAsia="ja-JP"/>
        </w:rPr>
        <w:t xml:space="preserve">à </w:t>
      </w:r>
      <w:r w:rsidRPr="00333A8E">
        <w:rPr>
          <w:rFonts w:eastAsia="MS Mincho"/>
          <w:szCs w:val="24"/>
          <w:lang w:eastAsia="ja-JP"/>
        </w:rPr>
        <w:t>une réunion de la CE 13.</w:t>
      </w:r>
    </w:p>
    <w:p w:rsidR="00A90C58" w:rsidRPr="00333A8E" w:rsidRDefault="00A90C58" w:rsidP="00CA71F2">
      <w:pPr>
        <w:pStyle w:val="Heading1"/>
        <w:rPr>
          <w:rFonts w:eastAsia="SimSun"/>
          <w:lang w:eastAsia="ja-JP"/>
        </w:rPr>
      </w:pPr>
      <w:r w:rsidRPr="00333A8E">
        <w:rPr>
          <w:rFonts w:eastAsia="SimSun"/>
          <w:lang w:eastAsia="ja-JP"/>
        </w:rPr>
        <w:t>12</w:t>
      </w:r>
      <w:r w:rsidRPr="00333A8E">
        <w:rPr>
          <w:rFonts w:eastAsia="SimSun"/>
          <w:lang w:eastAsia="ja-JP"/>
        </w:rPr>
        <w:tab/>
      </w:r>
      <w:r w:rsidR="001B2229" w:rsidRPr="00333A8E">
        <w:rPr>
          <w:rFonts w:eastAsia="SimSun"/>
          <w:lang w:eastAsia="ja-JP"/>
        </w:rPr>
        <w:t>C</w:t>
      </w:r>
      <w:r w:rsidRPr="00333A8E">
        <w:rPr>
          <w:rFonts w:eastAsia="SimSun"/>
          <w:lang w:eastAsia="ja-JP"/>
        </w:rPr>
        <w:t xml:space="preserve">ontributions </w:t>
      </w:r>
      <w:r w:rsidR="001B2229" w:rsidRPr="00333A8E">
        <w:rPr>
          <w:rFonts w:eastAsia="SimSun"/>
          <w:lang w:eastAsia="ja-JP"/>
        </w:rPr>
        <w:t>techniques</w:t>
      </w:r>
    </w:p>
    <w:p w:rsidR="00375BD1" w:rsidRPr="00333A8E" w:rsidRDefault="001C3BDE" w:rsidP="00CA71F2">
      <w:pPr>
        <w:rPr>
          <w:rFonts w:eastAsia="SimSun"/>
          <w:lang w:eastAsia="ja-JP"/>
        </w:rPr>
      </w:pPr>
      <w:r w:rsidRPr="00333A8E">
        <w:rPr>
          <w:rFonts w:eastAsia="SimSun"/>
          <w:lang w:eastAsia="ja-JP"/>
        </w:rPr>
        <w:t>Voir le § 8 de la Recommandation UIT-T A.7.</w:t>
      </w:r>
    </w:p>
    <w:p w:rsidR="00A90C58" w:rsidRPr="00333A8E" w:rsidRDefault="00A90C58" w:rsidP="00CA71F2">
      <w:pPr>
        <w:pStyle w:val="Heading1"/>
        <w:rPr>
          <w:rFonts w:eastAsia="SimSun"/>
          <w:lang w:eastAsia="ja-JP"/>
        </w:rPr>
      </w:pPr>
      <w:r w:rsidRPr="00333A8E">
        <w:rPr>
          <w:rFonts w:eastAsia="SimSun"/>
          <w:lang w:eastAsia="ja-JP"/>
        </w:rPr>
        <w:t>13</w:t>
      </w:r>
      <w:r w:rsidRPr="00333A8E">
        <w:rPr>
          <w:rFonts w:eastAsia="SimSun"/>
          <w:lang w:eastAsia="ja-JP"/>
        </w:rPr>
        <w:tab/>
      </w:r>
      <w:r w:rsidR="001B2229" w:rsidRPr="00333A8E">
        <w:rPr>
          <w:rFonts w:eastAsia="SimSun"/>
          <w:lang w:eastAsia="ja-JP"/>
        </w:rPr>
        <w:t>Langue de travail</w:t>
      </w:r>
    </w:p>
    <w:p w:rsidR="00A90C58" w:rsidRPr="00333A8E" w:rsidRDefault="00375BD1" w:rsidP="00CA71F2">
      <w:pPr>
        <w:rPr>
          <w:rFonts w:eastAsia="SimSun"/>
          <w:lang w:eastAsia="ja-JP"/>
        </w:rPr>
      </w:pPr>
      <w:r w:rsidRPr="00333A8E">
        <w:rPr>
          <w:rFonts w:eastAsia="SimSun"/>
          <w:lang w:eastAsia="ja-JP"/>
        </w:rPr>
        <w:t>La langue de travail est l'anglais.</w:t>
      </w:r>
    </w:p>
    <w:p w:rsidR="00A90C58" w:rsidRPr="00333A8E" w:rsidRDefault="00A90C58" w:rsidP="00CA71F2">
      <w:pPr>
        <w:pStyle w:val="Heading1"/>
        <w:rPr>
          <w:rFonts w:eastAsia="SimSun"/>
          <w:lang w:eastAsia="ja-JP"/>
        </w:rPr>
      </w:pPr>
      <w:r w:rsidRPr="00333A8E">
        <w:rPr>
          <w:rFonts w:eastAsia="SimSun"/>
          <w:lang w:eastAsia="ja-JP"/>
        </w:rPr>
        <w:t>14</w:t>
      </w:r>
      <w:r w:rsidRPr="00333A8E">
        <w:rPr>
          <w:rFonts w:eastAsia="SimSun"/>
          <w:lang w:eastAsia="ja-JP"/>
        </w:rPr>
        <w:tab/>
      </w:r>
      <w:r w:rsidR="001B2229" w:rsidRPr="00333A8E">
        <w:rPr>
          <w:rFonts w:eastAsia="SimSun"/>
          <w:lang w:eastAsia="ja-JP"/>
        </w:rPr>
        <w:t xml:space="preserve">Approbation des </w:t>
      </w:r>
      <w:r w:rsidR="00375BD1" w:rsidRPr="00333A8E">
        <w:rPr>
          <w:rFonts w:eastAsia="SimSun"/>
          <w:lang w:eastAsia="ja-JP"/>
        </w:rPr>
        <w:t>résultats</w:t>
      </w:r>
    </w:p>
    <w:p w:rsidR="00A90C58" w:rsidRPr="00333A8E" w:rsidRDefault="00375BD1" w:rsidP="00CA71F2">
      <w:pPr>
        <w:rPr>
          <w:rFonts w:eastAsia="SimSun"/>
          <w:lang w:eastAsia="ja-JP"/>
        </w:rPr>
      </w:pPr>
      <w:r w:rsidRPr="00333A8E">
        <w:rPr>
          <w:rFonts w:eastAsia="SimSun"/>
          <w:lang w:eastAsia="ja-JP"/>
        </w:rPr>
        <w:t>Les résultats doivent être approuvés par consensus.</w:t>
      </w:r>
    </w:p>
    <w:p w:rsidR="00A90C58" w:rsidRPr="00333A8E" w:rsidRDefault="00A90C58" w:rsidP="00CA71F2">
      <w:pPr>
        <w:pStyle w:val="Heading1"/>
        <w:rPr>
          <w:rFonts w:eastAsia="SimSun"/>
          <w:lang w:eastAsia="ja-JP"/>
        </w:rPr>
      </w:pPr>
      <w:r w:rsidRPr="00333A8E">
        <w:rPr>
          <w:rFonts w:eastAsia="SimSun"/>
          <w:lang w:eastAsia="ja-JP"/>
        </w:rPr>
        <w:t>15</w:t>
      </w:r>
      <w:r w:rsidRPr="00333A8E">
        <w:rPr>
          <w:rFonts w:eastAsia="SimSun"/>
          <w:lang w:eastAsia="ja-JP"/>
        </w:rPr>
        <w:tab/>
      </w:r>
      <w:r w:rsidR="001B2229" w:rsidRPr="00333A8E">
        <w:rPr>
          <w:rFonts w:eastAsia="SimSun"/>
          <w:lang w:eastAsia="ja-JP"/>
        </w:rPr>
        <w:t xml:space="preserve">Lignes directrices </w:t>
      </w:r>
      <w:r w:rsidR="00C468F2" w:rsidRPr="00333A8E">
        <w:rPr>
          <w:rFonts w:eastAsia="SimSun"/>
          <w:lang w:eastAsia="ja-JP"/>
        </w:rPr>
        <w:t>de travail</w:t>
      </w:r>
    </w:p>
    <w:p w:rsidR="00A90C58" w:rsidRPr="00333A8E" w:rsidRDefault="002D7F7C" w:rsidP="00CA71F2">
      <w:pPr>
        <w:rPr>
          <w:rFonts w:eastAsia="SimSun"/>
          <w:lang w:eastAsia="ja-JP"/>
        </w:rPr>
      </w:pPr>
      <w:r w:rsidRPr="00333A8E">
        <w:rPr>
          <w:rFonts w:eastAsia="SimSun"/>
          <w:lang w:eastAsia="ja-JP"/>
        </w:rPr>
        <w:t>Les méthodes de travail seront conformes à celles des réunions des Groupes du Rapporteur. Aucune ligne directrice de travail supplémentaire n'est définie.</w:t>
      </w:r>
    </w:p>
    <w:p w:rsidR="00CA71F2" w:rsidRDefault="00CA71F2">
      <w:pPr>
        <w:tabs>
          <w:tab w:val="clear" w:pos="794"/>
          <w:tab w:val="clear" w:pos="1191"/>
          <w:tab w:val="clear" w:pos="1588"/>
          <w:tab w:val="clear" w:pos="1985"/>
        </w:tabs>
        <w:overflowPunct/>
        <w:autoSpaceDE/>
        <w:autoSpaceDN/>
        <w:adjustRightInd/>
        <w:spacing w:before="0"/>
        <w:textAlignment w:val="auto"/>
        <w:rPr>
          <w:rFonts w:eastAsia="SimSun"/>
          <w:b/>
          <w:lang w:eastAsia="ja-JP"/>
        </w:rPr>
      </w:pPr>
      <w:r>
        <w:rPr>
          <w:rFonts w:eastAsia="SimSun"/>
          <w:lang w:eastAsia="ja-JP"/>
        </w:rPr>
        <w:br w:type="page"/>
      </w:r>
    </w:p>
    <w:p w:rsidR="00A90C58" w:rsidRPr="00333A8E" w:rsidRDefault="00A90C58" w:rsidP="00CA71F2">
      <w:pPr>
        <w:pStyle w:val="Heading1"/>
        <w:rPr>
          <w:rFonts w:eastAsia="SimSun"/>
          <w:lang w:eastAsia="ja-JP"/>
        </w:rPr>
      </w:pPr>
      <w:r w:rsidRPr="00333A8E">
        <w:rPr>
          <w:rFonts w:eastAsia="SimSun"/>
          <w:lang w:eastAsia="ja-JP"/>
        </w:rPr>
        <w:lastRenderedPageBreak/>
        <w:t>16</w:t>
      </w:r>
      <w:r w:rsidRPr="00333A8E">
        <w:rPr>
          <w:rFonts w:eastAsia="SimSun"/>
          <w:lang w:eastAsia="ja-JP"/>
        </w:rPr>
        <w:tab/>
      </w:r>
      <w:r w:rsidR="001B2229" w:rsidRPr="00333A8E">
        <w:rPr>
          <w:rFonts w:eastAsia="SimSun"/>
          <w:lang w:eastAsia="ja-JP"/>
        </w:rPr>
        <w:t>Rapports d'activité</w:t>
      </w:r>
      <w:r w:rsidRPr="00333A8E">
        <w:rPr>
          <w:rFonts w:eastAsia="SimSun"/>
          <w:lang w:eastAsia="ja-JP"/>
        </w:rPr>
        <w:t xml:space="preserve"> </w:t>
      </w:r>
    </w:p>
    <w:p w:rsidR="00A90C58" w:rsidRPr="00333A8E" w:rsidRDefault="001B2229" w:rsidP="00CA71F2">
      <w:pPr>
        <w:rPr>
          <w:rFonts w:eastAsia="SimSun"/>
          <w:lang w:eastAsia="ja-JP"/>
        </w:rPr>
      </w:pPr>
      <w:r w:rsidRPr="00333A8E">
        <w:rPr>
          <w:rFonts w:eastAsia="SimSun"/>
          <w:lang w:eastAsia="ja-JP"/>
        </w:rPr>
        <w:t>Voir le § </w:t>
      </w:r>
      <w:r w:rsidR="00A90C58" w:rsidRPr="00333A8E">
        <w:rPr>
          <w:rFonts w:eastAsia="SimSun"/>
          <w:lang w:eastAsia="ja-JP"/>
        </w:rPr>
        <w:t xml:space="preserve">11 </w:t>
      </w:r>
      <w:r w:rsidRPr="00333A8E">
        <w:rPr>
          <w:rFonts w:eastAsia="SimSun"/>
          <w:lang w:eastAsia="ja-JP"/>
        </w:rPr>
        <w:t xml:space="preserve">de la </w:t>
      </w:r>
      <w:r w:rsidR="00A90C58" w:rsidRPr="00333A8E">
        <w:rPr>
          <w:rFonts w:eastAsia="SimSun"/>
          <w:lang w:eastAsia="ja-JP"/>
        </w:rPr>
        <w:t>Recomm</w:t>
      </w:r>
      <w:r w:rsidRPr="00333A8E">
        <w:rPr>
          <w:rFonts w:eastAsia="SimSun"/>
          <w:lang w:eastAsia="ja-JP"/>
        </w:rPr>
        <w:t>a</w:t>
      </w:r>
      <w:r w:rsidR="00A90C58" w:rsidRPr="00333A8E">
        <w:rPr>
          <w:rFonts w:eastAsia="SimSun"/>
          <w:lang w:eastAsia="ja-JP"/>
        </w:rPr>
        <w:t xml:space="preserve">ndation </w:t>
      </w:r>
      <w:r w:rsidRPr="00333A8E">
        <w:rPr>
          <w:rFonts w:eastAsia="SimSun"/>
          <w:lang w:eastAsia="ja-JP"/>
        </w:rPr>
        <w:t>UIT</w:t>
      </w:r>
      <w:r w:rsidR="00A90C58" w:rsidRPr="00333A8E">
        <w:rPr>
          <w:rFonts w:eastAsia="SimSun"/>
          <w:lang w:eastAsia="ja-JP"/>
        </w:rPr>
        <w:t>-T A.7.</w:t>
      </w:r>
    </w:p>
    <w:p w:rsidR="00A90C58" w:rsidRPr="00333A8E" w:rsidRDefault="00A90C58" w:rsidP="00CA71F2">
      <w:pPr>
        <w:pStyle w:val="Heading1"/>
        <w:rPr>
          <w:rFonts w:eastAsia="SimSun"/>
          <w:lang w:eastAsia="ja-JP"/>
        </w:rPr>
      </w:pPr>
      <w:r w:rsidRPr="00333A8E">
        <w:rPr>
          <w:rFonts w:eastAsia="SimSun"/>
          <w:lang w:eastAsia="ja-JP"/>
        </w:rPr>
        <w:t>17</w:t>
      </w:r>
      <w:r w:rsidRPr="00333A8E">
        <w:rPr>
          <w:rFonts w:eastAsia="SimSun"/>
          <w:lang w:eastAsia="ja-JP"/>
        </w:rPr>
        <w:tab/>
      </w:r>
      <w:r w:rsidR="001B2229" w:rsidRPr="00333A8E">
        <w:rPr>
          <w:rFonts w:eastAsia="SimSun"/>
          <w:lang w:eastAsia="ja-JP"/>
        </w:rPr>
        <w:t>Annonce de la création du Groupe spécialisé</w:t>
      </w:r>
    </w:p>
    <w:p w:rsidR="001B2229" w:rsidRPr="00333A8E" w:rsidRDefault="001B2229" w:rsidP="00CA71F2">
      <w:pPr>
        <w:rPr>
          <w:rFonts w:eastAsia="SimSun"/>
          <w:lang w:eastAsia="ja-JP"/>
        </w:rPr>
      </w:pPr>
      <w:r w:rsidRPr="00333A8E">
        <w:rPr>
          <w:rFonts w:eastAsia="SimSun"/>
          <w:lang w:eastAsia="ja-JP"/>
        </w:rPr>
        <w:t>La création du Groupe spécialisé sera annoncée par l'intermédiaire d'une Circulaire du TSB adressée à l'ensemble des membres de l'UIT, dans le bulletin d'actualités de l'UIT-T, dans des communiqués de presse et par d'autres moyens, y compris la communication avec les a</w:t>
      </w:r>
      <w:r w:rsidR="00CA71F2">
        <w:rPr>
          <w:rFonts w:eastAsia="SimSun"/>
          <w:lang w:eastAsia="ja-JP"/>
        </w:rPr>
        <w:t>utres organisations concernées.</w:t>
      </w:r>
    </w:p>
    <w:p w:rsidR="00A90C58" w:rsidRPr="00CA71F2" w:rsidRDefault="00A90C58" w:rsidP="00CA71F2">
      <w:pPr>
        <w:pStyle w:val="Heading1"/>
        <w:rPr>
          <w:rFonts w:eastAsia="SimSun"/>
        </w:rPr>
      </w:pPr>
      <w:r w:rsidRPr="00CA71F2">
        <w:rPr>
          <w:rFonts w:eastAsia="SimSun"/>
        </w:rPr>
        <w:t>18</w:t>
      </w:r>
      <w:r w:rsidRPr="00CA71F2">
        <w:rPr>
          <w:rFonts w:eastAsia="SimSun"/>
        </w:rPr>
        <w:tab/>
      </w:r>
      <w:r w:rsidR="00285455" w:rsidRPr="00CA71F2">
        <w:rPr>
          <w:rFonts w:eastAsia="SimSun"/>
        </w:rPr>
        <w:t>E</w:t>
      </w:r>
      <w:r w:rsidR="000D1F71" w:rsidRPr="00CA71F2">
        <w:rPr>
          <w:rFonts w:eastAsia="SimSun"/>
        </w:rPr>
        <w:t>chéances</w:t>
      </w:r>
      <w:r w:rsidR="00C468F2" w:rsidRPr="00CA71F2">
        <w:rPr>
          <w:rFonts w:eastAsia="SimSun"/>
        </w:rPr>
        <w:t xml:space="preserve"> et durée d</w:t>
      </w:r>
      <w:r w:rsidR="00656FDC" w:rsidRPr="00CA71F2">
        <w:rPr>
          <w:rFonts w:eastAsia="SimSun"/>
        </w:rPr>
        <w:t xml:space="preserve">es activités </w:t>
      </w:r>
      <w:r w:rsidR="00C468F2" w:rsidRPr="00CA71F2">
        <w:rPr>
          <w:rFonts w:eastAsia="SimSun"/>
        </w:rPr>
        <w:t>du Groupe spécialisé</w:t>
      </w:r>
    </w:p>
    <w:p w:rsidR="00A90C58" w:rsidRPr="00333A8E" w:rsidRDefault="00656FDC" w:rsidP="00CA71F2">
      <w:pPr>
        <w:rPr>
          <w:rFonts w:eastAsia="SimSun"/>
          <w:lang w:eastAsia="ja-JP"/>
        </w:rPr>
      </w:pPr>
      <w:r w:rsidRPr="00333A8E">
        <w:rPr>
          <w:rFonts w:eastAsia="SimSun"/>
          <w:lang w:eastAsia="ja-JP"/>
        </w:rPr>
        <w:t xml:space="preserve">La durée </w:t>
      </w:r>
      <w:r w:rsidR="000D6D97" w:rsidRPr="00333A8E">
        <w:rPr>
          <w:rFonts w:eastAsia="SimSun"/>
          <w:lang w:eastAsia="ja-JP"/>
        </w:rPr>
        <w:t>du mandat</w:t>
      </w:r>
      <w:r w:rsidRPr="00333A8E">
        <w:rPr>
          <w:rFonts w:eastAsia="SimSun"/>
          <w:lang w:eastAsia="ja-JP"/>
        </w:rPr>
        <w:t xml:space="preserve"> du Groupe spécialisé est d'un an à compter de la première réunion du Groupe</w:t>
      </w:r>
      <w:r w:rsidR="000D6D97" w:rsidRPr="00333A8E">
        <w:rPr>
          <w:rFonts w:eastAsia="SimSun"/>
          <w:lang w:eastAsia="ja-JP"/>
        </w:rPr>
        <w:t>, mais pourra être prorogée le cas échéant sur décision de l’entité de rattachement</w:t>
      </w:r>
      <w:r w:rsidRPr="00333A8E">
        <w:rPr>
          <w:rFonts w:eastAsia="SimSun"/>
          <w:lang w:eastAsia="ja-JP"/>
        </w:rPr>
        <w:t xml:space="preserve"> </w:t>
      </w:r>
      <w:r w:rsidR="00A90C58" w:rsidRPr="00333A8E">
        <w:rPr>
          <w:rFonts w:eastAsia="SimSun"/>
          <w:lang w:eastAsia="ja-JP"/>
        </w:rPr>
        <w:t>(</w:t>
      </w:r>
      <w:r w:rsidR="00C468F2" w:rsidRPr="00333A8E">
        <w:rPr>
          <w:rFonts w:eastAsia="SimSun"/>
          <w:lang w:eastAsia="ja-JP"/>
        </w:rPr>
        <w:t>voir UIT</w:t>
      </w:r>
      <w:r w:rsidR="00A90C58" w:rsidRPr="00333A8E">
        <w:rPr>
          <w:rFonts w:eastAsia="SimSun"/>
          <w:lang w:eastAsia="ja-JP"/>
        </w:rPr>
        <w:t>-T A</w:t>
      </w:r>
      <w:r w:rsidR="00C468F2" w:rsidRPr="00333A8E">
        <w:rPr>
          <w:rFonts w:eastAsia="SimSun"/>
          <w:lang w:eastAsia="ja-JP"/>
        </w:rPr>
        <w:t>.</w:t>
      </w:r>
      <w:r w:rsidR="00A90C58" w:rsidRPr="00333A8E">
        <w:rPr>
          <w:rFonts w:eastAsia="SimSun"/>
          <w:lang w:eastAsia="ja-JP"/>
        </w:rPr>
        <w:t xml:space="preserve">7, </w:t>
      </w:r>
      <w:r w:rsidR="00C468F2" w:rsidRPr="00333A8E">
        <w:rPr>
          <w:rFonts w:eastAsia="SimSun"/>
          <w:lang w:eastAsia="ja-JP"/>
        </w:rPr>
        <w:t>§ </w:t>
      </w:r>
      <w:r w:rsidR="00CA71F2">
        <w:rPr>
          <w:rFonts w:eastAsia="SimSun"/>
          <w:lang w:eastAsia="ja-JP"/>
        </w:rPr>
        <w:t>2.2).</w:t>
      </w:r>
    </w:p>
    <w:p w:rsidR="00A90C58" w:rsidRPr="00333A8E" w:rsidRDefault="00A90C58" w:rsidP="00CA71F2">
      <w:pPr>
        <w:pStyle w:val="Heading1"/>
        <w:rPr>
          <w:rFonts w:eastAsia="SimSun"/>
          <w:lang w:eastAsia="ja-JP"/>
        </w:rPr>
      </w:pPr>
      <w:r w:rsidRPr="00333A8E">
        <w:rPr>
          <w:rFonts w:eastAsia="SimSun"/>
          <w:lang w:eastAsia="ja-JP"/>
        </w:rPr>
        <w:t>19</w:t>
      </w:r>
      <w:r w:rsidRPr="00333A8E">
        <w:rPr>
          <w:rFonts w:eastAsia="SimSun"/>
          <w:lang w:eastAsia="ja-JP"/>
        </w:rPr>
        <w:tab/>
      </w:r>
      <w:r w:rsidR="002D7F7C" w:rsidRPr="00333A8E">
        <w:rPr>
          <w:rFonts w:eastAsia="SimSun"/>
          <w:lang w:eastAsia="ja-JP"/>
        </w:rPr>
        <w:t>Politique en matière de brevets</w:t>
      </w:r>
      <w:r w:rsidRPr="00333A8E">
        <w:rPr>
          <w:rFonts w:eastAsia="SimSun"/>
          <w:lang w:eastAsia="ja-JP"/>
        </w:rPr>
        <w:t xml:space="preserve"> </w:t>
      </w:r>
    </w:p>
    <w:p w:rsidR="00A90C58" w:rsidRDefault="00C468F2" w:rsidP="00CA71F2">
      <w:pPr>
        <w:rPr>
          <w:rFonts w:eastAsia="SimSun"/>
          <w:lang w:eastAsia="ja-JP"/>
        </w:rPr>
      </w:pPr>
      <w:r w:rsidRPr="00333A8E">
        <w:rPr>
          <w:rFonts w:eastAsia="SimSun"/>
          <w:lang w:eastAsia="ja-JP"/>
        </w:rPr>
        <w:t>Voir le § </w:t>
      </w:r>
      <w:r w:rsidR="00A90C58" w:rsidRPr="00333A8E">
        <w:rPr>
          <w:rFonts w:eastAsia="SimSun"/>
          <w:lang w:eastAsia="ja-JP"/>
        </w:rPr>
        <w:t xml:space="preserve">9 </w:t>
      </w:r>
      <w:r w:rsidRPr="00333A8E">
        <w:rPr>
          <w:rFonts w:eastAsia="SimSun"/>
          <w:lang w:eastAsia="ja-JP"/>
        </w:rPr>
        <w:t xml:space="preserve">de la </w:t>
      </w:r>
      <w:r w:rsidR="00A90C58" w:rsidRPr="00333A8E">
        <w:rPr>
          <w:rFonts w:eastAsia="SimSun"/>
          <w:lang w:eastAsia="ja-JP"/>
        </w:rPr>
        <w:t>Recomm</w:t>
      </w:r>
      <w:r w:rsidRPr="00333A8E">
        <w:rPr>
          <w:rFonts w:eastAsia="SimSun"/>
          <w:lang w:eastAsia="ja-JP"/>
        </w:rPr>
        <w:t>a</w:t>
      </w:r>
      <w:r w:rsidR="00A90C58" w:rsidRPr="00333A8E">
        <w:rPr>
          <w:rFonts w:eastAsia="SimSun"/>
          <w:lang w:eastAsia="ja-JP"/>
        </w:rPr>
        <w:t xml:space="preserve">ndation </w:t>
      </w:r>
      <w:r w:rsidRPr="00333A8E">
        <w:rPr>
          <w:rFonts w:eastAsia="SimSun"/>
          <w:lang w:eastAsia="ja-JP"/>
        </w:rPr>
        <w:t>UIT</w:t>
      </w:r>
      <w:r w:rsidR="00A90C58" w:rsidRPr="00333A8E">
        <w:rPr>
          <w:rFonts w:eastAsia="SimSun"/>
          <w:lang w:eastAsia="ja-JP"/>
        </w:rPr>
        <w:t>-T A.7.</w:t>
      </w:r>
    </w:p>
    <w:p w:rsidR="00281712" w:rsidRPr="00333A8E" w:rsidRDefault="00281712" w:rsidP="00CA71F2">
      <w:pPr>
        <w:rPr>
          <w:rFonts w:eastAsia="SimSun"/>
          <w:lang w:eastAsia="ja-JP"/>
        </w:rPr>
      </w:pPr>
    </w:p>
    <w:p w:rsidR="00A90C58" w:rsidRPr="00333A8E" w:rsidRDefault="00680A31" w:rsidP="00CA71F2">
      <w:pPr>
        <w:jc w:val="center"/>
        <w:rPr>
          <w:rFonts w:eastAsia="SimSun"/>
          <w:szCs w:val="24"/>
          <w:lang w:eastAsia="ja-JP"/>
        </w:rPr>
      </w:pPr>
      <w:r w:rsidRPr="00333A8E">
        <w:t>______________</w:t>
      </w:r>
    </w:p>
    <w:sectPr w:rsidR="00A90C58" w:rsidRPr="00333A8E" w:rsidSect="004414F6">
      <w:headerReference w:type="default" r:id="rId23"/>
      <w:footerReference w:type="first" r:id="rId24"/>
      <w:pgSz w:w="11907" w:h="16840" w:code="9"/>
      <w:pgMar w:top="1418" w:right="1134" w:bottom="1418" w:left="1134" w:header="567"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E46" w:rsidRDefault="00DA2E46">
      <w:r>
        <w:separator/>
      </w:r>
    </w:p>
  </w:endnote>
  <w:endnote w:type="continuationSeparator" w:id="0">
    <w:p w:rsidR="00DA2E46" w:rsidRDefault="00DA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12" w:rsidRPr="006160D2" w:rsidRDefault="00540612" w:rsidP="006160D2">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E46" w:rsidRDefault="00DA2E46">
      <w:r>
        <w:t>____________________</w:t>
      </w:r>
    </w:p>
  </w:footnote>
  <w:footnote w:type="continuationSeparator" w:id="0">
    <w:p w:rsidR="00DA2E46" w:rsidRDefault="00DA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12" w:rsidRPr="00CA71F2" w:rsidRDefault="005813FD" w:rsidP="00CA71F2">
    <w:pPr>
      <w:spacing w:before="0"/>
      <w:jc w:val="center"/>
      <w:rPr>
        <w:noProof/>
        <w:sz w:val="18"/>
        <w:lang w:val="en-GB"/>
      </w:rPr>
    </w:pPr>
    <w:sdt>
      <w:sdtPr>
        <w:rPr>
          <w:sz w:val="18"/>
          <w:lang w:val="en-GB"/>
        </w:rPr>
        <w:id w:val="1456373811"/>
        <w:docPartObj>
          <w:docPartGallery w:val="Page Numbers (Top of Page)"/>
          <w:docPartUnique/>
        </w:docPartObj>
      </w:sdtPr>
      <w:sdtEndPr>
        <w:rPr>
          <w:noProof/>
        </w:rPr>
      </w:sdtEndPr>
      <w:sdtContent>
        <w:r w:rsidR="00540612" w:rsidRPr="00C95771">
          <w:rPr>
            <w:noProof/>
            <w:sz w:val="18"/>
            <w:lang w:val="en-GB"/>
          </w:rPr>
          <w:t>-</w:t>
        </w:r>
        <w:r w:rsidR="00540612" w:rsidRPr="00C95771">
          <w:rPr>
            <w:sz w:val="18"/>
            <w:lang w:val="en-GB"/>
          </w:rPr>
          <w:t xml:space="preserve"> </w:t>
        </w:r>
        <w:r w:rsidR="00540612" w:rsidRPr="00C95771">
          <w:rPr>
            <w:sz w:val="18"/>
            <w:lang w:val="en-GB"/>
          </w:rPr>
          <w:fldChar w:fldCharType="begin"/>
        </w:r>
        <w:r w:rsidR="00540612" w:rsidRPr="00C95771">
          <w:rPr>
            <w:sz w:val="18"/>
            <w:lang w:val="en-GB"/>
          </w:rPr>
          <w:instrText xml:space="preserve"> PAGE   \* MERGEFORMAT </w:instrText>
        </w:r>
        <w:r w:rsidR="00540612" w:rsidRPr="00C95771">
          <w:rPr>
            <w:sz w:val="18"/>
            <w:lang w:val="en-GB"/>
          </w:rPr>
          <w:fldChar w:fldCharType="separate"/>
        </w:r>
        <w:r>
          <w:rPr>
            <w:noProof/>
            <w:sz w:val="18"/>
            <w:lang w:val="en-GB"/>
          </w:rPr>
          <w:t>8</w:t>
        </w:r>
        <w:r w:rsidR="00540612" w:rsidRPr="00C95771">
          <w:rPr>
            <w:noProof/>
            <w:sz w:val="18"/>
            <w:lang w:val="en-GB"/>
          </w:rPr>
          <w:fldChar w:fldCharType="end"/>
        </w:r>
      </w:sdtContent>
    </w:sdt>
    <w:r w:rsidR="00540612" w:rsidRPr="00C95771">
      <w:rPr>
        <w:noProof/>
        <w:sz w:val="18"/>
        <w:lang w:val="en-GB"/>
      </w:rPr>
      <w:t xml:space="preserve"> -</w:t>
    </w:r>
    <w:r w:rsidR="00B57870">
      <w:rPr>
        <w:noProof/>
        <w:sz w:val="18"/>
        <w:lang w:val="en-GB"/>
      </w:rPr>
      <w:br/>
      <w:t>Circulaire TSB 104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A6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1829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E4A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9414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7CA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1C5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9C81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4E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7408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64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61D47BD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0B8822FC"/>
    <w:multiLevelType w:val="hybridMultilevel"/>
    <w:tmpl w:val="B0263F7A"/>
    <w:lvl w:ilvl="0" w:tplc="04090003">
      <w:start w:val="1"/>
      <w:numFmt w:val="bullet"/>
      <w:lvlText w:val="o"/>
      <w:lvlJc w:val="left"/>
      <w:pPr>
        <w:ind w:left="1212" w:hanging="852"/>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513A6"/>
    <w:multiLevelType w:val="hybridMultilevel"/>
    <w:tmpl w:val="0D98E864"/>
    <w:lvl w:ilvl="0" w:tplc="12F0BEB2">
      <w:start w:val="1"/>
      <w:numFmt w:val="bullet"/>
      <w:lvlText w:val=""/>
      <w:lvlJc w:val="left"/>
      <w:pPr>
        <w:ind w:left="720" w:hanging="360"/>
      </w:pPr>
      <w:rPr>
        <w:rFonts w:ascii="Symbol" w:hAnsi="Symbol" w:hint="default"/>
      </w:rPr>
    </w:lvl>
    <w:lvl w:ilvl="1" w:tplc="38125A5C">
      <w:start w:val="1"/>
      <w:numFmt w:val="bullet"/>
      <w:lvlText w:val="o"/>
      <w:lvlJc w:val="left"/>
      <w:pPr>
        <w:ind w:left="1440" w:hanging="360"/>
      </w:pPr>
      <w:rPr>
        <w:rFonts w:ascii="Courier New" w:hAnsi="Courier New" w:cs="Courier New" w:hint="default"/>
      </w:rPr>
    </w:lvl>
    <w:lvl w:ilvl="2" w:tplc="F140DCF6" w:tentative="1">
      <w:start w:val="1"/>
      <w:numFmt w:val="bullet"/>
      <w:lvlText w:val=""/>
      <w:lvlJc w:val="left"/>
      <w:pPr>
        <w:ind w:left="2160" w:hanging="360"/>
      </w:pPr>
      <w:rPr>
        <w:rFonts w:ascii="Wingdings" w:hAnsi="Wingdings" w:hint="default"/>
      </w:rPr>
    </w:lvl>
    <w:lvl w:ilvl="3" w:tplc="8DD6F1AC" w:tentative="1">
      <w:start w:val="1"/>
      <w:numFmt w:val="bullet"/>
      <w:lvlText w:val=""/>
      <w:lvlJc w:val="left"/>
      <w:pPr>
        <w:ind w:left="2880" w:hanging="360"/>
      </w:pPr>
      <w:rPr>
        <w:rFonts w:ascii="Symbol" w:hAnsi="Symbol" w:hint="default"/>
      </w:rPr>
    </w:lvl>
    <w:lvl w:ilvl="4" w:tplc="D73EFEB2" w:tentative="1">
      <w:start w:val="1"/>
      <w:numFmt w:val="bullet"/>
      <w:lvlText w:val="o"/>
      <w:lvlJc w:val="left"/>
      <w:pPr>
        <w:ind w:left="3600" w:hanging="360"/>
      </w:pPr>
      <w:rPr>
        <w:rFonts w:ascii="Courier New" w:hAnsi="Courier New" w:cs="Courier New" w:hint="default"/>
      </w:rPr>
    </w:lvl>
    <w:lvl w:ilvl="5" w:tplc="B7E42C3C" w:tentative="1">
      <w:start w:val="1"/>
      <w:numFmt w:val="bullet"/>
      <w:lvlText w:val=""/>
      <w:lvlJc w:val="left"/>
      <w:pPr>
        <w:ind w:left="4320" w:hanging="360"/>
      </w:pPr>
      <w:rPr>
        <w:rFonts w:ascii="Wingdings" w:hAnsi="Wingdings" w:hint="default"/>
      </w:rPr>
    </w:lvl>
    <w:lvl w:ilvl="6" w:tplc="822A1BBE" w:tentative="1">
      <w:start w:val="1"/>
      <w:numFmt w:val="bullet"/>
      <w:lvlText w:val=""/>
      <w:lvlJc w:val="left"/>
      <w:pPr>
        <w:ind w:left="5040" w:hanging="360"/>
      </w:pPr>
      <w:rPr>
        <w:rFonts w:ascii="Symbol" w:hAnsi="Symbol" w:hint="default"/>
      </w:rPr>
    </w:lvl>
    <w:lvl w:ilvl="7" w:tplc="982093C4" w:tentative="1">
      <w:start w:val="1"/>
      <w:numFmt w:val="bullet"/>
      <w:lvlText w:val="o"/>
      <w:lvlJc w:val="left"/>
      <w:pPr>
        <w:ind w:left="5760" w:hanging="360"/>
      </w:pPr>
      <w:rPr>
        <w:rFonts w:ascii="Courier New" w:hAnsi="Courier New" w:cs="Courier New" w:hint="default"/>
      </w:rPr>
    </w:lvl>
    <w:lvl w:ilvl="8" w:tplc="3D820486" w:tentative="1">
      <w:start w:val="1"/>
      <w:numFmt w:val="bullet"/>
      <w:lvlText w:val=""/>
      <w:lvlJc w:val="left"/>
      <w:pPr>
        <w:ind w:left="6480" w:hanging="360"/>
      </w:pPr>
      <w:rPr>
        <w:rFonts w:ascii="Wingdings" w:hAnsi="Wingdings" w:hint="default"/>
      </w:rPr>
    </w:lvl>
  </w:abstractNum>
  <w:abstractNum w:abstractNumId="14" w15:restartNumberingAfterBreak="0">
    <w:nsid w:val="1C146993"/>
    <w:multiLevelType w:val="hybridMultilevel"/>
    <w:tmpl w:val="D278D2B4"/>
    <w:lvl w:ilvl="0" w:tplc="04090001">
      <w:start w:val="1"/>
      <w:numFmt w:val="bullet"/>
      <w:lvlText w:val=""/>
      <w:lvlJc w:val="left"/>
      <w:pPr>
        <w:ind w:left="720" w:hanging="360"/>
      </w:pPr>
      <w:rPr>
        <w:rFonts w:ascii="Symbol" w:hAnsi="Symbol"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C278A"/>
    <w:multiLevelType w:val="hybridMultilevel"/>
    <w:tmpl w:val="A1B64F00"/>
    <w:lvl w:ilvl="0" w:tplc="F298460C">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EA6442"/>
    <w:multiLevelType w:val="hybridMultilevel"/>
    <w:tmpl w:val="08D890E4"/>
    <w:lvl w:ilvl="0" w:tplc="04090001">
      <w:start w:val="1"/>
      <w:numFmt w:val="bullet"/>
      <w:lvlText w:val=""/>
      <w:lvlJc w:val="left"/>
      <w:pPr>
        <w:ind w:left="720" w:hanging="360"/>
      </w:pPr>
      <w:rPr>
        <w:rFonts w:ascii="Symbol" w:hAnsi="Symbol"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9180A"/>
    <w:multiLevelType w:val="hybridMultilevel"/>
    <w:tmpl w:val="EF146084"/>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8"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22F3829"/>
    <w:multiLevelType w:val="hybridMultilevel"/>
    <w:tmpl w:val="766A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27003"/>
    <w:multiLevelType w:val="hybridMultilevel"/>
    <w:tmpl w:val="F51850F0"/>
    <w:lvl w:ilvl="0" w:tplc="04090001">
      <w:start w:val="1"/>
      <w:numFmt w:val="bullet"/>
      <w:lvlText w:val=""/>
      <w:lvlJc w:val="left"/>
      <w:pPr>
        <w:ind w:left="720" w:hanging="360"/>
      </w:pPr>
      <w:rPr>
        <w:rFonts w:ascii="Symbol" w:hAnsi="Symbol"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73B16"/>
    <w:multiLevelType w:val="hybridMultilevel"/>
    <w:tmpl w:val="1B20E49C"/>
    <w:lvl w:ilvl="0" w:tplc="04090011">
      <w:start w:val="1"/>
      <w:numFmt w:val="decimal"/>
      <w:lvlText w:val="%1)"/>
      <w:lvlJc w:val="left"/>
      <w:pPr>
        <w:ind w:left="1154" w:hanging="360"/>
      </w:p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start w:val="1"/>
      <w:numFmt w:val="bullet"/>
      <w:lvlText w:val="o"/>
      <w:lvlJc w:val="left"/>
      <w:pPr>
        <w:ind w:left="4034" w:hanging="360"/>
      </w:pPr>
      <w:rPr>
        <w:rFonts w:ascii="Courier New" w:hAnsi="Courier New" w:cs="Courier New" w:hint="default"/>
      </w:rPr>
    </w:lvl>
    <w:lvl w:ilvl="5" w:tplc="04090005">
      <w:start w:val="1"/>
      <w:numFmt w:val="bullet"/>
      <w:lvlText w:val=""/>
      <w:lvlJc w:val="left"/>
      <w:pPr>
        <w:ind w:left="4754" w:hanging="360"/>
      </w:pPr>
      <w:rPr>
        <w:rFonts w:ascii="Wingdings" w:hAnsi="Wingdings" w:hint="default"/>
      </w:rPr>
    </w:lvl>
    <w:lvl w:ilvl="6" w:tplc="04090001">
      <w:start w:val="1"/>
      <w:numFmt w:val="bullet"/>
      <w:lvlText w:val=""/>
      <w:lvlJc w:val="left"/>
      <w:pPr>
        <w:ind w:left="5474" w:hanging="360"/>
      </w:pPr>
      <w:rPr>
        <w:rFonts w:ascii="Symbol" w:hAnsi="Symbol" w:hint="default"/>
      </w:rPr>
    </w:lvl>
    <w:lvl w:ilvl="7" w:tplc="04090003">
      <w:start w:val="1"/>
      <w:numFmt w:val="bullet"/>
      <w:lvlText w:val="o"/>
      <w:lvlJc w:val="left"/>
      <w:pPr>
        <w:ind w:left="6194" w:hanging="360"/>
      </w:pPr>
      <w:rPr>
        <w:rFonts w:ascii="Courier New" w:hAnsi="Courier New" w:cs="Courier New" w:hint="default"/>
      </w:rPr>
    </w:lvl>
    <w:lvl w:ilvl="8" w:tplc="04090005">
      <w:start w:val="1"/>
      <w:numFmt w:val="bullet"/>
      <w:lvlText w:val=""/>
      <w:lvlJc w:val="left"/>
      <w:pPr>
        <w:ind w:left="6914" w:hanging="360"/>
      </w:pPr>
      <w:rPr>
        <w:rFonts w:ascii="Wingdings" w:hAnsi="Wingdings" w:hint="default"/>
      </w:rPr>
    </w:lvl>
  </w:abstractNum>
  <w:abstractNum w:abstractNumId="22" w15:restartNumberingAfterBreak="0">
    <w:nsid w:val="581B5878"/>
    <w:multiLevelType w:val="hybridMultilevel"/>
    <w:tmpl w:val="6F78CA84"/>
    <w:lvl w:ilvl="0" w:tplc="E26CE74C">
      <w:start w:val="1"/>
      <w:numFmt w:val="bullet"/>
      <w:lvlText w:val=""/>
      <w:lvlJc w:val="left"/>
      <w:pPr>
        <w:ind w:left="720" w:hanging="360"/>
      </w:pPr>
      <w:rPr>
        <w:rFonts w:ascii="Symbol" w:hAnsi="Symbol" w:hint="default"/>
      </w:rPr>
    </w:lvl>
    <w:lvl w:ilvl="1" w:tplc="CAE0904C" w:tentative="1">
      <w:start w:val="1"/>
      <w:numFmt w:val="bullet"/>
      <w:lvlText w:val="o"/>
      <w:lvlJc w:val="left"/>
      <w:pPr>
        <w:ind w:left="1440" w:hanging="360"/>
      </w:pPr>
      <w:rPr>
        <w:rFonts w:ascii="Courier New" w:hAnsi="Courier New" w:cs="Courier New" w:hint="default"/>
      </w:rPr>
    </w:lvl>
    <w:lvl w:ilvl="2" w:tplc="40E0209E" w:tentative="1">
      <w:start w:val="1"/>
      <w:numFmt w:val="bullet"/>
      <w:lvlText w:val=""/>
      <w:lvlJc w:val="left"/>
      <w:pPr>
        <w:ind w:left="2160" w:hanging="360"/>
      </w:pPr>
      <w:rPr>
        <w:rFonts w:ascii="Wingdings" w:hAnsi="Wingdings" w:hint="default"/>
      </w:rPr>
    </w:lvl>
    <w:lvl w:ilvl="3" w:tplc="961AF4F0" w:tentative="1">
      <w:start w:val="1"/>
      <w:numFmt w:val="bullet"/>
      <w:lvlText w:val=""/>
      <w:lvlJc w:val="left"/>
      <w:pPr>
        <w:ind w:left="2880" w:hanging="360"/>
      </w:pPr>
      <w:rPr>
        <w:rFonts w:ascii="Symbol" w:hAnsi="Symbol" w:hint="default"/>
      </w:rPr>
    </w:lvl>
    <w:lvl w:ilvl="4" w:tplc="5E38F9EC" w:tentative="1">
      <w:start w:val="1"/>
      <w:numFmt w:val="bullet"/>
      <w:lvlText w:val="o"/>
      <w:lvlJc w:val="left"/>
      <w:pPr>
        <w:ind w:left="3600" w:hanging="360"/>
      </w:pPr>
      <w:rPr>
        <w:rFonts w:ascii="Courier New" w:hAnsi="Courier New" w:cs="Courier New" w:hint="default"/>
      </w:rPr>
    </w:lvl>
    <w:lvl w:ilvl="5" w:tplc="8C785ABA" w:tentative="1">
      <w:start w:val="1"/>
      <w:numFmt w:val="bullet"/>
      <w:lvlText w:val=""/>
      <w:lvlJc w:val="left"/>
      <w:pPr>
        <w:ind w:left="4320" w:hanging="360"/>
      </w:pPr>
      <w:rPr>
        <w:rFonts w:ascii="Wingdings" w:hAnsi="Wingdings" w:hint="default"/>
      </w:rPr>
    </w:lvl>
    <w:lvl w:ilvl="6" w:tplc="FE2C6666" w:tentative="1">
      <w:start w:val="1"/>
      <w:numFmt w:val="bullet"/>
      <w:lvlText w:val=""/>
      <w:lvlJc w:val="left"/>
      <w:pPr>
        <w:ind w:left="5040" w:hanging="360"/>
      </w:pPr>
      <w:rPr>
        <w:rFonts w:ascii="Symbol" w:hAnsi="Symbol" w:hint="default"/>
      </w:rPr>
    </w:lvl>
    <w:lvl w:ilvl="7" w:tplc="CDD019BA" w:tentative="1">
      <w:start w:val="1"/>
      <w:numFmt w:val="bullet"/>
      <w:lvlText w:val="o"/>
      <w:lvlJc w:val="left"/>
      <w:pPr>
        <w:ind w:left="5760" w:hanging="360"/>
      </w:pPr>
      <w:rPr>
        <w:rFonts w:ascii="Courier New" w:hAnsi="Courier New" w:cs="Courier New" w:hint="default"/>
      </w:rPr>
    </w:lvl>
    <w:lvl w:ilvl="8" w:tplc="32E0437E" w:tentative="1">
      <w:start w:val="1"/>
      <w:numFmt w:val="bullet"/>
      <w:lvlText w:val=""/>
      <w:lvlJc w:val="left"/>
      <w:pPr>
        <w:ind w:left="6480" w:hanging="360"/>
      </w:pPr>
      <w:rPr>
        <w:rFonts w:ascii="Wingdings" w:hAnsi="Wingdings" w:hint="default"/>
      </w:rPr>
    </w:lvl>
  </w:abstractNum>
  <w:abstractNum w:abstractNumId="23" w15:restartNumberingAfterBreak="0">
    <w:nsid w:val="64891A5A"/>
    <w:multiLevelType w:val="hybridMultilevel"/>
    <w:tmpl w:val="ECA4026A"/>
    <w:lvl w:ilvl="0" w:tplc="0F4070EA">
      <w:start w:val="1"/>
      <w:numFmt w:val="decimal"/>
      <w:lvlText w:val="%1."/>
      <w:lvlJc w:val="left"/>
      <w:pPr>
        <w:ind w:left="360" w:hanging="360"/>
      </w:pPr>
      <w:rPr>
        <w:rFonts w:asciiTheme="minorHAnsi" w:hAnsiTheme="minorHAnsi" w:cs="Times New Roman" w:hint="default"/>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18"/>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6"/>
  </w:num>
  <w:num w:numId="8">
    <w:abstractNumId w:val="19"/>
  </w:num>
  <w:num w:numId="9">
    <w:abstractNumId w:val="14"/>
  </w:num>
  <w:num w:numId="10">
    <w:abstractNumId w:val="20"/>
  </w:num>
  <w:num w:numId="11">
    <w:abstractNumId w:val="11"/>
  </w:num>
  <w:num w:numId="12">
    <w:abstractNumId w:val="22"/>
  </w:num>
  <w:num w:numId="13">
    <w:abstractNumId w:val="13"/>
  </w:num>
  <w:num w:numId="14">
    <w:abstractNumId w:val="12"/>
  </w:num>
  <w:num w:numId="15">
    <w:abstractNumId w:val="17"/>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60"/>
    <w:rsid w:val="00001290"/>
    <w:rsid w:val="000039EE"/>
    <w:rsid w:val="00005622"/>
    <w:rsid w:val="00007F91"/>
    <w:rsid w:val="000215BB"/>
    <w:rsid w:val="0002519E"/>
    <w:rsid w:val="0003168D"/>
    <w:rsid w:val="00035B43"/>
    <w:rsid w:val="00043BC0"/>
    <w:rsid w:val="00044D69"/>
    <w:rsid w:val="00047A60"/>
    <w:rsid w:val="00056C87"/>
    <w:rsid w:val="000758B3"/>
    <w:rsid w:val="000B0D96"/>
    <w:rsid w:val="000B325C"/>
    <w:rsid w:val="000B4223"/>
    <w:rsid w:val="000B59D8"/>
    <w:rsid w:val="000B5BDB"/>
    <w:rsid w:val="000C1F6B"/>
    <w:rsid w:val="000C56BE"/>
    <w:rsid w:val="000D1F71"/>
    <w:rsid w:val="000D6D97"/>
    <w:rsid w:val="000E2464"/>
    <w:rsid w:val="000E7370"/>
    <w:rsid w:val="000F3EF6"/>
    <w:rsid w:val="001026FD"/>
    <w:rsid w:val="001077FD"/>
    <w:rsid w:val="00112EA5"/>
    <w:rsid w:val="001150F5"/>
    <w:rsid w:val="00115DD7"/>
    <w:rsid w:val="001204A3"/>
    <w:rsid w:val="001270E7"/>
    <w:rsid w:val="001365E6"/>
    <w:rsid w:val="0014189A"/>
    <w:rsid w:val="00143174"/>
    <w:rsid w:val="00145616"/>
    <w:rsid w:val="00164F3D"/>
    <w:rsid w:val="00167472"/>
    <w:rsid w:val="00167F92"/>
    <w:rsid w:val="00173738"/>
    <w:rsid w:val="001B2229"/>
    <w:rsid w:val="001B614C"/>
    <w:rsid w:val="001B79A3"/>
    <w:rsid w:val="001C0FD0"/>
    <w:rsid w:val="001C3BDE"/>
    <w:rsid w:val="001D29A7"/>
    <w:rsid w:val="001F10DC"/>
    <w:rsid w:val="00200B7D"/>
    <w:rsid w:val="00207180"/>
    <w:rsid w:val="002152A3"/>
    <w:rsid w:val="00250049"/>
    <w:rsid w:val="002641EB"/>
    <w:rsid w:val="00267C0A"/>
    <w:rsid w:val="00273688"/>
    <w:rsid w:val="002802AE"/>
    <w:rsid w:val="00281712"/>
    <w:rsid w:val="00283424"/>
    <w:rsid w:val="00285455"/>
    <w:rsid w:val="00286914"/>
    <w:rsid w:val="002A6256"/>
    <w:rsid w:val="002B69DA"/>
    <w:rsid w:val="002C5E4C"/>
    <w:rsid w:val="002D7F7C"/>
    <w:rsid w:val="002E395D"/>
    <w:rsid w:val="00304944"/>
    <w:rsid w:val="003131F0"/>
    <w:rsid w:val="003155B6"/>
    <w:rsid w:val="003172E8"/>
    <w:rsid w:val="00333A80"/>
    <w:rsid w:val="00333A8E"/>
    <w:rsid w:val="003371B1"/>
    <w:rsid w:val="00341117"/>
    <w:rsid w:val="003412D8"/>
    <w:rsid w:val="00364E95"/>
    <w:rsid w:val="00371DA4"/>
    <w:rsid w:val="00372875"/>
    <w:rsid w:val="00375BD1"/>
    <w:rsid w:val="0038206A"/>
    <w:rsid w:val="003A4E7E"/>
    <w:rsid w:val="003B1E80"/>
    <w:rsid w:val="003B66E8"/>
    <w:rsid w:val="003B6D77"/>
    <w:rsid w:val="003E593F"/>
    <w:rsid w:val="003F281D"/>
    <w:rsid w:val="003F7415"/>
    <w:rsid w:val="004033F1"/>
    <w:rsid w:val="00407DB0"/>
    <w:rsid w:val="00414B0C"/>
    <w:rsid w:val="00423C21"/>
    <w:rsid w:val="00424BA7"/>
    <w:rsid w:val="004257AC"/>
    <w:rsid w:val="00426620"/>
    <w:rsid w:val="004370C9"/>
    <w:rsid w:val="0043711B"/>
    <w:rsid w:val="004403B2"/>
    <w:rsid w:val="00440BAB"/>
    <w:rsid w:val="004414F6"/>
    <w:rsid w:val="00443110"/>
    <w:rsid w:val="00445243"/>
    <w:rsid w:val="00462D97"/>
    <w:rsid w:val="00482416"/>
    <w:rsid w:val="00483AEB"/>
    <w:rsid w:val="004916BA"/>
    <w:rsid w:val="004977C9"/>
    <w:rsid w:val="004B732E"/>
    <w:rsid w:val="004D4E5C"/>
    <w:rsid w:val="004D51F4"/>
    <w:rsid w:val="004D64E0"/>
    <w:rsid w:val="004F5BE9"/>
    <w:rsid w:val="00500D7D"/>
    <w:rsid w:val="0050761B"/>
    <w:rsid w:val="005120A2"/>
    <w:rsid w:val="0051210D"/>
    <w:rsid w:val="005136D2"/>
    <w:rsid w:val="00516965"/>
    <w:rsid w:val="00516EB7"/>
    <w:rsid w:val="00517A03"/>
    <w:rsid w:val="00540612"/>
    <w:rsid w:val="005813FD"/>
    <w:rsid w:val="0058479E"/>
    <w:rsid w:val="005A3DD9"/>
    <w:rsid w:val="005A6545"/>
    <w:rsid w:val="005B1DFC"/>
    <w:rsid w:val="005D085E"/>
    <w:rsid w:val="005D2FD5"/>
    <w:rsid w:val="005D4D49"/>
    <w:rsid w:val="005E10D7"/>
    <w:rsid w:val="005E5BE4"/>
    <w:rsid w:val="00601682"/>
    <w:rsid w:val="00604CFB"/>
    <w:rsid w:val="00604D2F"/>
    <w:rsid w:val="006160D2"/>
    <w:rsid w:val="00623D30"/>
    <w:rsid w:val="00625E79"/>
    <w:rsid w:val="00626D37"/>
    <w:rsid w:val="006277FE"/>
    <w:rsid w:val="006333F7"/>
    <w:rsid w:val="006427A1"/>
    <w:rsid w:val="00644741"/>
    <w:rsid w:val="00645102"/>
    <w:rsid w:val="00656154"/>
    <w:rsid w:val="00656FDC"/>
    <w:rsid w:val="00663A67"/>
    <w:rsid w:val="00672956"/>
    <w:rsid w:val="00680A31"/>
    <w:rsid w:val="006967C9"/>
    <w:rsid w:val="00697BC1"/>
    <w:rsid w:val="006A6FFE"/>
    <w:rsid w:val="006C5A91"/>
    <w:rsid w:val="006E57F6"/>
    <w:rsid w:val="006F1821"/>
    <w:rsid w:val="00716BBC"/>
    <w:rsid w:val="007321BC"/>
    <w:rsid w:val="00733869"/>
    <w:rsid w:val="00735E9F"/>
    <w:rsid w:val="00760063"/>
    <w:rsid w:val="00771088"/>
    <w:rsid w:val="00775E4B"/>
    <w:rsid w:val="00777277"/>
    <w:rsid w:val="007857AB"/>
    <w:rsid w:val="0079553B"/>
    <w:rsid w:val="00795679"/>
    <w:rsid w:val="007A40FE"/>
    <w:rsid w:val="007C1EC3"/>
    <w:rsid w:val="007D5C0B"/>
    <w:rsid w:val="00810105"/>
    <w:rsid w:val="008157E0"/>
    <w:rsid w:val="008249C0"/>
    <w:rsid w:val="008314F5"/>
    <w:rsid w:val="00853459"/>
    <w:rsid w:val="00854E1D"/>
    <w:rsid w:val="008618B9"/>
    <w:rsid w:val="0086362F"/>
    <w:rsid w:val="00884694"/>
    <w:rsid w:val="00887911"/>
    <w:rsid w:val="00887FA6"/>
    <w:rsid w:val="00891432"/>
    <w:rsid w:val="008A57EA"/>
    <w:rsid w:val="008B267D"/>
    <w:rsid w:val="008C215C"/>
    <w:rsid w:val="008C4397"/>
    <w:rsid w:val="008C465A"/>
    <w:rsid w:val="008F2C9B"/>
    <w:rsid w:val="00923CD6"/>
    <w:rsid w:val="00935AA8"/>
    <w:rsid w:val="00941DC6"/>
    <w:rsid w:val="00960F89"/>
    <w:rsid w:val="00971C9A"/>
    <w:rsid w:val="009D0866"/>
    <w:rsid w:val="009D1650"/>
    <w:rsid w:val="009D51FA"/>
    <w:rsid w:val="009E6D27"/>
    <w:rsid w:val="009F1E23"/>
    <w:rsid w:val="009F68C1"/>
    <w:rsid w:val="00A07CB3"/>
    <w:rsid w:val="00A13F67"/>
    <w:rsid w:val="00A15179"/>
    <w:rsid w:val="00A51537"/>
    <w:rsid w:val="00A5280F"/>
    <w:rsid w:val="00A60FC1"/>
    <w:rsid w:val="00A7353A"/>
    <w:rsid w:val="00A81679"/>
    <w:rsid w:val="00A87A94"/>
    <w:rsid w:val="00A90C58"/>
    <w:rsid w:val="00A97C37"/>
    <w:rsid w:val="00AC00E6"/>
    <w:rsid w:val="00AC37B5"/>
    <w:rsid w:val="00AD13F2"/>
    <w:rsid w:val="00AD752F"/>
    <w:rsid w:val="00AF08A4"/>
    <w:rsid w:val="00AF1C98"/>
    <w:rsid w:val="00B13168"/>
    <w:rsid w:val="00B27B41"/>
    <w:rsid w:val="00B305E0"/>
    <w:rsid w:val="00B42659"/>
    <w:rsid w:val="00B57870"/>
    <w:rsid w:val="00B672D9"/>
    <w:rsid w:val="00B73C1B"/>
    <w:rsid w:val="00B756F5"/>
    <w:rsid w:val="00B8037F"/>
    <w:rsid w:val="00B84142"/>
    <w:rsid w:val="00B85153"/>
    <w:rsid w:val="00B8573E"/>
    <w:rsid w:val="00B90015"/>
    <w:rsid w:val="00BB24C0"/>
    <w:rsid w:val="00BC0268"/>
    <w:rsid w:val="00C12C50"/>
    <w:rsid w:val="00C14DAC"/>
    <w:rsid w:val="00C15FBD"/>
    <w:rsid w:val="00C26F2E"/>
    <w:rsid w:val="00C302E3"/>
    <w:rsid w:val="00C36387"/>
    <w:rsid w:val="00C45376"/>
    <w:rsid w:val="00C468F2"/>
    <w:rsid w:val="00C55151"/>
    <w:rsid w:val="00C62625"/>
    <w:rsid w:val="00C83B96"/>
    <w:rsid w:val="00C873B3"/>
    <w:rsid w:val="00C9028F"/>
    <w:rsid w:val="00C95771"/>
    <w:rsid w:val="00C95F49"/>
    <w:rsid w:val="00CA0416"/>
    <w:rsid w:val="00CA71F2"/>
    <w:rsid w:val="00CB1125"/>
    <w:rsid w:val="00CD042E"/>
    <w:rsid w:val="00CE2CB6"/>
    <w:rsid w:val="00CF2560"/>
    <w:rsid w:val="00CF5B46"/>
    <w:rsid w:val="00D24C85"/>
    <w:rsid w:val="00D46B68"/>
    <w:rsid w:val="00D542A5"/>
    <w:rsid w:val="00D62669"/>
    <w:rsid w:val="00D83CC2"/>
    <w:rsid w:val="00DA2E46"/>
    <w:rsid w:val="00DB2593"/>
    <w:rsid w:val="00DB5326"/>
    <w:rsid w:val="00DB6E7C"/>
    <w:rsid w:val="00DC0134"/>
    <w:rsid w:val="00DC3D47"/>
    <w:rsid w:val="00DD77DA"/>
    <w:rsid w:val="00DF367E"/>
    <w:rsid w:val="00DF4528"/>
    <w:rsid w:val="00E06C61"/>
    <w:rsid w:val="00E13DB3"/>
    <w:rsid w:val="00E21909"/>
    <w:rsid w:val="00E2408B"/>
    <w:rsid w:val="00E5042B"/>
    <w:rsid w:val="00E54FEF"/>
    <w:rsid w:val="00E62281"/>
    <w:rsid w:val="00E62CEA"/>
    <w:rsid w:val="00E72AE1"/>
    <w:rsid w:val="00E76F36"/>
    <w:rsid w:val="00E9542E"/>
    <w:rsid w:val="00EA0E6E"/>
    <w:rsid w:val="00EA1DD8"/>
    <w:rsid w:val="00EA78D7"/>
    <w:rsid w:val="00ED60C5"/>
    <w:rsid w:val="00ED6A7A"/>
    <w:rsid w:val="00EE4C36"/>
    <w:rsid w:val="00F33A65"/>
    <w:rsid w:val="00F346CE"/>
    <w:rsid w:val="00F34F98"/>
    <w:rsid w:val="00F36FA5"/>
    <w:rsid w:val="00F40540"/>
    <w:rsid w:val="00F413B5"/>
    <w:rsid w:val="00F5275F"/>
    <w:rsid w:val="00F67402"/>
    <w:rsid w:val="00F727A8"/>
    <w:rsid w:val="00F766A2"/>
    <w:rsid w:val="00F861A8"/>
    <w:rsid w:val="00F9451D"/>
    <w:rsid w:val="00FA2F6C"/>
    <w:rsid w:val="00FC105D"/>
    <w:rsid w:val="00FC76D8"/>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3724042-5C58-4794-BF36-3946D064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67D"/>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8B267D"/>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8B267D"/>
    <w:pPr>
      <w:spacing w:before="320"/>
      <w:outlineLvl w:val="1"/>
    </w:pPr>
  </w:style>
  <w:style w:type="paragraph" w:styleId="Heading3">
    <w:name w:val="heading 3"/>
    <w:basedOn w:val="Heading1"/>
    <w:next w:val="Normal"/>
    <w:qFormat/>
    <w:rsid w:val="008B267D"/>
    <w:pPr>
      <w:spacing w:before="200"/>
      <w:outlineLvl w:val="2"/>
    </w:pPr>
  </w:style>
  <w:style w:type="paragraph" w:styleId="Heading4">
    <w:name w:val="heading 4"/>
    <w:basedOn w:val="Heading3"/>
    <w:next w:val="Normal"/>
    <w:qFormat/>
    <w:rsid w:val="008B267D"/>
    <w:pPr>
      <w:tabs>
        <w:tab w:val="clear" w:pos="794"/>
        <w:tab w:val="left" w:pos="1191"/>
      </w:tabs>
      <w:ind w:left="993" w:hanging="993"/>
      <w:outlineLvl w:val="3"/>
    </w:pPr>
  </w:style>
  <w:style w:type="paragraph" w:styleId="Heading5">
    <w:name w:val="heading 5"/>
    <w:basedOn w:val="Heading3"/>
    <w:next w:val="Normal"/>
    <w:qFormat/>
    <w:rsid w:val="008B267D"/>
    <w:pPr>
      <w:tabs>
        <w:tab w:val="clear" w:pos="794"/>
        <w:tab w:val="left" w:pos="1191"/>
      </w:tabs>
      <w:outlineLvl w:val="4"/>
    </w:pPr>
  </w:style>
  <w:style w:type="paragraph" w:styleId="Heading6">
    <w:name w:val="heading 6"/>
    <w:basedOn w:val="Heading3"/>
    <w:next w:val="Normal"/>
    <w:qFormat/>
    <w:rsid w:val="008B267D"/>
    <w:pPr>
      <w:tabs>
        <w:tab w:val="clear" w:pos="794"/>
        <w:tab w:val="left" w:pos="1191"/>
      </w:tabs>
      <w:outlineLvl w:val="5"/>
    </w:pPr>
  </w:style>
  <w:style w:type="paragraph" w:styleId="Heading7">
    <w:name w:val="heading 7"/>
    <w:basedOn w:val="Heading3"/>
    <w:next w:val="Normal"/>
    <w:qFormat/>
    <w:rsid w:val="008B267D"/>
    <w:pPr>
      <w:tabs>
        <w:tab w:val="clear" w:pos="794"/>
        <w:tab w:val="left" w:pos="1191"/>
      </w:tabs>
      <w:outlineLvl w:val="6"/>
    </w:pPr>
  </w:style>
  <w:style w:type="paragraph" w:styleId="Heading8">
    <w:name w:val="heading 8"/>
    <w:basedOn w:val="Heading3"/>
    <w:next w:val="Normal"/>
    <w:qFormat/>
    <w:rsid w:val="008B267D"/>
    <w:pPr>
      <w:tabs>
        <w:tab w:val="clear" w:pos="794"/>
        <w:tab w:val="left" w:pos="1191"/>
      </w:tabs>
      <w:outlineLvl w:val="7"/>
    </w:pPr>
  </w:style>
  <w:style w:type="paragraph" w:styleId="Heading9">
    <w:name w:val="heading 9"/>
    <w:basedOn w:val="Heading3"/>
    <w:next w:val="Normal"/>
    <w:qFormat/>
    <w:rsid w:val="008B267D"/>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8B267D"/>
  </w:style>
  <w:style w:type="paragraph" w:styleId="TOC7">
    <w:name w:val="toc 7"/>
    <w:basedOn w:val="TOC3"/>
    <w:semiHidden/>
    <w:rsid w:val="008B267D"/>
  </w:style>
  <w:style w:type="paragraph" w:styleId="TOC6">
    <w:name w:val="toc 6"/>
    <w:basedOn w:val="TOC3"/>
    <w:semiHidden/>
    <w:rsid w:val="008B267D"/>
  </w:style>
  <w:style w:type="paragraph" w:styleId="TOC5">
    <w:name w:val="toc 5"/>
    <w:basedOn w:val="TOC3"/>
    <w:semiHidden/>
    <w:rsid w:val="008B267D"/>
  </w:style>
  <w:style w:type="paragraph" w:styleId="TOC4">
    <w:name w:val="toc 4"/>
    <w:basedOn w:val="TOC3"/>
    <w:semiHidden/>
    <w:rsid w:val="008B267D"/>
  </w:style>
  <w:style w:type="paragraph" w:styleId="TOC3">
    <w:name w:val="toc 3"/>
    <w:basedOn w:val="TOC2"/>
    <w:semiHidden/>
    <w:rsid w:val="008B267D"/>
    <w:pPr>
      <w:spacing w:before="80"/>
    </w:pPr>
  </w:style>
  <w:style w:type="paragraph" w:styleId="TOC2">
    <w:name w:val="toc 2"/>
    <w:basedOn w:val="TOC1"/>
    <w:semiHidden/>
    <w:rsid w:val="008B267D"/>
    <w:pPr>
      <w:spacing w:before="120"/>
    </w:pPr>
  </w:style>
  <w:style w:type="paragraph" w:styleId="TOC1">
    <w:name w:val="toc 1"/>
    <w:basedOn w:val="Normal"/>
    <w:semiHidden/>
    <w:rsid w:val="008B267D"/>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8B267D"/>
    <w:pPr>
      <w:ind w:left="1698"/>
    </w:pPr>
  </w:style>
  <w:style w:type="paragraph" w:styleId="Index6">
    <w:name w:val="index 6"/>
    <w:basedOn w:val="Normal"/>
    <w:next w:val="Normal"/>
    <w:semiHidden/>
    <w:rsid w:val="008B267D"/>
    <w:pPr>
      <w:ind w:left="1415"/>
    </w:pPr>
  </w:style>
  <w:style w:type="paragraph" w:styleId="Index5">
    <w:name w:val="index 5"/>
    <w:basedOn w:val="Normal"/>
    <w:next w:val="Normal"/>
    <w:semiHidden/>
    <w:rsid w:val="008B267D"/>
    <w:pPr>
      <w:ind w:left="1132"/>
    </w:pPr>
  </w:style>
  <w:style w:type="paragraph" w:styleId="Index4">
    <w:name w:val="index 4"/>
    <w:basedOn w:val="Normal"/>
    <w:next w:val="Normal"/>
    <w:semiHidden/>
    <w:rsid w:val="008B267D"/>
    <w:pPr>
      <w:ind w:left="849"/>
    </w:pPr>
  </w:style>
  <w:style w:type="paragraph" w:styleId="Index3">
    <w:name w:val="index 3"/>
    <w:basedOn w:val="Normal"/>
    <w:next w:val="Normal"/>
    <w:semiHidden/>
    <w:rsid w:val="008B267D"/>
    <w:pPr>
      <w:ind w:left="566"/>
    </w:pPr>
  </w:style>
  <w:style w:type="paragraph" w:styleId="Index2">
    <w:name w:val="index 2"/>
    <w:basedOn w:val="Normal"/>
    <w:next w:val="Normal"/>
    <w:semiHidden/>
    <w:rsid w:val="008B267D"/>
    <w:pPr>
      <w:ind w:left="283"/>
    </w:pPr>
  </w:style>
  <w:style w:type="paragraph" w:styleId="Index1">
    <w:name w:val="index 1"/>
    <w:basedOn w:val="Normal"/>
    <w:next w:val="Normal"/>
    <w:semiHidden/>
    <w:rsid w:val="008B267D"/>
  </w:style>
  <w:style w:type="character" w:styleId="LineNumber">
    <w:name w:val="line number"/>
    <w:basedOn w:val="DefaultParagraphFont"/>
    <w:rsid w:val="008B267D"/>
  </w:style>
  <w:style w:type="paragraph" w:styleId="IndexHeading">
    <w:name w:val="index heading"/>
    <w:basedOn w:val="Normal"/>
    <w:next w:val="Index1"/>
    <w:semiHidden/>
    <w:rsid w:val="008B267D"/>
  </w:style>
  <w:style w:type="paragraph" w:styleId="Footer">
    <w:name w:val="footer"/>
    <w:basedOn w:val="Normal"/>
    <w:link w:val="FooterChar"/>
    <w:rsid w:val="008B267D"/>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8B267D"/>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8B267D"/>
    <w:rPr>
      <w:position w:val="6"/>
      <w:sz w:val="16"/>
    </w:rPr>
  </w:style>
  <w:style w:type="paragraph" w:styleId="FootnoteText">
    <w:name w:val="footnote text"/>
    <w:basedOn w:val="Normal"/>
    <w:semiHidden/>
    <w:rsid w:val="008B267D"/>
    <w:pPr>
      <w:keepLines/>
      <w:tabs>
        <w:tab w:val="left" w:pos="256"/>
      </w:tabs>
      <w:ind w:left="256" w:hanging="256"/>
    </w:pPr>
  </w:style>
  <w:style w:type="paragraph" w:styleId="NormalIndent">
    <w:name w:val="Normal Indent"/>
    <w:basedOn w:val="Normal"/>
    <w:rsid w:val="008B267D"/>
    <w:pPr>
      <w:ind w:left="794"/>
    </w:pPr>
  </w:style>
  <w:style w:type="paragraph" w:customStyle="1" w:styleId="TableLegend">
    <w:name w:val="Table_Legend"/>
    <w:basedOn w:val="TableText"/>
    <w:rsid w:val="008B267D"/>
    <w:pPr>
      <w:spacing w:before="120"/>
    </w:pPr>
  </w:style>
  <w:style w:type="paragraph" w:customStyle="1" w:styleId="TableText">
    <w:name w:val="Table_Text"/>
    <w:basedOn w:val="Normal"/>
    <w:rsid w:val="008B26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8B267D"/>
    <w:pPr>
      <w:keepLines/>
      <w:spacing w:before="0"/>
    </w:pPr>
    <w:rPr>
      <w:b/>
      <w:caps w:val="0"/>
    </w:rPr>
  </w:style>
  <w:style w:type="paragraph" w:customStyle="1" w:styleId="Table">
    <w:name w:val="Table_#"/>
    <w:basedOn w:val="Normal"/>
    <w:next w:val="TableTitle"/>
    <w:rsid w:val="008B267D"/>
    <w:pPr>
      <w:keepNext/>
      <w:spacing w:before="560" w:after="120"/>
      <w:jc w:val="center"/>
    </w:pPr>
    <w:rPr>
      <w:caps/>
    </w:rPr>
  </w:style>
  <w:style w:type="paragraph" w:customStyle="1" w:styleId="enumlev1">
    <w:name w:val="enumlev1"/>
    <w:basedOn w:val="Normal"/>
    <w:link w:val="enumlev1Char"/>
    <w:qFormat/>
    <w:rsid w:val="008B267D"/>
    <w:pPr>
      <w:spacing w:before="80"/>
      <w:ind w:left="794" w:hanging="794"/>
    </w:pPr>
  </w:style>
  <w:style w:type="paragraph" w:customStyle="1" w:styleId="enumlev2">
    <w:name w:val="enumlev2"/>
    <w:basedOn w:val="enumlev1"/>
    <w:rsid w:val="008B267D"/>
    <w:pPr>
      <w:ind w:left="1191" w:hanging="397"/>
    </w:pPr>
  </w:style>
  <w:style w:type="paragraph" w:customStyle="1" w:styleId="enumlev3">
    <w:name w:val="enumlev3"/>
    <w:basedOn w:val="enumlev2"/>
    <w:rsid w:val="008B267D"/>
    <w:pPr>
      <w:ind w:left="1588"/>
    </w:pPr>
  </w:style>
  <w:style w:type="paragraph" w:customStyle="1" w:styleId="TableHead">
    <w:name w:val="Table_Head"/>
    <w:basedOn w:val="TableText"/>
    <w:rsid w:val="008B267D"/>
    <w:pPr>
      <w:keepNext/>
      <w:spacing w:before="80" w:after="80"/>
      <w:jc w:val="center"/>
    </w:pPr>
    <w:rPr>
      <w:b/>
    </w:rPr>
  </w:style>
  <w:style w:type="paragraph" w:customStyle="1" w:styleId="FigureLegend">
    <w:name w:val="Figure_Legend"/>
    <w:basedOn w:val="Normal"/>
    <w:rsid w:val="008B267D"/>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8B267D"/>
    <w:pPr>
      <w:spacing w:before="480"/>
    </w:pPr>
  </w:style>
  <w:style w:type="paragraph" w:customStyle="1" w:styleId="FigureTitle">
    <w:name w:val="Figure_Title"/>
    <w:basedOn w:val="TableTitle"/>
    <w:next w:val="Normal"/>
    <w:rsid w:val="008B267D"/>
    <w:pPr>
      <w:keepNext w:val="0"/>
      <w:spacing w:after="480"/>
    </w:pPr>
  </w:style>
  <w:style w:type="paragraph" w:customStyle="1" w:styleId="Annex">
    <w:name w:val="Annex_#"/>
    <w:basedOn w:val="Normal"/>
    <w:next w:val="AnnexRef"/>
    <w:rsid w:val="008B267D"/>
    <w:pPr>
      <w:keepNext/>
      <w:keepLines/>
      <w:spacing w:before="480" w:after="80"/>
      <w:jc w:val="center"/>
    </w:pPr>
    <w:rPr>
      <w:caps/>
    </w:rPr>
  </w:style>
  <w:style w:type="paragraph" w:customStyle="1" w:styleId="AnnexRef">
    <w:name w:val="Annex_Ref"/>
    <w:basedOn w:val="Normal"/>
    <w:next w:val="AnnexTitle"/>
    <w:rsid w:val="008B267D"/>
    <w:pPr>
      <w:keepNext/>
      <w:keepLines/>
      <w:jc w:val="center"/>
    </w:pPr>
  </w:style>
  <w:style w:type="paragraph" w:customStyle="1" w:styleId="AnnexTitle">
    <w:name w:val="Annex_Title"/>
    <w:basedOn w:val="Normal"/>
    <w:next w:val="Normal"/>
    <w:rsid w:val="008B267D"/>
    <w:pPr>
      <w:keepNext/>
      <w:keepLines/>
      <w:spacing w:before="240" w:after="280"/>
      <w:jc w:val="center"/>
    </w:pPr>
    <w:rPr>
      <w:b/>
    </w:rPr>
  </w:style>
  <w:style w:type="paragraph" w:customStyle="1" w:styleId="Appendix">
    <w:name w:val="Appendix_#"/>
    <w:basedOn w:val="Annex"/>
    <w:next w:val="AppendixRef"/>
    <w:rsid w:val="008B267D"/>
  </w:style>
  <w:style w:type="paragraph" w:customStyle="1" w:styleId="AppendixRef">
    <w:name w:val="Appendix_Ref"/>
    <w:basedOn w:val="AnnexRef"/>
    <w:next w:val="AppendixTitle"/>
    <w:rsid w:val="008B267D"/>
  </w:style>
  <w:style w:type="paragraph" w:customStyle="1" w:styleId="AppendixTitle">
    <w:name w:val="Appendix_Title"/>
    <w:basedOn w:val="AnnexTitle"/>
    <w:next w:val="Normal"/>
    <w:rsid w:val="008B267D"/>
  </w:style>
  <w:style w:type="paragraph" w:customStyle="1" w:styleId="RefTitle">
    <w:name w:val="Ref_Title"/>
    <w:basedOn w:val="Normal"/>
    <w:next w:val="RefText"/>
    <w:rsid w:val="008B267D"/>
    <w:pPr>
      <w:spacing w:before="480"/>
      <w:jc w:val="center"/>
    </w:pPr>
    <w:rPr>
      <w:caps/>
    </w:rPr>
  </w:style>
  <w:style w:type="paragraph" w:customStyle="1" w:styleId="RefText">
    <w:name w:val="Ref_Text"/>
    <w:basedOn w:val="Normal"/>
    <w:rsid w:val="008B267D"/>
    <w:pPr>
      <w:ind w:left="794" w:hanging="794"/>
    </w:pPr>
  </w:style>
  <w:style w:type="paragraph" w:customStyle="1" w:styleId="Equation">
    <w:name w:val="Equation"/>
    <w:basedOn w:val="Normal"/>
    <w:rsid w:val="008B267D"/>
    <w:pPr>
      <w:tabs>
        <w:tab w:val="clear" w:pos="1191"/>
        <w:tab w:val="clear" w:pos="1588"/>
        <w:tab w:val="clear" w:pos="1985"/>
        <w:tab w:val="center" w:pos="4876"/>
        <w:tab w:val="right" w:pos="9752"/>
      </w:tabs>
    </w:pPr>
  </w:style>
  <w:style w:type="paragraph" w:customStyle="1" w:styleId="Head">
    <w:name w:val="Head"/>
    <w:basedOn w:val="Normal"/>
    <w:rsid w:val="008B267D"/>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8B267D"/>
    <w:pPr>
      <w:keepNext/>
      <w:keepLines/>
      <w:spacing w:before="240"/>
      <w:jc w:val="center"/>
    </w:pPr>
    <w:rPr>
      <w:b/>
      <w:caps/>
    </w:rPr>
  </w:style>
  <w:style w:type="paragraph" w:customStyle="1" w:styleId="Normalaftertitle">
    <w:name w:val="Normal after title"/>
    <w:basedOn w:val="Normal"/>
    <w:next w:val="Normal"/>
    <w:rsid w:val="008B267D"/>
    <w:pPr>
      <w:spacing w:before="320"/>
    </w:pPr>
  </w:style>
  <w:style w:type="paragraph" w:customStyle="1" w:styleId="call">
    <w:name w:val="call"/>
    <w:basedOn w:val="Normal"/>
    <w:next w:val="Normal"/>
    <w:rsid w:val="008B267D"/>
    <w:pPr>
      <w:keepNext/>
      <w:keepLines/>
      <w:spacing w:before="160"/>
      <w:ind w:left="794"/>
    </w:pPr>
    <w:rPr>
      <w:i/>
    </w:rPr>
  </w:style>
  <w:style w:type="paragraph" w:customStyle="1" w:styleId="Rec">
    <w:name w:val="Rec_#"/>
    <w:basedOn w:val="Normal"/>
    <w:next w:val="RecTitle"/>
    <w:rsid w:val="008B267D"/>
    <w:pPr>
      <w:keepNext/>
      <w:keepLines/>
      <w:spacing w:before="480"/>
      <w:jc w:val="center"/>
    </w:pPr>
    <w:rPr>
      <w:caps/>
    </w:rPr>
  </w:style>
  <w:style w:type="paragraph" w:customStyle="1" w:styleId="toc0">
    <w:name w:val="toc 0"/>
    <w:basedOn w:val="Normal"/>
    <w:next w:val="TOC1"/>
    <w:rsid w:val="008B267D"/>
    <w:pPr>
      <w:tabs>
        <w:tab w:val="clear" w:pos="794"/>
        <w:tab w:val="clear" w:pos="1191"/>
        <w:tab w:val="clear" w:pos="1588"/>
        <w:tab w:val="clear" w:pos="1985"/>
        <w:tab w:val="right" w:pos="9781"/>
      </w:tabs>
    </w:pPr>
    <w:rPr>
      <w:b/>
    </w:rPr>
  </w:style>
  <w:style w:type="paragraph" w:styleId="List">
    <w:name w:val="List"/>
    <w:basedOn w:val="Normal"/>
    <w:rsid w:val="008B267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8B267D"/>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8B267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8B267D"/>
    <w:pPr>
      <w:tabs>
        <w:tab w:val="clear" w:pos="794"/>
        <w:tab w:val="clear" w:pos="1191"/>
        <w:tab w:val="clear" w:pos="1588"/>
        <w:tab w:val="clear" w:pos="1985"/>
        <w:tab w:val="left" w:pos="4820"/>
        <w:tab w:val="left" w:pos="5529"/>
      </w:tabs>
      <w:ind w:left="794"/>
    </w:pPr>
  </w:style>
  <w:style w:type="character" w:styleId="Hyperlink">
    <w:name w:val="Hyperlink"/>
    <w:rsid w:val="008B267D"/>
    <w:rPr>
      <w:color w:val="0000FF"/>
      <w:u w:val="single"/>
    </w:rPr>
  </w:style>
  <w:style w:type="paragraph" w:customStyle="1" w:styleId="Keywords">
    <w:name w:val="Keywords"/>
    <w:basedOn w:val="Normal"/>
    <w:rsid w:val="008B267D"/>
    <w:pPr>
      <w:tabs>
        <w:tab w:val="clear" w:pos="1191"/>
        <w:tab w:val="clear" w:pos="1588"/>
      </w:tabs>
      <w:ind w:left="794" w:hanging="794"/>
    </w:pPr>
  </w:style>
  <w:style w:type="paragraph" w:styleId="BodyText">
    <w:name w:val="Body Text"/>
    <w:basedOn w:val="Normal"/>
    <w:link w:val="BodyTextChar"/>
    <w:rsid w:val="008B267D"/>
    <w:pPr>
      <w:spacing w:after="120"/>
    </w:pPr>
  </w:style>
  <w:style w:type="paragraph" w:customStyle="1" w:styleId="EquationLegend">
    <w:name w:val="Equation_Legend"/>
    <w:basedOn w:val="Normal"/>
    <w:rsid w:val="008B267D"/>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8B267D"/>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8B267D"/>
    <w:pPr>
      <w:tabs>
        <w:tab w:val="left" w:pos="7371"/>
      </w:tabs>
      <w:spacing w:after="560"/>
    </w:pPr>
  </w:style>
  <w:style w:type="paragraph" w:customStyle="1" w:styleId="ASN1">
    <w:name w:val="ASN.1"/>
    <w:basedOn w:val="Normal"/>
    <w:rsid w:val="008B267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8B267D"/>
    <w:pPr>
      <w:tabs>
        <w:tab w:val="clear" w:pos="5954"/>
        <w:tab w:val="clear" w:pos="9639"/>
      </w:tabs>
    </w:pPr>
    <w:rPr>
      <w:caps w:val="0"/>
    </w:rPr>
  </w:style>
  <w:style w:type="paragraph" w:customStyle="1" w:styleId="Note">
    <w:name w:val="Note"/>
    <w:basedOn w:val="Normal"/>
    <w:rsid w:val="008B267D"/>
    <w:pPr>
      <w:tabs>
        <w:tab w:val="left" w:pos="397"/>
      </w:tabs>
    </w:pPr>
  </w:style>
  <w:style w:type="paragraph" w:styleId="TOC9">
    <w:name w:val="toc 9"/>
    <w:basedOn w:val="TOC3"/>
    <w:semiHidden/>
    <w:rsid w:val="008B267D"/>
  </w:style>
  <w:style w:type="paragraph" w:customStyle="1" w:styleId="headingb">
    <w:name w:val="heading_b"/>
    <w:basedOn w:val="Heading3"/>
    <w:next w:val="Normal"/>
    <w:rsid w:val="008B267D"/>
    <w:pPr>
      <w:spacing w:before="160"/>
      <w:ind w:left="0" w:firstLine="0"/>
      <w:outlineLvl w:val="9"/>
    </w:pPr>
  </w:style>
  <w:style w:type="paragraph" w:customStyle="1" w:styleId="headingi">
    <w:name w:val="heading_i"/>
    <w:basedOn w:val="Heading3"/>
    <w:next w:val="Normal"/>
    <w:rsid w:val="008B267D"/>
    <w:pPr>
      <w:spacing w:before="160"/>
      <w:ind w:left="0" w:firstLine="0"/>
      <w:outlineLvl w:val="9"/>
    </w:pPr>
    <w:rPr>
      <w:b w:val="0"/>
      <w:i/>
    </w:rPr>
  </w:style>
  <w:style w:type="character" w:styleId="PageNumber">
    <w:name w:val="page number"/>
    <w:basedOn w:val="DefaultParagraphFont"/>
    <w:rsid w:val="008B267D"/>
  </w:style>
  <w:style w:type="paragraph" w:customStyle="1" w:styleId="Style1">
    <w:name w:val="Style1"/>
    <w:basedOn w:val="Normal"/>
    <w:next w:val="Index1"/>
    <w:rsid w:val="008B267D"/>
    <w:pPr>
      <w:numPr>
        <w:numId w:val="1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8B267D"/>
    <w:rPr>
      <w:rFonts w:ascii="Times New Roman" w:hAnsi="Times New Roman"/>
      <w:sz w:val="22"/>
      <w:lang w:val="fr-FR" w:eastAsia="en-US"/>
    </w:rPr>
  </w:style>
  <w:style w:type="paragraph" w:customStyle="1" w:styleId="ITUintr">
    <w:name w:val="ITU_intr"/>
    <w:basedOn w:val="Normal"/>
    <w:next w:val="Normal"/>
    <w:rsid w:val="008B267D"/>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8B267D"/>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8B267D"/>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8B267D"/>
    <w:rPr>
      <w:rFonts w:ascii="Times New Roman" w:hAnsi="Times New Roman"/>
      <w:caps/>
      <w:sz w:val="18"/>
      <w:lang w:val="fr-FR"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
    <w:link w:val="ListParagraph"/>
    <w:uiPriority w:val="34"/>
    <w:locked/>
    <w:rsid w:val="00286914"/>
    <w:rPr>
      <w:rFonts w:ascii="Calibri" w:eastAsia="MS Mincho" w:hAnsi="Calibri" w:cs="Arial"/>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286914"/>
    <w:pPr>
      <w:tabs>
        <w:tab w:val="clear" w:pos="794"/>
        <w:tab w:val="clear" w:pos="1191"/>
        <w:tab w:val="clear" w:pos="1588"/>
        <w:tab w:val="clear" w:pos="1985"/>
      </w:tabs>
      <w:overflowPunct/>
      <w:autoSpaceDE/>
      <w:autoSpaceDN/>
      <w:adjustRightInd/>
      <w:spacing w:before="0" w:after="200" w:line="276" w:lineRule="auto"/>
      <w:ind w:left="720"/>
      <w:contextualSpacing/>
      <w:jc w:val="both"/>
      <w:textAlignment w:val="auto"/>
    </w:pPr>
    <w:rPr>
      <w:rFonts w:eastAsia="MS Mincho" w:cs="Arial"/>
      <w:sz w:val="20"/>
      <w:lang w:val="en-US" w:eastAsia="zh-CN"/>
    </w:rPr>
  </w:style>
  <w:style w:type="paragraph" w:customStyle="1" w:styleId="Reasons">
    <w:name w:val="Reasons"/>
    <w:basedOn w:val="Normal"/>
    <w:qFormat/>
    <w:rsid w:val="00286914"/>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8314F5"/>
    <w:rPr>
      <w:color w:val="800080" w:themeColor="followedHyperlink"/>
      <w:u w:val="single"/>
    </w:rPr>
  </w:style>
  <w:style w:type="table" w:styleId="TableGrid">
    <w:name w:val="Table Grid"/>
    <w:basedOn w:val="TableNormal"/>
    <w:rsid w:val="00A9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445243"/>
    <w:rPr>
      <w:rFonts w:ascii="Calibri" w:hAnsi="Calibri"/>
      <w:sz w:val="24"/>
      <w:lang w:val="fr-FR" w:eastAsia="en-US"/>
    </w:rPr>
  </w:style>
  <w:style w:type="paragraph" w:styleId="BodyText2">
    <w:name w:val="Body Text 2"/>
    <w:basedOn w:val="Normal"/>
    <w:link w:val="BodyText2Char"/>
    <w:semiHidden/>
    <w:unhideWhenUsed/>
    <w:rsid w:val="00C15FBD"/>
    <w:pPr>
      <w:spacing w:after="120" w:line="480" w:lineRule="auto"/>
    </w:pPr>
  </w:style>
  <w:style w:type="character" w:customStyle="1" w:styleId="BodyText2Char">
    <w:name w:val="Body Text 2 Char"/>
    <w:basedOn w:val="DefaultParagraphFont"/>
    <w:link w:val="BodyText2"/>
    <w:semiHidden/>
    <w:rsid w:val="00C15FBD"/>
    <w:rPr>
      <w:rFonts w:ascii="Calibri" w:hAnsi="Calibri"/>
      <w:sz w:val="24"/>
      <w:lang w:val="fr-FR" w:eastAsia="en-US"/>
    </w:rPr>
  </w:style>
  <w:style w:type="paragraph" w:styleId="PlainText">
    <w:name w:val="Plain Text"/>
    <w:basedOn w:val="Normal"/>
    <w:link w:val="PlainTextChar"/>
    <w:uiPriority w:val="99"/>
    <w:unhideWhenUsed/>
    <w:rsid w:val="00E54FEF"/>
    <w:pPr>
      <w:tabs>
        <w:tab w:val="clear" w:pos="794"/>
        <w:tab w:val="clear" w:pos="1191"/>
        <w:tab w:val="clear" w:pos="1588"/>
        <w:tab w:val="clear" w:pos="1985"/>
      </w:tabs>
      <w:overflowPunct/>
      <w:autoSpaceDE/>
      <w:autoSpaceDN/>
      <w:adjustRightInd/>
      <w:spacing w:before="0"/>
      <w:textAlignment w:val="auto"/>
    </w:pPr>
    <w:rPr>
      <w:rFonts w:eastAsia="Calibri" w:cs="Arial"/>
      <w:sz w:val="22"/>
      <w:szCs w:val="21"/>
      <w:lang w:val="en-US"/>
    </w:rPr>
  </w:style>
  <w:style w:type="character" w:customStyle="1" w:styleId="PlainTextChar">
    <w:name w:val="Plain Text Char"/>
    <w:basedOn w:val="DefaultParagraphFont"/>
    <w:link w:val="PlainText"/>
    <w:uiPriority w:val="99"/>
    <w:rsid w:val="00E54FEF"/>
    <w:rPr>
      <w:rFonts w:ascii="Calibri" w:eastAsia="Calibri" w:hAnsi="Calibri" w:cs="Arial"/>
      <w:sz w:val="22"/>
      <w:szCs w:val="21"/>
      <w:lang w:eastAsia="en-US"/>
    </w:rPr>
  </w:style>
  <w:style w:type="character" w:customStyle="1" w:styleId="BodyTextChar">
    <w:name w:val="Body Text Char"/>
    <w:basedOn w:val="DefaultParagraphFont"/>
    <w:link w:val="BodyText"/>
    <w:rsid w:val="00CA71F2"/>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1107">
      <w:bodyDiv w:val="1"/>
      <w:marLeft w:val="0"/>
      <w:marRight w:val="0"/>
      <w:marTop w:val="0"/>
      <w:marBottom w:val="0"/>
      <w:divBdr>
        <w:top w:val="none" w:sz="0" w:space="0" w:color="auto"/>
        <w:left w:val="none" w:sz="0" w:space="0" w:color="auto"/>
        <w:bottom w:val="none" w:sz="0" w:space="0" w:color="auto"/>
        <w:right w:val="none" w:sz="0" w:space="0" w:color="auto"/>
      </w:divBdr>
    </w:div>
    <w:div w:id="421951560">
      <w:bodyDiv w:val="1"/>
      <w:marLeft w:val="0"/>
      <w:marRight w:val="0"/>
      <w:marTop w:val="0"/>
      <w:marBottom w:val="0"/>
      <w:divBdr>
        <w:top w:val="none" w:sz="0" w:space="0" w:color="auto"/>
        <w:left w:val="none" w:sz="0" w:space="0" w:color="auto"/>
        <w:bottom w:val="none" w:sz="0" w:space="0" w:color="auto"/>
        <w:right w:val="none" w:sz="0" w:space="0" w:color="auto"/>
      </w:divBdr>
    </w:div>
    <w:div w:id="438373104">
      <w:bodyDiv w:val="1"/>
      <w:marLeft w:val="0"/>
      <w:marRight w:val="0"/>
      <w:marTop w:val="0"/>
      <w:marBottom w:val="0"/>
      <w:divBdr>
        <w:top w:val="none" w:sz="0" w:space="0" w:color="auto"/>
        <w:left w:val="none" w:sz="0" w:space="0" w:color="auto"/>
        <w:bottom w:val="none" w:sz="0" w:space="0" w:color="auto"/>
        <w:right w:val="none" w:sz="0" w:space="0" w:color="auto"/>
      </w:divBdr>
    </w:div>
    <w:div w:id="538861115">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747046116">
      <w:bodyDiv w:val="1"/>
      <w:marLeft w:val="0"/>
      <w:marRight w:val="0"/>
      <w:marTop w:val="0"/>
      <w:marBottom w:val="0"/>
      <w:divBdr>
        <w:top w:val="none" w:sz="0" w:space="0" w:color="auto"/>
        <w:left w:val="none" w:sz="0" w:space="0" w:color="auto"/>
        <w:bottom w:val="none" w:sz="0" w:space="0" w:color="auto"/>
        <w:right w:val="none" w:sz="0" w:space="0" w:color="auto"/>
      </w:divBdr>
    </w:div>
    <w:div w:id="995232015">
      <w:bodyDiv w:val="1"/>
      <w:marLeft w:val="0"/>
      <w:marRight w:val="0"/>
      <w:marTop w:val="0"/>
      <w:marBottom w:val="0"/>
      <w:divBdr>
        <w:top w:val="none" w:sz="0" w:space="0" w:color="auto"/>
        <w:left w:val="none" w:sz="0" w:space="0" w:color="auto"/>
        <w:bottom w:val="none" w:sz="0" w:space="0" w:color="auto"/>
        <w:right w:val="none" w:sz="0" w:space="0" w:color="auto"/>
      </w:divBdr>
    </w:div>
    <w:div w:id="1000426922">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 w:id="1238779899">
      <w:bodyDiv w:val="1"/>
      <w:marLeft w:val="0"/>
      <w:marRight w:val="0"/>
      <w:marTop w:val="0"/>
      <w:marBottom w:val="0"/>
      <w:divBdr>
        <w:top w:val="none" w:sz="0" w:space="0" w:color="auto"/>
        <w:left w:val="none" w:sz="0" w:space="0" w:color="auto"/>
        <w:bottom w:val="none" w:sz="0" w:space="0" w:color="auto"/>
        <w:right w:val="none" w:sz="0" w:space="0" w:color="auto"/>
      </w:divBdr>
    </w:div>
    <w:div w:id="1355809036">
      <w:bodyDiv w:val="1"/>
      <w:marLeft w:val="0"/>
      <w:marRight w:val="0"/>
      <w:marTop w:val="0"/>
      <w:marBottom w:val="0"/>
      <w:divBdr>
        <w:top w:val="none" w:sz="0" w:space="0" w:color="auto"/>
        <w:left w:val="none" w:sz="0" w:space="0" w:color="auto"/>
        <w:bottom w:val="none" w:sz="0" w:space="0" w:color="auto"/>
        <w:right w:val="none" w:sz="0" w:space="0" w:color="auto"/>
      </w:divBdr>
    </w:div>
    <w:div w:id="1520312727">
      <w:bodyDiv w:val="1"/>
      <w:marLeft w:val="0"/>
      <w:marRight w:val="0"/>
      <w:marTop w:val="0"/>
      <w:marBottom w:val="0"/>
      <w:divBdr>
        <w:top w:val="none" w:sz="0" w:space="0" w:color="auto"/>
        <w:left w:val="none" w:sz="0" w:space="0" w:color="auto"/>
        <w:bottom w:val="none" w:sz="0" w:space="0" w:color="auto"/>
        <w:right w:val="none" w:sz="0" w:space="0" w:color="auto"/>
      </w:divBdr>
    </w:div>
    <w:div w:id="1521508062">
      <w:bodyDiv w:val="1"/>
      <w:marLeft w:val="0"/>
      <w:marRight w:val="0"/>
      <w:marTop w:val="0"/>
      <w:marBottom w:val="0"/>
      <w:divBdr>
        <w:top w:val="none" w:sz="0" w:space="0" w:color="auto"/>
        <w:left w:val="none" w:sz="0" w:space="0" w:color="auto"/>
        <w:bottom w:val="none" w:sz="0" w:space="0" w:color="auto"/>
        <w:right w:val="none" w:sz="0" w:space="0" w:color="auto"/>
      </w:divBdr>
    </w:div>
    <w:div w:id="1717316787">
      <w:bodyDiv w:val="1"/>
      <w:marLeft w:val="0"/>
      <w:marRight w:val="0"/>
      <w:marTop w:val="0"/>
      <w:marBottom w:val="0"/>
      <w:divBdr>
        <w:top w:val="none" w:sz="0" w:space="0" w:color="auto"/>
        <w:left w:val="none" w:sz="0" w:space="0" w:color="auto"/>
        <w:bottom w:val="none" w:sz="0" w:space="0" w:color="auto"/>
        <w:right w:val="none" w:sz="0" w:space="0" w:color="auto"/>
      </w:divBdr>
    </w:div>
    <w:div w:id="2042709426">
      <w:bodyDiv w:val="1"/>
      <w:marLeft w:val="0"/>
      <w:marRight w:val="0"/>
      <w:marTop w:val="0"/>
      <w:marBottom w:val="0"/>
      <w:divBdr>
        <w:top w:val="none" w:sz="0" w:space="0" w:color="auto"/>
        <w:left w:val="none" w:sz="0" w:space="0" w:color="auto"/>
        <w:bottom w:val="none" w:sz="0" w:space="0" w:color="auto"/>
        <w:right w:val="none" w:sz="0" w:space="0" w:color="auto"/>
      </w:divBdr>
    </w:div>
    <w:div w:id="2145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fgnet2030@itu.int" TargetMode="External"/><Relationship Id="rId18" Type="http://schemas.openxmlformats.org/officeDocument/2006/relationships/hyperlink" Target="https://www.itu.int/en/ITU-T/focusgroups/net2030/Pages/defaul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sbfgnet2030@itu.int" TargetMode="External"/><Relationship Id="rId7" Type="http://schemas.openxmlformats.org/officeDocument/2006/relationships/endnotes" Target="endnotes.xml"/><Relationship Id="rId12" Type="http://schemas.openxmlformats.org/officeDocument/2006/relationships/hyperlink" Target="http://www.itu.int/rec/T-REC-A.7" TargetMode="External"/><Relationship Id="rId17" Type="http://schemas.openxmlformats.org/officeDocument/2006/relationships/hyperlink" Target="https://www.itu.int/en/ITU-T/focusgroups/net2030/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focusgroups/net2030/Pages/default.aspx" TargetMode="External"/><Relationship Id="rId20" Type="http://schemas.openxmlformats.org/officeDocument/2006/relationships/hyperlink" Target="https://www.itu.int/en/ITU-T/focusgroups/net2030/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focusgroups/net203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focusgroups/net2030/Pages/default.aspx" TargetMode="External"/><Relationship Id="rId23" Type="http://schemas.openxmlformats.org/officeDocument/2006/relationships/header" Target="header1.xml"/><Relationship Id="rId10" Type="http://schemas.openxmlformats.org/officeDocument/2006/relationships/hyperlink" Target="https://www.itu.int/en/ITU-T/focusgroups/net2030/Pages/default.aspx" TargetMode="External"/><Relationship Id="rId19" Type="http://schemas.openxmlformats.org/officeDocument/2006/relationships/hyperlink" Target="https://www.itu.int/en/ITU-T/focusgroups/net2030/Pages/default.aspx" TargetMode="External"/><Relationship Id="rId4" Type="http://schemas.openxmlformats.org/officeDocument/2006/relationships/settings" Target="settings.xml"/><Relationship Id="rId9" Type="http://schemas.openxmlformats.org/officeDocument/2006/relationships/hyperlink" Target="mailto:tsbfgnet2030@itu.int" TargetMode="External"/><Relationship Id="rId14" Type="http://schemas.openxmlformats.org/officeDocument/2006/relationships/hyperlink" Target="mailto:tsbfgnet2030@itu.int" TargetMode="External"/><Relationship Id="rId22" Type="http://schemas.openxmlformats.org/officeDocument/2006/relationships/hyperlink" Target="mailto:yongliu@ny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78F8-226A-4937-B934-7290FB82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86</TotalTime>
  <Pages>8</Pages>
  <Words>2499</Words>
  <Characters>15014</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17479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Gozel, Elsa</dc:creator>
  <cp:keywords/>
  <dc:description/>
  <cp:lastModifiedBy>Osvath, Alexandra</cp:lastModifiedBy>
  <cp:revision>10</cp:revision>
  <cp:lastPrinted>2018-08-13T07:49:00Z</cp:lastPrinted>
  <dcterms:created xsi:type="dcterms:W3CDTF">2018-08-03T08:28:00Z</dcterms:created>
  <dcterms:modified xsi:type="dcterms:W3CDTF">2018-08-13T07:49:00Z</dcterms:modified>
</cp:coreProperties>
</file>