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884D12" w:rsidRPr="001E38BB" w:rsidTr="00B80E33">
        <w:trPr>
          <w:cantSplit/>
        </w:trPr>
        <w:tc>
          <w:tcPr>
            <w:tcW w:w="1418" w:type="dxa"/>
            <w:vAlign w:val="center"/>
          </w:tcPr>
          <w:p w:rsidR="00884D12" w:rsidRPr="001E38BB" w:rsidRDefault="00884D12" w:rsidP="00701574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1E38BB">
              <w:rPr>
                <w:noProof/>
                <w:lang w:val="en-US" w:eastAsia="zh-CN"/>
              </w:rPr>
              <w:drawing>
                <wp:inline distT="0" distB="0" distL="0" distR="0" wp14:anchorId="7A27801D" wp14:editId="586ADF41">
                  <wp:extent cx="717701" cy="799465"/>
                  <wp:effectExtent l="0" t="0" r="6350" b="635"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:rsidR="00884D12" w:rsidRPr="001E38BB" w:rsidRDefault="00884D12" w:rsidP="00701574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1E38BB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:rsidR="00884D12" w:rsidRPr="001E38BB" w:rsidRDefault="00884D12" w:rsidP="00701574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1E38B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Oficina de Normalización de las Telecomunicaciones</w:t>
            </w:r>
          </w:p>
        </w:tc>
        <w:tc>
          <w:tcPr>
            <w:tcW w:w="1984" w:type="dxa"/>
            <w:vAlign w:val="center"/>
          </w:tcPr>
          <w:p w:rsidR="00884D12" w:rsidRPr="001E38BB" w:rsidRDefault="00884D12" w:rsidP="00701574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</w:tbl>
    <w:p w:rsidR="00C34772" w:rsidRPr="001E38BB" w:rsidRDefault="00C34772" w:rsidP="00701574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</w:p>
    <w:p w:rsidR="00C34772" w:rsidRPr="001E38BB" w:rsidRDefault="00C34772" w:rsidP="0092291C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 w:rsidRPr="001E38BB">
        <w:tab/>
        <w:t xml:space="preserve">Ginebra, </w:t>
      </w:r>
      <w:r w:rsidR="0092291C">
        <w:t>6</w:t>
      </w:r>
      <w:r w:rsidR="007D4290" w:rsidRPr="001E38BB">
        <w:t xml:space="preserve"> de </w:t>
      </w:r>
      <w:r w:rsidR="0092291C">
        <w:t>junio</w:t>
      </w:r>
      <w:r w:rsidR="0094637C" w:rsidRPr="001E38BB">
        <w:t xml:space="preserve"> de 201</w:t>
      </w:r>
      <w:r w:rsidR="00E52775" w:rsidRPr="001E38BB">
        <w:t>8</w:t>
      </w:r>
    </w:p>
    <w:p w:rsidR="00C34772" w:rsidRPr="001E38BB" w:rsidRDefault="00C34772" w:rsidP="00701574">
      <w:pPr>
        <w:spacing w:before="0"/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2"/>
        <w:gridCol w:w="3695"/>
        <w:gridCol w:w="5329"/>
      </w:tblGrid>
      <w:tr w:rsidR="00CC5ACE" w:rsidRPr="001E38BB" w:rsidTr="008A5CFA">
        <w:trPr>
          <w:cantSplit/>
          <w:trHeight w:val="340"/>
        </w:trPr>
        <w:tc>
          <w:tcPr>
            <w:tcW w:w="1182" w:type="dxa"/>
          </w:tcPr>
          <w:p w:rsidR="00CC5ACE" w:rsidRPr="001E38BB" w:rsidRDefault="00CC5ACE" w:rsidP="003B7220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1E38BB">
              <w:rPr>
                <w:szCs w:val="24"/>
              </w:rPr>
              <w:t>Ref.:</w:t>
            </w:r>
          </w:p>
        </w:tc>
        <w:tc>
          <w:tcPr>
            <w:tcW w:w="3695" w:type="dxa"/>
          </w:tcPr>
          <w:p w:rsidR="00CC5ACE" w:rsidRPr="009B3C3E" w:rsidRDefault="00CC5ACE" w:rsidP="0092291C">
            <w:pPr>
              <w:tabs>
                <w:tab w:val="left" w:pos="4111"/>
              </w:tabs>
              <w:spacing w:before="0"/>
              <w:ind w:left="57"/>
              <w:rPr>
                <w:b/>
                <w:lang w:val="en-GB"/>
              </w:rPr>
            </w:pPr>
            <w:r w:rsidRPr="009B3C3E">
              <w:rPr>
                <w:b/>
                <w:lang w:val="en-GB"/>
              </w:rPr>
              <w:t xml:space="preserve">Circular TSB </w:t>
            </w:r>
            <w:r w:rsidR="0092291C">
              <w:rPr>
                <w:b/>
                <w:lang w:val="en-GB"/>
              </w:rPr>
              <w:t>96</w:t>
            </w:r>
          </w:p>
          <w:p w:rsidR="00CC5ACE" w:rsidRPr="009B3C3E" w:rsidRDefault="00A60338" w:rsidP="00807BDC">
            <w:pPr>
              <w:tabs>
                <w:tab w:val="left" w:pos="4111"/>
              </w:tabs>
              <w:spacing w:before="0"/>
              <w:ind w:left="57"/>
              <w:rPr>
                <w:b/>
                <w:lang w:val="en-GB"/>
              </w:rPr>
            </w:pPr>
            <w:r w:rsidRPr="009B3C3E">
              <w:rPr>
                <w:szCs w:val="24"/>
                <w:lang w:val="en-GB"/>
              </w:rPr>
              <w:t>TSB Events/CB</w:t>
            </w:r>
          </w:p>
        </w:tc>
        <w:tc>
          <w:tcPr>
            <w:tcW w:w="5329" w:type="dxa"/>
            <w:vMerge w:val="restart"/>
          </w:tcPr>
          <w:p w:rsidR="00066573" w:rsidRPr="001E38BB" w:rsidRDefault="00066573" w:rsidP="0006657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0" w:name="Addressee_S"/>
            <w:bookmarkEnd w:id="0"/>
            <w:r w:rsidRPr="001E38BB">
              <w:t>–</w:t>
            </w:r>
            <w:r w:rsidRPr="001E38BB">
              <w:tab/>
              <w:t xml:space="preserve">A las Administraciones de los Estados Miembros </w:t>
            </w:r>
            <w:r w:rsidRPr="001E38BB">
              <w:br/>
              <w:t>de la Unión;</w:t>
            </w:r>
          </w:p>
          <w:p w:rsidR="00066573" w:rsidRPr="001E38BB" w:rsidRDefault="00066573" w:rsidP="0006657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1E38BB">
              <w:t>–</w:t>
            </w:r>
            <w:r w:rsidRPr="001E38BB">
              <w:tab/>
              <w:t>A los Miembros de Sector del UIT-T;</w:t>
            </w:r>
          </w:p>
          <w:p w:rsidR="00066573" w:rsidRPr="001E38BB" w:rsidRDefault="00066573" w:rsidP="0006657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1E38BB">
              <w:t>–</w:t>
            </w:r>
            <w:r w:rsidRPr="001E38BB">
              <w:tab/>
              <w:t>A los Asociados del UIT-T;</w:t>
            </w:r>
          </w:p>
          <w:p w:rsidR="002836A3" w:rsidRPr="001E38BB" w:rsidRDefault="00066573" w:rsidP="0006657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</w:pPr>
            <w:r w:rsidRPr="001E38BB">
              <w:t>–</w:t>
            </w:r>
            <w:r w:rsidRPr="001E38BB">
              <w:tab/>
              <w:t>A las Instituciones Académicas de la UIT</w:t>
            </w:r>
          </w:p>
        </w:tc>
      </w:tr>
      <w:tr w:rsidR="003843A9" w:rsidRPr="001E38BB" w:rsidTr="008A5CFA">
        <w:trPr>
          <w:cantSplit/>
          <w:trHeight w:val="340"/>
        </w:trPr>
        <w:tc>
          <w:tcPr>
            <w:tcW w:w="1182" w:type="dxa"/>
          </w:tcPr>
          <w:p w:rsidR="003843A9" w:rsidRPr="001E38BB" w:rsidRDefault="003843A9" w:rsidP="003843A9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1E38BB">
              <w:rPr>
                <w:szCs w:val="24"/>
              </w:rPr>
              <w:t>Contacto:</w:t>
            </w:r>
          </w:p>
        </w:tc>
        <w:tc>
          <w:tcPr>
            <w:tcW w:w="3695" w:type="dxa"/>
          </w:tcPr>
          <w:p w:rsidR="003843A9" w:rsidRPr="001E38BB" w:rsidRDefault="003843A9" w:rsidP="003843A9">
            <w:pPr>
              <w:tabs>
                <w:tab w:val="left" w:pos="4111"/>
              </w:tabs>
              <w:spacing w:before="40" w:after="40"/>
              <w:ind w:left="57"/>
              <w:rPr>
                <w:b/>
                <w:szCs w:val="24"/>
              </w:rPr>
            </w:pPr>
            <w:r w:rsidRPr="001E38BB">
              <w:rPr>
                <w:b/>
                <w:bCs/>
                <w:szCs w:val="24"/>
              </w:rPr>
              <w:t>Cristina BUETI</w:t>
            </w:r>
          </w:p>
        </w:tc>
        <w:tc>
          <w:tcPr>
            <w:tcW w:w="5329" w:type="dxa"/>
            <w:vMerge/>
          </w:tcPr>
          <w:p w:rsidR="003843A9" w:rsidRPr="001E38BB" w:rsidRDefault="003843A9" w:rsidP="003843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CC5ACE" w:rsidRPr="001E38BB" w:rsidTr="008A5CFA">
        <w:trPr>
          <w:cantSplit/>
          <w:trHeight w:val="340"/>
        </w:trPr>
        <w:tc>
          <w:tcPr>
            <w:tcW w:w="1182" w:type="dxa"/>
          </w:tcPr>
          <w:p w:rsidR="00CC5ACE" w:rsidRPr="001E38BB" w:rsidRDefault="00CC5ACE" w:rsidP="003B7220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1E38BB">
              <w:rPr>
                <w:szCs w:val="24"/>
              </w:rPr>
              <w:t>Tel.:</w:t>
            </w:r>
          </w:p>
        </w:tc>
        <w:tc>
          <w:tcPr>
            <w:tcW w:w="3695" w:type="dxa"/>
          </w:tcPr>
          <w:p w:rsidR="00CC5ACE" w:rsidRPr="001E38BB" w:rsidRDefault="00CC5ACE" w:rsidP="003B7220">
            <w:pPr>
              <w:tabs>
                <w:tab w:val="left" w:pos="4111"/>
              </w:tabs>
              <w:spacing w:before="40" w:after="40"/>
              <w:ind w:left="57"/>
              <w:rPr>
                <w:b/>
              </w:rPr>
            </w:pPr>
            <w:r w:rsidRPr="001E38BB">
              <w:t>+</w:t>
            </w:r>
            <w:r w:rsidR="002436DA" w:rsidRPr="001E38BB">
              <w:t>41 22 730 6320</w:t>
            </w:r>
          </w:p>
        </w:tc>
        <w:tc>
          <w:tcPr>
            <w:tcW w:w="5329" w:type="dxa"/>
            <w:vMerge/>
          </w:tcPr>
          <w:p w:rsidR="00CC5ACE" w:rsidRPr="001E38BB" w:rsidRDefault="00CC5ACE" w:rsidP="0070157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CC5ACE" w:rsidRPr="001E38BB" w:rsidTr="008A5CFA">
        <w:trPr>
          <w:cantSplit/>
          <w:trHeight w:val="340"/>
        </w:trPr>
        <w:tc>
          <w:tcPr>
            <w:tcW w:w="1182" w:type="dxa"/>
          </w:tcPr>
          <w:p w:rsidR="00CC5ACE" w:rsidRPr="001E38BB" w:rsidRDefault="00CC5ACE" w:rsidP="003B7220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1E38BB">
              <w:rPr>
                <w:szCs w:val="24"/>
              </w:rPr>
              <w:t>Fax:</w:t>
            </w:r>
          </w:p>
        </w:tc>
        <w:tc>
          <w:tcPr>
            <w:tcW w:w="3695" w:type="dxa"/>
          </w:tcPr>
          <w:p w:rsidR="00CC5ACE" w:rsidRPr="001E38BB" w:rsidRDefault="00CC5ACE" w:rsidP="003B7220">
            <w:pPr>
              <w:tabs>
                <w:tab w:val="left" w:pos="4111"/>
              </w:tabs>
              <w:spacing w:before="40" w:after="40"/>
              <w:ind w:left="57"/>
              <w:rPr>
                <w:b/>
              </w:rPr>
            </w:pPr>
            <w:r w:rsidRPr="001E38BB">
              <w:t>+41 22 730 5853</w:t>
            </w:r>
          </w:p>
        </w:tc>
        <w:tc>
          <w:tcPr>
            <w:tcW w:w="5329" w:type="dxa"/>
            <w:vMerge/>
          </w:tcPr>
          <w:p w:rsidR="00CC5ACE" w:rsidRPr="001E38BB" w:rsidRDefault="00CC5ACE" w:rsidP="0070157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C34772" w:rsidRPr="001E38BB" w:rsidTr="008A5CFA">
        <w:trPr>
          <w:cantSplit/>
        </w:trPr>
        <w:tc>
          <w:tcPr>
            <w:tcW w:w="1182" w:type="dxa"/>
          </w:tcPr>
          <w:p w:rsidR="00C34772" w:rsidRPr="001E38BB" w:rsidRDefault="00C34772" w:rsidP="003B7220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1E38BB">
              <w:rPr>
                <w:szCs w:val="24"/>
              </w:rPr>
              <w:t>Correo-e:</w:t>
            </w:r>
          </w:p>
        </w:tc>
        <w:tc>
          <w:tcPr>
            <w:tcW w:w="3695" w:type="dxa"/>
          </w:tcPr>
          <w:p w:rsidR="00C34772" w:rsidRPr="001E38BB" w:rsidRDefault="001A77C3" w:rsidP="0092291C">
            <w:pPr>
              <w:tabs>
                <w:tab w:val="left" w:pos="4111"/>
              </w:tabs>
              <w:spacing w:before="40" w:after="40"/>
              <w:ind w:left="57"/>
            </w:pPr>
            <w:hyperlink r:id="rId9" w:history="1">
              <w:r w:rsidR="0092291C" w:rsidRPr="009C0BEB">
                <w:rPr>
                  <w:rStyle w:val="Hyperlink"/>
                  <w:szCs w:val="22"/>
                </w:rPr>
                <w:t>u4ssc@itu.int</w:t>
              </w:r>
            </w:hyperlink>
          </w:p>
        </w:tc>
        <w:tc>
          <w:tcPr>
            <w:tcW w:w="5329" w:type="dxa"/>
          </w:tcPr>
          <w:p w:rsidR="00C34772" w:rsidRPr="001E38BB" w:rsidRDefault="00C34772" w:rsidP="003B7220">
            <w:pPr>
              <w:tabs>
                <w:tab w:val="left" w:pos="4111"/>
              </w:tabs>
              <w:spacing w:before="40" w:after="40"/>
              <w:ind w:left="57"/>
            </w:pPr>
            <w:r w:rsidRPr="001E38BB">
              <w:rPr>
                <w:b/>
              </w:rPr>
              <w:t>Copia</w:t>
            </w:r>
            <w:r w:rsidRPr="001E38BB">
              <w:t>:</w:t>
            </w:r>
          </w:p>
          <w:p w:rsidR="00066573" w:rsidRPr="001E38BB" w:rsidRDefault="00066573" w:rsidP="0006657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1E38BB">
              <w:t>–</w:t>
            </w:r>
            <w:r w:rsidRPr="001E38BB">
              <w:tab/>
              <w:t>A los Presidentes y Vicepresidentes de las Comisiones de Estudio del UIT-T;</w:t>
            </w:r>
          </w:p>
          <w:p w:rsidR="00066573" w:rsidRPr="001E38BB" w:rsidRDefault="00066573" w:rsidP="0006657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1E38BB">
              <w:t>–</w:t>
            </w:r>
            <w:r w:rsidRPr="001E38BB">
              <w:tab/>
              <w:t>Al Director de la Oficina de Desarrollo de las Telecomunicaciones;</w:t>
            </w:r>
          </w:p>
          <w:p w:rsidR="00E52775" w:rsidRPr="001E38BB" w:rsidRDefault="00066573" w:rsidP="00A603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</w:pPr>
            <w:r w:rsidRPr="001E38BB">
              <w:t>–</w:t>
            </w:r>
            <w:r w:rsidRPr="001E38BB">
              <w:tab/>
              <w:t>Al Director de la Oficina de Radiocomunicaciones</w:t>
            </w:r>
          </w:p>
        </w:tc>
      </w:tr>
      <w:tr w:rsidR="00CC5ACE" w:rsidRPr="001E38BB" w:rsidTr="00B80E33">
        <w:trPr>
          <w:cantSplit/>
        </w:trPr>
        <w:tc>
          <w:tcPr>
            <w:tcW w:w="1182" w:type="dxa"/>
          </w:tcPr>
          <w:p w:rsidR="00CC5ACE" w:rsidRPr="001E38BB" w:rsidRDefault="00CC5ACE" w:rsidP="003B7220">
            <w:pPr>
              <w:spacing w:before="240" w:after="120"/>
              <w:ind w:left="57"/>
            </w:pPr>
            <w:r w:rsidRPr="001E38BB">
              <w:t>Asunto:</w:t>
            </w:r>
          </w:p>
        </w:tc>
        <w:tc>
          <w:tcPr>
            <w:tcW w:w="9024" w:type="dxa"/>
            <w:gridSpan w:val="2"/>
          </w:tcPr>
          <w:p w:rsidR="0092291C" w:rsidRDefault="0092291C" w:rsidP="0092291C">
            <w:pPr>
              <w:spacing w:before="240"/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4º Foro de Asia y el Pacífico sobre Ciudades inteligentes y sostenibles y cibergobierno 2018</w:t>
            </w:r>
          </w:p>
          <w:p w:rsidR="00CC5ACE" w:rsidRPr="001E38BB" w:rsidRDefault="0092291C" w:rsidP="00774B42">
            <w:pPr>
              <w:spacing w:before="0" w:after="120"/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Thanh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  <w:r>
              <w:rPr>
                <w:b/>
                <w:bCs/>
              </w:rPr>
              <w:t xml:space="preserve"> City, </w:t>
            </w:r>
            <w:proofErr w:type="spellStart"/>
            <w:r>
              <w:rPr>
                <w:b/>
                <w:bCs/>
              </w:rPr>
              <w:t>Viet</w:t>
            </w:r>
            <w:proofErr w:type="spellEnd"/>
            <w:r w:rsidR="00774B42">
              <w:rPr>
                <w:b/>
                <w:bCs/>
              </w:rPr>
              <w:t xml:space="preserve"> </w:t>
            </w:r>
            <w:proofErr w:type="spellStart"/>
            <w:r w:rsidR="00D62C18">
              <w:rPr>
                <w:b/>
                <w:bCs/>
              </w:rPr>
              <w:t>N</w:t>
            </w:r>
            <w:r>
              <w:rPr>
                <w:b/>
                <w:bCs/>
              </w:rPr>
              <w:t>am</w:t>
            </w:r>
            <w:proofErr w:type="spellEnd"/>
            <w:r>
              <w:rPr>
                <w:b/>
                <w:bCs/>
              </w:rPr>
              <w:t xml:space="preserve">, 4-6 de julio de 2018) </w:t>
            </w:r>
          </w:p>
        </w:tc>
      </w:tr>
    </w:tbl>
    <w:p w:rsidR="00C34772" w:rsidRPr="001E38BB" w:rsidRDefault="003F6326" w:rsidP="003B7220">
      <w:pPr>
        <w:pStyle w:val="Normalaftertitle0"/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1E38BB">
        <w:t>Muy Señora mía</w:t>
      </w:r>
      <w:r w:rsidR="0094637C" w:rsidRPr="001E38BB">
        <w:t>/</w:t>
      </w:r>
      <w:r w:rsidR="00B80E33" w:rsidRPr="001E38BB">
        <w:t>Muy Señor mío</w:t>
      </w:r>
      <w:r w:rsidR="003B7220" w:rsidRPr="001E38BB">
        <w:t>:</w:t>
      </w:r>
    </w:p>
    <w:p w:rsidR="008325FF" w:rsidRPr="001E38BB" w:rsidRDefault="008325FF" w:rsidP="00774B42">
      <w:pPr>
        <w:rPr>
          <w:bCs/>
          <w:szCs w:val="24"/>
        </w:rPr>
      </w:pPr>
      <w:r w:rsidRPr="001E38BB">
        <w:rPr>
          <w:bCs/>
          <w:szCs w:val="24"/>
        </w:rPr>
        <w:t>1</w:t>
      </w:r>
      <w:r w:rsidRPr="001E38BB">
        <w:rPr>
          <w:szCs w:val="24"/>
        </w:rPr>
        <w:tab/>
      </w:r>
      <w:bookmarkStart w:id="4" w:name="lt_pId042"/>
      <w:r w:rsidR="0092291C">
        <w:rPr>
          <w:szCs w:val="24"/>
        </w:rPr>
        <w:t xml:space="preserve">La Unión Internacional de Telecomunicaciones (UIT) y el Ministerio de Información y Comunicaciones de </w:t>
      </w:r>
      <w:proofErr w:type="spellStart"/>
      <w:r w:rsidR="0092291C">
        <w:rPr>
          <w:szCs w:val="24"/>
        </w:rPr>
        <w:t>Viet</w:t>
      </w:r>
      <w:proofErr w:type="spellEnd"/>
      <w:r w:rsidR="00774B42">
        <w:rPr>
          <w:szCs w:val="24"/>
        </w:rPr>
        <w:t xml:space="preserve"> </w:t>
      </w:r>
      <w:proofErr w:type="spellStart"/>
      <w:r w:rsidR="00774B42">
        <w:rPr>
          <w:szCs w:val="24"/>
        </w:rPr>
        <w:t>N</w:t>
      </w:r>
      <w:r w:rsidR="0092291C">
        <w:rPr>
          <w:szCs w:val="24"/>
        </w:rPr>
        <w:t>am</w:t>
      </w:r>
      <w:proofErr w:type="spellEnd"/>
      <w:r w:rsidR="0092291C">
        <w:rPr>
          <w:szCs w:val="24"/>
        </w:rPr>
        <w:t xml:space="preserve"> (MIC) están organizando conjuntamente el </w:t>
      </w:r>
      <w:r w:rsidR="0092291C" w:rsidRPr="0092291C">
        <w:rPr>
          <w:szCs w:val="24"/>
        </w:rPr>
        <w:t xml:space="preserve">4º Foro de Asia y el Pacífico sobre Ciudades inteligentes y sostenibles y </w:t>
      </w:r>
      <w:proofErr w:type="spellStart"/>
      <w:r w:rsidR="0092291C" w:rsidRPr="0092291C">
        <w:rPr>
          <w:szCs w:val="24"/>
        </w:rPr>
        <w:t>cibergobierno</w:t>
      </w:r>
      <w:proofErr w:type="spellEnd"/>
      <w:r w:rsidR="0092291C" w:rsidRPr="0092291C">
        <w:rPr>
          <w:szCs w:val="24"/>
        </w:rPr>
        <w:t xml:space="preserve"> 2018</w:t>
      </w:r>
      <w:r w:rsidR="0092291C">
        <w:rPr>
          <w:szCs w:val="24"/>
        </w:rPr>
        <w:t xml:space="preserve">, </w:t>
      </w:r>
      <w:r w:rsidR="005704DE">
        <w:rPr>
          <w:szCs w:val="24"/>
        </w:rPr>
        <w:t xml:space="preserve">del </w:t>
      </w:r>
      <w:r w:rsidR="0092291C">
        <w:rPr>
          <w:szCs w:val="24"/>
        </w:rPr>
        <w:t>4</w:t>
      </w:r>
      <w:r w:rsidR="00D62C18">
        <w:rPr>
          <w:szCs w:val="24"/>
        </w:rPr>
        <w:t xml:space="preserve"> al </w:t>
      </w:r>
      <w:r w:rsidR="0092291C">
        <w:rPr>
          <w:szCs w:val="24"/>
        </w:rPr>
        <w:t>6 de julio de 2018</w:t>
      </w:r>
      <w:r w:rsidR="005704DE">
        <w:rPr>
          <w:szCs w:val="24"/>
        </w:rPr>
        <w:t xml:space="preserve"> en</w:t>
      </w:r>
      <w:r w:rsidR="0092291C">
        <w:rPr>
          <w:szCs w:val="24"/>
        </w:rPr>
        <w:t xml:space="preserve"> </w:t>
      </w:r>
      <w:proofErr w:type="spellStart"/>
      <w:r w:rsidR="0092291C">
        <w:rPr>
          <w:szCs w:val="24"/>
        </w:rPr>
        <w:t>Thanh</w:t>
      </w:r>
      <w:proofErr w:type="spellEnd"/>
      <w:r w:rsidR="0092291C">
        <w:rPr>
          <w:szCs w:val="24"/>
        </w:rPr>
        <w:t xml:space="preserve"> </w:t>
      </w:r>
      <w:proofErr w:type="spellStart"/>
      <w:r w:rsidR="0092291C">
        <w:rPr>
          <w:szCs w:val="24"/>
        </w:rPr>
        <w:t>Hoa</w:t>
      </w:r>
      <w:proofErr w:type="spellEnd"/>
      <w:r w:rsidR="0092291C">
        <w:rPr>
          <w:szCs w:val="24"/>
        </w:rPr>
        <w:t xml:space="preserve"> City (</w:t>
      </w:r>
      <w:proofErr w:type="spellStart"/>
      <w:r w:rsidR="0092291C">
        <w:rPr>
          <w:szCs w:val="24"/>
        </w:rPr>
        <w:t>Viet</w:t>
      </w:r>
      <w:proofErr w:type="spellEnd"/>
      <w:r w:rsidR="00774B42">
        <w:rPr>
          <w:szCs w:val="24"/>
        </w:rPr>
        <w:t xml:space="preserve"> </w:t>
      </w:r>
      <w:proofErr w:type="spellStart"/>
      <w:r w:rsidR="00D62C18">
        <w:rPr>
          <w:szCs w:val="24"/>
        </w:rPr>
        <w:t>N</w:t>
      </w:r>
      <w:r w:rsidR="0092291C">
        <w:rPr>
          <w:szCs w:val="24"/>
        </w:rPr>
        <w:t>am</w:t>
      </w:r>
      <w:proofErr w:type="spellEnd"/>
      <w:r w:rsidR="0092291C">
        <w:rPr>
          <w:szCs w:val="24"/>
        </w:rPr>
        <w:t xml:space="preserve">). </w:t>
      </w:r>
    </w:p>
    <w:bookmarkEnd w:id="4"/>
    <w:p w:rsidR="008325FF" w:rsidRDefault="008325FF" w:rsidP="005704DE">
      <w:pPr>
        <w:rPr>
          <w:szCs w:val="24"/>
        </w:rPr>
      </w:pPr>
      <w:r w:rsidRPr="001E38BB">
        <w:rPr>
          <w:szCs w:val="24"/>
        </w:rPr>
        <w:t>2</w:t>
      </w:r>
      <w:r w:rsidRPr="001E38BB">
        <w:rPr>
          <w:szCs w:val="24"/>
        </w:rPr>
        <w:tab/>
      </w:r>
      <w:bookmarkStart w:id="5" w:name="lt_pId047"/>
      <w:r w:rsidR="0092291C">
        <w:rPr>
          <w:szCs w:val="24"/>
        </w:rPr>
        <w:t xml:space="preserve">Tras el notable éxito de los foros de los tres años anteriores, el </w:t>
      </w:r>
      <w:r w:rsidR="0092291C" w:rsidRPr="0092291C">
        <w:rPr>
          <w:szCs w:val="24"/>
        </w:rPr>
        <w:t xml:space="preserve">Foro de Asia y el Pacífico sobre Ciudades inteligentes y sostenibles y </w:t>
      </w:r>
      <w:proofErr w:type="spellStart"/>
      <w:r w:rsidR="0092291C" w:rsidRPr="0092291C">
        <w:rPr>
          <w:szCs w:val="24"/>
        </w:rPr>
        <w:t>cibergobierno</w:t>
      </w:r>
      <w:proofErr w:type="spellEnd"/>
      <w:r w:rsidR="0092291C" w:rsidRPr="0092291C">
        <w:rPr>
          <w:szCs w:val="24"/>
        </w:rPr>
        <w:t xml:space="preserve"> </w:t>
      </w:r>
      <w:r w:rsidR="009E64AC">
        <w:rPr>
          <w:szCs w:val="24"/>
        </w:rPr>
        <w:t xml:space="preserve">se ha convertido </w:t>
      </w:r>
      <w:r w:rsidR="0092291C">
        <w:rPr>
          <w:szCs w:val="24"/>
        </w:rPr>
        <w:t xml:space="preserve">en una plataforma anual para </w:t>
      </w:r>
      <w:r w:rsidR="005704DE">
        <w:rPr>
          <w:szCs w:val="24"/>
        </w:rPr>
        <w:t xml:space="preserve">la celebración de </w:t>
      </w:r>
      <w:r w:rsidR="0092291C">
        <w:rPr>
          <w:szCs w:val="24"/>
        </w:rPr>
        <w:t xml:space="preserve">diálogos e intercambios de conocimientos de alto nivel, así como para la constitución de redes </w:t>
      </w:r>
      <w:r w:rsidR="005704DE">
        <w:rPr>
          <w:szCs w:val="24"/>
        </w:rPr>
        <w:t>de</w:t>
      </w:r>
      <w:r w:rsidR="0092291C">
        <w:rPr>
          <w:szCs w:val="24"/>
        </w:rPr>
        <w:t xml:space="preserve"> partes interesadas en el desarrollo de las ciudades inteligentes. El Foro también facilita la cooperación y las asociaciones entre ciudades a distintos niveles</w:t>
      </w:r>
      <w:r w:rsidR="00921BFB" w:rsidRPr="001E38BB">
        <w:rPr>
          <w:szCs w:val="24"/>
        </w:rPr>
        <w:t>.</w:t>
      </w:r>
    </w:p>
    <w:p w:rsidR="0092291C" w:rsidRDefault="0092291C" w:rsidP="0092291C">
      <w:pPr>
        <w:rPr>
          <w:szCs w:val="24"/>
        </w:rPr>
      </w:pPr>
      <w:r>
        <w:rPr>
          <w:szCs w:val="24"/>
        </w:rPr>
        <w:t>Este año, el Foro se centra en los siguientes temas clave:</w:t>
      </w:r>
    </w:p>
    <w:p w:rsidR="0092291C" w:rsidRPr="0092291C" w:rsidRDefault="009E64AC" w:rsidP="009E64AC">
      <w:pPr>
        <w:pStyle w:val="enumlev1"/>
      </w:pPr>
      <w:r>
        <w:t>•</w:t>
      </w:r>
      <w:r>
        <w:tab/>
      </w:r>
      <w:r w:rsidR="0092291C" w:rsidRPr="0092291C">
        <w:t>Normas e IFR para medir una ciudad inteligente y estudios de caso</w:t>
      </w:r>
    </w:p>
    <w:p w:rsidR="0092291C" w:rsidRPr="0092291C" w:rsidRDefault="009E64AC" w:rsidP="009E64AC">
      <w:pPr>
        <w:pStyle w:val="enumlev1"/>
      </w:pPr>
      <w:r>
        <w:t>•</w:t>
      </w:r>
      <w:r>
        <w:tab/>
      </w:r>
      <w:r w:rsidR="0092291C" w:rsidRPr="0092291C">
        <w:t>Concebir una ciudad inteligente y sostenible</w:t>
      </w:r>
    </w:p>
    <w:p w:rsidR="0092291C" w:rsidRPr="0092291C" w:rsidRDefault="009E64AC" w:rsidP="009E64AC">
      <w:pPr>
        <w:pStyle w:val="enumlev1"/>
      </w:pPr>
      <w:r>
        <w:t>•</w:t>
      </w:r>
      <w:r>
        <w:tab/>
      </w:r>
      <w:r w:rsidR="0092291C" w:rsidRPr="0092291C">
        <w:t>Arquitectura, servicios y aplicaciones de TIC para las ciudades inteligentes</w:t>
      </w:r>
    </w:p>
    <w:p w:rsidR="0092291C" w:rsidRPr="001E38BB" w:rsidRDefault="0092291C" w:rsidP="0092291C">
      <w:pPr>
        <w:rPr>
          <w:szCs w:val="24"/>
        </w:rPr>
      </w:pPr>
      <w:r>
        <w:rPr>
          <w:szCs w:val="24"/>
        </w:rPr>
        <w:t>3</w:t>
      </w:r>
      <w:r>
        <w:rPr>
          <w:szCs w:val="24"/>
        </w:rPr>
        <w:tab/>
      </w:r>
      <w:r w:rsidR="002E4B35">
        <w:rPr>
          <w:szCs w:val="24"/>
        </w:rPr>
        <w:t xml:space="preserve">Cabe destacar que </w:t>
      </w:r>
      <w:r w:rsidR="00654116">
        <w:rPr>
          <w:szCs w:val="24"/>
        </w:rPr>
        <w:t xml:space="preserve">el Foro incluye debates de alto nivel entre alcaldes/gobernadores y altos funcionarios de ciudades de toda la región. Además, el Foro también ofrece una oportunidad para que las organizaciones expongan y muestren </w:t>
      </w:r>
      <w:r w:rsidR="008C298A">
        <w:rPr>
          <w:szCs w:val="24"/>
        </w:rPr>
        <w:t xml:space="preserve">sus </w:t>
      </w:r>
      <w:r w:rsidR="00654116">
        <w:rPr>
          <w:szCs w:val="24"/>
        </w:rPr>
        <w:t>iniciativas, productos y servicios</w:t>
      </w:r>
      <w:r w:rsidR="008C298A">
        <w:rPr>
          <w:szCs w:val="24"/>
        </w:rPr>
        <w:t>.</w:t>
      </w:r>
    </w:p>
    <w:p w:rsidR="008C298A" w:rsidRDefault="008325FF" w:rsidP="005B0AC0">
      <w:pPr>
        <w:rPr>
          <w:szCs w:val="24"/>
        </w:rPr>
      </w:pPr>
      <w:r w:rsidRPr="001E38BB">
        <w:rPr>
          <w:szCs w:val="24"/>
        </w:rPr>
        <w:t>4</w:t>
      </w:r>
      <w:r w:rsidRPr="001E38BB">
        <w:rPr>
          <w:szCs w:val="24"/>
        </w:rPr>
        <w:tab/>
      </w:r>
      <w:r w:rsidR="008C298A">
        <w:rPr>
          <w:szCs w:val="24"/>
        </w:rPr>
        <w:t xml:space="preserve">A este respecto, me complace invitar a su organización a participar activamente en el Foro de este año. Puede encontrar más información sobre el evento, incluido el orden del día </w:t>
      </w:r>
      <w:proofErr w:type="gramStart"/>
      <w:r w:rsidR="008C298A">
        <w:rPr>
          <w:szCs w:val="24"/>
        </w:rPr>
        <w:t>provisional</w:t>
      </w:r>
      <w:proofErr w:type="gramEnd"/>
      <w:r w:rsidR="008C298A">
        <w:rPr>
          <w:szCs w:val="24"/>
        </w:rPr>
        <w:t xml:space="preserve">, la inscripción e información práctica para los participantes en la dirección </w:t>
      </w:r>
      <w:hyperlink r:id="rId10" w:history="1">
        <w:r w:rsidR="008C298A" w:rsidRPr="00771756">
          <w:rPr>
            <w:rStyle w:val="Hyperlink"/>
            <w:rFonts w:cs="Calibri"/>
            <w:szCs w:val="22"/>
          </w:rPr>
          <w:t>http://itu.int/go/ssceg2018</w:t>
        </w:r>
      </w:hyperlink>
      <w:r w:rsidR="008C298A">
        <w:rPr>
          <w:szCs w:val="24"/>
        </w:rPr>
        <w:t>.</w:t>
      </w:r>
    </w:p>
    <w:p w:rsidR="008325FF" w:rsidRPr="001E38BB" w:rsidRDefault="008325FF" w:rsidP="00B65FE8">
      <w:pPr>
        <w:rPr>
          <w:szCs w:val="24"/>
        </w:rPr>
      </w:pPr>
      <w:r w:rsidRPr="001E38BB">
        <w:rPr>
          <w:szCs w:val="24"/>
        </w:rPr>
        <w:lastRenderedPageBreak/>
        <w:t>5</w:t>
      </w:r>
      <w:r w:rsidRPr="001E38BB">
        <w:rPr>
          <w:szCs w:val="24"/>
        </w:rPr>
        <w:tab/>
      </w:r>
      <w:r w:rsidR="008C298A">
        <w:rPr>
          <w:szCs w:val="24"/>
        </w:rPr>
        <w:t xml:space="preserve">Sírvase tener en cuenta que este Foro se celebrará sin hacer uso del papel. Todo el material, incluidas las presentaciones, se publicará en la dirección </w:t>
      </w:r>
      <w:hyperlink r:id="rId11" w:history="1">
        <w:r w:rsidR="008C298A" w:rsidRPr="00345B12">
          <w:rPr>
            <w:rStyle w:val="Hyperlink"/>
            <w:rFonts w:cs="Calibri"/>
            <w:szCs w:val="22"/>
          </w:rPr>
          <w:t>http://itu.int/go/ssceg2018</w:t>
        </w:r>
      </w:hyperlink>
      <w:r w:rsidR="008C298A">
        <w:rPr>
          <w:szCs w:val="24"/>
        </w:rPr>
        <w:t xml:space="preserve">. </w:t>
      </w:r>
      <w:r w:rsidRPr="001E38BB">
        <w:rPr>
          <w:szCs w:val="24"/>
        </w:rPr>
        <w:t xml:space="preserve">El </w:t>
      </w:r>
      <w:r w:rsidR="008C298A">
        <w:rPr>
          <w:szCs w:val="24"/>
        </w:rPr>
        <w:t xml:space="preserve">Dr. </w:t>
      </w:r>
      <w:r w:rsidR="00B65FE8">
        <w:rPr>
          <w:szCs w:val="24"/>
        </w:rPr>
        <w:t xml:space="preserve">S. </w:t>
      </w:r>
      <w:proofErr w:type="spellStart"/>
      <w:r w:rsidR="008C298A">
        <w:rPr>
          <w:szCs w:val="24"/>
        </w:rPr>
        <w:t>Ismail</w:t>
      </w:r>
      <w:proofErr w:type="spellEnd"/>
      <w:r w:rsidR="008C298A">
        <w:rPr>
          <w:szCs w:val="24"/>
        </w:rPr>
        <w:t xml:space="preserve"> </w:t>
      </w:r>
      <w:proofErr w:type="spellStart"/>
      <w:r w:rsidR="008C298A">
        <w:rPr>
          <w:szCs w:val="24"/>
        </w:rPr>
        <w:t>Shah</w:t>
      </w:r>
      <w:proofErr w:type="spellEnd"/>
      <w:r w:rsidR="008C298A">
        <w:rPr>
          <w:szCs w:val="24"/>
        </w:rPr>
        <w:t xml:space="preserve"> (</w:t>
      </w:r>
      <w:hyperlink r:id="rId12" w:history="1">
        <w:r w:rsidR="00B65FE8" w:rsidRPr="00646D75">
          <w:rPr>
            <w:rStyle w:val="Hyperlink"/>
            <w:szCs w:val="24"/>
          </w:rPr>
          <w:t>ismail.sha@itu.int</w:t>
        </w:r>
      </w:hyperlink>
      <w:r w:rsidR="008C298A">
        <w:rPr>
          <w:szCs w:val="24"/>
        </w:rPr>
        <w:t xml:space="preserve">), Representante de Zona, Oficina de Zona de la UIT para Asia Sudoriental y Timor Leste, y Jefe de la Oficina de Zona de la UIT en Jakarta (Indonesia), está a su entera disposición en caso de que requiera información adicional. </w:t>
      </w:r>
    </w:p>
    <w:p w:rsidR="008C298A" w:rsidRDefault="008325FF" w:rsidP="008325FF">
      <w:pPr>
        <w:rPr>
          <w:szCs w:val="24"/>
        </w:rPr>
      </w:pPr>
      <w:r w:rsidRPr="001E38BB">
        <w:rPr>
          <w:szCs w:val="24"/>
        </w:rPr>
        <w:t>6</w:t>
      </w:r>
      <w:r w:rsidRPr="001E38BB">
        <w:rPr>
          <w:szCs w:val="24"/>
        </w:rPr>
        <w:tab/>
      </w:r>
      <w:r w:rsidR="008C298A">
        <w:rPr>
          <w:szCs w:val="24"/>
        </w:rPr>
        <w:t xml:space="preserve">La presente Circular de la TSB hace referencia a la Circular de la BDT: </w:t>
      </w:r>
      <w:hyperlink r:id="rId13" w:history="1">
        <w:r w:rsidR="008C298A" w:rsidRPr="003843B5">
          <w:rPr>
            <w:rStyle w:val="Hyperlink"/>
            <w:rFonts w:cs="Calibri"/>
            <w:szCs w:val="22"/>
          </w:rPr>
          <w:t>BDT/IEE/CYB/DM/028</w:t>
        </w:r>
      </w:hyperlink>
      <w:r w:rsidR="008C298A">
        <w:rPr>
          <w:szCs w:val="24"/>
        </w:rPr>
        <w:t>.</w:t>
      </w:r>
    </w:p>
    <w:bookmarkEnd w:id="5"/>
    <w:p w:rsidR="000D75AA" w:rsidRDefault="0094637C" w:rsidP="001A77C3">
      <w:r w:rsidRPr="001E38BB">
        <w:t>A</w:t>
      </w:r>
      <w:r w:rsidR="00C34772" w:rsidRPr="001E38BB">
        <w:t>tentamente</w:t>
      </w:r>
      <w:r w:rsidR="00981644" w:rsidRPr="001E38BB">
        <w:t>,</w:t>
      </w:r>
    </w:p>
    <w:p w:rsidR="001A77C3" w:rsidRPr="001A77C3" w:rsidRDefault="001A77C3" w:rsidP="001A77C3">
      <w:pPr>
        <w:spacing w:before="240" w:after="240"/>
        <w:rPr>
          <w:i/>
          <w:iCs/>
        </w:rPr>
      </w:pPr>
      <w:r w:rsidRPr="001A77C3">
        <w:rPr>
          <w:i/>
          <w:iCs/>
        </w:rPr>
        <w:t>(</w:t>
      </w:r>
      <w:proofErr w:type="gramStart"/>
      <w:r w:rsidRPr="001A77C3">
        <w:rPr>
          <w:i/>
          <w:iCs/>
        </w:rPr>
        <w:t>firmado</w:t>
      </w:r>
      <w:proofErr w:type="gramEnd"/>
      <w:r w:rsidRPr="001A77C3">
        <w:rPr>
          <w:i/>
          <w:iCs/>
        </w:rPr>
        <w:t>)</w:t>
      </w:r>
      <w:bookmarkStart w:id="6" w:name="_GoBack"/>
      <w:bookmarkEnd w:id="6"/>
    </w:p>
    <w:p w:rsidR="00C34772" w:rsidRPr="001E38BB" w:rsidRDefault="002E496E" w:rsidP="000D75AA">
      <w:pPr>
        <w:tabs>
          <w:tab w:val="clear" w:pos="1588"/>
          <w:tab w:val="clear" w:pos="1985"/>
          <w:tab w:val="left" w:pos="7560"/>
        </w:tabs>
        <w:spacing w:before="0"/>
        <w:ind w:right="91"/>
      </w:pPr>
      <w:proofErr w:type="spellStart"/>
      <w:r w:rsidRPr="001E38BB">
        <w:t>Chaesub</w:t>
      </w:r>
      <w:proofErr w:type="spellEnd"/>
      <w:r w:rsidRPr="001E38BB">
        <w:t xml:space="preserve"> Lee</w:t>
      </w:r>
      <w:r w:rsidR="00C34772" w:rsidRPr="001E38BB">
        <w:br/>
        <w:t>Director de la Oficina de</w:t>
      </w:r>
      <w:r w:rsidR="00C34772" w:rsidRPr="001E38BB">
        <w:br/>
        <w:t>Normalización de las Telecomunicaciones</w:t>
      </w:r>
    </w:p>
    <w:sectPr w:rsidR="00C34772" w:rsidRPr="001E38BB" w:rsidSect="00807BDC">
      <w:headerReference w:type="default" r:id="rId14"/>
      <w:footerReference w:type="first" r:id="rId15"/>
      <w:pgSz w:w="11907" w:h="16834" w:code="9"/>
      <w:pgMar w:top="1021" w:right="1134" w:bottom="1077" w:left="1134" w:header="567" w:footer="56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057" w:rsidRDefault="008E2057">
      <w:r>
        <w:separator/>
      </w:r>
    </w:p>
  </w:endnote>
  <w:endnote w:type="continuationSeparator" w:id="0">
    <w:p w:rsidR="008E2057" w:rsidRDefault="008E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98A" w:rsidRPr="003F05C4" w:rsidRDefault="008C298A" w:rsidP="003F05C4">
    <w:pPr>
      <w:pStyle w:val="FirstFooter"/>
      <w:ind w:left="-397" w:right="-397"/>
      <w:jc w:val="center"/>
      <w:rPr>
        <w:szCs w:val="18"/>
      </w:rPr>
    </w:pPr>
    <w:r w:rsidRPr="0094637C">
      <w:rPr>
        <w:szCs w:val="18"/>
      </w:rPr>
      <w:t>Unión Internacional de Telecomunicaciones • Place des Nations, CH</w:t>
    </w:r>
    <w:r w:rsidRPr="0094637C">
      <w:rPr>
        <w:szCs w:val="18"/>
      </w:rPr>
      <w:noBreakHyphen/>
      <w:t xml:space="preserve">1211 Ginebra 20, Suiza </w:t>
    </w:r>
    <w:r w:rsidRPr="0094637C">
      <w:rPr>
        <w:szCs w:val="18"/>
      </w:rPr>
      <w:br/>
      <w:t>Tel</w:t>
    </w:r>
    <w:r>
      <w:rPr>
        <w:szCs w:val="18"/>
      </w:rPr>
      <w:t>.</w:t>
    </w:r>
    <w:r w:rsidRPr="0094637C">
      <w:rPr>
        <w:szCs w:val="18"/>
      </w:rPr>
      <w:t xml:space="preserve">: +41 22 730 5111 • Fax: +41 22 733 7256 • Correo-e: </w:t>
    </w:r>
    <w:hyperlink r:id="rId1" w:history="1">
      <w:r w:rsidRPr="0094637C">
        <w:rPr>
          <w:rStyle w:val="Hyperlink"/>
        </w:rPr>
        <w:t>itumail@itu.int</w:t>
      </w:r>
    </w:hyperlink>
    <w:r w:rsidRPr="0094637C">
      <w:rPr>
        <w:szCs w:val="18"/>
      </w:rPr>
      <w:t xml:space="preserve"> • </w:t>
    </w:r>
    <w:hyperlink r:id="rId2" w:history="1">
      <w:r w:rsidRPr="0094637C">
        <w:rPr>
          <w:rStyle w:val="Hyperlink"/>
        </w:rPr>
        <w:t>www.itu.int</w:t>
      </w:r>
    </w:hyperlink>
    <w:r w:rsidRPr="0094637C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057" w:rsidRDefault="008E2057">
      <w:r>
        <w:t>____________________</w:t>
      </w:r>
    </w:p>
  </w:footnote>
  <w:footnote w:type="continuationSeparator" w:id="0">
    <w:p w:rsidR="008E2057" w:rsidRDefault="008E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98A" w:rsidRPr="00FD7428" w:rsidRDefault="008C298A" w:rsidP="003D3CA1">
    <w:pPr>
      <w:spacing w:before="0" w:after="120"/>
      <w:jc w:val="center"/>
      <w:rPr>
        <w:rFonts w:ascii="Calibri" w:hAnsi="Calibri"/>
        <w:sz w:val="18"/>
        <w:lang w:val="en-US"/>
      </w:rPr>
    </w:pPr>
    <w:r w:rsidRPr="00696783">
      <w:rPr>
        <w:sz w:val="18"/>
        <w:szCs w:val="18"/>
      </w:rPr>
      <w:t xml:space="preserve">- </w:t>
    </w:r>
    <w:r w:rsidRPr="00696783">
      <w:rPr>
        <w:sz w:val="18"/>
        <w:szCs w:val="18"/>
      </w:rPr>
      <w:fldChar w:fldCharType="begin"/>
    </w:r>
    <w:r w:rsidRPr="00696783">
      <w:rPr>
        <w:sz w:val="18"/>
        <w:szCs w:val="18"/>
      </w:rPr>
      <w:instrText xml:space="preserve"> PAGE   \* MERGEFORMAT </w:instrText>
    </w:r>
    <w:r w:rsidRPr="00696783">
      <w:rPr>
        <w:sz w:val="18"/>
        <w:szCs w:val="18"/>
      </w:rPr>
      <w:fldChar w:fldCharType="separate"/>
    </w:r>
    <w:r w:rsidR="001A77C3">
      <w:rPr>
        <w:noProof/>
        <w:sz w:val="18"/>
        <w:szCs w:val="18"/>
      </w:rPr>
      <w:t>2</w:t>
    </w:r>
    <w:r w:rsidRPr="00696783">
      <w:rPr>
        <w:noProof/>
        <w:sz w:val="18"/>
        <w:szCs w:val="18"/>
      </w:rPr>
      <w:fldChar w:fldCharType="end"/>
    </w:r>
    <w:r w:rsidRPr="00696783">
      <w:rPr>
        <w:noProof/>
        <w:sz w:val="18"/>
        <w:szCs w:val="18"/>
      </w:rPr>
      <w:t xml:space="preserve"> -</w:t>
    </w:r>
    <w:r>
      <w:rPr>
        <w:noProof/>
        <w:sz w:val="18"/>
        <w:szCs w:val="18"/>
      </w:rPr>
      <w:br/>
    </w:r>
    <w:r w:rsidRPr="004C58BA">
      <w:rPr>
        <w:rFonts w:ascii="Calibri" w:hAnsi="Calibri"/>
        <w:noProof/>
        <w:sz w:val="18"/>
        <w:lang w:val="en-GB"/>
      </w:rPr>
      <w:t xml:space="preserve">Circular TSB </w:t>
    </w:r>
    <w:r w:rsidR="003D3CA1">
      <w:rPr>
        <w:rFonts w:ascii="Calibri" w:hAnsi="Calibri"/>
        <w:noProof/>
        <w:sz w:val="18"/>
        <w:lang w:val="en-GB"/>
      </w:rPr>
      <w:t>96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44A06C6A"/>
    <w:multiLevelType w:val="hybridMultilevel"/>
    <w:tmpl w:val="E6222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E0AA5"/>
    <w:multiLevelType w:val="hybridMultilevel"/>
    <w:tmpl w:val="2F2AB578"/>
    <w:lvl w:ilvl="0" w:tplc="2E42E39E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>
      <w:start w:val="1"/>
      <w:numFmt w:val="lowerRoman"/>
      <w:lvlText w:val="%3."/>
      <w:lvlJc w:val="right"/>
      <w:pPr>
        <w:ind w:left="1800" w:hanging="180"/>
      </w:pPr>
    </w:lvl>
    <w:lvl w:ilvl="3" w:tplc="100C000F">
      <w:start w:val="1"/>
      <w:numFmt w:val="decimal"/>
      <w:lvlText w:val="%4."/>
      <w:lvlJc w:val="left"/>
      <w:pPr>
        <w:ind w:left="2520" w:hanging="360"/>
      </w:pPr>
    </w:lvl>
    <w:lvl w:ilvl="4" w:tplc="100C0019">
      <w:start w:val="1"/>
      <w:numFmt w:val="lowerLetter"/>
      <w:lvlText w:val="%5."/>
      <w:lvlJc w:val="left"/>
      <w:pPr>
        <w:ind w:left="3240" w:hanging="360"/>
      </w:pPr>
    </w:lvl>
    <w:lvl w:ilvl="5" w:tplc="100C001B">
      <w:start w:val="1"/>
      <w:numFmt w:val="lowerRoman"/>
      <w:lvlText w:val="%6."/>
      <w:lvlJc w:val="right"/>
      <w:pPr>
        <w:ind w:left="3960" w:hanging="180"/>
      </w:pPr>
    </w:lvl>
    <w:lvl w:ilvl="6" w:tplc="100C000F">
      <w:start w:val="1"/>
      <w:numFmt w:val="decimal"/>
      <w:lvlText w:val="%7."/>
      <w:lvlJc w:val="left"/>
      <w:pPr>
        <w:ind w:left="4680" w:hanging="360"/>
      </w:pPr>
    </w:lvl>
    <w:lvl w:ilvl="7" w:tplc="100C0019">
      <w:start w:val="1"/>
      <w:numFmt w:val="lowerLetter"/>
      <w:lvlText w:val="%8."/>
      <w:lvlJc w:val="left"/>
      <w:pPr>
        <w:ind w:left="5400" w:hanging="360"/>
      </w:pPr>
    </w:lvl>
    <w:lvl w:ilvl="8" w:tplc="100C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7C"/>
    <w:rsid w:val="00002529"/>
    <w:rsid w:val="00013073"/>
    <w:rsid w:val="00023391"/>
    <w:rsid w:val="00066573"/>
    <w:rsid w:val="00074E76"/>
    <w:rsid w:val="00085662"/>
    <w:rsid w:val="000B6BE8"/>
    <w:rsid w:val="000B72F8"/>
    <w:rsid w:val="000C382F"/>
    <w:rsid w:val="000D75AA"/>
    <w:rsid w:val="000E53D0"/>
    <w:rsid w:val="000E79E5"/>
    <w:rsid w:val="000F09C3"/>
    <w:rsid w:val="000F0D53"/>
    <w:rsid w:val="0010395A"/>
    <w:rsid w:val="001043DC"/>
    <w:rsid w:val="001173CC"/>
    <w:rsid w:val="00137448"/>
    <w:rsid w:val="00143C4B"/>
    <w:rsid w:val="00143DDD"/>
    <w:rsid w:val="0014464D"/>
    <w:rsid w:val="00145E28"/>
    <w:rsid w:val="00162E19"/>
    <w:rsid w:val="001A54CC"/>
    <w:rsid w:val="001A746E"/>
    <w:rsid w:val="001A77C3"/>
    <w:rsid w:val="001E38BB"/>
    <w:rsid w:val="001F17D2"/>
    <w:rsid w:val="001F62D1"/>
    <w:rsid w:val="001F74EA"/>
    <w:rsid w:val="00227F6A"/>
    <w:rsid w:val="00231A3B"/>
    <w:rsid w:val="00235C3D"/>
    <w:rsid w:val="00237609"/>
    <w:rsid w:val="002436DA"/>
    <w:rsid w:val="00252227"/>
    <w:rsid w:val="00255A6F"/>
    <w:rsid w:val="00257279"/>
    <w:rsid w:val="00257FB4"/>
    <w:rsid w:val="002652C0"/>
    <w:rsid w:val="00266A0E"/>
    <w:rsid w:val="00280386"/>
    <w:rsid w:val="002836A3"/>
    <w:rsid w:val="002E496E"/>
    <w:rsid w:val="002E4B35"/>
    <w:rsid w:val="00303D62"/>
    <w:rsid w:val="0032761A"/>
    <w:rsid w:val="00335367"/>
    <w:rsid w:val="00343BBB"/>
    <w:rsid w:val="00370C2D"/>
    <w:rsid w:val="00381555"/>
    <w:rsid w:val="003843A9"/>
    <w:rsid w:val="00385798"/>
    <w:rsid w:val="0039302E"/>
    <w:rsid w:val="003950F2"/>
    <w:rsid w:val="003B7220"/>
    <w:rsid w:val="003D1E8D"/>
    <w:rsid w:val="003D3CA1"/>
    <w:rsid w:val="003D673B"/>
    <w:rsid w:val="003F05C4"/>
    <w:rsid w:val="003F2855"/>
    <w:rsid w:val="003F6326"/>
    <w:rsid w:val="00400C94"/>
    <w:rsid w:val="00401C20"/>
    <w:rsid w:val="00416D9A"/>
    <w:rsid w:val="00434F7D"/>
    <w:rsid w:val="00437D85"/>
    <w:rsid w:val="004A1426"/>
    <w:rsid w:val="004A74D6"/>
    <w:rsid w:val="004A7957"/>
    <w:rsid w:val="004C4144"/>
    <w:rsid w:val="004D6B4C"/>
    <w:rsid w:val="004F0D34"/>
    <w:rsid w:val="004F2479"/>
    <w:rsid w:val="005316A8"/>
    <w:rsid w:val="005359E7"/>
    <w:rsid w:val="0054013E"/>
    <w:rsid w:val="00565D71"/>
    <w:rsid w:val="005704DE"/>
    <w:rsid w:val="00581C9B"/>
    <w:rsid w:val="005856B1"/>
    <w:rsid w:val="005B0AC0"/>
    <w:rsid w:val="005B3DB9"/>
    <w:rsid w:val="005D2A7C"/>
    <w:rsid w:val="00605D55"/>
    <w:rsid w:val="0062151E"/>
    <w:rsid w:val="00654116"/>
    <w:rsid w:val="0065560C"/>
    <w:rsid w:val="00655A05"/>
    <w:rsid w:val="00696783"/>
    <w:rsid w:val="006969B4"/>
    <w:rsid w:val="006A4F9F"/>
    <w:rsid w:val="006D675D"/>
    <w:rsid w:val="006E4F7B"/>
    <w:rsid w:val="00701574"/>
    <w:rsid w:val="00707400"/>
    <w:rsid w:val="00743E41"/>
    <w:rsid w:val="00774B42"/>
    <w:rsid w:val="00781E2A"/>
    <w:rsid w:val="007933A2"/>
    <w:rsid w:val="007D4290"/>
    <w:rsid w:val="007E1FEF"/>
    <w:rsid w:val="00801C52"/>
    <w:rsid w:val="00807BDC"/>
    <w:rsid w:val="00811DE7"/>
    <w:rsid w:val="00814503"/>
    <w:rsid w:val="008258C2"/>
    <w:rsid w:val="00830DAE"/>
    <w:rsid w:val="00832513"/>
    <w:rsid w:val="008325FF"/>
    <w:rsid w:val="008439E3"/>
    <w:rsid w:val="008505BD"/>
    <w:rsid w:val="00850C78"/>
    <w:rsid w:val="00855BDC"/>
    <w:rsid w:val="00855E3A"/>
    <w:rsid w:val="00866BAC"/>
    <w:rsid w:val="00884D12"/>
    <w:rsid w:val="008A5CFA"/>
    <w:rsid w:val="008A746D"/>
    <w:rsid w:val="008C17AD"/>
    <w:rsid w:val="008C298A"/>
    <w:rsid w:val="008D02CD"/>
    <w:rsid w:val="008D54BA"/>
    <w:rsid w:val="008E2057"/>
    <w:rsid w:val="0090137A"/>
    <w:rsid w:val="00912126"/>
    <w:rsid w:val="00921BFB"/>
    <w:rsid w:val="0092291C"/>
    <w:rsid w:val="0092348E"/>
    <w:rsid w:val="0093316C"/>
    <w:rsid w:val="0093767D"/>
    <w:rsid w:val="0094637C"/>
    <w:rsid w:val="0095172A"/>
    <w:rsid w:val="00963BBE"/>
    <w:rsid w:val="00973CF1"/>
    <w:rsid w:val="0097405D"/>
    <w:rsid w:val="009762DA"/>
    <w:rsid w:val="00981644"/>
    <w:rsid w:val="00993D80"/>
    <w:rsid w:val="0099524A"/>
    <w:rsid w:val="009A0BA0"/>
    <w:rsid w:val="009A7294"/>
    <w:rsid w:val="009B0D9C"/>
    <w:rsid w:val="009B3C3E"/>
    <w:rsid w:val="009B4A41"/>
    <w:rsid w:val="009B7FCB"/>
    <w:rsid w:val="009E64AC"/>
    <w:rsid w:val="009F51D6"/>
    <w:rsid w:val="00A23999"/>
    <w:rsid w:val="00A3772B"/>
    <w:rsid w:val="00A42768"/>
    <w:rsid w:val="00A54E47"/>
    <w:rsid w:val="00A60338"/>
    <w:rsid w:val="00A71D8D"/>
    <w:rsid w:val="00A826DF"/>
    <w:rsid w:val="00A93E3B"/>
    <w:rsid w:val="00AA13ED"/>
    <w:rsid w:val="00AA3095"/>
    <w:rsid w:val="00AA3CBA"/>
    <w:rsid w:val="00AA472C"/>
    <w:rsid w:val="00AB56EA"/>
    <w:rsid w:val="00AB6E3A"/>
    <w:rsid w:val="00AC16C0"/>
    <w:rsid w:val="00AD123E"/>
    <w:rsid w:val="00AE7093"/>
    <w:rsid w:val="00B00651"/>
    <w:rsid w:val="00B14BE9"/>
    <w:rsid w:val="00B211AC"/>
    <w:rsid w:val="00B312DA"/>
    <w:rsid w:val="00B422BC"/>
    <w:rsid w:val="00B43F77"/>
    <w:rsid w:val="00B5057D"/>
    <w:rsid w:val="00B55A3E"/>
    <w:rsid w:val="00B65FE8"/>
    <w:rsid w:val="00B80E33"/>
    <w:rsid w:val="00B82F7D"/>
    <w:rsid w:val="00B87E9E"/>
    <w:rsid w:val="00B95F0A"/>
    <w:rsid w:val="00B96180"/>
    <w:rsid w:val="00BA3874"/>
    <w:rsid w:val="00BD7629"/>
    <w:rsid w:val="00C116FE"/>
    <w:rsid w:val="00C17AC0"/>
    <w:rsid w:val="00C20E01"/>
    <w:rsid w:val="00C31108"/>
    <w:rsid w:val="00C34772"/>
    <w:rsid w:val="00C4046F"/>
    <w:rsid w:val="00C47780"/>
    <w:rsid w:val="00C47C70"/>
    <w:rsid w:val="00C5465A"/>
    <w:rsid w:val="00C57F94"/>
    <w:rsid w:val="00CA4DAA"/>
    <w:rsid w:val="00CB2845"/>
    <w:rsid w:val="00CC07F0"/>
    <w:rsid w:val="00CC5ACE"/>
    <w:rsid w:val="00CD75AB"/>
    <w:rsid w:val="00CE6747"/>
    <w:rsid w:val="00CF65ED"/>
    <w:rsid w:val="00D14A29"/>
    <w:rsid w:val="00D263D6"/>
    <w:rsid w:val="00D54642"/>
    <w:rsid w:val="00D62C18"/>
    <w:rsid w:val="00D7168B"/>
    <w:rsid w:val="00D720C5"/>
    <w:rsid w:val="00D7517D"/>
    <w:rsid w:val="00DC10A8"/>
    <w:rsid w:val="00DC1FF3"/>
    <w:rsid w:val="00DC4421"/>
    <w:rsid w:val="00DD7018"/>
    <w:rsid w:val="00DD77C9"/>
    <w:rsid w:val="00DE1AF7"/>
    <w:rsid w:val="00DF3538"/>
    <w:rsid w:val="00DF7D57"/>
    <w:rsid w:val="00E3211B"/>
    <w:rsid w:val="00E3747D"/>
    <w:rsid w:val="00E52775"/>
    <w:rsid w:val="00E7319E"/>
    <w:rsid w:val="00E734C3"/>
    <w:rsid w:val="00E839B0"/>
    <w:rsid w:val="00E92C09"/>
    <w:rsid w:val="00EA0E30"/>
    <w:rsid w:val="00EE7B49"/>
    <w:rsid w:val="00EF4AA6"/>
    <w:rsid w:val="00EF6CD1"/>
    <w:rsid w:val="00F14380"/>
    <w:rsid w:val="00F275A7"/>
    <w:rsid w:val="00F42B1E"/>
    <w:rsid w:val="00F43A6B"/>
    <w:rsid w:val="00F6461F"/>
    <w:rsid w:val="00FA4B9E"/>
    <w:rsid w:val="00FD2B2D"/>
    <w:rsid w:val="00FD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9EA14A23-8B03-4BB4-BBF3-9066FAAF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aliases w:val="fo,pie de página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aliases w:val="fo Char,pie de página Char"/>
    <w:link w:val="Footer"/>
    <w:uiPriority w:val="99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NormalWeb">
    <w:name w:val="Normal (Web)"/>
    <w:basedOn w:val="Normal"/>
    <w:uiPriority w:val="99"/>
    <w:rsid w:val="0094637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8A5CF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  <w:rPr>
      <w:lang w:val="en-GB"/>
    </w:rPr>
  </w:style>
  <w:style w:type="paragraph" w:customStyle="1" w:styleId="Reasons">
    <w:name w:val="Reasons"/>
    <w:basedOn w:val="Normal"/>
    <w:qFormat/>
    <w:rsid w:val="008A5CF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62151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151E"/>
    <w:rPr>
      <w:rFonts w:ascii="Tahoma" w:hAnsi="Tahoma" w:cs="Tahoma"/>
      <w:sz w:val="16"/>
      <w:szCs w:val="16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4D6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D/Regional-Presence/AsiaPacific/Documents/Events/2018/ssceg2018/Invitatio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mail.sha@itu.in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tu.int/go/ssceg201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itu.int/go/ssceg20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4ssc@itu.in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nandf\AppData\Roaming\Microsoft\Templates\POOL%20S%20-%20ITU\PS_TSBCIRC1-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2C376-8FBA-4D3F-8E59-554AA63C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PS_TSBCIRC1-S.dotx</Template>
  <TotalTime>12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3366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FHernández</dc:creator>
  <cp:lastModifiedBy>Osvath, Alexandra</cp:lastModifiedBy>
  <cp:revision>9</cp:revision>
  <cp:lastPrinted>2018-06-27T09:44:00Z</cp:lastPrinted>
  <dcterms:created xsi:type="dcterms:W3CDTF">2018-06-18T13:37:00Z</dcterms:created>
  <dcterms:modified xsi:type="dcterms:W3CDTF">2018-06-27T09:47:00Z</dcterms:modified>
</cp:coreProperties>
</file>