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4819"/>
        <w:gridCol w:w="4820"/>
      </w:tblGrid>
      <w:tr w:rsidR="003C15E8" w:rsidRPr="006D073C" w:rsidTr="003C15E8">
        <w:trPr>
          <w:jc w:val="center"/>
        </w:trPr>
        <w:tc>
          <w:tcPr>
            <w:tcW w:w="2500" w:type="pct"/>
            <w:shd w:val="clear" w:color="auto" w:fill="auto"/>
            <w:vAlign w:val="center"/>
          </w:tcPr>
          <w:p w:rsidR="003C15E8" w:rsidRPr="006D073C" w:rsidRDefault="003C15E8" w:rsidP="003C15E8">
            <w:pPr>
              <w:tabs>
                <w:tab w:val="clear" w:pos="1134"/>
                <w:tab w:val="left" w:pos="794"/>
                <w:tab w:val="left" w:pos="1191"/>
                <w:tab w:val="left" w:pos="1588"/>
                <w:tab w:val="left" w:pos="1985"/>
              </w:tabs>
              <w:overflowPunct w:val="0"/>
              <w:autoSpaceDE w:val="0"/>
              <w:autoSpaceDN w:val="0"/>
              <w:adjustRightInd w:val="0"/>
              <w:spacing w:before="240"/>
              <w:jc w:val="left"/>
              <w:textAlignment w:val="baseline"/>
              <w:rPr>
                <w:b/>
                <w:bCs/>
                <w:color w:val="808080"/>
                <w:sz w:val="30"/>
                <w:szCs w:val="40"/>
              </w:rPr>
            </w:pPr>
            <w:r w:rsidRPr="003C15E8">
              <w:rPr>
                <w:b/>
                <w:bCs/>
                <w:color w:val="808080"/>
                <w:sz w:val="30"/>
                <w:szCs w:val="40"/>
                <w:rtl/>
              </w:rPr>
              <w:t>مكتب</w:t>
            </w:r>
            <w:r w:rsidRPr="003C15E8">
              <w:rPr>
                <w:rFonts w:hint="cs"/>
                <w:b/>
                <w:bCs/>
                <w:color w:val="808080"/>
                <w:sz w:val="30"/>
                <w:szCs w:val="40"/>
                <w:rtl/>
              </w:rPr>
              <w:t xml:space="preserve"> تقييس الاتصالات</w:t>
            </w:r>
            <w:r>
              <w:rPr>
                <w:rFonts w:hint="cs"/>
                <w:b/>
                <w:bCs/>
                <w:color w:val="808080"/>
                <w:sz w:val="30"/>
                <w:szCs w:val="40"/>
                <w:rtl/>
              </w:rPr>
              <w:t xml:space="preserve"> </w:t>
            </w:r>
            <w:r>
              <w:rPr>
                <w:b/>
                <w:bCs/>
                <w:color w:val="808080"/>
                <w:sz w:val="30"/>
                <w:szCs w:val="40"/>
              </w:rPr>
              <w:t>(TSB)</w:t>
            </w:r>
          </w:p>
        </w:tc>
        <w:tc>
          <w:tcPr>
            <w:tcW w:w="2500" w:type="pct"/>
            <w:vAlign w:val="center"/>
          </w:tcPr>
          <w:p w:rsidR="003C15E8" w:rsidRPr="006D073C" w:rsidRDefault="003C15E8" w:rsidP="003C15E8">
            <w:pPr>
              <w:tabs>
                <w:tab w:val="clear" w:pos="1134"/>
                <w:tab w:val="left" w:pos="794"/>
                <w:tab w:val="left" w:pos="1191"/>
                <w:tab w:val="left" w:pos="1588"/>
                <w:tab w:val="left" w:pos="1985"/>
              </w:tabs>
              <w:overflowPunct w:val="0"/>
              <w:autoSpaceDE w:val="0"/>
              <w:autoSpaceDN w:val="0"/>
              <w:adjustRightInd w:val="0"/>
              <w:spacing w:before="240"/>
              <w:jc w:val="right"/>
              <w:textAlignment w:val="baseline"/>
              <w:rPr>
                <w:b/>
                <w:bCs/>
                <w:color w:val="808080"/>
                <w:sz w:val="34"/>
                <w:szCs w:val="44"/>
              </w:rPr>
            </w:pPr>
            <w:r w:rsidRPr="003C15E8">
              <w:rPr>
                <w:b/>
                <w:bCs/>
                <w:color w:val="808080"/>
                <w:sz w:val="30"/>
                <w:szCs w:val="40"/>
                <w:rtl/>
              </w:rPr>
              <w:t>مكتب</w:t>
            </w:r>
            <w:r w:rsidRPr="003C15E8">
              <w:rPr>
                <w:rFonts w:hint="cs"/>
                <w:b/>
                <w:bCs/>
                <w:color w:val="808080"/>
                <w:sz w:val="30"/>
                <w:szCs w:val="40"/>
                <w:rtl/>
              </w:rPr>
              <w:t xml:space="preserve"> تقييس الاتصالات</w:t>
            </w:r>
            <w:r>
              <w:rPr>
                <w:rFonts w:hint="cs"/>
                <w:b/>
                <w:bCs/>
                <w:color w:val="808080"/>
                <w:sz w:val="30"/>
                <w:szCs w:val="40"/>
                <w:rtl/>
              </w:rPr>
              <w:t xml:space="preserve"> </w:t>
            </w:r>
            <w:r>
              <w:rPr>
                <w:b/>
                <w:bCs/>
                <w:color w:val="808080"/>
                <w:sz w:val="30"/>
                <w:szCs w:val="40"/>
              </w:rPr>
              <w:t>(BDT)</w:t>
            </w:r>
          </w:p>
        </w:tc>
      </w:tr>
    </w:tbl>
    <w:p w:rsidR="003C15E8" w:rsidRDefault="003C15E8"/>
    <w:tbl>
      <w:tblPr>
        <w:bidiVisual/>
        <w:tblW w:w="5000" w:type="pct"/>
        <w:jc w:val="center"/>
        <w:tblLayout w:type="fixed"/>
        <w:tblLook w:val="04A0" w:firstRow="1" w:lastRow="0" w:firstColumn="1" w:lastColumn="0" w:noHBand="0" w:noVBand="1"/>
      </w:tblPr>
      <w:tblGrid>
        <w:gridCol w:w="1133"/>
        <w:gridCol w:w="4253"/>
        <w:gridCol w:w="4253"/>
      </w:tblGrid>
      <w:tr w:rsidR="006D073C" w:rsidRPr="006D073C" w:rsidTr="004270DC">
        <w:trPr>
          <w:jc w:val="center"/>
        </w:trPr>
        <w:tc>
          <w:tcPr>
            <w:tcW w:w="5000" w:type="pct"/>
            <w:gridSpan w:val="3"/>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val="fr-FR" w:eastAsia="zh-CN" w:bidi="ar-SY"/>
              </w:rPr>
            </w:pPr>
          </w:p>
        </w:tc>
      </w:tr>
      <w:tr w:rsidR="006D073C" w:rsidRPr="006D073C" w:rsidTr="00C30ACC">
        <w:trPr>
          <w:trHeight w:val="577"/>
          <w:jc w:val="center"/>
        </w:trPr>
        <w:tc>
          <w:tcPr>
            <w:tcW w:w="588"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rPr>
            </w:pPr>
          </w:p>
        </w:tc>
        <w:tc>
          <w:tcPr>
            <w:tcW w:w="2206"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bidi="ar-EG"/>
              </w:rPr>
            </w:pPr>
          </w:p>
        </w:tc>
        <w:tc>
          <w:tcPr>
            <w:tcW w:w="2206" w:type="pct"/>
            <w:shd w:val="clear" w:color="auto" w:fill="auto"/>
          </w:tcPr>
          <w:p w:rsidR="006D073C" w:rsidRPr="006D073C" w:rsidRDefault="006D073C" w:rsidP="003C15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bidi="ar-EG"/>
              </w:rPr>
            </w:pPr>
            <w:r w:rsidRPr="006D073C">
              <w:rPr>
                <w:rFonts w:eastAsiaTheme="minorEastAsia" w:hint="cs"/>
                <w:rtl/>
                <w:lang w:eastAsia="zh-CN"/>
              </w:rPr>
              <w:t xml:space="preserve">جنيف، </w:t>
            </w:r>
            <w:r w:rsidR="003C15E8">
              <w:rPr>
                <w:rFonts w:eastAsiaTheme="minorEastAsia"/>
                <w:lang w:eastAsia="zh-CN" w:bidi="ar-SY"/>
              </w:rPr>
              <w:t>6</w:t>
            </w:r>
            <w:r w:rsidRPr="006D073C">
              <w:rPr>
                <w:rFonts w:eastAsiaTheme="minorEastAsia" w:hint="cs"/>
                <w:rtl/>
                <w:lang w:eastAsia="zh-CN" w:bidi="ar-SY"/>
              </w:rPr>
              <w:t xml:space="preserve"> </w:t>
            </w:r>
            <w:r w:rsidR="003C15E8">
              <w:rPr>
                <w:rFonts w:eastAsiaTheme="minorEastAsia" w:hint="cs"/>
                <w:rtl/>
                <w:lang w:eastAsia="zh-CN" w:bidi="ar-SY"/>
              </w:rPr>
              <w:t>يونيو</w:t>
            </w:r>
            <w:r w:rsidRPr="006D073C">
              <w:rPr>
                <w:rFonts w:eastAsiaTheme="minorEastAsia" w:hint="cs"/>
                <w:rtl/>
                <w:lang w:eastAsia="zh-CN" w:bidi="ar-SY"/>
              </w:rPr>
              <w:t xml:space="preserve"> </w:t>
            </w:r>
            <w:r w:rsidR="003C15E8">
              <w:rPr>
                <w:rFonts w:eastAsiaTheme="minorEastAsia"/>
                <w:lang w:eastAsia="zh-CN" w:bidi="ar-SY"/>
              </w:rPr>
              <w:t>2018</w:t>
            </w:r>
          </w:p>
        </w:tc>
      </w:tr>
      <w:tr w:rsidR="003C15E8" w:rsidRPr="006D073C" w:rsidTr="00C30ACC">
        <w:trPr>
          <w:trHeight w:val="273"/>
          <w:jc w:val="center"/>
        </w:trPr>
        <w:tc>
          <w:tcPr>
            <w:tcW w:w="588" w:type="pct"/>
            <w:shd w:val="clear" w:color="auto" w:fill="auto"/>
          </w:tcPr>
          <w:p w:rsidR="003C15E8" w:rsidRPr="006D073C" w:rsidRDefault="003C15E8" w:rsidP="00E35FD2">
            <w:pPr>
              <w:spacing w:before="0"/>
              <w:rPr>
                <w:rFonts w:eastAsiaTheme="minorEastAsia"/>
                <w:lang w:val="fr-FR" w:eastAsia="zh-CN" w:bidi="ar-SY"/>
              </w:rPr>
            </w:pPr>
          </w:p>
        </w:tc>
        <w:tc>
          <w:tcPr>
            <w:tcW w:w="4412" w:type="pct"/>
            <w:gridSpan w:val="2"/>
            <w:shd w:val="clear" w:color="auto" w:fill="auto"/>
          </w:tcPr>
          <w:p w:rsidR="003C15E8" w:rsidRPr="006D073C" w:rsidRDefault="003C15E8" w:rsidP="00E35FD2">
            <w:pPr>
              <w:spacing w:before="0"/>
              <w:rPr>
                <w:rFonts w:eastAsiaTheme="minorEastAsia"/>
                <w:rtl/>
                <w:lang w:eastAsia="zh-CN" w:bidi="ar-EG"/>
              </w:rPr>
            </w:pPr>
          </w:p>
        </w:tc>
      </w:tr>
      <w:tr w:rsidR="006D073C" w:rsidRPr="006D073C" w:rsidTr="00C30ACC">
        <w:trPr>
          <w:jc w:val="center"/>
        </w:trPr>
        <w:tc>
          <w:tcPr>
            <w:tcW w:w="588" w:type="pct"/>
            <w:shd w:val="clear" w:color="auto" w:fill="auto"/>
          </w:tcPr>
          <w:p w:rsidR="006D073C" w:rsidRPr="006D073C" w:rsidRDefault="00C30AC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val="fr-FR" w:eastAsia="zh-CN"/>
              </w:rPr>
            </w:pPr>
            <w:r w:rsidRPr="00E35FD2">
              <w:rPr>
                <w:rFonts w:eastAsiaTheme="minorEastAsia" w:hint="cs"/>
                <w:position w:val="2"/>
                <w:rtl/>
                <w:lang w:eastAsia="zh-CN"/>
              </w:rPr>
              <w:t>المرجع:</w:t>
            </w:r>
          </w:p>
        </w:tc>
        <w:tc>
          <w:tcPr>
            <w:tcW w:w="2206" w:type="pct"/>
            <w:shd w:val="clear" w:color="auto" w:fill="auto"/>
          </w:tcPr>
          <w:p w:rsidR="006D073C" w:rsidRPr="006D073C" w:rsidRDefault="00C30ACC" w:rsidP="00C30A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eastAsia="zh-CN" w:bidi="ar-EG"/>
              </w:rPr>
            </w:pPr>
            <w:r w:rsidRPr="00C30ACC">
              <w:rPr>
                <w:rFonts w:eastAsiaTheme="minorEastAsia"/>
                <w:b/>
                <w:bCs/>
                <w:spacing w:val="-2"/>
                <w:rtl/>
                <w:lang w:eastAsia="zh-CN" w:bidi="ar-EG"/>
              </w:rPr>
              <w:t>الرسالة المعمم</w:t>
            </w:r>
            <w:r w:rsidRPr="00C30ACC">
              <w:rPr>
                <w:rFonts w:eastAsiaTheme="minorEastAsia" w:hint="cs"/>
                <w:b/>
                <w:bCs/>
                <w:spacing w:val="-2"/>
                <w:rtl/>
                <w:lang w:eastAsia="zh-CN" w:bidi="ar-EG"/>
              </w:rPr>
              <w:t xml:space="preserve">ة </w:t>
            </w:r>
            <w:r w:rsidRPr="00C30ACC">
              <w:rPr>
                <w:rFonts w:eastAsiaTheme="minorEastAsia"/>
                <w:b/>
                <w:bCs/>
                <w:spacing w:val="-2"/>
                <w:lang w:val="pt-BR" w:eastAsia="zh-CN" w:bidi="ar-EG"/>
              </w:rPr>
              <w:t>CL005</w:t>
            </w:r>
            <w:r w:rsidRPr="00C30ACC">
              <w:rPr>
                <w:rFonts w:eastAsiaTheme="minorEastAsia"/>
                <w:b/>
                <w:bCs/>
                <w:spacing w:val="-2"/>
                <w:rtl/>
                <w:lang w:eastAsia="zh-CN"/>
              </w:rPr>
              <w:t xml:space="preserve"> </w:t>
            </w:r>
            <w:r w:rsidRPr="00C30ACC">
              <w:rPr>
                <w:rFonts w:eastAsiaTheme="minorEastAsia"/>
                <w:b/>
                <w:bCs/>
                <w:spacing w:val="-2"/>
                <w:rtl/>
                <w:lang w:eastAsia="zh-CN" w:bidi="ar-EG"/>
              </w:rPr>
              <w:t>لمكتب تنمية الاتصالات</w:t>
            </w:r>
            <w:r w:rsidRPr="003C15E8">
              <w:rPr>
                <w:rFonts w:eastAsiaTheme="minorEastAsia"/>
                <w:b/>
                <w:bCs/>
                <w:rtl/>
                <w:lang w:eastAsia="zh-CN" w:bidi="ar-EG"/>
              </w:rPr>
              <w:t xml:space="preserve"> والرسالة المعممة </w:t>
            </w:r>
            <w:r w:rsidRPr="003C15E8">
              <w:rPr>
                <w:rFonts w:eastAsiaTheme="minorEastAsia"/>
                <w:b/>
                <w:bCs/>
                <w:lang w:eastAsia="zh-CN" w:bidi="ar-EG"/>
              </w:rPr>
              <w:t>95</w:t>
            </w:r>
            <w:r w:rsidRPr="003C15E8">
              <w:rPr>
                <w:rFonts w:eastAsiaTheme="minorEastAsia"/>
                <w:b/>
                <w:bCs/>
                <w:rtl/>
                <w:lang w:eastAsia="zh-CN"/>
              </w:rPr>
              <w:t xml:space="preserve"> </w:t>
            </w:r>
            <w:r w:rsidRPr="003C15E8">
              <w:rPr>
                <w:rFonts w:eastAsiaTheme="minorEastAsia"/>
                <w:b/>
                <w:bCs/>
                <w:rtl/>
                <w:lang w:eastAsia="zh-CN" w:bidi="ar-EG"/>
              </w:rPr>
              <w:t>لمكتب تقييس الاتصالات</w:t>
            </w:r>
          </w:p>
        </w:tc>
        <w:tc>
          <w:tcPr>
            <w:tcW w:w="2206" w:type="pct"/>
            <w:vMerge w:val="restart"/>
            <w:shd w:val="clear" w:color="auto" w:fill="auto"/>
          </w:tcPr>
          <w:p w:rsidR="003C15E8" w:rsidRPr="003C15E8" w:rsidRDefault="003C15E8" w:rsidP="00E35FD2">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ind w:left="318" w:hanging="318"/>
              <w:jc w:val="left"/>
              <w:rPr>
                <w:rFonts w:eastAsiaTheme="minorEastAsia"/>
                <w:b/>
                <w:bCs/>
                <w:position w:val="2"/>
                <w:lang w:eastAsia="zh-CN" w:bidi="ar-EG"/>
              </w:rPr>
            </w:pPr>
            <w:r w:rsidRPr="003C15E8">
              <w:rPr>
                <w:rFonts w:eastAsiaTheme="minorEastAsia" w:hint="cs"/>
                <w:b/>
                <w:bCs/>
                <w:position w:val="2"/>
                <w:rtl/>
                <w:lang w:eastAsia="zh-CN"/>
              </w:rPr>
              <w:t>إلى:</w:t>
            </w:r>
          </w:p>
          <w:p w:rsidR="003C15E8" w:rsidRPr="003C15E8"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rtl/>
                <w:lang w:eastAsia="zh-CN" w:bidi="ar-EG"/>
              </w:rPr>
            </w:pPr>
            <w:r w:rsidRPr="003C15E8">
              <w:rPr>
                <w:rFonts w:eastAsiaTheme="minorEastAsia" w:hint="cs"/>
                <w:position w:val="2"/>
                <w:rtl/>
                <w:lang w:eastAsia="zh-CN"/>
              </w:rPr>
              <w:t>-</w:t>
            </w:r>
            <w:r w:rsidRPr="003C15E8">
              <w:rPr>
                <w:rFonts w:eastAsiaTheme="minorEastAsia"/>
                <w:position w:val="2"/>
                <w:rtl/>
                <w:lang w:eastAsia="zh-CN"/>
              </w:rPr>
              <w:tab/>
              <w:t>إدارات الدول الأعضاء في الاتحاد</w:t>
            </w:r>
            <w:r w:rsidRPr="003C15E8">
              <w:rPr>
                <w:rFonts w:eastAsiaTheme="minorEastAsia"/>
                <w:position w:val="2"/>
                <w:rtl/>
                <w:lang w:eastAsia="zh-CN" w:bidi="ar-EG"/>
              </w:rPr>
              <w:t>؛</w:t>
            </w:r>
          </w:p>
          <w:p w:rsidR="003C15E8" w:rsidRPr="003C15E8"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lang w:eastAsia="zh-CN" w:bidi="ar-EG"/>
              </w:rPr>
            </w:pPr>
            <w:r w:rsidRPr="003C15E8">
              <w:rPr>
                <w:rFonts w:eastAsiaTheme="minorEastAsia" w:hint="cs"/>
                <w:position w:val="2"/>
                <w:rtl/>
                <w:lang w:eastAsia="zh-CN"/>
              </w:rPr>
              <w:t>-</w:t>
            </w:r>
            <w:r w:rsidRPr="003C15E8">
              <w:rPr>
                <w:rFonts w:eastAsiaTheme="minorEastAsia"/>
                <w:position w:val="2"/>
                <w:rtl/>
                <w:lang w:eastAsia="zh-CN"/>
              </w:rPr>
              <w:tab/>
            </w:r>
            <w:r w:rsidRPr="003C15E8">
              <w:rPr>
                <w:rFonts w:eastAsiaTheme="minorEastAsia"/>
                <w:position w:val="2"/>
                <w:rtl/>
                <w:lang w:eastAsia="zh-CN" w:bidi="ar-EG"/>
              </w:rPr>
              <w:t>الوزارات والهيئات التنظيمية؛</w:t>
            </w:r>
          </w:p>
          <w:p w:rsidR="003C15E8" w:rsidRPr="003C15E8"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lang w:eastAsia="zh-CN" w:bidi="ar-EG"/>
              </w:rPr>
            </w:pPr>
            <w:r w:rsidRPr="003C15E8">
              <w:rPr>
                <w:rFonts w:eastAsiaTheme="minorEastAsia" w:hint="cs"/>
                <w:position w:val="2"/>
                <w:rtl/>
                <w:lang w:eastAsia="zh-CN"/>
              </w:rPr>
              <w:t>-</w:t>
            </w:r>
            <w:r w:rsidRPr="003C15E8">
              <w:rPr>
                <w:rFonts w:eastAsiaTheme="minorEastAsia"/>
                <w:position w:val="2"/>
                <w:rtl/>
                <w:lang w:eastAsia="zh-CN"/>
              </w:rPr>
              <w:tab/>
            </w:r>
            <w:r w:rsidRPr="003C15E8">
              <w:rPr>
                <w:rFonts w:eastAsiaTheme="minorEastAsia"/>
                <w:position w:val="2"/>
                <w:rtl/>
                <w:lang w:eastAsia="zh-CN" w:bidi="ar-EG"/>
              </w:rPr>
              <w:t>أعضاء قطاع تقييس الاتصالات وقطاع تنمية الاتصالات؛</w:t>
            </w:r>
          </w:p>
          <w:p w:rsidR="003C15E8" w:rsidRPr="003C15E8" w:rsidRDefault="003C15E8" w:rsidP="00C30ACC">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rtl/>
                <w:lang w:eastAsia="zh-CN"/>
              </w:rPr>
            </w:pPr>
            <w:r w:rsidRPr="003C15E8">
              <w:rPr>
                <w:rFonts w:eastAsiaTheme="minorEastAsia" w:hint="cs"/>
                <w:position w:val="2"/>
                <w:rtl/>
                <w:lang w:eastAsia="zh-CN"/>
              </w:rPr>
              <w:t>-</w:t>
            </w:r>
            <w:r w:rsidRPr="003C15E8">
              <w:rPr>
                <w:rFonts w:eastAsiaTheme="minorEastAsia"/>
                <w:position w:val="2"/>
                <w:rtl/>
                <w:lang w:eastAsia="zh-CN"/>
              </w:rPr>
              <w:tab/>
              <w:t>المنتسبين إلى قطاع تقييس الاتصالات وقطاع تنمية</w:t>
            </w:r>
            <w:r w:rsidR="00C30ACC">
              <w:rPr>
                <w:rFonts w:eastAsiaTheme="minorEastAsia" w:hint="cs"/>
                <w:position w:val="2"/>
                <w:rtl/>
                <w:lang w:eastAsia="zh-CN"/>
              </w:rPr>
              <w:t> </w:t>
            </w:r>
            <w:r w:rsidRPr="003C15E8">
              <w:rPr>
                <w:rFonts w:eastAsiaTheme="minorEastAsia"/>
                <w:position w:val="2"/>
                <w:rtl/>
                <w:lang w:eastAsia="zh-CN"/>
              </w:rPr>
              <w:t>الاتصالات؛</w:t>
            </w:r>
          </w:p>
          <w:p w:rsidR="006D073C" w:rsidRPr="003C15E8"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rtl/>
                <w:lang w:eastAsia="zh-CN" w:bidi="ar-EG"/>
              </w:rPr>
            </w:pPr>
            <w:r w:rsidRPr="003C15E8">
              <w:rPr>
                <w:rFonts w:eastAsiaTheme="minorEastAsia"/>
                <w:position w:val="2"/>
                <w:rtl/>
                <w:lang w:eastAsia="zh-CN"/>
              </w:rPr>
              <w:t>-</w:t>
            </w:r>
            <w:r w:rsidRPr="003C15E8">
              <w:rPr>
                <w:rFonts w:eastAsiaTheme="minorEastAsia"/>
                <w:position w:val="2"/>
                <w:rtl/>
                <w:lang w:eastAsia="zh-CN"/>
              </w:rPr>
              <w:tab/>
              <w:t>الهيئات الأكاديمية المنضمة إلى</w:t>
            </w:r>
            <w:r w:rsidRPr="003C15E8">
              <w:rPr>
                <w:rFonts w:eastAsiaTheme="minorEastAsia"/>
                <w:position w:val="2"/>
                <w:rtl/>
                <w:lang w:eastAsia="zh-CN" w:bidi="ar-EG"/>
              </w:rPr>
              <w:t xml:space="preserve"> الاتحاد</w:t>
            </w:r>
          </w:p>
          <w:p w:rsidR="003C15E8" w:rsidRPr="003C15E8" w:rsidRDefault="003C15E8" w:rsidP="00E35FD2">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ind w:left="318" w:hanging="318"/>
              <w:jc w:val="left"/>
              <w:rPr>
                <w:rFonts w:eastAsiaTheme="minorEastAsia"/>
                <w:b/>
                <w:bCs/>
                <w:position w:val="2"/>
                <w:rtl/>
                <w:lang w:eastAsia="zh-CN"/>
              </w:rPr>
            </w:pPr>
            <w:r w:rsidRPr="003C15E8">
              <w:rPr>
                <w:rFonts w:eastAsiaTheme="minorEastAsia" w:hint="cs"/>
                <w:b/>
                <w:bCs/>
                <w:position w:val="2"/>
                <w:rtl/>
                <w:lang w:eastAsia="zh-CN"/>
              </w:rPr>
              <w:t>نسخة إلى:</w:t>
            </w:r>
          </w:p>
          <w:p w:rsidR="003C15E8" w:rsidRPr="003C15E8"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position w:val="2"/>
                <w:rtl/>
                <w:lang w:eastAsia="zh-CN"/>
              </w:rPr>
            </w:pPr>
            <w:r w:rsidRPr="003C15E8">
              <w:rPr>
                <w:rFonts w:eastAsiaTheme="minorEastAsia"/>
                <w:position w:val="2"/>
                <w:rtl/>
                <w:lang w:eastAsia="zh-CN"/>
              </w:rPr>
              <w:t>-</w:t>
            </w:r>
            <w:r w:rsidRPr="003C15E8">
              <w:rPr>
                <w:rFonts w:eastAsiaTheme="minorEastAsia"/>
                <w:position w:val="2"/>
                <w:rtl/>
                <w:lang w:eastAsia="zh-CN"/>
              </w:rPr>
              <w:tab/>
              <w:t xml:space="preserve">رؤساء لجان الدراسات </w:t>
            </w:r>
            <w:r w:rsidRPr="003C15E8">
              <w:rPr>
                <w:rFonts w:eastAsiaTheme="minorEastAsia"/>
                <w:position w:val="2"/>
                <w:rtl/>
                <w:lang w:eastAsia="zh-CN" w:bidi="ar-EG"/>
              </w:rPr>
              <w:t>ب</w:t>
            </w:r>
            <w:r w:rsidRPr="003C15E8">
              <w:rPr>
                <w:rFonts w:eastAsiaTheme="minorEastAsia"/>
                <w:position w:val="2"/>
                <w:rtl/>
                <w:lang w:eastAsia="zh-CN"/>
              </w:rPr>
              <w:t>قطاع تنمية الاتصالات وقطاع تقييس الاتصالات ونوابهم؛</w:t>
            </w:r>
          </w:p>
          <w:p w:rsidR="003C15E8" w:rsidRPr="006D073C" w:rsidRDefault="003C15E8" w:rsidP="003C15E8">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rtl/>
                <w:lang w:eastAsia="zh-CN" w:bidi="ar-EG"/>
              </w:rPr>
            </w:pPr>
            <w:r w:rsidRPr="003C15E8">
              <w:rPr>
                <w:rFonts w:eastAsiaTheme="minorEastAsia"/>
                <w:position w:val="2"/>
                <w:rtl/>
                <w:lang w:eastAsia="zh-CN"/>
              </w:rPr>
              <w:t>-</w:t>
            </w:r>
            <w:r w:rsidRPr="003C15E8">
              <w:rPr>
                <w:rFonts w:eastAsiaTheme="minorEastAsia"/>
                <w:position w:val="2"/>
                <w:rtl/>
                <w:lang w:eastAsia="zh-CN"/>
              </w:rPr>
              <w:tab/>
              <w:t>مدير مكتب الاتصالات الراديوية</w:t>
            </w:r>
          </w:p>
        </w:tc>
      </w:tr>
      <w:tr w:rsidR="006D073C" w:rsidRPr="006D073C" w:rsidTr="00C30ACC">
        <w:trPr>
          <w:jc w:val="center"/>
        </w:trPr>
        <w:tc>
          <w:tcPr>
            <w:tcW w:w="588"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val="fr-FR" w:eastAsia="zh-CN"/>
              </w:rPr>
            </w:pPr>
          </w:p>
        </w:tc>
        <w:tc>
          <w:tcPr>
            <w:tcW w:w="2206"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bidi="ar-EG"/>
              </w:rPr>
            </w:pPr>
          </w:p>
        </w:tc>
        <w:tc>
          <w:tcPr>
            <w:tcW w:w="2206" w:type="pct"/>
            <w:vMerge/>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eastAsia="zh-CN" w:bidi="ar-SY"/>
              </w:rPr>
            </w:pPr>
          </w:p>
        </w:tc>
      </w:tr>
      <w:tr w:rsidR="006D073C" w:rsidRPr="006D073C" w:rsidTr="00C30ACC">
        <w:trPr>
          <w:jc w:val="center"/>
        </w:trPr>
        <w:tc>
          <w:tcPr>
            <w:tcW w:w="588"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val="fr-FR" w:eastAsia="zh-CN"/>
              </w:rPr>
            </w:pPr>
          </w:p>
        </w:tc>
        <w:tc>
          <w:tcPr>
            <w:tcW w:w="2206"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eastAsia="zh-CN" w:bidi="ar-SY"/>
              </w:rPr>
            </w:pPr>
          </w:p>
        </w:tc>
        <w:tc>
          <w:tcPr>
            <w:tcW w:w="2206" w:type="pct"/>
            <w:vMerge/>
            <w:shd w:val="clear" w:color="auto" w:fill="auto"/>
          </w:tcPr>
          <w:p w:rsidR="006D073C" w:rsidRPr="006D073C" w:rsidRDefault="006D073C" w:rsidP="006D073C">
            <w:pPr>
              <w:tabs>
                <w:tab w:val="clear" w:pos="1134"/>
                <w:tab w:val="left" w:pos="31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18" w:hanging="318"/>
              <w:jc w:val="left"/>
              <w:rPr>
                <w:rFonts w:eastAsiaTheme="minorEastAsia"/>
                <w:lang w:eastAsia="zh-CN" w:bidi="ar-SY"/>
              </w:rPr>
            </w:pPr>
          </w:p>
        </w:tc>
      </w:tr>
      <w:tr w:rsidR="006D073C" w:rsidRPr="006D073C" w:rsidTr="00C30ACC">
        <w:trPr>
          <w:jc w:val="center"/>
        </w:trPr>
        <w:tc>
          <w:tcPr>
            <w:tcW w:w="588"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rPr>
            </w:pPr>
          </w:p>
        </w:tc>
        <w:tc>
          <w:tcPr>
            <w:tcW w:w="4412" w:type="pct"/>
            <w:gridSpan w:val="2"/>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val="fr-FR" w:eastAsia="zh-CN" w:bidi="ar-SY"/>
              </w:rPr>
            </w:pPr>
          </w:p>
        </w:tc>
      </w:tr>
      <w:tr w:rsidR="006D073C" w:rsidRPr="006D073C" w:rsidTr="00C30ACC">
        <w:trPr>
          <w:jc w:val="center"/>
        </w:trPr>
        <w:tc>
          <w:tcPr>
            <w:tcW w:w="588" w:type="pct"/>
            <w:shd w:val="clear" w:color="auto" w:fill="auto"/>
          </w:tcPr>
          <w:p w:rsidR="006D073C" w:rsidRPr="003C15E8"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rtl/>
                <w:lang w:eastAsia="zh-CN"/>
              </w:rPr>
            </w:pPr>
            <w:r w:rsidRPr="003C15E8">
              <w:rPr>
                <w:rFonts w:eastAsiaTheme="minorEastAsia" w:hint="cs"/>
                <w:position w:val="2"/>
                <w:rtl/>
                <w:lang w:eastAsia="zh-CN"/>
              </w:rPr>
              <w:t>الموضوع:</w:t>
            </w:r>
          </w:p>
        </w:tc>
        <w:tc>
          <w:tcPr>
            <w:tcW w:w="4412" w:type="pct"/>
            <w:gridSpan w:val="2"/>
            <w:shd w:val="clear" w:color="auto" w:fill="auto"/>
          </w:tcPr>
          <w:p w:rsidR="006D073C" w:rsidRPr="003C15E8" w:rsidRDefault="003C15E8" w:rsidP="003C15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b/>
                <w:bCs/>
                <w:position w:val="2"/>
                <w:lang w:val="fr-FR" w:eastAsia="zh-CN" w:bidi="ar-SY"/>
              </w:rPr>
            </w:pPr>
            <w:r w:rsidRPr="003C15E8">
              <w:rPr>
                <w:rFonts w:eastAsiaTheme="minorEastAsia"/>
                <w:b/>
                <w:bCs/>
                <w:position w:val="2"/>
                <w:rtl/>
                <w:lang w:val="fr-FR" w:eastAsia="zh-CN"/>
              </w:rPr>
              <w:t>ورشة عمل ينظمها الاتحاد بشأن "التطبيقات متعددة الوسائط ومستقبل المجتمع الرقمي"</w:t>
            </w:r>
            <w:r w:rsidRPr="003C15E8">
              <w:rPr>
                <w:rFonts w:eastAsiaTheme="minorEastAsia"/>
                <w:b/>
                <w:bCs/>
                <w:position w:val="2"/>
                <w:rtl/>
                <w:lang w:val="fr-FR" w:eastAsia="zh-CN" w:bidi="ar-EG"/>
              </w:rPr>
              <w:t xml:space="preserve"> (</w:t>
            </w:r>
            <w:r w:rsidRPr="003C15E8">
              <w:rPr>
                <w:rFonts w:eastAsiaTheme="minorEastAsia"/>
                <w:b/>
                <w:bCs/>
                <w:position w:val="2"/>
                <w:rtl/>
                <w:lang w:val="fr-FR" w:eastAsia="zh-CN" w:bidi="ar-SY"/>
              </w:rPr>
              <w:t>ليوبليانا،</w:t>
            </w:r>
            <w:r w:rsidRPr="003C15E8">
              <w:rPr>
                <w:rFonts w:eastAsiaTheme="minorEastAsia" w:hint="cs"/>
                <w:b/>
                <w:bCs/>
                <w:position w:val="2"/>
                <w:rtl/>
                <w:lang w:val="fr-FR" w:eastAsia="zh-CN" w:bidi="ar-SY"/>
              </w:rPr>
              <w:t> </w:t>
            </w:r>
            <w:r w:rsidRPr="003C15E8">
              <w:rPr>
                <w:rFonts w:eastAsiaTheme="minorEastAsia"/>
                <w:b/>
                <w:bCs/>
                <w:position w:val="2"/>
                <w:rtl/>
                <w:lang w:val="fr-FR" w:eastAsia="zh-CN" w:bidi="ar-SY"/>
              </w:rPr>
              <w:t xml:space="preserve">سلوفينيا، </w:t>
            </w:r>
            <w:r w:rsidRPr="003C15E8">
              <w:rPr>
                <w:rFonts w:eastAsiaTheme="minorEastAsia"/>
                <w:b/>
                <w:bCs/>
                <w:position w:val="2"/>
                <w:lang w:eastAsia="zh-CN" w:bidi="ar-SY"/>
              </w:rPr>
              <w:t>9</w:t>
            </w:r>
            <w:r w:rsidRPr="003C15E8">
              <w:rPr>
                <w:rFonts w:eastAsiaTheme="minorEastAsia"/>
                <w:b/>
                <w:bCs/>
                <w:position w:val="2"/>
                <w:rtl/>
                <w:lang w:val="fr-FR" w:eastAsia="zh-CN" w:bidi="ar-SY"/>
              </w:rPr>
              <w:t xml:space="preserve"> يوليو </w:t>
            </w:r>
            <w:r w:rsidRPr="003C15E8">
              <w:rPr>
                <w:rFonts w:eastAsiaTheme="minorEastAsia"/>
                <w:b/>
                <w:bCs/>
                <w:position w:val="2"/>
                <w:lang w:eastAsia="zh-CN" w:bidi="ar-SY"/>
              </w:rPr>
              <w:t>2018</w:t>
            </w:r>
            <w:r w:rsidRPr="003C15E8">
              <w:rPr>
                <w:rFonts w:eastAsiaTheme="minorEastAsia"/>
                <w:b/>
                <w:bCs/>
                <w:position w:val="2"/>
                <w:rtl/>
                <w:lang w:val="fr-FR" w:eastAsia="zh-CN"/>
              </w:rPr>
              <w:t>)</w:t>
            </w:r>
          </w:p>
        </w:tc>
      </w:tr>
      <w:tr w:rsidR="006D073C" w:rsidRPr="006D073C" w:rsidTr="00C30ACC">
        <w:trPr>
          <w:jc w:val="center"/>
        </w:trPr>
        <w:tc>
          <w:tcPr>
            <w:tcW w:w="588" w:type="pct"/>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rtl/>
                <w:lang w:eastAsia="zh-CN"/>
              </w:rPr>
            </w:pPr>
          </w:p>
        </w:tc>
        <w:tc>
          <w:tcPr>
            <w:tcW w:w="4412" w:type="pct"/>
            <w:gridSpan w:val="2"/>
            <w:shd w:val="clear" w:color="auto" w:fill="auto"/>
          </w:tcPr>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lang w:val="fr-FR" w:eastAsia="zh-CN" w:bidi="ar-SY"/>
              </w:rPr>
            </w:pPr>
          </w:p>
        </w:tc>
      </w:tr>
    </w:tbl>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D073C">
        <w:rPr>
          <w:rFonts w:eastAsiaTheme="minorEastAsia" w:hint="cs"/>
          <w:rtl/>
          <w:lang w:eastAsia="zh-CN" w:bidi="ar-SY"/>
        </w:rPr>
        <w:t>حضرات السادة والسيدات،</w:t>
      </w:r>
    </w:p>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D073C">
        <w:rPr>
          <w:rFonts w:eastAsiaTheme="minorEastAsia" w:hint="cs"/>
          <w:rtl/>
          <w:lang w:eastAsia="zh-CN" w:bidi="ar-SY"/>
        </w:rPr>
        <w:t>تحية طيبة وبعد،</w:t>
      </w:r>
    </w:p>
    <w:p w:rsidR="003C15E8" w:rsidRPr="00A35BB6" w:rsidRDefault="003C15E8" w:rsidP="003C15E8">
      <w:pPr>
        <w:rPr>
          <w:spacing w:val="-2"/>
        </w:rPr>
      </w:pPr>
      <w:r>
        <w:rPr>
          <w:rFonts w:eastAsiaTheme="minorEastAsia"/>
          <w:spacing w:val="-2"/>
          <w:lang w:eastAsia="zh-CN" w:bidi="ar-SY"/>
        </w:rPr>
        <w:t>1</w:t>
      </w:r>
      <w:r w:rsidRPr="00A35BB6">
        <w:rPr>
          <w:rFonts w:eastAsiaTheme="minorEastAsia"/>
          <w:spacing w:val="-2"/>
          <w:lang w:eastAsia="zh-CN" w:bidi="ar-SY"/>
        </w:rPr>
        <w:tab/>
      </w:r>
      <w:r w:rsidRPr="003C15E8">
        <w:rPr>
          <w:rFonts w:eastAsiaTheme="minorEastAsia"/>
          <w:spacing w:val="2"/>
          <w:rtl/>
          <w:lang w:eastAsia="zh-CN" w:bidi="ar-EG"/>
        </w:rPr>
        <w:t xml:space="preserve">نود أن نحيطكم علماً بأن الاتحاد الدولي للاتصالات بصدد تنظيم </w:t>
      </w:r>
      <w:r w:rsidRPr="003C15E8">
        <w:rPr>
          <w:rFonts w:eastAsiaTheme="minorEastAsia"/>
          <w:b/>
          <w:bCs/>
          <w:spacing w:val="2"/>
          <w:rtl/>
          <w:lang w:eastAsia="zh-CN" w:bidi="ar-EG"/>
        </w:rPr>
        <w:t>ورشة عمل الاتحاد بشأن التطبيقات متعددة الوسائ</w:t>
      </w:r>
      <w:r w:rsidRPr="003C15E8">
        <w:rPr>
          <w:rFonts w:eastAsiaTheme="minorEastAsia"/>
          <w:b/>
          <w:bCs/>
          <w:spacing w:val="4"/>
          <w:rtl/>
          <w:lang w:eastAsia="zh-CN" w:bidi="ar-EG"/>
        </w:rPr>
        <w:t>ط ومستقبل المجتمع الرقمي</w:t>
      </w:r>
      <w:r w:rsidRPr="003C15E8">
        <w:rPr>
          <w:rFonts w:eastAsiaTheme="minorEastAsia"/>
          <w:spacing w:val="4"/>
          <w:rtl/>
          <w:lang w:eastAsia="zh-CN" w:bidi="ar-EG"/>
        </w:rPr>
        <w:t>،</w:t>
      </w:r>
      <w:r w:rsidRPr="003C15E8">
        <w:rPr>
          <w:rFonts w:eastAsiaTheme="minorEastAsia" w:hint="cs"/>
          <w:spacing w:val="4"/>
          <w:rtl/>
          <w:lang w:eastAsia="zh-CN" w:bidi="ar-EG"/>
        </w:rPr>
        <w:t xml:space="preserve"> </w:t>
      </w:r>
      <w:r w:rsidRPr="003C15E8">
        <w:rPr>
          <w:rFonts w:eastAsiaTheme="minorEastAsia"/>
          <w:spacing w:val="4"/>
          <w:rtl/>
          <w:lang w:eastAsia="zh-CN" w:bidi="ar-EG"/>
        </w:rPr>
        <w:t xml:space="preserve">يوم </w:t>
      </w:r>
      <w:r w:rsidRPr="003C15E8">
        <w:rPr>
          <w:rFonts w:eastAsiaTheme="minorEastAsia"/>
          <w:spacing w:val="4"/>
          <w:lang w:val="fr-CH" w:eastAsia="zh-CN" w:bidi="ar-EG"/>
        </w:rPr>
        <w:t>9</w:t>
      </w:r>
      <w:r w:rsidRPr="003C15E8">
        <w:rPr>
          <w:rFonts w:eastAsiaTheme="minorEastAsia"/>
          <w:spacing w:val="4"/>
          <w:rtl/>
          <w:lang w:eastAsia="zh-CN" w:bidi="ar-EG"/>
        </w:rPr>
        <w:t xml:space="preserve"> يوليو </w:t>
      </w:r>
      <w:r w:rsidRPr="003C15E8">
        <w:rPr>
          <w:rFonts w:eastAsiaTheme="minorEastAsia"/>
          <w:spacing w:val="4"/>
          <w:lang w:eastAsia="zh-CN" w:bidi="ar-EG"/>
        </w:rPr>
        <w:t>2018</w:t>
      </w:r>
      <w:r w:rsidRPr="003C15E8">
        <w:rPr>
          <w:rFonts w:eastAsiaTheme="minorEastAsia"/>
          <w:spacing w:val="4"/>
          <w:rtl/>
          <w:lang w:eastAsia="zh-CN" w:bidi="ar-EG"/>
        </w:rPr>
        <w:t xml:space="preserve"> في مركز ليوبليانا للمعارض والمؤتمرات، </w:t>
      </w:r>
      <w:proofErr w:type="spellStart"/>
      <w:r w:rsidRPr="003C15E8">
        <w:rPr>
          <w:spacing w:val="4"/>
        </w:rPr>
        <w:t>Dunajska</w:t>
      </w:r>
      <w:proofErr w:type="spellEnd"/>
      <w:r>
        <w:rPr>
          <w:spacing w:val="4"/>
        </w:rPr>
        <w:t> </w:t>
      </w:r>
      <w:proofErr w:type="spellStart"/>
      <w:r w:rsidRPr="003C15E8">
        <w:rPr>
          <w:spacing w:val="4"/>
        </w:rPr>
        <w:t>cesta</w:t>
      </w:r>
      <w:proofErr w:type="spellEnd"/>
      <w:r>
        <w:rPr>
          <w:spacing w:val="4"/>
        </w:rPr>
        <w:t> </w:t>
      </w:r>
      <w:r w:rsidRPr="003C15E8">
        <w:rPr>
          <w:spacing w:val="4"/>
        </w:rPr>
        <w:t>18</w:t>
      </w:r>
      <w:r w:rsidRPr="003C15E8">
        <w:rPr>
          <w:spacing w:val="4"/>
          <w:rtl/>
        </w:rPr>
        <w:t>، ليوبليانا، سلوفينيا.</w:t>
      </w:r>
    </w:p>
    <w:p w:rsidR="003C15E8" w:rsidRDefault="003C15E8" w:rsidP="003C15E8">
      <w:pPr>
        <w:rPr>
          <w:rFonts w:eastAsiaTheme="minorEastAsia"/>
          <w:rtl/>
          <w:lang w:eastAsia="zh-CN"/>
        </w:rPr>
      </w:pPr>
      <w:r>
        <w:rPr>
          <w:rFonts w:eastAsiaTheme="minorEastAsia"/>
          <w:rtl/>
          <w:lang w:eastAsia="zh-CN"/>
        </w:rPr>
        <w:t xml:space="preserve">وسيُعقد هذا الحدث بالترادف مع اجتماع </w:t>
      </w:r>
      <w:hyperlink r:id="rId10" w:history="1">
        <w:r w:rsidRPr="00DE793D">
          <w:rPr>
            <w:rStyle w:val="Hyperlink"/>
            <w:rFonts w:eastAsiaTheme="minorEastAsia"/>
            <w:rtl/>
            <w:lang w:eastAsia="zh-CN"/>
          </w:rPr>
          <w:t xml:space="preserve">لجنة الدراسات </w:t>
        </w:r>
        <w:r w:rsidRPr="00DE793D">
          <w:rPr>
            <w:rStyle w:val="Hyperlink"/>
            <w:rFonts w:eastAsiaTheme="minorEastAsia"/>
            <w:lang w:eastAsia="zh-CN"/>
          </w:rPr>
          <w:t>16</w:t>
        </w:r>
        <w:r w:rsidRPr="00DE793D">
          <w:rPr>
            <w:rStyle w:val="Hyperlink"/>
            <w:rFonts w:eastAsiaTheme="minorEastAsia"/>
            <w:rtl/>
            <w:lang w:eastAsia="zh-CN"/>
          </w:rPr>
          <w:t xml:space="preserve"> لقطاع تقييس الاتصالات</w:t>
        </w:r>
      </w:hyperlink>
      <w:r>
        <w:rPr>
          <w:rFonts w:eastAsiaTheme="minorEastAsia"/>
          <w:rtl/>
          <w:lang w:eastAsia="zh-CN"/>
        </w:rPr>
        <w:t xml:space="preserve"> بشأن الوسائط المتعددة الذي سيُعقد في الفترة </w:t>
      </w:r>
      <w:r>
        <w:rPr>
          <w:rFonts w:eastAsiaTheme="minorEastAsia"/>
          <w:lang w:eastAsia="zh-CN"/>
        </w:rPr>
        <w:t>20-9</w:t>
      </w:r>
      <w:r>
        <w:rPr>
          <w:rFonts w:eastAsiaTheme="minorEastAsia"/>
          <w:rtl/>
          <w:lang w:eastAsia="zh-CN"/>
        </w:rPr>
        <w:t xml:space="preserve"> يوليو في نفس المكان.</w:t>
      </w:r>
    </w:p>
    <w:p w:rsidR="003C15E8" w:rsidRPr="00DE793D" w:rsidRDefault="003C15E8" w:rsidP="003C15E8">
      <w:pPr>
        <w:rPr>
          <w:rFonts w:eastAsiaTheme="minorEastAsia"/>
          <w:spacing w:val="-3"/>
          <w:lang w:eastAsia="zh-CN" w:bidi="ar-SY"/>
        </w:rPr>
      </w:pPr>
      <w:r w:rsidRPr="00DE793D">
        <w:rPr>
          <w:spacing w:val="-3"/>
          <w:rtl/>
        </w:rPr>
        <w:t xml:space="preserve">وستُعقد ورشة العمل هذه أيضاً في سياق المبادرة الإقليمية الأوروبية التي أقرها المؤتمر العالمي لتنمية الاتصالات لعام </w:t>
      </w:r>
      <w:r w:rsidRPr="00DE793D">
        <w:rPr>
          <w:spacing w:val="-3"/>
        </w:rPr>
        <w:t>2017</w:t>
      </w:r>
      <w:r w:rsidRPr="00DE793D">
        <w:rPr>
          <w:rFonts w:hint="cs"/>
          <w:spacing w:val="-3"/>
          <w:rtl/>
        </w:rPr>
        <w:t xml:space="preserve"> </w:t>
      </w:r>
      <w:r w:rsidRPr="00DE793D">
        <w:rPr>
          <w:spacing w:val="-3"/>
        </w:rPr>
        <w:t>(WTDC-17)</w:t>
      </w:r>
      <w:r w:rsidRPr="00DE793D">
        <w:rPr>
          <w:spacing w:val="-3"/>
          <w:rtl/>
          <w:lang w:bidi="ar-EG"/>
        </w:rPr>
        <w:t xml:space="preserve"> وموضوعها "نهج يركز على المواطن من أجل بناء خدمات الإدارات الوطنية"، والتي ترمي إلى </w:t>
      </w:r>
      <w:r w:rsidRPr="00DE793D">
        <w:rPr>
          <w:spacing w:val="-3"/>
          <w:rtl/>
        </w:rPr>
        <w:t xml:space="preserve">تيسير تطوير خدمات تحويلية </w:t>
      </w:r>
      <w:r w:rsidRPr="003C15E8">
        <w:rPr>
          <w:spacing w:val="-3"/>
          <w:rtl/>
        </w:rPr>
        <w:t>ولا</w:t>
      </w:r>
      <w:r w:rsidRPr="00DE793D">
        <w:rPr>
          <w:spacing w:val="-3"/>
          <w:rtl/>
        </w:rPr>
        <w:t xml:space="preserve"> ورقية تركّ</w:t>
      </w:r>
      <w:r>
        <w:rPr>
          <w:rFonts w:hint="cs"/>
          <w:spacing w:val="-3"/>
          <w:rtl/>
        </w:rPr>
        <w:t>ِ</w:t>
      </w:r>
      <w:r w:rsidRPr="00DE793D">
        <w:rPr>
          <w:spacing w:val="-3"/>
          <w:rtl/>
        </w:rPr>
        <w:t>ز على المواطن ويمكن توفير إمكانية النفاذ إليها وإتاحتها لجميع أفراد المجتمع.</w:t>
      </w:r>
    </w:p>
    <w:p w:rsidR="003C15E8" w:rsidRDefault="003C15E8" w:rsidP="003C15E8">
      <w:pPr>
        <w:rPr>
          <w:rFonts w:eastAsiaTheme="minorEastAsia"/>
          <w:rtl/>
          <w:lang w:eastAsia="zh-CN" w:bidi="ar-EG"/>
        </w:rPr>
      </w:pPr>
      <w:r>
        <w:rPr>
          <w:rFonts w:eastAsiaTheme="minorEastAsia"/>
          <w:lang w:eastAsia="zh-CN" w:bidi="ar-SY"/>
        </w:rPr>
        <w:t>2</w:t>
      </w:r>
      <w:r>
        <w:rPr>
          <w:rFonts w:eastAsiaTheme="minorEastAsia"/>
          <w:lang w:eastAsia="zh-CN" w:bidi="ar-SY"/>
        </w:rPr>
        <w:tab/>
      </w:r>
      <w:r>
        <w:rPr>
          <w:rFonts w:eastAsiaTheme="minorEastAsia"/>
          <w:rtl/>
          <w:lang w:eastAsia="zh-CN" w:bidi="ar-EG"/>
        </w:rPr>
        <w:t>وستجري أعمال ورشة العمل باللغة الإنكليزية فقط وستتاح المشاركة عن بُعد فيها.</w:t>
      </w:r>
    </w:p>
    <w:p w:rsidR="003C15E8" w:rsidRDefault="003C15E8" w:rsidP="00E35FD2">
      <w:pPr>
        <w:rPr>
          <w:rFonts w:eastAsiaTheme="minorEastAsia"/>
          <w:rtl/>
          <w:lang w:val="en-GB" w:eastAsia="zh-CN"/>
        </w:rPr>
      </w:pPr>
      <w:r>
        <w:rPr>
          <w:rFonts w:eastAsiaTheme="minorEastAsia"/>
          <w:lang w:eastAsia="zh-CN" w:bidi="ar-EG"/>
        </w:rPr>
        <w:lastRenderedPageBreak/>
        <w:t>3</w:t>
      </w:r>
      <w:r>
        <w:rPr>
          <w:rFonts w:eastAsiaTheme="minorEastAsia"/>
          <w:rtl/>
          <w:lang w:eastAsia="zh-CN" w:bidi="ar-EG"/>
        </w:rPr>
        <w:tab/>
        <w:t>وستركز ورشة العمل هذه على كيفية تأثير التطبيقات متعددة الوسائط على الثقافة وعلى أسلوب الحياة وكيف يمكن لهذه التطبيقات تحسين</w:t>
      </w:r>
      <w:r>
        <w:rPr>
          <w:rFonts w:eastAsiaTheme="minorEastAsia"/>
          <w:rtl/>
          <w:lang w:eastAsia="zh-CN"/>
        </w:rPr>
        <w:t xml:space="preserve"> ما نحققه من نتائج في حياتنا التي تسودها التكنولوجيا الرقمية بشكل متزايد، وذلك من خلال تباحث التكنولوجيات متعددة الوسائط، القائم منها والجديد، بما فيها الذكاء الاصطناعي من أجل الصحة، والوسائط المتعددة في المركبات، والتجربة الحية الغامرة، والاتجاهات الجديدة في الخدمات الإلكترونية بما فيها إيصال المحتوى وسلسلة الكتل، والزراعة الإلكترونية.</w:t>
      </w:r>
    </w:p>
    <w:p w:rsidR="003C15E8" w:rsidRDefault="003C15E8" w:rsidP="003C15E8">
      <w:pPr>
        <w:rPr>
          <w:rFonts w:eastAsiaTheme="minorEastAsia"/>
          <w:lang w:eastAsia="zh-CN" w:bidi="ar-EG"/>
        </w:rPr>
      </w:pPr>
      <w:r>
        <w:rPr>
          <w:rFonts w:eastAsiaTheme="minorEastAsia"/>
          <w:lang w:eastAsia="zh-CN" w:bidi="ar-SY"/>
        </w:rPr>
        <w:t>4</w:t>
      </w:r>
      <w:r>
        <w:rPr>
          <w:rFonts w:eastAsiaTheme="minorEastAsia"/>
          <w:rtl/>
          <w:lang w:eastAsia="zh-CN" w:bidi="ar-EG"/>
        </w:rPr>
        <w:tab/>
        <w:t>و</w:t>
      </w:r>
      <w:r>
        <w:rPr>
          <w:rFonts w:eastAsiaTheme="minorEastAsia"/>
          <w:rtl/>
          <w:lang w:eastAsia="zh-CN"/>
        </w:rPr>
        <w:t xml:space="preserve">باب المشاركة في ورشة العمل مفتوح أمام الدول الأعضاء في الاتحاد وأعضاء القطاعات والمنتسبين والمؤسسات الأكاديمية وأمام أيّ فرد من أيّ بلد عضو في الاتحاد يرغب في المساهمة في العمل. ويشمل ذلك الأفراد الذين هم أيضاً أعضاء في المنظمات الدولية والإقليمية والوطنية. </w:t>
      </w:r>
      <w:r>
        <w:rPr>
          <w:rFonts w:eastAsiaTheme="minorEastAsia"/>
          <w:spacing w:val="2"/>
          <w:rtl/>
          <w:lang w:eastAsia="zh-CN"/>
        </w:rPr>
        <w:t>والمشاركة في ورشة العمل مجانية ولكن لن تقدم أي منح لحضورها.</w:t>
      </w:r>
    </w:p>
    <w:p w:rsidR="003C15E8" w:rsidRPr="00DE793D" w:rsidRDefault="003C15E8" w:rsidP="003C15E8">
      <w:pPr>
        <w:rPr>
          <w:rFonts w:eastAsiaTheme="minorEastAsia"/>
          <w:rtl/>
          <w:lang w:eastAsia="zh-CN" w:bidi="ar-EG"/>
        </w:rPr>
      </w:pPr>
      <w:r w:rsidRPr="00DE793D">
        <w:rPr>
          <w:rFonts w:eastAsiaTheme="minorEastAsia"/>
          <w:lang w:eastAsia="zh-CN" w:bidi="ar-SY"/>
        </w:rPr>
        <w:t>5</w:t>
      </w:r>
      <w:r w:rsidRPr="00DE793D">
        <w:rPr>
          <w:rFonts w:eastAsiaTheme="minorEastAsia"/>
          <w:lang w:eastAsia="zh-CN" w:bidi="ar-SY"/>
        </w:rPr>
        <w:tab/>
      </w:r>
      <w:r w:rsidRPr="00DE793D">
        <w:rPr>
          <w:rFonts w:eastAsiaTheme="minorEastAsia"/>
          <w:rtl/>
          <w:lang w:eastAsia="zh-CN"/>
        </w:rPr>
        <w:t xml:space="preserve">وستتاح المعلومات المتصلة بورشة العمل بما فيها مشروع البرنامج ومعلومات عملية في الموقع الإلكتروني الخاص بالحدث: </w:t>
      </w:r>
      <w:hyperlink r:id="rId11" w:history="1">
        <w:r w:rsidRPr="00DE793D">
          <w:rPr>
            <w:rStyle w:val="Hyperlink"/>
          </w:rPr>
          <w:t>https://itu.int/en/ITU-T/Workshops-and-Seminars/20180709</w:t>
        </w:r>
      </w:hyperlink>
      <w:r w:rsidRPr="00DE793D">
        <w:rPr>
          <w:rtl/>
          <w:lang w:eastAsia="zh-CN"/>
        </w:rPr>
        <w:t xml:space="preserve">. </w:t>
      </w:r>
      <w:r w:rsidRPr="00DE793D">
        <w:rPr>
          <w:rFonts w:eastAsiaTheme="minorEastAsia"/>
          <w:rtl/>
          <w:lang w:eastAsia="zh-CN"/>
        </w:rPr>
        <w:t>وسيتم تحديث هذا الموقع باستمرار كلما توفرت معلومات جديدة أو معدّ</w:t>
      </w:r>
      <w:r>
        <w:rPr>
          <w:rFonts w:eastAsiaTheme="minorEastAsia" w:hint="cs"/>
          <w:rtl/>
          <w:lang w:eastAsia="zh-CN"/>
        </w:rPr>
        <w:t>َ</w:t>
      </w:r>
      <w:r w:rsidRPr="00DE793D">
        <w:rPr>
          <w:rFonts w:eastAsiaTheme="minorEastAsia"/>
          <w:rtl/>
          <w:lang w:eastAsia="zh-CN"/>
        </w:rPr>
        <w:t>لة. ويُرجى من المشاركين زيارته بانتظام للاطلاع على أحدث المعلومات.</w:t>
      </w:r>
    </w:p>
    <w:p w:rsidR="003C15E8" w:rsidRDefault="003C15E8" w:rsidP="003C15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lang w:eastAsia="zh-CN" w:bidi="ar-SY"/>
        </w:rPr>
        <w:t>6</w:t>
      </w:r>
      <w:r>
        <w:rPr>
          <w:rFonts w:eastAsiaTheme="minorEastAsia"/>
          <w:rtl/>
          <w:lang w:eastAsia="zh-CN"/>
        </w:rPr>
        <w:tab/>
      </w:r>
      <w:r>
        <w:rPr>
          <w:rFonts w:eastAsiaTheme="minorEastAsia"/>
          <w:rtl/>
          <w:lang w:eastAsia="zh-CN" w:bidi="ar-EG"/>
        </w:rPr>
        <w:t>س</w:t>
      </w:r>
      <w:r>
        <w:rPr>
          <w:rFonts w:eastAsiaTheme="minorEastAsia"/>
          <w:rtl/>
          <w:lang w:eastAsia="zh-CN"/>
        </w:rPr>
        <w:t>تتاح مرافق الشبكة المحلية اللاسلكية في مكان الحدث.</w:t>
      </w:r>
    </w:p>
    <w:p w:rsidR="003C15E8" w:rsidRDefault="003C15E8" w:rsidP="003C15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spacing w:val="2"/>
          <w:rtl/>
          <w:lang w:eastAsia="zh-CN" w:bidi="ar-EG"/>
        </w:rPr>
      </w:pPr>
      <w:r>
        <w:rPr>
          <w:rFonts w:eastAsiaTheme="minorEastAsia"/>
          <w:spacing w:val="2"/>
          <w:lang w:eastAsia="zh-CN" w:bidi="ar-SY"/>
        </w:rPr>
        <w:t>7</w:t>
      </w:r>
      <w:r>
        <w:rPr>
          <w:rFonts w:eastAsiaTheme="minorEastAsia"/>
          <w:spacing w:val="2"/>
          <w:rtl/>
          <w:lang w:eastAsia="zh-CN" w:bidi="ar-EG"/>
        </w:rPr>
        <w:tab/>
        <w:t>والتسجيل إلزامي لجميع المشاركين الذين ينوون حضور ورشة العمل</w:t>
      </w:r>
      <w:r>
        <w:rPr>
          <w:rFonts w:eastAsiaTheme="minorEastAsia"/>
          <w:spacing w:val="2"/>
          <w:rtl/>
          <w:lang w:eastAsia="zh-CN"/>
        </w:rPr>
        <w:t xml:space="preserve">. ويُرجى منكم استكمال </w:t>
      </w:r>
      <w:hyperlink r:id="rId12" w:history="1">
        <w:r w:rsidRPr="00DE793D">
          <w:rPr>
            <w:rStyle w:val="Hyperlink"/>
            <w:rFonts w:eastAsiaTheme="minorEastAsia"/>
            <w:color w:val="000000" w:themeColor="text1"/>
            <w:spacing w:val="2"/>
            <w:u w:val="none"/>
            <w:rtl/>
            <w:lang w:eastAsia="zh-CN"/>
          </w:rPr>
          <w:t>استمارة التسجيل على الخط في</w:t>
        </w:r>
      </w:hyperlink>
      <w:r w:rsidRPr="00DE793D">
        <w:rPr>
          <w:rStyle w:val="Hyperlink"/>
          <w:rFonts w:eastAsiaTheme="minorEastAsia"/>
          <w:color w:val="000000" w:themeColor="text1"/>
          <w:spacing w:val="2"/>
          <w:u w:val="none"/>
          <w:rtl/>
          <w:lang w:eastAsia="zh-CN"/>
        </w:rPr>
        <w:t xml:space="preserve"> الموقع الإلكتروني: </w:t>
      </w:r>
      <w:hyperlink r:id="rId13" w:history="1">
        <w:r>
          <w:rPr>
            <w:rStyle w:val="Hyperlink"/>
          </w:rPr>
          <w:t>http://itu.int/reg/tmisc/3001081</w:t>
        </w:r>
      </w:hyperlink>
      <w:r>
        <w:rPr>
          <w:rFonts w:eastAsiaTheme="minorEastAsia"/>
          <w:spacing w:val="2"/>
          <w:rtl/>
          <w:lang w:eastAsia="zh-CN"/>
        </w:rPr>
        <w:t xml:space="preserve">، وذلك في موعد أقصاه </w:t>
      </w:r>
      <w:r>
        <w:rPr>
          <w:rFonts w:eastAsiaTheme="minorEastAsia"/>
          <w:b/>
          <w:bCs/>
          <w:spacing w:val="2"/>
          <w:lang w:eastAsia="zh-CN" w:bidi="ar-SY"/>
        </w:rPr>
        <w:t>4</w:t>
      </w:r>
      <w:r>
        <w:rPr>
          <w:rFonts w:eastAsiaTheme="minorEastAsia"/>
          <w:b/>
          <w:bCs/>
          <w:spacing w:val="2"/>
          <w:rtl/>
          <w:lang w:eastAsia="zh-CN"/>
        </w:rPr>
        <w:t xml:space="preserve"> يوليو </w:t>
      </w:r>
      <w:r>
        <w:rPr>
          <w:rFonts w:eastAsiaTheme="minorEastAsia"/>
          <w:b/>
          <w:bCs/>
          <w:spacing w:val="2"/>
          <w:lang w:eastAsia="zh-CN" w:bidi="ar-SY"/>
        </w:rPr>
        <w:t>2018</w:t>
      </w:r>
      <w:r>
        <w:rPr>
          <w:rFonts w:eastAsiaTheme="minorEastAsia"/>
          <w:b/>
          <w:bCs/>
          <w:spacing w:val="2"/>
          <w:rtl/>
          <w:lang w:eastAsia="zh-CN"/>
        </w:rPr>
        <w:t>.</w:t>
      </w:r>
      <w:r>
        <w:rPr>
          <w:rFonts w:eastAsiaTheme="minorEastAsia"/>
          <w:spacing w:val="2"/>
          <w:rtl/>
          <w:lang w:eastAsia="zh-CN"/>
        </w:rPr>
        <w:t xml:space="preserve"> </w:t>
      </w:r>
      <w:r>
        <w:rPr>
          <w:rFonts w:eastAsiaTheme="minorEastAsia"/>
          <w:b/>
          <w:bCs/>
          <w:spacing w:val="2"/>
          <w:rtl/>
          <w:lang w:eastAsia="zh-CN" w:bidi="ar-EG"/>
        </w:rPr>
        <w:t xml:space="preserve">ويُرجى ملاحظة أن التسجيل المسبق للمشاركين في هذا الحدث إلزامي ويجري </w:t>
      </w:r>
      <w:r>
        <w:rPr>
          <w:rFonts w:eastAsiaTheme="minorEastAsia"/>
          <w:b/>
          <w:bCs/>
          <w:i/>
          <w:iCs/>
          <w:spacing w:val="2"/>
          <w:rtl/>
          <w:lang w:eastAsia="zh-CN" w:bidi="ar-EG"/>
        </w:rPr>
        <w:t>على الخط</w:t>
      </w:r>
      <w:r>
        <w:rPr>
          <w:rFonts w:eastAsiaTheme="minorEastAsia"/>
          <w:b/>
          <w:bCs/>
          <w:spacing w:val="2"/>
          <w:rtl/>
          <w:lang w:eastAsia="zh-CN" w:bidi="ar-EG"/>
        </w:rPr>
        <w:t> حصراً</w:t>
      </w:r>
      <w:r>
        <w:rPr>
          <w:rFonts w:eastAsiaTheme="minorEastAsia"/>
          <w:spacing w:val="2"/>
          <w:rtl/>
          <w:lang w:eastAsia="zh-CN" w:bidi="ar-EG"/>
        </w:rPr>
        <w:t>.</w:t>
      </w:r>
    </w:p>
    <w:p w:rsidR="003C15E8" w:rsidRPr="00425492" w:rsidRDefault="003C15E8" w:rsidP="003C15E8">
      <w:pPr>
        <w:rPr>
          <w:rFonts w:eastAsiaTheme="minorEastAsia"/>
          <w:rtl/>
          <w:lang w:eastAsia="zh-CN" w:bidi="ar-EG"/>
        </w:rPr>
      </w:pPr>
      <w:r>
        <w:rPr>
          <w:rFonts w:eastAsiaTheme="minorEastAsia"/>
          <w:lang w:eastAsia="zh-CN" w:bidi="ar-SY"/>
        </w:rPr>
        <w:t>8</w:t>
      </w:r>
      <w:r>
        <w:rPr>
          <w:rFonts w:eastAsiaTheme="minorEastAsia"/>
          <w:rtl/>
          <w:lang w:eastAsia="zh-CN" w:bidi="ar-SY"/>
        </w:rPr>
        <w:tab/>
      </w:r>
      <w:r>
        <w:rPr>
          <w:rFonts w:eastAsiaTheme="minorEastAsia"/>
          <w:rtl/>
          <w:lang w:eastAsia="zh-CN" w:bidi="ar-EG"/>
        </w:rPr>
        <w:t>و</w:t>
      </w:r>
      <w:r>
        <w:rPr>
          <w:rFonts w:eastAsiaTheme="minorEastAsia"/>
          <w:rtl/>
          <w:lang w:eastAsia="zh-CN" w:bidi="ar-SY"/>
        </w:rPr>
        <w:t xml:space="preserve">نود أن نذكركم بأن على مواطني بعض البلدان الحصول على تأشيرة للدخول إلى سلوفينيا. </w:t>
      </w:r>
      <w:r>
        <w:rPr>
          <w:rFonts w:eastAsiaTheme="minorEastAsia"/>
          <w:b/>
          <w:bCs/>
          <w:rtl/>
          <w:lang w:eastAsia="zh-CN"/>
        </w:rPr>
        <w:t xml:space="preserve">ويجب طلب التأشيرة قبل تاريخ بدء الاجتماع بأربعة </w:t>
      </w:r>
      <w:r>
        <w:rPr>
          <w:rFonts w:eastAsiaTheme="minorEastAsia"/>
          <w:b/>
          <w:bCs/>
          <w:lang w:eastAsia="zh-CN" w:bidi="ar-SY"/>
        </w:rPr>
        <w:t>(4)</w:t>
      </w:r>
      <w:r>
        <w:rPr>
          <w:rFonts w:eastAsiaTheme="minorEastAsia"/>
          <w:b/>
          <w:bCs/>
          <w:rtl/>
          <w:lang w:eastAsia="zh-CN"/>
        </w:rPr>
        <w:t xml:space="preserve"> أسابيع على الأقل</w:t>
      </w:r>
      <w:r>
        <w:rPr>
          <w:rFonts w:eastAsiaTheme="minorEastAsia"/>
          <w:rtl/>
          <w:lang w:eastAsia="zh-CN"/>
        </w:rPr>
        <w:t xml:space="preserve">، والحصول عليها من المكتب (السفارة أو القنصلية) الذي يمثل </w:t>
      </w:r>
      <w:r>
        <w:rPr>
          <w:rFonts w:eastAsiaTheme="minorEastAsia"/>
          <w:rtl/>
          <w:lang w:eastAsia="zh-CN" w:bidi="ar-SY"/>
        </w:rPr>
        <w:t>سلوفينيا</w:t>
      </w:r>
      <w:r>
        <w:rPr>
          <w:rFonts w:eastAsiaTheme="minorEastAsia"/>
          <w:rtl/>
          <w:lang w:eastAsia="zh-CN"/>
        </w:rPr>
        <w:t xml:space="preserve"> في بلدكم، أو من أقرب سفارة أو قنصلية من بلد المغادرة في حالة عدم وجود مثل هذا المكتب في بلدكم. ويُرجى زيارة </w:t>
      </w:r>
      <w:hyperlink r:id="rId14" w:history="1">
        <w:r w:rsidRPr="00672DCB">
          <w:rPr>
            <w:rStyle w:val="Hyperlink"/>
            <w:rFonts w:eastAsiaTheme="minorEastAsia"/>
            <w:rtl/>
            <w:lang w:eastAsia="zh-CN"/>
          </w:rPr>
          <w:t>الصفحة</w:t>
        </w:r>
        <w:r w:rsidRPr="00672DCB">
          <w:rPr>
            <w:rStyle w:val="Hyperlink"/>
            <w:rFonts w:eastAsiaTheme="minorEastAsia" w:hint="cs"/>
            <w:rtl/>
            <w:lang w:eastAsia="zh-CN"/>
          </w:rPr>
          <w:t> </w:t>
        </w:r>
        <w:r w:rsidRPr="00672DCB">
          <w:rPr>
            <w:rStyle w:val="Hyperlink"/>
            <w:rFonts w:eastAsiaTheme="minorEastAsia"/>
            <w:rtl/>
            <w:lang w:eastAsia="zh-CN"/>
          </w:rPr>
          <w:t>الخاصة بمعلومات التأشيرة</w:t>
        </w:r>
      </w:hyperlink>
      <w:r>
        <w:rPr>
          <w:rFonts w:eastAsiaTheme="minorEastAsia"/>
          <w:rtl/>
          <w:lang w:eastAsia="zh-CN"/>
        </w:rPr>
        <w:t xml:space="preserve"> للحصول على مزيد من المعلومات</w:t>
      </w:r>
      <w:r>
        <w:rPr>
          <w:rFonts w:eastAsiaTheme="minorEastAsia"/>
          <w:lang w:eastAsia="zh-CN" w:bidi="ar-SY"/>
        </w:rPr>
        <w:t>.</w:t>
      </w:r>
    </w:p>
    <w:p w:rsidR="006D073C" w:rsidRPr="006D073C" w:rsidRDefault="006D073C" w:rsidP="006D07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sidRPr="006D073C">
        <w:rPr>
          <w:rFonts w:eastAsiaTheme="minorEastAsia" w:hint="cs"/>
          <w:rtl/>
          <w:lang w:eastAsia="zh-CN" w:bidi="ar-SY"/>
        </w:rPr>
        <w:t>وتفضلوا بقبول فائق التقدير 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C15E8" w:rsidTr="00246558">
        <w:tc>
          <w:tcPr>
            <w:tcW w:w="4814" w:type="dxa"/>
          </w:tcPr>
          <w:p w:rsidR="003C15E8" w:rsidRDefault="003C15E8" w:rsidP="007C2F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Pr>
                <w:rFonts w:eastAsiaTheme="minorEastAsia"/>
                <w:i/>
                <w:iCs/>
                <w:rtl/>
                <w:lang w:eastAsia="zh-CN" w:bidi="ar-SY"/>
              </w:rPr>
              <w:t>(توقيع)</w:t>
            </w:r>
          </w:p>
          <w:p w:rsidR="003C15E8" w:rsidRDefault="003C15E8" w:rsidP="007C2F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00" w:beforeAutospacing="1"/>
              <w:jc w:val="left"/>
              <w:rPr>
                <w:rFonts w:eastAsiaTheme="minorEastAsia"/>
                <w:rtl/>
                <w:lang w:eastAsia="zh-CN" w:bidi="ar-EG"/>
              </w:rPr>
            </w:pPr>
            <w:r>
              <w:rPr>
                <w:rFonts w:eastAsiaTheme="minorEastAsia"/>
                <w:rtl/>
                <w:lang w:eastAsia="zh-CN" w:bidi="ar-SY"/>
              </w:rPr>
              <w:t>تشيساب لي</w:t>
            </w:r>
            <w:r>
              <w:rPr>
                <w:rFonts w:eastAsiaTheme="minorEastAsia"/>
                <w:rtl/>
                <w:lang w:eastAsia="zh-CN" w:bidi="ar-SY"/>
              </w:rPr>
              <w:br/>
              <w:t xml:space="preserve">مدير مكتب تقييس الاتصالات </w:t>
            </w:r>
            <w:r>
              <w:rPr>
                <w:rFonts w:eastAsiaTheme="minorEastAsia"/>
                <w:lang w:eastAsia="zh-CN" w:bidi="ar-SY"/>
              </w:rPr>
              <w:t>(TSB)</w:t>
            </w:r>
          </w:p>
        </w:tc>
        <w:tc>
          <w:tcPr>
            <w:tcW w:w="4815" w:type="dxa"/>
          </w:tcPr>
          <w:p w:rsidR="003C15E8" w:rsidRDefault="003C15E8" w:rsidP="007C2F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Pr>
                <w:rFonts w:eastAsiaTheme="minorEastAsia"/>
                <w:i/>
                <w:iCs/>
                <w:rtl/>
                <w:lang w:eastAsia="zh-CN" w:bidi="ar-SY"/>
              </w:rPr>
              <w:t>(توقيع)</w:t>
            </w:r>
          </w:p>
          <w:p w:rsidR="003C15E8" w:rsidRDefault="003C15E8" w:rsidP="007C2F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EG"/>
              </w:rPr>
            </w:pPr>
            <w:r>
              <w:rPr>
                <w:rFonts w:eastAsiaTheme="minorEastAsia"/>
                <w:rtl/>
                <w:lang w:eastAsia="zh-CN" w:bidi="ar-SY"/>
              </w:rPr>
              <w:t>براهيما سانو</w:t>
            </w:r>
            <w:r>
              <w:rPr>
                <w:rFonts w:eastAsiaTheme="minorEastAsia"/>
                <w:rtl/>
                <w:lang w:eastAsia="zh-CN" w:bidi="ar-SY"/>
              </w:rPr>
              <w:br/>
              <w:t xml:space="preserve">مدير مكتب تنمية الاتصالات </w:t>
            </w:r>
            <w:r>
              <w:rPr>
                <w:rFonts w:eastAsiaTheme="minorEastAsia"/>
                <w:lang w:eastAsia="zh-CN" w:bidi="ar-SY"/>
              </w:rPr>
              <w:t>(BDT)</w:t>
            </w:r>
          </w:p>
        </w:tc>
      </w:tr>
    </w:tbl>
    <w:p w:rsidR="006D073C" w:rsidRPr="003C15E8" w:rsidRDefault="006D073C" w:rsidP="007C2F07">
      <w:pPr>
        <w:rPr>
          <w:rFonts w:eastAsiaTheme="minorEastAsia"/>
          <w:rtl/>
          <w:lang w:eastAsia="zh-CN" w:bidi="ar-SY"/>
        </w:rPr>
      </w:pPr>
      <w:bookmarkStart w:id="0" w:name="_GoBack"/>
      <w:bookmarkEnd w:id="0"/>
    </w:p>
    <w:sectPr w:rsidR="006D073C" w:rsidRPr="003C15E8" w:rsidSect="008B5B5D">
      <w:headerReference w:type="default"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9D" w:rsidRDefault="00DA499D" w:rsidP="00E07379">
      <w:pPr>
        <w:spacing w:before="0" w:line="240" w:lineRule="auto"/>
      </w:pPr>
      <w:r>
        <w:separator/>
      </w:r>
    </w:p>
  </w:endnote>
  <w:endnote w:type="continuationSeparator" w:id="0">
    <w:p w:rsidR="00DA499D" w:rsidRDefault="00DA499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C2F07" w:rsidRDefault="00BD0C50" w:rsidP="00415657">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3C" w:rsidRPr="006D073C" w:rsidRDefault="006D073C" w:rsidP="006D073C">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6D073C">
      <w:rPr>
        <w:rFonts w:asciiTheme="minorHAnsi" w:hAnsiTheme="minorHAnsi" w:cs="Times New Roman"/>
        <w:sz w:val="18"/>
        <w:szCs w:val="18"/>
        <w:lang w:val="fr-CH"/>
      </w:rPr>
      <w:t xml:space="preserve">International </w:t>
    </w:r>
    <w:proofErr w:type="spellStart"/>
    <w:r w:rsidRPr="006D073C">
      <w:rPr>
        <w:rFonts w:asciiTheme="minorHAnsi" w:hAnsiTheme="minorHAnsi" w:cs="Times New Roman"/>
        <w:sz w:val="18"/>
        <w:szCs w:val="18"/>
        <w:lang w:val="fr-CH"/>
      </w:rPr>
      <w:t>Telecommunication</w:t>
    </w:r>
    <w:proofErr w:type="spellEnd"/>
    <w:r w:rsidRPr="006D073C">
      <w:rPr>
        <w:rFonts w:asciiTheme="minorHAnsi" w:hAnsiTheme="minorHAnsi" w:cs="Times New Roman"/>
        <w:sz w:val="18"/>
        <w:szCs w:val="18"/>
        <w:lang w:val="fr-CH"/>
      </w:rPr>
      <w:t xml:space="preserve"> Union • Place des Nations • CH</w:t>
    </w:r>
    <w:r w:rsidRPr="006D073C">
      <w:rPr>
        <w:rFonts w:asciiTheme="minorHAnsi" w:hAnsiTheme="minorHAnsi" w:cs="Times New Roman"/>
        <w:sz w:val="18"/>
        <w:szCs w:val="18"/>
        <w:lang w:val="fr-CH"/>
      </w:rPr>
      <w:noBreakHyphen/>
      <w:t xml:space="preserve">1211 Geneva 20 • Switzerland </w:t>
    </w:r>
    <w:r w:rsidRPr="006D073C">
      <w:rPr>
        <w:rFonts w:asciiTheme="minorHAnsi" w:hAnsiTheme="minorHAnsi" w:cs="Times New Roman"/>
        <w:sz w:val="18"/>
        <w:szCs w:val="18"/>
        <w:lang w:val="fr-CH"/>
      </w:rPr>
      <w:br/>
      <w:t xml:space="preserve">Tel: +41 22 730 5111 • Fax: +41 22 733 7256 • E-mail: </w:t>
    </w:r>
    <w:hyperlink r:id="rId1" w:history="1">
      <w:r w:rsidRPr="006D073C">
        <w:rPr>
          <w:rFonts w:asciiTheme="minorHAnsi" w:hAnsiTheme="minorHAnsi" w:cs="Times New Roman"/>
          <w:color w:val="0000FF"/>
          <w:sz w:val="18"/>
          <w:szCs w:val="18"/>
          <w:u w:val="single"/>
          <w:lang w:val="fr-CH"/>
        </w:rPr>
        <w:t>itumail@itu.int</w:t>
      </w:r>
    </w:hyperlink>
    <w:r w:rsidRPr="006D073C">
      <w:rPr>
        <w:rFonts w:asciiTheme="minorHAnsi" w:hAnsiTheme="minorHAnsi" w:cs="Times New Roman"/>
        <w:sz w:val="18"/>
        <w:szCs w:val="18"/>
        <w:lang w:val="fr-CH"/>
      </w:rPr>
      <w:t xml:space="preserve"> • </w:t>
    </w:r>
    <w:hyperlink r:id="rId2" w:history="1">
      <w:r w:rsidRPr="006D073C">
        <w:rPr>
          <w:rFonts w:asciiTheme="minorHAnsi" w:hAnsiTheme="minorHAnsi" w:cs="Times New Roman"/>
          <w:color w:val="0000FF"/>
          <w:sz w:val="18"/>
          <w:szCs w:val="18"/>
          <w:u w:val="single"/>
          <w:lang w:val="fr-CH"/>
        </w:rPr>
        <w:t>www.itu.int</w:t>
      </w:r>
    </w:hyperlink>
    <w:r w:rsidRPr="006D073C">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9D" w:rsidRDefault="00DA499D" w:rsidP="00E07379">
      <w:pPr>
        <w:spacing w:before="0" w:line="240" w:lineRule="auto"/>
      </w:pPr>
      <w:r>
        <w:separator/>
      </w:r>
    </w:p>
  </w:footnote>
  <w:footnote w:type="continuationSeparator" w:id="0">
    <w:p w:rsidR="00DA499D" w:rsidRDefault="00DA499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E8" w:rsidRPr="00415657" w:rsidRDefault="003C15E8" w:rsidP="003C15E8">
    <w:pPr>
      <w:spacing w:after="240"/>
      <w:jc w:val="center"/>
      <w:rPr>
        <w:rStyle w:val="PageNumber"/>
        <w:sz w:val="18"/>
        <w:szCs w:val="18"/>
        <w:rtl/>
        <w:lang w:bidi="ar-EG"/>
      </w:rPr>
    </w:pPr>
    <w:r>
      <w:rPr>
        <w:rStyle w:val="PageNumber"/>
        <w:rFonts w:cs="Calibri"/>
      </w:rPr>
      <w:t xml:space="preserve"> </w:t>
    </w:r>
    <w:r w:rsidRPr="00415657">
      <w:rPr>
        <w:rStyle w:val="PageNumber"/>
        <w:rFonts w:cs="Calibri"/>
        <w:sz w:val="18"/>
        <w:szCs w:val="18"/>
      </w:rPr>
      <w:t>-</w:t>
    </w:r>
    <w:r w:rsidRPr="00415657">
      <w:rPr>
        <w:rStyle w:val="PageNumber"/>
        <w:rFonts w:cs="Calibri"/>
        <w:sz w:val="18"/>
        <w:szCs w:val="18"/>
      </w:rPr>
      <w:fldChar w:fldCharType="begin"/>
    </w:r>
    <w:r w:rsidRPr="00415657">
      <w:rPr>
        <w:rStyle w:val="PageNumber"/>
        <w:rFonts w:cs="Calibri"/>
        <w:sz w:val="18"/>
        <w:szCs w:val="18"/>
      </w:rPr>
      <w:instrText xml:space="preserve"> PAGE </w:instrText>
    </w:r>
    <w:r w:rsidRPr="00415657">
      <w:rPr>
        <w:rStyle w:val="PageNumber"/>
        <w:rFonts w:cs="Calibri"/>
        <w:sz w:val="18"/>
        <w:szCs w:val="18"/>
      </w:rPr>
      <w:fldChar w:fldCharType="separate"/>
    </w:r>
    <w:r w:rsidR="00F23023">
      <w:rPr>
        <w:rStyle w:val="PageNumber"/>
        <w:noProof/>
        <w:sz w:val="18"/>
        <w:szCs w:val="18"/>
        <w:rtl/>
      </w:rPr>
      <w:t>2</w:t>
    </w:r>
    <w:r w:rsidRPr="00415657">
      <w:rPr>
        <w:rStyle w:val="PageNumber"/>
        <w:rFonts w:cs="Calibri"/>
        <w:sz w:val="18"/>
        <w:szCs w:val="18"/>
      </w:rPr>
      <w:fldChar w:fldCharType="end"/>
    </w:r>
    <w:r w:rsidRPr="00415657">
      <w:rPr>
        <w:rStyle w:val="PageNumber"/>
        <w:rFonts w:cs="Calibri"/>
        <w:sz w:val="18"/>
        <w:szCs w:val="18"/>
      </w:rPr>
      <w:t xml:space="preserve">- </w:t>
    </w:r>
    <w:r>
      <w:rPr>
        <w:rStyle w:val="PageNumber"/>
        <w:rtl/>
      </w:rPr>
      <w:br/>
    </w:r>
    <w:r w:rsidRPr="00415657">
      <w:rPr>
        <w:rStyle w:val="PageNumber"/>
        <w:rFonts w:cs="Traditional Arabic" w:hint="cs"/>
        <w:sz w:val="18"/>
        <w:szCs w:val="18"/>
        <w:rtl/>
        <w:lang w:bidi="ar-EG"/>
      </w:rPr>
      <w:t xml:space="preserve">الرسالة المعممة </w:t>
    </w:r>
    <w:r w:rsidRPr="00415657">
      <w:rPr>
        <w:rStyle w:val="PageNumber"/>
        <w:rFonts w:cs="Traditional Arabic"/>
        <w:sz w:val="18"/>
        <w:szCs w:val="18"/>
        <w:lang w:bidi="ar-EG"/>
      </w:rPr>
      <w:t>95</w:t>
    </w:r>
    <w:r w:rsidRPr="00415657">
      <w:rPr>
        <w:rStyle w:val="PageNumber"/>
        <w:rFonts w:cs="Traditional Arabic" w:hint="cs"/>
        <w:sz w:val="18"/>
        <w:szCs w:val="18"/>
        <w:rtl/>
        <w:lang w:bidi="ar-EG"/>
      </w:rPr>
      <w:t xml:space="preserve"> لمكتب تقييس الاتصالات | الرسالة المعممة </w:t>
    </w:r>
    <w:r w:rsidRPr="00415657">
      <w:rPr>
        <w:noProof/>
        <w:sz w:val="18"/>
        <w:szCs w:val="18"/>
      </w:rPr>
      <w:t>CL005</w:t>
    </w:r>
    <w:r w:rsidRPr="00415657">
      <w:rPr>
        <w:rStyle w:val="PageNumber"/>
        <w:rFonts w:cs="Traditional Arabic" w:hint="cs"/>
        <w:sz w:val="18"/>
        <w:szCs w:val="18"/>
        <w:rtl/>
        <w:lang w:bidi="ar-EG"/>
      </w:rPr>
      <w:t xml:space="preserve"> </w:t>
    </w:r>
    <w:r w:rsidRPr="00415657">
      <w:rPr>
        <w:rStyle w:val="PageNumber"/>
        <w:rFonts w:cs="Traditional Arabic"/>
        <w:sz w:val="18"/>
        <w:szCs w:val="18"/>
        <w:rtl/>
        <w:lang w:bidi="ar-EG"/>
      </w:rPr>
      <w:t>لمكتب تنمية الاتصالات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3C" w:rsidRDefault="006D073C" w:rsidP="006D073C">
    <w:pPr>
      <w:pStyle w:val="Header"/>
      <w:spacing w:after="120"/>
      <w:jc w:val="center"/>
    </w:pPr>
    <w:r>
      <w:rPr>
        <w:noProof/>
        <w:rtl/>
        <w:lang w:val="en-GB" w:eastAsia="zh-CN"/>
      </w:rPr>
      <w:drawing>
        <wp:inline distT="0" distB="0" distL="0" distR="0" wp14:anchorId="0AE9D4BA" wp14:editId="4792AB34">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E8"/>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15E8"/>
    <w:rsid w:val="003C475F"/>
    <w:rsid w:val="003E4132"/>
    <w:rsid w:val="003F678F"/>
    <w:rsid w:val="00415657"/>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073C"/>
    <w:rsid w:val="006F267F"/>
    <w:rsid w:val="006F63F7"/>
    <w:rsid w:val="006F6F03"/>
    <w:rsid w:val="00706D7A"/>
    <w:rsid w:val="00726AEC"/>
    <w:rsid w:val="007530CA"/>
    <w:rsid w:val="007650F4"/>
    <w:rsid w:val="0079553D"/>
    <w:rsid w:val="007B01CC"/>
    <w:rsid w:val="007C2F07"/>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30ACC"/>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A499D"/>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5FD2"/>
    <w:rsid w:val="00E45211"/>
    <w:rsid w:val="00E7380C"/>
    <w:rsid w:val="00E74BE7"/>
    <w:rsid w:val="00E86CC9"/>
    <w:rsid w:val="00E96624"/>
    <w:rsid w:val="00F126F1"/>
    <w:rsid w:val="00F2106A"/>
    <w:rsid w:val="00F23023"/>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EFB763-6410-4726-9066-1EB17D7F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3C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reg/tmisc/300108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CRM/xreg/web/registration.aspx?Event=C-0000445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en/ITU-T/Workshops-and-Seminars/2018070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en/ITU-T/studygroups/2017-2020/16/Pages/default.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cmweb.de/conferences/ITU_SG16alias/visa-4.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E29E9-62AF-4C41-AC58-8B2EA764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PA_TSB_LETTER.dotx</Template>
  <TotalTime>17</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Riz, Imad</dc:creator>
  <cp:keywords>DPM_v2016.12.12.1_prod</cp:keywords>
  <dc:description>Template used by DPM and CPI for the WTSA-16</dc:description>
  <cp:lastModifiedBy>Millet, Lia</cp:lastModifiedBy>
  <cp:revision>6</cp:revision>
  <cp:lastPrinted>2018-06-19T18:15:00Z</cp:lastPrinted>
  <dcterms:created xsi:type="dcterms:W3CDTF">2018-06-14T12:03:00Z</dcterms:created>
  <dcterms:modified xsi:type="dcterms:W3CDTF">2018-06-19T18:16:00Z</dcterms:modified>
  <cp:category>Conference document</cp:category>
</cp:coreProperties>
</file>