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701574" w:rsidTr="00B80E33">
        <w:trPr>
          <w:cantSplit/>
        </w:trPr>
        <w:tc>
          <w:tcPr>
            <w:tcW w:w="1418" w:type="dxa"/>
            <w:vAlign w:val="center"/>
          </w:tcPr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noProof/>
                <w:lang w:val="en-GB" w:eastAsia="en-GB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01574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0157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701574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701574" w:rsidRDefault="00C34772" w:rsidP="0007513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 w:rsidRPr="00701574">
        <w:tab/>
        <w:t xml:space="preserve">Ginebra, </w:t>
      </w:r>
      <w:r w:rsidR="008871B6">
        <w:t xml:space="preserve">11 </w:t>
      </w:r>
      <w:r w:rsidR="007D4290">
        <w:t xml:space="preserve">de </w:t>
      </w:r>
      <w:r w:rsidR="008871B6">
        <w:t>junio</w:t>
      </w:r>
      <w:r w:rsidR="008871B6" w:rsidRPr="00701574">
        <w:t xml:space="preserve"> </w:t>
      </w:r>
      <w:r w:rsidR="0094637C" w:rsidRPr="00701574">
        <w:t>de 201</w:t>
      </w:r>
      <w:r w:rsidR="008F5DB4">
        <w:t>8</w:t>
      </w:r>
    </w:p>
    <w:tbl>
      <w:tblPr>
        <w:tblW w:w="97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94"/>
        <w:gridCol w:w="4843"/>
      </w:tblGrid>
      <w:tr w:rsidR="00CC5ACE" w:rsidRPr="00701574" w:rsidTr="0007513F">
        <w:trPr>
          <w:cantSplit/>
          <w:trHeight w:val="340"/>
        </w:trPr>
        <w:tc>
          <w:tcPr>
            <w:tcW w:w="1126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Ref.:</w:t>
            </w:r>
          </w:p>
        </w:tc>
        <w:tc>
          <w:tcPr>
            <w:tcW w:w="3794" w:type="dxa"/>
          </w:tcPr>
          <w:p w:rsidR="00CC5ACE" w:rsidRPr="00701574" w:rsidRDefault="008871B6" w:rsidP="00327291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>Addéndum 1 a la</w:t>
            </w:r>
            <w:r w:rsidR="00327291">
              <w:rPr>
                <w:b/>
              </w:rPr>
              <w:br/>
            </w:r>
            <w:r w:rsidR="00CC5ACE" w:rsidRPr="00701574">
              <w:rPr>
                <w:b/>
              </w:rPr>
              <w:t xml:space="preserve">Circular TSB </w:t>
            </w:r>
            <w:r w:rsidR="008F5DB4">
              <w:rPr>
                <w:b/>
              </w:rPr>
              <w:t>94</w:t>
            </w:r>
          </w:p>
          <w:p w:rsidR="00CC5ACE" w:rsidRPr="00701574" w:rsidRDefault="00B80E33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B</w:t>
            </w:r>
            <w:r w:rsidR="00EA0E30" w:rsidRPr="00701574">
              <w:t>SG</w:t>
            </w:r>
            <w:r w:rsidRPr="00701574">
              <w:t>/LS</w:t>
            </w:r>
          </w:p>
        </w:tc>
        <w:tc>
          <w:tcPr>
            <w:tcW w:w="4843" w:type="dxa"/>
            <w:vMerge w:val="restart"/>
          </w:tcPr>
          <w:p w:rsidR="00701574" w:rsidRPr="00701574" w:rsidRDefault="00701574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701574">
              <w:rPr>
                <w:b/>
                <w:bCs/>
              </w:rPr>
              <w:t>A:</w:t>
            </w:r>
          </w:p>
          <w:p w:rsidR="00CC5ACE" w:rsidRPr="00701574" w:rsidRDefault="00701574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las Administraciones de los Estados Miembros </w:t>
            </w:r>
            <w:r w:rsidR="00252227">
              <w:br/>
            </w:r>
            <w:r w:rsidR="00CC5ACE" w:rsidRPr="00701574">
              <w:t>de la Unión;</w:t>
            </w:r>
          </w:p>
          <w:p w:rsidR="00CC5ACE" w:rsidRPr="00701574" w:rsidRDefault="00701574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los Miembros de Sector </w:t>
            </w:r>
            <w:r w:rsidR="002836A3" w:rsidRPr="00701574">
              <w:t xml:space="preserve">del </w:t>
            </w:r>
            <w:r w:rsidR="00CC5ACE" w:rsidRPr="00701574">
              <w:t>UIT-T;</w:t>
            </w:r>
          </w:p>
          <w:p w:rsidR="00CC5ACE" w:rsidRPr="00701574" w:rsidRDefault="00701574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los Asociados del UIT-T;</w:t>
            </w:r>
          </w:p>
          <w:p w:rsidR="002836A3" w:rsidRPr="00701574" w:rsidRDefault="00701574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las Instituciones Académicas de la UIT</w:t>
            </w:r>
          </w:p>
        </w:tc>
      </w:tr>
      <w:tr w:rsidR="00CC5ACE" w:rsidRPr="00701574" w:rsidTr="0007513F">
        <w:trPr>
          <w:cantSplit/>
          <w:trHeight w:val="340"/>
        </w:trPr>
        <w:tc>
          <w:tcPr>
            <w:tcW w:w="1126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Tel.:</w:t>
            </w:r>
          </w:p>
        </w:tc>
        <w:tc>
          <w:tcPr>
            <w:tcW w:w="3794" w:type="dxa"/>
          </w:tcPr>
          <w:p w:rsidR="00CC5ACE" w:rsidRPr="00701574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+41 22 730 5</w:t>
            </w:r>
            <w:r w:rsidR="00B80E33" w:rsidRPr="00701574">
              <w:t>884</w:t>
            </w:r>
          </w:p>
        </w:tc>
        <w:tc>
          <w:tcPr>
            <w:tcW w:w="4843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701574" w:rsidTr="0007513F">
        <w:trPr>
          <w:cantSplit/>
          <w:trHeight w:val="340"/>
        </w:trPr>
        <w:tc>
          <w:tcPr>
            <w:tcW w:w="1126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Fax:</w:t>
            </w:r>
          </w:p>
        </w:tc>
        <w:tc>
          <w:tcPr>
            <w:tcW w:w="3794" w:type="dxa"/>
          </w:tcPr>
          <w:p w:rsidR="00CC5ACE" w:rsidRPr="00701574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+41 22 730 5853</w:t>
            </w:r>
          </w:p>
        </w:tc>
        <w:tc>
          <w:tcPr>
            <w:tcW w:w="4843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701574" w:rsidTr="0007513F">
        <w:trPr>
          <w:cantSplit/>
        </w:trPr>
        <w:tc>
          <w:tcPr>
            <w:tcW w:w="1126" w:type="dxa"/>
          </w:tcPr>
          <w:p w:rsidR="00C34772" w:rsidRPr="00252227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Correo-e:</w:t>
            </w:r>
          </w:p>
        </w:tc>
        <w:tc>
          <w:tcPr>
            <w:tcW w:w="3794" w:type="dxa"/>
          </w:tcPr>
          <w:p w:rsidR="00C34772" w:rsidRPr="003B7220" w:rsidRDefault="001429DD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3B7220" w:rsidRPr="00E25311">
                <w:rPr>
                  <w:rStyle w:val="Hyperlink"/>
                </w:rPr>
                <w:t>bridging@itu.int</w:t>
              </w:r>
            </w:hyperlink>
            <w:r w:rsidR="00701574" w:rsidRPr="003B7220">
              <w:rPr>
                <w:rStyle w:val="Hyperlink"/>
              </w:rPr>
              <w:br/>
            </w:r>
            <w:r w:rsidR="00701574" w:rsidRPr="003B7220">
              <w:rPr>
                <w:rStyle w:val="Hyperlink"/>
                <w:szCs w:val="24"/>
              </w:rPr>
              <w:t>tsbevents@itu.int</w:t>
            </w:r>
          </w:p>
        </w:tc>
        <w:tc>
          <w:tcPr>
            <w:tcW w:w="4843" w:type="dxa"/>
          </w:tcPr>
          <w:p w:rsidR="00C34772" w:rsidRPr="00701574" w:rsidRDefault="00C34772" w:rsidP="0007513F">
            <w:pPr>
              <w:tabs>
                <w:tab w:val="left" w:pos="4111"/>
              </w:tabs>
              <w:spacing w:before="40"/>
              <w:ind w:left="57"/>
            </w:pPr>
            <w:r w:rsidRPr="00701574">
              <w:rPr>
                <w:b/>
              </w:rPr>
              <w:t>Copia</w:t>
            </w:r>
            <w:r w:rsidRPr="00701574">
              <w:t>:</w:t>
            </w:r>
          </w:p>
          <w:p w:rsidR="0094637C" w:rsidRPr="00701574" w:rsidRDefault="008A5CFA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4F3318">
              <w:t xml:space="preserve">a </w:t>
            </w:r>
            <w:r w:rsidR="0094637C" w:rsidRPr="00701574">
              <w:t>los Presidentes y Vicepresidentes de las Comisiones de Estudio del UIT-T;</w:t>
            </w:r>
          </w:p>
          <w:p w:rsidR="0094637C" w:rsidRPr="00701574" w:rsidRDefault="008A5CFA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Desarrollo de las Telecomunicaciones;</w:t>
            </w:r>
          </w:p>
          <w:p w:rsidR="0094637C" w:rsidRPr="00701574" w:rsidRDefault="008A5CFA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Radiocomunicaciones;</w:t>
            </w:r>
          </w:p>
          <w:p w:rsidR="00EA0E30" w:rsidRPr="00701574" w:rsidRDefault="002836A3" w:rsidP="000751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01574">
              <w:t>–</w:t>
            </w:r>
            <w:r w:rsidRPr="00701574">
              <w:tab/>
            </w:r>
            <w:r w:rsidR="00696783">
              <w:t>a</w:t>
            </w:r>
            <w:r w:rsidRPr="00701574">
              <w:t xml:space="preserve"> la Oficina </w:t>
            </w:r>
            <w:r w:rsidR="007D4290">
              <w:t>Regional</w:t>
            </w:r>
            <w:r w:rsidRPr="00701574">
              <w:t xml:space="preserve"> de la UIT </w:t>
            </w:r>
            <w:r w:rsidR="004A1426" w:rsidRPr="00701574">
              <w:t xml:space="preserve">para </w:t>
            </w:r>
            <w:r w:rsidR="008F5DB4">
              <w:t>Asia y el Pacífico</w:t>
            </w:r>
          </w:p>
        </w:tc>
      </w:tr>
      <w:tr w:rsidR="00CC5ACE" w:rsidRPr="00701574" w:rsidTr="0007513F">
        <w:trPr>
          <w:cantSplit/>
        </w:trPr>
        <w:tc>
          <w:tcPr>
            <w:tcW w:w="1126" w:type="dxa"/>
          </w:tcPr>
          <w:p w:rsidR="00CC5ACE" w:rsidRPr="00252227" w:rsidRDefault="00CC5ACE" w:rsidP="0007513F">
            <w:pPr>
              <w:spacing w:after="120"/>
              <w:ind w:left="57"/>
            </w:pPr>
            <w:r w:rsidRPr="00252227">
              <w:t>Asunto:</w:t>
            </w:r>
          </w:p>
        </w:tc>
        <w:tc>
          <w:tcPr>
            <w:tcW w:w="8637" w:type="dxa"/>
            <w:gridSpan w:val="2"/>
          </w:tcPr>
          <w:p w:rsidR="00CC5ACE" w:rsidRPr="00701574" w:rsidRDefault="00CC5ACE" w:rsidP="0007513F">
            <w:pPr>
              <w:spacing w:after="120"/>
              <w:ind w:left="57"/>
              <w:rPr>
                <w:b/>
                <w:bCs/>
              </w:rPr>
            </w:pPr>
            <w:r w:rsidRPr="00701574">
              <w:rPr>
                <w:b/>
                <w:bCs/>
              </w:rPr>
              <w:t xml:space="preserve">Foro Regional de Normalización de la UIT </w:t>
            </w:r>
            <w:r w:rsidR="00B80E33" w:rsidRPr="00701574">
              <w:rPr>
                <w:b/>
                <w:bCs/>
              </w:rPr>
              <w:t>sobre la</w:t>
            </w:r>
            <w:r w:rsidR="007D4290">
              <w:rPr>
                <w:b/>
                <w:bCs/>
              </w:rPr>
              <w:t xml:space="preserve">s nuevas tendencias económicas, reglamentarias y políticas en un mundo digital de rápida evolución </w:t>
            </w:r>
            <w:r w:rsidR="004F3318">
              <w:rPr>
                <w:b/>
                <w:bCs/>
              </w:rPr>
              <w:br/>
            </w:r>
            <w:r w:rsidR="007D4290">
              <w:rPr>
                <w:b/>
                <w:bCs/>
              </w:rPr>
              <w:t>(</w:t>
            </w:r>
            <w:r w:rsidR="00327291">
              <w:rPr>
                <w:b/>
                <w:bCs/>
              </w:rPr>
              <w:t>X’ian</w:t>
            </w:r>
            <w:r w:rsidR="008F5DB4">
              <w:rPr>
                <w:b/>
                <w:bCs/>
              </w:rPr>
              <w:t xml:space="preserve"> </w:t>
            </w:r>
            <w:r w:rsidR="00327291">
              <w:rPr>
                <w:b/>
                <w:bCs/>
              </w:rPr>
              <w:t>(</w:t>
            </w:r>
            <w:r w:rsidR="008F5DB4">
              <w:rPr>
                <w:b/>
                <w:bCs/>
              </w:rPr>
              <w:t>China</w:t>
            </w:r>
            <w:r w:rsidR="00327291">
              <w:rPr>
                <w:b/>
                <w:bCs/>
              </w:rPr>
              <w:t>)</w:t>
            </w:r>
            <w:r w:rsidR="007D4290">
              <w:rPr>
                <w:b/>
                <w:bCs/>
              </w:rPr>
              <w:t xml:space="preserve">, </w:t>
            </w:r>
            <w:r w:rsidR="008871B6">
              <w:rPr>
                <w:b/>
                <w:bCs/>
              </w:rPr>
              <w:t>27 </w:t>
            </w:r>
            <w:r w:rsidR="007D4290">
              <w:rPr>
                <w:b/>
                <w:bCs/>
              </w:rPr>
              <w:t>de</w:t>
            </w:r>
            <w:r w:rsidR="003F6326">
              <w:rPr>
                <w:b/>
                <w:bCs/>
              </w:rPr>
              <w:t> </w:t>
            </w:r>
            <w:r w:rsidR="008871B6">
              <w:rPr>
                <w:b/>
                <w:bCs/>
              </w:rPr>
              <w:t xml:space="preserve">agosto </w:t>
            </w:r>
            <w:r w:rsidR="007D4290">
              <w:rPr>
                <w:b/>
                <w:bCs/>
              </w:rPr>
              <w:t>de 2018</w:t>
            </w:r>
            <w:r w:rsidR="002836A3" w:rsidRPr="00701574">
              <w:rPr>
                <w:b/>
                <w:bCs/>
              </w:rPr>
              <w:t>)</w:t>
            </w:r>
          </w:p>
        </w:tc>
      </w:tr>
    </w:tbl>
    <w:p w:rsidR="00C34772" w:rsidRPr="00701574" w:rsidRDefault="003F6326" w:rsidP="0007513F">
      <w:pPr>
        <w:pStyle w:val="Normalaftertitle0"/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="0094637C" w:rsidRPr="00701574">
        <w:t>/</w:t>
      </w:r>
      <w:r w:rsidR="00B80E33" w:rsidRPr="00701574">
        <w:t>Muy Señor mío</w:t>
      </w:r>
      <w:r w:rsidR="003B7220">
        <w:t>:</w:t>
      </w:r>
    </w:p>
    <w:p w:rsidR="0094637C" w:rsidRPr="00701574" w:rsidRDefault="0094637C" w:rsidP="008871B6">
      <w:r w:rsidRPr="00701574">
        <w:rPr>
          <w:bCs/>
        </w:rPr>
        <w:t>1</w:t>
      </w:r>
      <w:r w:rsidRPr="00701574">
        <w:tab/>
        <w:t>La Unión Internacional de Telecomunicaciones (UIT) está organizando un Foro Regional de Normalización</w:t>
      </w:r>
      <w:r w:rsidR="007D4290">
        <w:t xml:space="preserve"> (FRN) para </w:t>
      </w:r>
      <w:r w:rsidR="008871B6">
        <w:t>Asia y el Pacífico</w:t>
      </w:r>
      <w:r w:rsidR="008871B6" w:rsidRPr="00701574">
        <w:t xml:space="preserve"> </w:t>
      </w:r>
      <w:r w:rsidR="00EA0E30" w:rsidRPr="00701574">
        <w:t>sobre la reducción de la disparidad en materia de normalización</w:t>
      </w:r>
      <w:r w:rsidRPr="00701574">
        <w:t xml:space="preserve"> </w:t>
      </w:r>
      <w:r w:rsidR="007D4290">
        <w:t>consagrado a las nuevas tendencias económicas, reglamentarias y políticas</w:t>
      </w:r>
      <w:r w:rsidR="008871B6" w:rsidRPr="008871B6">
        <w:t xml:space="preserve"> que se celebrará en X’ian (China) el 2</w:t>
      </w:r>
      <w:r w:rsidR="008871B6">
        <w:t>7</w:t>
      </w:r>
      <w:r w:rsidR="008871B6" w:rsidRPr="008871B6">
        <w:t xml:space="preserve"> de </w:t>
      </w:r>
      <w:r w:rsidR="008871B6">
        <w:t>agosto</w:t>
      </w:r>
      <w:r w:rsidR="008871B6" w:rsidRPr="008871B6">
        <w:t xml:space="preserve"> de 2018</w:t>
      </w:r>
      <w:r w:rsidR="008871B6">
        <w:t>, en lugar del 25 de junio de 2018 comunicado anteriormente</w:t>
      </w:r>
      <w:r w:rsidR="007D4290">
        <w:t>. El</w:t>
      </w:r>
      <w:r w:rsidR="00EA0E30" w:rsidRPr="00701574">
        <w:t xml:space="preserve"> anfitrión </w:t>
      </w:r>
      <w:r w:rsidR="007D4290">
        <w:t xml:space="preserve">del Foro </w:t>
      </w:r>
      <w:r w:rsidR="00EA0E30" w:rsidRPr="00701574">
        <w:t xml:space="preserve">será </w:t>
      </w:r>
      <w:r w:rsidR="00074E76" w:rsidRPr="00701574">
        <w:t xml:space="preserve">la </w:t>
      </w:r>
      <w:r w:rsidR="008F5DB4">
        <w:t xml:space="preserve">Academia de tecnologías de la información y la comunicación de China (CAICT), en asociación con la Universidad de Correos y Telecomunicaciones de X’ian (XUPT) en el Hotel </w:t>
      </w:r>
      <w:r w:rsidR="008F5DB4" w:rsidRPr="008F5DB4">
        <w:t>Howard Johnson Ginwa Plaza</w:t>
      </w:r>
      <w:r w:rsidR="008F5DB4">
        <w:t>. El Foro se celebrará</w:t>
      </w:r>
      <w:r w:rsidR="007D4290">
        <w:t xml:space="preserve"> </w:t>
      </w:r>
      <w:r w:rsidR="00EA0E30" w:rsidRPr="00701574">
        <w:t xml:space="preserve">de manera coordinada con la reunión del Grupo Regional </w:t>
      </w:r>
      <w:r w:rsidR="007D4290">
        <w:t xml:space="preserve">de la Comisión de Estudio 3 </w:t>
      </w:r>
      <w:r w:rsidR="003F6326">
        <w:t xml:space="preserve">del UIT-T </w:t>
      </w:r>
      <w:r w:rsidR="007D4290">
        <w:t xml:space="preserve">para </w:t>
      </w:r>
      <w:r w:rsidR="000C331B">
        <w:t>Asia y Oceanía</w:t>
      </w:r>
      <w:r w:rsidR="007D4290">
        <w:t xml:space="preserve"> (GRCE3-</w:t>
      </w:r>
      <w:r w:rsidR="008F5DB4">
        <w:t>AO</w:t>
      </w:r>
      <w:r w:rsidR="007D4290">
        <w:t xml:space="preserve">), que tendrá lugar del </w:t>
      </w:r>
      <w:r w:rsidR="008871B6">
        <w:t xml:space="preserve">28 </w:t>
      </w:r>
      <w:r w:rsidR="007D4290">
        <w:t xml:space="preserve">al </w:t>
      </w:r>
      <w:r w:rsidR="008871B6">
        <w:t xml:space="preserve">31 </w:t>
      </w:r>
      <w:r w:rsidR="000C331B">
        <w:t>de </w:t>
      </w:r>
      <w:r w:rsidR="008871B6">
        <w:t xml:space="preserve">agosto </w:t>
      </w:r>
      <w:r w:rsidR="007D4290">
        <w:t>de 2018</w:t>
      </w:r>
      <w:r w:rsidRPr="00701574">
        <w:t xml:space="preserve"> en ese mismo lugar.</w:t>
      </w:r>
    </w:p>
    <w:p w:rsidR="0094637C" w:rsidRPr="00701574" w:rsidRDefault="007D4290">
      <w:r>
        <w:t>2</w:t>
      </w:r>
      <w:r w:rsidR="0094637C" w:rsidRPr="00701574">
        <w:tab/>
        <w:t>E</w:t>
      </w:r>
      <w:r w:rsidR="00074E76" w:rsidRPr="00701574">
        <w:t>l proyecto de programa del Foro</w:t>
      </w:r>
      <w:r w:rsidR="0094637C" w:rsidRPr="00701574">
        <w:t xml:space="preserve"> </w:t>
      </w:r>
      <w:r w:rsidR="008871B6">
        <w:t>está disponible</w:t>
      </w:r>
      <w:r w:rsidR="0094637C" w:rsidRPr="00701574">
        <w:t xml:space="preserve"> en </w:t>
      </w:r>
      <w:r w:rsidR="00811DE7" w:rsidRPr="00701574">
        <w:t>el</w:t>
      </w:r>
      <w:r w:rsidR="0094637C" w:rsidRPr="00701574">
        <w:t xml:space="preserve"> </w:t>
      </w:r>
      <w:r w:rsidR="00811DE7" w:rsidRPr="00701574">
        <w:t>sitio</w:t>
      </w:r>
      <w:r w:rsidR="0094637C" w:rsidRPr="00701574">
        <w:t xml:space="preserve"> web de la UIT:</w:t>
      </w:r>
      <w:r w:rsidR="00811DE7" w:rsidRPr="00701574">
        <w:t xml:space="preserve"> </w:t>
      </w:r>
      <w:hyperlink r:id="rId10" w:history="1">
        <w:r w:rsidR="008F5DB4" w:rsidRPr="00887217">
          <w:rPr>
            <w:rStyle w:val="Hyperlink"/>
          </w:rPr>
          <w:t>https://www.itu.int/en/ITU-T/Workshops-and-Seminars/bsg/201806/Pages/default.aspx</w:t>
        </w:r>
      </w:hyperlink>
      <w:r w:rsidR="005464DB">
        <w:t>.</w:t>
      </w:r>
      <w:r w:rsidR="004F1D63">
        <w:t xml:space="preserve"> </w:t>
      </w:r>
      <w:hyperlink r:id="rId11" w:history="1"/>
      <w:r w:rsidR="0094637C" w:rsidRPr="00701574">
        <w:t>Est</w:t>
      </w:r>
      <w:r w:rsidR="00811DE7" w:rsidRPr="00701574">
        <w:t>e sitio</w:t>
      </w:r>
      <w:r w:rsidR="0094637C" w:rsidRPr="00701574">
        <w:t xml:space="preserve"> web se pondrá periódicamente al día a medida que se disponga de </w:t>
      </w:r>
      <w:r w:rsidR="0007513F">
        <w:t>información nueva o modificada.</w:t>
      </w:r>
    </w:p>
    <w:p w:rsidR="00C34772" w:rsidRDefault="0094637C" w:rsidP="00696783">
      <w:r w:rsidRPr="00701574">
        <w:t>A</w:t>
      </w:r>
      <w:r w:rsidR="00C34772" w:rsidRPr="00701574">
        <w:t>tentamente</w:t>
      </w:r>
      <w:r w:rsidR="00981644" w:rsidRPr="00701574">
        <w:t>,</w:t>
      </w:r>
    </w:p>
    <w:p w:rsidR="00231A3B" w:rsidRPr="003B7220" w:rsidRDefault="003B7220" w:rsidP="0007513F">
      <w:pPr>
        <w:spacing w:before="240"/>
        <w:rPr>
          <w:i/>
          <w:iCs/>
        </w:rPr>
      </w:pPr>
      <w:r w:rsidRPr="003B7220">
        <w:rPr>
          <w:i/>
          <w:iCs/>
        </w:rPr>
        <w:t>(firmado)</w:t>
      </w:r>
    </w:p>
    <w:p w:rsidR="00C34772" w:rsidRPr="00701574" w:rsidRDefault="002E496E" w:rsidP="0007513F">
      <w:pPr>
        <w:tabs>
          <w:tab w:val="clear" w:pos="1588"/>
          <w:tab w:val="clear" w:pos="1985"/>
          <w:tab w:val="left" w:pos="7560"/>
        </w:tabs>
        <w:spacing w:before="360"/>
      </w:pPr>
      <w:r w:rsidRPr="00701574">
        <w:t>Chaesub Lee</w:t>
      </w:r>
      <w:r w:rsidR="00C34772" w:rsidRPr="00701574">
        <w:br/>
        <w:t>Director de la Oficina de</w:t>
      </w:r>
      <w:r w:rsidR="00C34772" w:rsidRPr="00701574">
        <w:br/>
        <w:t>Normalización de las Telecomunicaciones</w:t>
      </w:r>
      <w:bookmarkStart w:id="4" w:name="_GoBack"/>
      <w:bookmarkEnd w:id="4"/>
    </w:p>
    <w:sectPr w:rsidR="00C34772" w:rsidRPr="00701574" w:rsidSect="003B7220">
      <w:headerReference w:type="default" r:id="rId12"/>
      <w:footerReference w:type="default" r:id="rId13"/>
      <w:footerReference w:type="first" r:id="rId14"/>
      <w:pgSz w:w="11907" w:h="16834" w:code="9"/>
      <w:pgMar w:top="1021" w:right="1134" w:bottom="1077" w:left="1134" w:header="340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DD" w:rsidRDefault="001429DD">
      <w:r>
        <w:separator/>
      </w:r>
    </w:p>
  </w:endnote>
  <w:endnote w:type="continuationSeparator" w:id="0">
    <w:p w:rsidR="001429DD" w:rsidRDefault="0014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50" w:rsidRPr="00327291" w:rsidRDefault="00327291" w:rsidP="00327291">
    <w:pPr>
      <w:pStyle w:val="Footer"/>
      <w:rPr>
        <w:sz w:val="16"/>
        <w:szCs w:val="16"/>
        <w:lang w:val="fr-CH"/>
      </w:rPr>
    </w:pPr>
    <w:r w:rsidRPr="00327291">
      <w:rPr>
        <w:sz w:val="16"/>
        <w:szCs w:val="16"/>
      </w:rPr>
      <w:fldChar w:fldCharType="begin"/>
    </w:r>
    <w:r w:rsidRPr="00327291">
      <w:rPr>
        <w:sz w:val="16"/>
        <w:szCs w:val="16"/>
        <w:lang w:val="fr-CH"/>
      </w:rPr>
      <w:instrText xml:space="preserve"> FILENAME \p  \* MERGEFORMAT </w:instrText>
    </w:r>
    <w:r w:rsidRPr="00327291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P:\ESP\ITU-T\BUREAU\CIRC\000\094ADD01S.docx</w:t>
    </w:r>
    <w:r w:rsidRPr="00327291">
      <w:rPr>
        <w:noProof/>
        <w:sz w:val="16"/>
        <w:szCs w:val="16"/>
      </w:rPr>
      <w:fldChar w:fldCharType="end"/>
    </w:r>
    <w:r w:rsidRPr="00327291">
      <w:rPr>
        <w:noProof/>
        <w:sz w:val="16"/>
        <w:szCs w:val="16"/>
        <w:lang w:val="fr-CH"/>
      </w:rPr>
      <w:t xml:space="preserve"> (439207)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3F" w:rsidRPr="008875CC" w:rsidRDefault="00410F50" w:rsidP="008875CC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DD" w:rsidRDefault="001429DD">
      <w:r>
        <w:t>____________________</w:t>
      </w:r>
    </w:p>
  </w:footnote>
  <w:footnote w:type="continuationSeparator" w:id="0">
    <w:p w:rsidR="001429DD" w:rsidRDefault="0014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50" w:rsidRPr="00FD7428" w:rsidRDefault="00410F50" w:rsidP="00410F50">
    <w:pPr>
      <w:spacing w:before="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07513F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94</w:t>
    </w:r>
    <w:r w:rsidR="004F1D63">
      <w:rPr>
        <w:rFonts w:ascii="Calibri" w:hAnsi="Calibri"/>
        <w:noProof/>
        <w:sz w:val="18"/>
        <w:lang w:val="en-GB"/>
      </w:rPr>
      <w:t xml:space="preserve"> 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74E76"/>
    <w:rsid w:val="0007513F"/>
    <w:rsid w:val="00085662"/>
    <w:rsid w:val="000B72F8"/>
    <w:rsid w:val="000C331B"/>
    <w:rsid w:val="000C382F"/>
    <w:rsid w:val="000E53D0"/>
    <w:rsid w:val="000F0D53"/>
    <w:rsid w:val="001173CC"/>
    <w:rsid w:val="00137448"/>
    <w:rsid w:val="00140DC9"/>
    <w:rsid w:val="001429DD"/>
    <w:rsid w:val="00143C4B"/>
    <w:rsid w:val="0014464D"/>
    <w:rsid w:val="00145E28"/>
    <w:rsid w:val="00162E19"/>
    <w:rsid w:val="001A54CC"/>
    <w:rsid w:val="001A746E"/>
    <w:rsid w:val="001F17D2"/>
    <w:rsid w:val="001F62D1"/>
    <w:rsid w:val="001F74EA"/>
    <w:rsid w:val="00227F6A"/>
    <w:rsid w:val="00231A3B"/>
    <w:rsid w:val="00235C3D"/>
    <w:rsid w:val="00252227"/>
    <w:rsid w:val="00257FB4"/>
    <w:rsid w:val="002836A3"/>
    <w:rsid w:val="002E496E"/>
    <w:rsid w:val="00303D62"/>
    <w:rsid w:val="00327291"/>
    <w:rsid w:val="0032761A"/>
    <w:rsid w:val="00335367"/>
    <w:rsid w:val="00343BBB"/>
    <w:rsid w:val="00370C2D"/>
    <w:rsid w:val="00381555"/>
    <w:rsid w:val="003B0864"/>
    <w:rsid w:val="003B7220"/>
    <w:rsid w:val="003D1E8D"/>
    <w:rsid w:val="003D673B"/>
    <w:rsid w:val="003F05C4"/>
    <w:rsid w:val="003F2855"/>
    <w:rsid w:val="003F6326"/>
    <w:rsid w:val="00400C94"/>
    <w:rsid w:val="00401C20"/>
    <w:rsid w:val="00410F50"/>
    <w:rsid w:val="00416D9A"/>
    <w:rsid w:val="00437D85"/>
    <w:rsid w:val="004A1426"/>
    <w:rsid w:val="004A74D6"/>
    <w:rsid w:val="004A7957"/>
    <w:rsid w:val="004C4144"/>
    <w:rsid w:val="004D6B4C"/>
    <w:rsid w:val="004F0D34"/>
    <w:rsid w:val="004F1D63"/>
    <w:rsid w:val="004F2479"/>
    <w:rsid w:val="004F3318"/>
    <w:rsid w:val="005464DB"/>
    <w:rsid w:val="00556A25"/>
    <w:rsid w:val="00565D71"/>
    <w:rsid w:val="00581C9B"/>
    <w:rsid w:val="005856B1"/>
    <w:rsid w:val="0058597C"/>
    <w:rsid w:val="0062151E"/>
    <w:rsid w:val="00655A05"/>
    <w:rsid w:val="00696783"/>
    <w:rsid w:val="006969B4"/>
    <w:rsid w:val="006A4F9F"/>
    <w:rsid w:val="006D109A"/>
    <w:rsid w:val="006D675D"/>
    <w:rsid w:val="006E4F7B"/>
    <w:rsid w:val="00701574"/>
    <w:rsid w:val="00781E2A"/>
    <w:rsid w:val="007933A2"/>
    <w:rsid w:val="007D4290"/>
    <w:rsid w:val="007E1FEF"/>
    <w:rsid w:val="00801C52"/>
    <w:rsid w:val="00811DE7"/>
    <w:rsid w:val="00814503"/>
    <w:rsid w:val="008258C2"/>
    <w:rsid w:val="008439E3"/>
    <w:rsid w:val="008505BD"/>
    <w:rsid w:val="00850C78"/>
    <w:rsid w:val="00855E3A"/>
    <w:rsid w:val="00884D12"/>
    <w:rsid w:val="008871B6"/>
    <w:rsid w:val="008875CC"/>
    <w:rsid w:val="008A5CFA"/>
    <w:rsid w:val="008A746D"/>
    <w:rsid w:val="008C17AD"/>
    <w:rsid w:val="008D02CD"/>
    <w:rsid w:val="008E26E9"/>
    <w:rsid w:val="008F5DB4"/>
    <w:rsid w:val="0090137A"/>
    <w:rsid w:val="00912126"/>
    <w:rsid w:val="0092348E"/>
    <w:rsid w:val="0093316C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B4A41"/>
    <w:rsid w:val="009B7FCB"/>
    <w:rsid w:val="00A42768"/>
    <w:rsid w:val="00A54E47"/>
    <w:rsid w:val="00A71D8D"/>
    <w:rsid w:val="00A770C2"/>
    <w:rsid w:val="00A93E3B"/>
    <w:rsid w:val="00AA3CB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4561D"/>
    <w:rsid w:val="00B55A3E"/>
    <w:rsid w:val="00B80E33"/>
    <w:rsid w:val="00B82F7D"/>
    <w:rsid w:val="00B87E9E"/>
    <w:rsid w:val="00B95F0A"/>
    <w:rsid w:val="00B96180"/>
    <w:rsid w:val="00BA3874"/>
    <w:rsid w:val="00BD0876"/>
    <w:rsid w:val="00BD7629"/>
    <w:rsid w:val="00C116FE"/>
    <w:rsid w:val="00C17AC0"/>
    <w:rsid w:val="00C20E01"/>
    <w:rsid w:val="00C31108"/>
    <w:rsid w:val="00C34772"/>
    <w:rsid w:val="00C47C70"/>
    <w:rsid w:val="00C5465A"/>
    <w:rsid w:val="00C57F94"/>
    <w:rsid w:val="00CA4DAA"/>
    <w:rsid w:val="00CC07F0"/>
    <w:rsid w:val="00CC5ACE"/>
    <w:rsid w:val="00CD75AB"/>
    <w:rsid w:val="00CE6747"/>
    <w:rsid w:val="00D263D6"/>
    <w:rsid w:val="00D54642"/>
    <w:rsid w:val="00D7168B"/>
    <w:rsid w:val="00D7517D"/>
    <w:rsid w:val="00DC10A8"/>
    <w:rsid w:val="00DC4421"/>
    <w:rsid w:val="00DD77C9"/>
    <w:rsid w:val="00DE1AF7"/>
    <w:rsid w:val="00DF3538"/>
    <w:rsid w:val="00DF7D57"/>
    <w:rsid w:val="00E3747D"/>
    <w:rsid w:val="00E7319E"/>
    <w:rsid w:val="00E734C3"/>
    <w:rsid w:val="00E839B0"/>
    <w:rsid w:val="00E92C09"/>
    <w:rsid w:val="00EA0E30"/>
    <w:rsid w:val="00EF4AA6"/>
    <w:rsid w:val="00EF6CD1"/>
    <w:rsid w:val="00F14380"/>
    <w:rsid w:val="00F275A7"/>
    <w:rsid w:val="00F43A6B"/>
    <w:rsid w:val="00F6461F"/>
    <w:rsid w:val="00FA4B9E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AE0F5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bsg/201806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8458-4AEC-400C-9BBD-5BCB9DE5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2355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Author</cp:lastModifiedBy>
  <cp:revision>4</cp:revision>
  <cp:lastPrinted>2018-07-04T14:26:00Z</cp:lastPrinted>
  <dcterms:created xsi:type="dcterms:W3CDTF">2018-07-04T14:23:00Z</dcterms:created>
  <dcterms:modified xsi:type="dcterms:W3CDTF">2018-07-17T16:44:00Z</dcterms:modified>
</cp:coreProperties>
</file>