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A15845" w:rsidTr="00A15845">
        <w:trPr>
          <w:cantSplit/>
          <w:trHeight w:val="1418"/>
          <w:jc w:val="center"/>
        </w:trPr>
        <w:tc>
          <w:tcPr>
            <w:tcW w:w="718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>
              <w:rPr>
                <w:noProof/>
                <w:rtl/>
                <w:lang w:val="en-GB" w:eastAsia="en-GB"/>
              </w:rPr>
              <w:drawing>
                <wp:inline distT="0" distB="0" distL="0" distR="0" wp14:anchorId="16A8AA06" wp14:editId="5F8F610C">
                  <wp:extent cx="648000" cy="730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1-ITU-logo-offici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A15845" w:rsidRPr="00A15845" w:rsidRDefault="00A15845" w:rsidP="00A15845">
            <w:pPr>
              <w:spacing w:after="6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p w:rsidR="00A15845" w:rsidRP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rtl/>
                <w:lang w:eastAsia="zh-CN" w:bidi="ar-EG"/>
              </w:rPr>
            </w:pPr>
          </w:p>
        </w:tc>
        <w:tc>
          <w:tcPr>
            <w:tcW w:w="2470" w:type="pct"/>
          </w:tcPr>
          <w:p w:rsidR="00A15845" w:rsidRPr="00A15845" w:rsidRDefault="00425492" w:rsidP="00067AB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425492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067AB1">
              <w:rPr>
                <w:rFonts w:eastAsiaTheme="minorEastAsia"/>
                <w:lang w:eastAsia="zh-CN"/>
              </w:rPr>
              <w:t>11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067AB1">
              <w:rPr>
                <w:rFonts w:eastAsiaTheme="minorEastAsia" w:hint="cs"/>
                <w:rtl/>
                <w:lang w:eastAsia="zh-CN" w:bidi="ar-EG"/>
              </w:rPr>
              <w:t>يونيو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Pr="00425492">
              <w:rPr>
                <w:rFonts w:eastAsiaTheme="minorEastAsia"/>
                <w:lang w:eastAsia="zh-CN"/>
              </w:rPr>
              <w:t>201</w:t>
            </w:r>
            <w:r w:rsidR="003B3D65">
              <w:rPr>
                <w:rFonts w:eastAsiaTheme="minorEastAsia"/>
                <w:lang w:eastAsia="zh-CN"/>
              </w:rPr>
              <w:t>8</w:t>
            </w:r>
          </w:p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A15845" w:rsidRPr="00A15845" w:rsidRDefault="00067AB1" w:rsidP="009C11D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Cs/>
                <w:rtl/>
                <w:lang w:eastAsia="zh-CN" w:bidi="ar-EG"/>
              </w:rPr>
            </w:pPr>
            <w:r>
              <w:rPr>
                <w:rFonts w:eastAsiaTheme="minorEastAsia" w:hint="cs"/>
                <w:b/>
                <w:rtl/>
                <w:lang w:eastAsia="zh-CN" w:bidi="ar-SY"/>
              </w:rPr>
              <w:t>ا</w:t>
            </w:r>
            <w:r w:rsidRPr="00067AB1">
              <w:rPr>
                <w:rFonts w:eastAsiaTheme="minorEastAsia" w:hint="cs"/>
                <w:bCs/>
                <w:rtl/>
                <w:lang w:eastAsia="zh-CN" w:bidi="ar-SY"/>
              </w:rPr>
              <w:t xml:space="preserve">لإضافة </w:t>
            </w:r>
            <w:r w:rsidRPr="00067AB1">
              <w:rPr>
                <w:rFonts w:eastAsiaTheme="minorEastAsia"/>
                <w:b/>
                <w:lang w:eastAsia="zh-CN" w:bidi="ar-SY"/>
              </w:rPr>
              <w:t>1</w:t>
            </w:r>
            <w:r w:rsidRPr="00067AB1">
              <w:rPr>
                <w:rFonts w:eastAsiaTheme="minorEastAsia" w:hint="cs"/>
                <w:bCs/>
                <w:rtl/>
                <w:lang w:eastAsia="zh-CN" w:bidi="ar-SY"/>
              </w:rPr>
              <w:t xml:space="preserve"> للرسالة المعممة</w:t>
            </w:r>
            <w:r>
              <w:rPr>
                <w:rFonts w:eastAsiaTheme="minorEastAsia"/>
                <w:b/>
                <w:rtl/>
                <w:lang w:eastAsia="zh-CN" w:bidi="ar-SY"/>
              </w:rPr>
              <w:br/>
            </w:r>
            <w:r w:rsidR="00A15845" w:rsidRPr="00A15845">
              <w:rPr>
                <w:rFonts w:eastAsiaTheme="minorEastAsia"/>
                <w:b/>
                <w:lang w:eastAsia="zh-CN" w:bidi="ar-SY"/>
              </w:rPr>
              <w:t xml:space="preserve">TSB Circular </w:t>
            </w:r>
            <w:r w:rsidR="009C11D9">
              <w:rPr>
                <w:rFonts w:eastAsiaTheme="minorEastAsia"/>
                <w:b/>
                <w:lang w:eastAsia="zh-CN" w:bidi="ar-SY"/>
              </w:rPr>
              <w:t>94</w:t>
            </w:r>
            <w:r w:rsidR="00016D4F">
              <w:rPr>
                <w:rFonts w:eastAsiaTheme="minorEastAsia"/>
                <w:b/>
                <w:rtl/>
                <w:lang w:eastAsia="zh-CN" w:bidi="ar-SY"/>
              </w:rPr>
              <w:br/>
            </w:r>
            <w:r w:rsidR="00016D4F">
              <w:rPr>
                <w:rFonts w:eastAsiaTheme="minorEastAsia"/>
                <w:bCs/>
                <w:lang w:eastAsia="zh-CN" w:bidi="ar-EG"/>
              </w:rPr>
              <w:t>BSG/LS</w:t>
            </w:r>
          </w:p>
        </w:tc>
        <w:tc>
          <w:tcPr>
            <w:tcW w:w="2470" w:type="pct"/>
            <w:vMerge w:val="restart"/>
          </w:tcPr>
          <w:p w:rsidR="00A15845" w:rsidRDefault="00425492" w:rsidP="00425492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794" w:hanging="794"/>
              <w:jc w:val="left"/>
              <w:rPr>
                <w:b/>
                <w:bCs/>
              </w:rPr>
            </w:pPr>
            <w:r w:rsidRPr="00BD6508">
              <w:rPr>
                <w:rFonts w:hint="cs"/>
                <w:b/>
                <w:bCs/>
                <w:rtl/>
              </w:rPr>
              <w:t>إلى:</w:t>
            </w:r>
          </w:p>
          <w:p w:rsidR="00425492" w:rsidRPr="00016D4F" w:rsidRDefault="00425492" w:rsidP="000B6F03">
            <w:pPr>
              <w:tabs>
                <w:tab w:val="left" w:pos="4111"/>
              </w:tabs>
              <w:spacing w:before="20" w:after="20" w:line="340" w:lineRule="exact"/>
              <w:ind w:left="367" w:hanging="367"/>
              <w:rPr>
                <w:rtl/>
                <w:lang w:bidi="ar-EG"/>
              </w:rPr>
            </w:pPr>
            <w:r w:rsidRPr="00016D4F">
              <w:rPr>
                <w:rFonts w:hint="cs"/>
                <w:rtl/>
              </w:rPr>
              <w:t>-</w:t>
            </w:r>
            <w:r w:rsidRPr="00016D4F">
              <w:rPr>
                <w:rtl/>
              </w:rPr>
              <w:tab/>
            </w:r>
            <w:r w:rsidRPr="00016D4F">
              <w:rPr>
                <w:rFonts w:hint="cs"/>
                <w:rtl/>
              </w:rPr>
              <w:t>إدارات الدول الأعضاء في الاتحاد</w:t>
            </w:r>
            <w:r w:rsidRPr="00016D4F">
              <w:rPr>
                <w:rFonts w:hint="cs"/>
                <w:rtl/>
                <w:lang w:bidi="ar-EG"/>
              </w:rPr>
              <w:t>؛</w:t>
            </w:r>
          </w:p>
          <w:p w:rsidR="00425492" w:rsidRPr="00016D4F" w:rsidRDefault="00425492" w:rsidP="000B6F03">
            <w:pPr>
              <w:tabs>
                <w:tab w:val="left" w:pos="4111"/>
              </w:tabs>
              <w:spacing w:before="20" w:after="20" w:line="340" w:lineRule="exact"/>
              <w:ind w:left="367" w:hanging="367"/>
              <w:rPr>
                <w:lang w:bidi="ar-EG"/>
              </w:rPr>
            </w:pPr>
            <w:r w:rsidRPr="00016D4F">
              <w:rPr>
                <w:rFonts w:hint="cs"/>
                <w:rtl/>
              </w:rPr>
              <w:t>-</w:t>
            </w:r>
            <w:r w:rsidRPr="00016D4F">
              <w:rPr>
                <w:rtl/>
              </w:rPr>
              <w:tab/>
            </w:r>
            <w:r w:rsidRPr="00016D4F">
              <w:rPr>
                <w:rFonts w:hint="cs"/>
                <w:rtl/>
                <w:lang w:bidi="ar-EG"/>
              </w:rPr>
              <w:t>أعضاء قطاع تقييس الاتصالات؛</w:t>
            </w:r>
          </w:p>
          <w:p w:rsidR="00425492" w:rsidRPr="00016D4F" w:rsidRDefault="00425492" w:rsidP="000B6F03">
            <w:pPr>
              <w:tabs>
                <w:tab w:val="left" w:pos="4111"/>
              </w:tabs>
              <w:spacing w:before="20" w:after="20" w:line="340" w:lineRule="exact"/>
              <w:ind w:left="367" w:hanging="367"/>
              <w:rPr>
                <w:lang w:bidi="ar-EG"/>
              </w:rPr>
            </w:pPr>
            <w:r w:rsidRPr="00016D4F">
              <w:rPr>
                <w:rFonts w:hint="cs"/>
                <w:rtl/>
              </w:rPr>
              <w:t>-</w:t>
            </w:r>
            <w:r w:rsidRPr="00016D4F">
              <w:rPr>
                <w:rtl/>
              </w:rPr>
              <w:tab/>
            </w:r>
            <w:r w:rsidRPr="00016D4F">
              <w:rPr>
                <w:rFonts w:hint="cs"/>
                <w:rtl/>
              </w:rPr>
              <w:t>المنتسبين إلى قطاع تقييس الاتصالات؛</w:t>
            </w:r>
          </w:p>
          <w:p w:rsidR="00425492" w:rsidRPr="00425492" w:rsidRDefault="00425492" w:rsidP="000B6F03">
            <w:pPr>
              <w:tabs>
                <w:tab w:val="clear" w:pos="794"/>
                <w:tab w:val="left" w:pos="4111"/>
              </w:tabs>
              <w:spacing w:before="20" w:after="20" w:line="340" w:lineRule="exact"/>
              <w:ind w:left="367" w:hanging="367"/>
              <w:rPr>
                <w:lang w:bidi="ar-EG"/>
              </w:rPr>
            </w:pPr>
            <w:r w:rsidRPr="00016D4F">
              <w:rPr>
                <w:rFonts w:hint="cs"/>
                <w:rtl/>
              </w:rPr>
              <w:t>-</w:t>
            </w:r>
            <w:r w:rsidRPr="00016D4F">
              <w:rPr>
                <w:rtl/>
              </w:rPr>
              <w:tab/>
            </w:r>
            <w:r w:rsidRPr="00016D4F">
              <w:rPr>
                <w:rFonts w:hint="cs"/>
                <w:rtl/>
              </w:rPr>
              <w:t>الهيئات الأكاديمية المنضمة إلى</w:t>
            </w:r>
            <w:r w:rsidRPr="00016D4F">
              <w:rPr>
                <w:rFonts w:hint="cs"/>
                <w:rtl/>
                <w:lang w:bidi="ar-EG"/>
              </w:rPr>
              <w:t xml:space="preserve"> الاتحاد</w:t>
            </w: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A15845">
              <w:rPr>
                <w:rFonts w:eastAsiaTheme="minorEastAsia" w:hint="cs"/>
                <w:rtl/>
                <w:lang w:eastAsia="zh-CN" w:bidi="ar-SY"/>
              </w:rPr>
              <w:t>الهاتف</w:t>
            </w:r>
            <w:r w:rsidRPr="00A15845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A15845" w:rsidRPr="00A15845" w:rsidRDefault="00016D4F" w:rsidP="00016D4F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016D4F">
              <w:rPr>
                <w:rFonts w:eastAsiaTheme="minorEastAsia"/>
                <w:lang w:val="en-GB" w:eastAsia="zh-CN" w:bidi="ar-SY"/>
              </w:rPr>
              <w:t>+41 22 730 5884</w:t>
            </w:r>
          </w:p>
        </w:tc>
        <w:tc>
          <w:tcPr>
            <w:tcW w:w="2470" w:type="pct"/>
            <w:vMerge/>
          </w:tcPr>
          <w:p w:rsidR="00A15845" w:rsidRPr="00A15845" w:rsidRDefault="00A15845" w:rsidP="004254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A15845" w:rsidRPr="00A15845" w:rsidRDefault="00016D4F" w:rsidP="00016D4F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016D4F">
              <w:rPr>
                <w:rFonts w:eastAsiaTheme="minorEastAsia"/>
                <w:lang w:val="en-GB" w:eastAsia="zh-CN" w:bidi="ar-SY"/>
              </w:rPr>
              <w:t>+41 22 730 5853</w:t>
            </w:r>
          </w:p>
        </w:tc>
        <w:tc>
          <w:tcPr>
            <w:tcW w:w="2470" w:type="pct"/>
            <w:vMerge/>
          </w:tcPr>
          <w:p w:rsidR="00A15845" w:rsidRPr="00A15845" w:rsidRDefault="00A15845" w:rsidP="004254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A15845" w:rsidRPr="00A15845" w:rsidRDefault="005E050D" w:rsidP="00016D4F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1" w:history="1">
              <w:r w:rsidR="00016D4F" w:rsidRPr="00016D4F">
                <w:rPr>
                  <w:rStyle w:val="Hyperlink"/>
                  <w:rFonts w:eastAsiaTheme="minorEastAsia"/>
                  <w:lang w:val="en-GB" w:eastAsia="zh-CN" w:bidi="ar-SY"/>
                </w:rPr>
                <w:t>bridging@itu.int</w:t>
              </w:r>
            </w:hyperlink>
            <w:r w:rsidR="00016D4F" w:rsidRPr="00016D4F">
              <w:rPr>
                <w:rFonts w:eastAsiaTheme="minorEastAsia"/>
                <w:u w:val="single"/>
                <w:lang w:val="en-GB" w:eastAsia="zh-CN" w:bidi="ar-SY"/>
              </w:rPr>
              <w:br/>
            </w:r>
            <w:hyperlink r:id="rId12" w:history="1">
              <w:r w:rsidR="00016D4F" w:rsidRPr="00043B8A">
                <w:rPr>
                  <w:rStyle w:val="Hyperlink"/>
                  <w:rFonts w:eastAsiaTheme="minorEastAsia"/>
                  <w:lang w:val="en-GB" w:eastAsia="zh-CN" w:bidi="ar-SY"/>
                </w:rPr>
                <w:t>tsbevents@itu.int</w:t>
              </w:r>
            </w:hyperlink>
            <w:r w:rsidR="00016D4F">
              <w:rPr>
                <w:rFonts w:eastAsiaTheme="minorEastAsia" w:hint="cs"/>
                <w:u w:val="single"/>
                <w:rtl/>
                <w:lang w:val="en-GB" w:eastAsia="zh-CN" w:bidi="ar-SY"/>
              </w:rPr>
              <w:t xml:space="preserve"> </w:t>
            </w:r>
          </w:p>
        </w:tc>
        <w:tc>
          <w:tcPr>
            <w:tcW w:w="2470" w:type="pct"/>
          </w:tcPr>
          <w:p w:rsidR="00425492" w:rsidRPr="001132C8" w:rsidRDefault="00425492" w:rsidP="003C3378">
            <w:pPr>
              <w:tabs>
                <w:tab w:val="left" w:pos="284"/>
                <w:tab w:val="left" w:pos="4111"/>
              </w:tabs>
              <w:spacing w:after="60" w:line="340" w:lineRule="exact"/>
              <w:ind w:left="57"/>
              <w:rPr>
                <w:b/>
                <w:bCs/>
                <w:rtl/>
              </w:rPr>
            </w:pPr>
            <w:r w:rsidRPr="001132C8">
              <w:rPr>
                <w:rFonts w:hint="cs"/>
                <w:b/>
                <w:bCs/>
                <w:rtl/>
              </w:rPr>
              <w:t>نسخة إلى:</w:t>
            </w:r>
          </w:p>
          <w:p w:rsidR="00016D4F" w:rsidRPr="006725D7" w:rsidRDefault="00016D4F" w:rsidP="000B6F03">
            <w:pPr>
              <w:tabs>
                <w:tab w:val="clear" w:pos="794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  <w:lang w:bidi="ar-EG"/>
              </w:rPr>
            </w:pPr>
            <w:r w:rsidRPr="006725D7">
              <w:rPr>
                <w:rFonts w:hint="cs"/>
                <w:rtl/>
              </w:rPr>
              <w:t>-</w:t>
            </w:r>
            <w:r w:rsidRPr="006725D7">
              <w:rPr>
                <w:rtl/>
              </w:rPr>
              <w:tab/>
            </w:r>
            <w:r>
              <w:rPr>
                <w:rFonts w:hint="cs"/>
                <w:rtl/>
              </w:rPr>
              <w:t>رؤساء لجان الدراسات ل</w:t>
            </w:r>
            <w:r w:rsidRPr="006725D7">
              <w:rPr>
                <w:rFonts w:hint="cs"/>
                <w:rtl/>
              </w:rPr>
              <w:t>قطاع تقييس الاتصالات ونوابهم؛</w:t>
            </w:r>
          </w:p>
          <w:p w:rsidR="00016D4F" w:rsidRPr="006725D7" w:rsidRDefault="00016D4F" w:rsidP="000B6F03">
            <w:pPr>
              <w:tabs>
                <w:tab w:val="clear" w:pos="794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  <w:lang w:bidi="ar-EG"/>
              </w:rPr>
            </w:pPr>
            <w:r w:rsidRPr="006725D7">
              <w:rPr>
                <w:rFonts w:hint="cs"/>
                <w:rtl/>
              </w:rPr>
              <w:t>-</w:t>
            </w:r>
            <w:r w:rsidRPr="006725D7">
              <w:rPr>
                <w:rtl/>
              </w:rPr>
              <w:tab/>
              <w:t>مدير مكتب تنمية الاتصالات</w:t>
            </w:r>
            <w:r w:rsidRPr="006725D7">
              <w:rPr>
                <w:rFonts w:hint="cs"/>
                <w:rtl/>
              </w:rPr>
              <w:t>؛</w:t>
            </w:r>
          </w:p>
          <w:p w:rsidR="00016D4F" w:rsidRDefault="00016D4F" w:rsidP="000B6F03">
            <w:pPr>
              <w:tabs>
                <w:tab w:val="clear" w:pos="794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</w:rPr>
            </w:pPr>
            <w:r w:rsidRPr="006725D7">
              <w:rPr>
                <w:rFonts w:hint="cs"/>
                <w:rtl/>
              </w:rPr>
              <w:t>-</w:t>
            </w:r>
            <w:r w:rsidRPr="006725D7">
              <w:rPr>
                <w:rtl/>
              </w:rPr>
              <w:tab/>
              <w:t>مدير مكتب الاتصالات الراديوية</w:t>
            </w:r>
            <w:r w:rsidRPr="006725D7">
              <w:rPr>
                <w:rFonts w:hint="cs"/>
                <w:rtl/>
              </w:rPr>
              <w:t>؛</w:t>
            </w:r>
          </w:p>
          <w:p w:rsidR="00A15845" w:rsidRPr="00016D4F" w:rsidRDefault="00016D4F" w:rsidP="000B6F03">
            <w:pPr>
              <w:tabs>
                <w:tab w:val="clear" w:pos="794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المكتب الإقليمي للاتحاد لمنطقة </w:t>
            </w:r>
            <w:r w:rsidR="009C11D9">
              <w:rPr>
                <w:rFonts w:hint="cs"/>
                <w:rtl/>
              </w:rPr>
              <w:t>آسيا والمحيط الهادئ</w:t>
            </w: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0B6F03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bCs/>
                <w:position w:val="2"/>
                <w:rtl/>
                <w:lang w:eastAsia="zh-CN" w:bidi="ar-SY"/>
              </w:rPr>
            </w:pPr>
            <w:r w:rsidRPr="000B6F03">
              <w:rPr>
                <w:rFonts w:eastAsiaTheme="minorEastAsia" w:hint="cs"/>
                <w:b/>
                <w:bCs/>
                <w:position w:val="2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A15845" w:rsidRPr="000B6F03" w:rsidRDefault="00067AB1" w:rsidP="0005475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57" w:right="57"/>
              <w:rPr>
                <w:rFonts w:eastAsiaTheme="minorEastAsia"/>
                <w:b/>
                <w:bCs/>
                <w:position w:val="2"/>
                <w:rtl/>
                <w:lang w:eastAsia="zh-CN" w:bidi="ar-EG"/>
              </w:rPr>
            </w:pPr>
            <w:r w:rsidRPr="00016D4F">
              <w:rPr>
                <w:rFonts w:eastAsiaTheme="minorEastAsia" w:hint="cs"/>
                <w:b/>
                <w:bCs/>
                <w:rtl/>
                <w:lang w:eastAsia="zh-CN"/>
              </w:rPr>
              <w:t xml:space="preserve">المنتدى الإقليمي للتقييس الذي ينظمه الاتحاد بشأن الاتجاهات الاقتصادية والتنظيمية والسياساتية الناشئة في عالم رقمي سريع التغير </w:t>
            </w:r>
            <w:r>
              <w:rPr>
                <w:rFonts w:eastAsiaTheme="minorEastAsia" w:hint="cs"/>
                <w:b/>
                <w:bCs/>
                <w:rtl/>
                <w:lang w:eastAsia="zh-CN"/>
              </w:rPr>
              <w:t>(شيان،</w:t>
            </w:r>
            <w:r w:rsidRPr="00016D4F">
              <w:rPr>
                <w:rFonts w:eastAsiaTheme="minorEastAsia" w:hint="cs"/>
                <w:b/>
                <w:bCs/>
                <w:rtl/>
                <w:lang w:eastAsia="zh-CN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/>
              </w:rPr>
              <w:t>الصين</w:t>
            </w:r>
            <w:r w:rsidRPr="00016D4F">
              <w:rPr>
                <w:rFonts w:eastAsiaTheme="minorEastAsia" w:hint="cs"/>
                <w:b/>
                <w:bCs/>
                <w:rtl/>
                <w:lang w:eastAsia="zh-CN"/>
              </w:rPr>
              <w:t xml:space="preserve">، </w:t>
            </w:r>
            <w:r>
              <w:rPr>
                <w:rFonts w:eastAsiaTheme="minorEastAsia"/>
                <w:b/>
                <w:bCs/>
                <w:lang w:eastAsia="zh-CN"/>
              </w:rPr>
              <w:t>27</w:t>
            </w:r>
            <w:r w:rsidRPr="00016D4F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أغسطس</w:t>
            </w:r>
            <w:r w:rsidRPr="00016D4F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Pr="00016D4F">
              <w:rPr>
                <w:rFonts w:eastAsiaTheme="minorEastAsia"/>
                <w:b/>
                <w:bCs/>
                <w:lang w:eastAsia="zh-CN"/>
              </w:rPr>
              <w:t>2018</w:t>
            </w:r>
            <w:r w:rsidRPr="00016D4F">
              <w:rPr>
                <w:rFonts w:eastAsiaTheme="minorEastAsia" w:hint="cs"/>
                <w:b/>
                <w:bCs/>
                <w:rtl/>
                <w:lang w:eastAsia="zh-CN"/>
              </w:rPr>
              <w:t>)</w:t>
            </w:r>
          </w:p>
        </w:tc>
      </w:tr>
    </w:tbl>
    <w:p w:rsidR="00A15845" w:rsidRPr="00A15845" w:rsidRDefault="00A15845" w:rsidP="000262D6">
      <w:pPr>
        <w:keepNext/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480"/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A15845" w:rsidRP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A15845">
        <w:rPr>
          <w:rFonts w:eastAsiaTheme="minorEastAsia" w:hint="cs"/>
          <w:rtl/>
          <w:lang w:eastAsia="zh-CN"/>
        </w:rPr>
        <w:t>تحية طيبة وبعد،</w:t>
      </w:r>
    </w:p>
    <w:p w:rsidR="00016D4F" w:rsidRPr="00357F5A" w:rsidRDefault="00016D4F" w:rsidP="00357F5A">
      <w:pPr>
        <w:rPr>
          <w:rFonts w:eastAsiaTheme="minorEastAsia"/>
          <w:spacing w:val="-2"/>
          <w:rtl/>
          <w:lang w:eastAsia="zh-CN"/>
        </w:rPr>
      </w:pPr>
      <w:r w:rsidRPr="00357F5A">
        <w:rPr>
          <w:rFonts w:eastAsiaTheme="minorEastAsia"/>
          <w:spacing w:val="-2"/>
          <w:lang w:eastAsia="zh-CN" w:bidi="ar-SY"/>
        </w:rPr>
        <w:t>1</w:t>
      </w:r>
      <w:r w:rsidRPr="00357F5A">
        <w:rPr>
          <w:rFonts w:eastAsiaTheme="minorEastAsia"/>
          <w:spacing w:val="-2"/>
          <w:lang w:eastAsia="zh-CN" w:bidi="ar-SY"/>
        </w:rPr>
        <w:tab/>
      </w:r>
      <w:r w:rsidR="00067AB1" w:rsidRPr="00357F5A">
        <w:rPr>
          <w:rFonts w:eastAsiaTheme="minorEastAsia" w:hint="cs"/>
          <w:spacing w:val="-2"/>
          <w:rtl/>
          <w:lang w:eastAsia="zh-CN" w:bidi="ar-EG"/>
        </w:rPr>
        <w:t xml:space="preserve">ينظم الاتحاد الدولي للاتصالات </w:t>
      </w:r>
      <w:r w:rsidR="00067AB1" w:rsidRPr="00357F5A">
        <w:rPr>
          <w:rFonts w:eastAsiaTheme="minorEastAsia"/>
          <w:spacing w:val="-2"/>
          <w:lang w:eastAsia="zh-CN" w:bidi="ar-SY"/>
        </w:rPr>
        <w:t>(ITU)</w:t>
      </w:r>
      <w:r w:rsidR="00067AB1" w:rsidRPr="00357F5A">
        <w:rPr>
          <w:rFonts w:eastAsiaTheme="minorEastAsia" w:hint="cs"/>
          <w:spacing w:val="-2"/>
          <w:rtl/>
          <w:lang w:eastAsia="zh-CN" w:bidi="ar-EG"/>
        </w:rPr>
        <w:t xml:space="preserve"> منتدى إقليمياً للتقييس </w:t>
      </w:r>
      <w:r w:rsidR="00067AB1" w:rsidRPr="00357F5A">
        <w:rPr>
          <w:rFonts w:eastAsiaTheme="minorEastAsia"/>
          <w:spacing w:val="-2"/>
          <w:lang w:eastAsia="zh-CN" w:bidi="ar-SY"/>
        </w:rPr>
        <w:t>(RSF)</w:t>
      </w:r>
      <w:r w:rsidR="00067AB1" w:rsidRPr="00357F5A">
        <w:rPr>
          <w:rFonts w:eastAsiaTheme="minorEastAsia" w:hint="cs"/>
          <w:spacing w:val="-2"/>
          <w:rtl/>
          <w:lang w:eastAsia="zh-CN" w:bidi="ar-EG"/>
        </w:rPr>
        <w:t xml:space="preserve"> بشأن سد الفجوة التقييسية، لمنطقة آسيا والمحيط الهادئ في شيان، الصين، وسيركز المنتدى على </w:t>
      </w:r>
      <w:r w:rsidR="00067AB1" w:rsidRPr="00357F5A">
        <w:rPr>
          <w:rFonts w:eastAsiaTheme="minorEastAsia" w:hint="cs"/>
          <w:spacing w:val="-2"/>
          <w:rtl/>
          <w:lang w:eastAsia="zh-CN"/>
        </w:rPr>
        <w:t xml:space="preserve">الاتجاهات الاقتصادية والتنظيمية والسياساتية الناشئة، وسيُعقد </w:t>
      </w:r>
      <w:r w:rsidR="00067AB1" w:rsidRPr="00357F5A">
        <w:rPr>
          <w:rFonts w:eastAsiaTheme="minorEastAsia" w:hint="cs"/>
          <w:spacing w:val="-2"/>
          <w:rtl/>
          <w:lang w:eastAsia="zh-CN" w:bidi="ar-EG"/>
        </w:rPr>
        <w:t xml:space="preserve">يوم </w:t>
      </w:r>
      <w:r w:rsidR="00067AB1" w:rsidRPr="00357F5A">
        <w:rPr>
          <w:rFonts w:eastAsiaTheme="minorEastAsia"/>
          <w:spacing w:val="-2"/>
          <w:lang w:eastAsia="zh-CN" w:bidi="ar-SY"/>
        </w:rPr>
        <w:t>27</w:t>
      </w:r>
      <w:r w:rsidR="00067AB1" w:rsidRPr="00357F5A">
        <w:rPr>
          <w:rFonts w:eastAsiaTheme="minorEastAsia" w:hint="eastAsia"/>
          <w:spacing w:val="-2"/>
          <w:rtl/>
          <w:lang w:eastAsia="zh-CN" w:bidi="ar-EG"/>
        </w:rPr>
        <w:t> </w:t>
      </w:r>
      <w:r w:rsidR="00067AB1" w:rsidRPr="00357F5A">
        <w:rPr>
          <w:rFonts w:eastAsiaTheme="minorEastAsia" w:hint="cs"/>
          <w:spacing w:val="-2"/>
          <w:rtl/>
          <w:lang w:eastAsia="zh-CN" w:bidi="ar-EG"/>
        </w:rPr>
        <w:t>أغسطس</w:t>
      </w:r>
      <w:r w:rsidR="00357F5A">
        <w:rPr>
          <w:rFonts w:eastAsiaTheme="minorEastAsia" w:hint="eastAsia"/>
          <w:spacing w:val="-2"/>
          <w:rtl/>
          <w:lang w:eastAsia="zh-CN" w:bidi="ar-EG"/>
        </w:rPr>
        <w:t> </w:t>
      </w:r>
      <w:r w:rsidR="00067AB1" w:rsidRPr="00357F5A">
        <w:rPr>
          <w:rFonts w:eastAsiaTheme="minorEastAsia"/>
          <w:spacing w:val="-2"/>
          <w:lang w:eastAsia="zh-CN" w:bidi="ar-SY"/>
        </w:rPr>
        <w:t>2018</w:t>
      </w:r>
      <w:r w:rsidR="00067AB1" w:rsidRPr="00357F5A">
        <w:rPr>
          <w:rFonts w:eastAsiaTheme="minorEastAsia" w:hint="cs"/>
          <w:spacing w:val="-2"/>
          <w:rtl/>
          <w:lang w:eastAsia="zh-CN" w:bidi="ar-EG"/>
        </w:rPr>
        <w:t xml:space="preserve"> بدلاً من يوم </w:t>
      </w:r>
      <w:r w:rsidR="00067AB1" w:rsidRPr="00357F5A">
        <w:rPr>
          <w:rFonts w:eastAsiaTheme="minorEastAsia"/>
          <w:spacing w:val="-2"/>
          <w:lang w:eastAsia="zh-CN" w:bidi="ar-EG"/>
        </w:rPr>
        <w:t>25</w:t>
      </w:r>
      <w:r w:rsidR="00067AB1" w:rsidRPr="00357F5A">
        <w:rPr>
          <w:rFonts w:eastAsiaTheme="minorEastAsia" w:hint="cs"/>
          <w:spacing w:val="-2"/>
          <w:rtl/>
          <w:lang w:eastAsia="zh-CN" w:bidi="ar-EG"/>
        </w:rPr>
        <w:t xml:space="preserve"> يونيو </w:t>
      </w:r>
      <w:r w:rsidR="00067AB1" w:rsidRPr="00357F5A">
        <w:rPr>
          <w:rFonts w:eastAsiaTheme="minorEastAsia"/>
          <w:spacing w:val="-2"/>
          <w:lang w:eastAsia="zh-CN" w:bidi="ar-SY"/>
        </w:rPr>
        <w:t>2018</w:t>
      </w:r>
      <w:r w:rsidR="00067AB1" w:rsidRPr="00357F5A">
        <w:rPr>
          <w:rFonts w:eastAsiaTheme="minorEastAsia" w:hint="cs"/>
          <w:spacing w:val="-2"/>
          <w:rtl/>
          <w:lang w:eastAsia="zh-CN" w:bidi="ar-EG"/>
        </w:rPr>
        <w:t xml:space="preserve"> كما أُعلِن سابقاً. وتتكرم أكاديمية الصين لتكنولوجيا</w:t>
      </w:r>
      <w:r w:rsidR="00067AB1" w:rsidRPr="00357F5A">
        <w:rPr>
          <w:rFonts w:eastAsiaTheme="minorEastAsia"/>
          <w:spacing w:val="-2"/>
          <w:rtl/>
          <w:lang w:eastAsia="zh-CN" w:bidi="ar-EG"/>
        </w:rPr>
        <w:t xml:space="preserve"> المعلومات والاتصالات</w:t>
      </w:r>
      <w:r w:rsidR="00067AB1" w:rsidRPr="00357F5A">
        <w:rPr>
          <w:rFonts w:eastAsiaTheme="minorEastAsia" w:hint="eastAsia"/>
          <w:spacing w:val="-2"/>
          <w:rtl/>
          <w:lang w:eastAsia="zh-CN" w:bidi="ar-EG"/>
        </w:rPr>
        <w:t> </w:t>
      </w:r>
      <w:r w:rsidR="00067AB1" w:rsidRPr="00357F5A">
        <w:rPr>
          <w:rFonts w:eastAsiaTheme="minorEastAsia"/>
          <w:spacing w:val="-2"/>
          <w:lang w:eastAsia="zh-CN" w:bidi="ar-EG"/>
        </w:rPr>
        <w:t>(CAICT)</w:t>
      </w:r>
      <w:r w:rsidR="00067AB1" w:rsidRPr="00357F5A">
        <w:rPr>
          <w:rFonts w:eastAsiaTheme="minorEastAsia" w:hint="cs"/>
          <w:spacing w:val="-2"/>
          <w:rtl/>
          <w:lang w:eastAsia="zh-CN"/>
        </w:rPr>
        <w:t>، بالاشتراك</w:t>
      </w:r>
      <w:r w:rsidR="00067AB1" w:rsidRPr="00357F5A">
        <w:rPr>
          <w:rFonts w:eastAsiaTheme="minorEastAsia" w:hint="cs"/>
          <w:spacing w:val="-2"/>
          <w:rtl/>
          <w:lang w:eastAsia="zh-CN" w:bidi="ar-EG"/>
        </w:rPr>
        <w:t xml:space="preserve"> مع جامعة شيان للبريد والاتصالات </w:t>
      </w:r>
      <w:r w:rsidR="00067AB1" w:rsidRPr="00357F5A">
        <w:rPr>
          <w:rFonts w:eastAsiaTheme="minorEastAsia"/>
          <w:spacing w:val="-2"/>
          <w:lang w:eastAsia="zh-CN" w:bidi="ar-EG"/>
        </w:rPr>
        <w:t>(XUPT)</w:t>
      </w:r>
      <w:r w:rsidR="00067AB1" w:rsidRPr="00357F5A">
        <w:rPr>
          <w:rFonts w:eastAsiaTheme="minorEastAsia" w:hint="cs"/>
          <w:spacing w:val="-2"/>
          <w:rtl/>
          <w:lang w:eastAsia="zh-CN"/>
        </w:rPr>
        <w:t xml:space="preserve">، باستضافة المنتدى </w:t>
      </w:r>
      <w:r w:rsidR="00067AB1" w:rsidRPr="00357F5A">
        <w:rPr>
          <w:rFonts w:eastAsiaTheme="minorEastAsia" w:hint="cs"/>
          <w:spacing w:val="-2"/>
          <w:rtl/>
          <w:lang w:eastAsia="zh-CN" w:bidi="ar-EG"/>
        </w:rPr>
        <w:t xml:space="preserve">في فندق </w:t>
      </w:r>
      <w:r w:rsidR="00067AB1" w:rsidRPr="00357F5A">
        <w:rPr>
          <w:spacing w:val="-2"/>
        </w:rPr>
        <w:t xml:space="preserve">Howard Johnson </w:t>
      </w:r>
      <w:proofErr w:type="spellStart"/>
      <w:r w:rsidR="00067AB1" w:rsidRPr="00357F5A">
        <w:rPr>
          <w:spacing w:val="-2"/>
        </w:rPr>
        <w:t>Ginwa</w:t>
      </w:r>
      <w:proofErr w:type="spellEnd"/>
      <w:r w:rsidR="00067AB1" w:rsidRPr="00357F5A">
        <w:rPr>
          <w:spacing w:val="-2"/>
        </w:rPr>
        <w:t xml:space="preserve"> Plaza Hotel</w:t>
      </w:r>
      <w:r w:rsidR="00067AB1" w:rsidRPr="00357F5A">
        <w:rPr>
          <w:rFonts w:eastAsiaTheme="minorEastAsia" w:hint="cs"/>
          <w:spacing w:val="-2"/>
          <w:rtl/>
          <w:lang w:eastAsia="zh-CN" w:bidi="ar-EG"/>
        </w:rPr>
        <w:t xml:space="preserve">. وسيُعقد المنتدى قبيل اجتماع </w:t>
      </w:r>
      <w:r w:rsidR="00067AB1" w:rsidRPr="00357F5A">
        <w:rPr>
          <w:rFonts w:eastAsiaTheme="minorEastAsia"/>
          <w:spacing w:val="-2"/>
          <w:rtl/>
          <w:lang w:eastAsia="zh-CN"/>
        </w:rPr>
        <w:t xml:space="preserve">الفريق الإقليمي لمنطقة </w:t>
      </w:r>
      <w:r w:rsidR="00067AB1" w:rsidRPr="00357F5A">
        <w:rPr>
          <w:color w:val="000000"/>
          <w:spacing w:val="-2"/>
          <w:rtl/>
        </w:rPr>
        <w:t xml:space="preserve">آسيا وأوقيانوسيا </w:t>
      </w:r>
      <w:r w:rsidR="00067AB1" w:rsidRPr="00357F5A">
        <w:rPr>
          <w:rFonts w:eastAsiaTheme="minorEastAsia"/>
          <w:spacing w:val="-2"/>
          <w:rtl/>
          <w:lang w:eastAsia="zh-CN"/>
        </w:rPr>
        <w:t>التابع للجنة الدراسات</w:t>
      </w:r>
      <w:r w:rsidR="00067AB1" w:rsidRPr="00357F5A">
        <w:rPr>
          <w:rFonts w:eastAsiaTheme="minorEastAsia" w:hint="eastAsia"/>
          <w:spacing w:val="-2"/>
          <w:rtl/>
          <w:lang w:eastAsia="zh-CN"/>
        </w:rPr>
        <w:t> </w:t>
      </w:r>
      <w:r w:rsidR="00067AB1" w:rsidRPr="00357F5A">
        <w:rPr>
          <w:rFonts w:eastAsiaTheme="minorEastAsia"/>
          <w:spacing w:val="-2"/>
          <w:lang w:eastAsia="zh-CN" w:bidi="ar-SY"/>
        </w:rPr>
        <w:t>3</w:t>
      </w:r>
      <w:r w:rsidR="00067AB1" w:rsidRPr="00357F5A">
        <w:rPr>
          <w:rFonts w:eastAsiaTheme="minorEastAsia" w:hint="cs"/>
          <w:spacing w:val="-2"/>
          <w:rtl/>
          <w:lang w:eastAsia="zh-CN"/>
        </w:rPr>
        <w:t xml:space="preserve"> لقطاع تقييس الاتصالات</w:t>
      </w:r>
      <w:r w:rsidR="00067AB1" w:rsidRPr="00357F5A">
        <w:rPr>
          <w:rFonts w:eastAsiaTheme="minorEastAsia" w:hint="eastAsia"/>
          <w:spacing w:val="-2"/>
          <w:rtl/>
          <w:lang w:eastAsia="zh-CN" w:bidi="ar-EG"/>
        </w:rPr>
        <w:t> </w:t>
      </w:r>
      <w:r w:rsidR="00067AB1" w:rsidRPr="00357F5A">
        <w:rPr>
          <w:rFonts w:eastAsiaTheme="minorEastAsia"/>
          <w:spacing w:val="-2"/>
          <w:lang w:eastAsia="zh-CN" w:bidi="ar-SY"/>
        </w:rPr>
        <w:t>(SG3 RG</w:t>
      </w:r>
      <w:r w:rsidR="00067AB1" w:rsidRPr="00357F5A">
        <w:rPr>
          <w:rFonts w:eastAsiaTheme="minorEastAsia"/>
          <w:spacing w:val="-2"/>
          <w:lang w:eastAsia="zh-CN" w:bidi="ar-SY"/>
        </w:rPr>
        <w:noBreakHyphen/>
        <w:t>AO)</w:t>
      </w:r>
      <w:r w:rsidR="00067AB1" w:rsidRPr="00357F5A">
        <w:rPr>
          <w:rFonts w:eastAsiaTheme="minorEastAsia" w:hint="cs"/>
          <w:spacing w:val="-2"/>
          <w:rtl/>
          <w:lang w:eastAsia="zh-CN"/>
        </w:rPr>
        <w:t xml:space="preserve"> </w:t>
      </w:r>
      <w:r w:rsidR="00067AB1" w:rsidRPr="00357F5A">
        <w:rPr>
          <w:rFonts w:eastAsiaTheme="minorEastAsia" w:hint="cs"/>
          <w:spacing w:val="-2"/>
          <w:rtl/>
          <w:lang w:eastAsia="zh-CN" w:bidi="ar-EG"/>
        </w:rPr>
        <w:t xml:space="preserve">الذي سيُعقد </w:t>
      </w:r>
      <w:r w:rsidR="00067AB1" w:rsidRPr="00357F5A">
        <w:rPr>
          <w:rFonts w:eastAsiaTheme="minorEastAsia" w:hint="cs"/>
          <w:spacing w:val="-2"/>
          <w:rtl/>
          <w:lang w:eastAsia="zh-CN"/>
        </w:rPr>
        <w:t xml:space="preserve">من </w:t>
      </w:r>
      <w:r w:rsidR="00067AB1" w:rsidRPr="00357F5A">
        <w:rPr>
          <w:rFonts w:eastAsiaTheme="minorEastAsia"/>
          <w:spacing w:val="-2"/>
          <w:lang w:eastAsia="zh-CN" w:bidi="ar-SY"/>
        </w:rPr>
        <w:t>28</w:t>
      </w:r>
      <w:r w:rsidR="00067AB1" w:rsidRPr="00357F5A">
        <w:rPr>
          <w:rFonts w:eastAsiaTheme="minorEastAsia" w:hint="cs"/>
          <w:spacing w:val="-2"/>
          <w:rtl/>
          <w:lang w:eastAsia="zh-CN"/>
        </w:rPr>
        <w:t xml:space="preserve"> </w:t>
      </w:r>
      <w:r w:rsidR="00067AB1" w:rsidRPr="00357F5A">
        <w:rPr>
          <w:rFonts w:eastAsiaTheme="minorEastAsia" w:hint="cs"/>
          <w:spacing w:val="-2"/>
          <w:rtl/>
          <w:lang w:eastAsia="zh-CN" w:bidi="ar-EG"/>
        </w:rPr>
        <w:t xml:space="preserve">إلى </w:t>
      </w:r>
      <w:r w:rsidR="00067AB1" w:rsidRPr="00357F5A">
        <w:rPr>
          <w:rFonts w:eastAsiaTheme="minorEastAsia"/>
          <w:spacing w:val="-2"/>
          <w:lang w:eastAsia="zh-CN" w:bidi="ar-SY"/>
        </w:rPr>
        <w:t>31</w:t>
      </w:r>
      <w:r w:rsidR="00067AB1" w:rsidRPr="00357F5A">
        <w:rPr>
          <w:rFonts w:eastAsiaTheme="minorEastAsia" w:hint="cs"/>
          <w:spacing w:val="-2"/>
          <w:rtl/>
          <w:lang w:eastAsia="zh-CN"/>
        </w:rPr>
        <w:t xml:space="preserve"> أغسطس </w:t>
      </w:r>
      <w:r w:rsidR="00067AB1" w:rsidRPr="00357F5A">
        <w:rPr>
          <w:rFonts w:eastAsiaTheme="minorEastAsia"/>
          <w:spacing w:val="-2"/>
          <w:lang w:eastAsia="zh-CN" w:bidi="ar-SY"/>
        </w:rPr>
        <w:t>2018</w:t>
      </w:r>
      <w:r w:rsidR="00067AB1" w:rsidRPr="00357F5A">
        <w:rPr>
          <w:rFonts w:eastAsiaTheme="minorEastAsia" w:hint="cs"/>
          <w:spacing w:val="-2"/>
          <w:rtl/>
          <w:lang w:eastAsia="zh-CN"/>
        </w:rPr>
        <w:t xml:space="preserve"> في المكان ذاته.</w:t>
      </w:r>
    </w:p>
    <w:p w:rsidR="00016D4F" w:rsidRPr="00016D4F" w:rsidRDefault="00357F5A" w:rsidP="000262D6">
      <w:pPr>
        <w:keepNext/>
        <w:keepLines/>
        <w:rPr>
          <w:rFonts w:eastAsiaTheme="minorEastAsia"/>
          <w:rtl/>
          <w:lang w:eastAsia="zh-CN" w:bidi="ar-SY"/>
        </w:rPr>
      </w:pPr>
      <w:proofErr w:type="gramStart"/>
      <w:r>
        <w:rPr>
          <w:rFonts w:eastAsiaTheme="minorEastAsia"/>
          <w:lang w:eastAsia="zh-CN" w:bidi="ar-SY"/>
        </w:rPr>
        <w:lastRenderedPageBreak/>
        <w:t>2</w:t>
      </w:r>
      <w:r>
        <w:rPr>
          <w:rFonts w:eastAsiaTheme="minorEastAsia"/>
          <w:rtl/>
          <w:lang w:eastAsia="zh-CN" w:bidi="ar-SY"/>
        </w:rPr>
        <w:tab/>
      </w:r>
      <w:r w:rsidR="00067AB1">
        <w:rPr>
          <w:rFonts w:eastAsiaTheme="minorEastAsia" w:hint="cs"/>
          <w:rtl/>
          <w:lang w:eastAsia="zh-CN" w:bidi="ar-EG"/>
        </w:rPr>
        <w:t>و</w:t>
      </w:r>
      <w:r w:rsidR="00067AB1" w:rsidRPr="00016D4F">
        <w:rPr>
          <w:rFonts w:eastAsiaTheme="minorEastAsia" w:hint="cs"/>
          <w:rtl/>
          <w:lang w:eastAsia="zh-CN" w:bidi="ar-EG"/>
        </w:rPr>
        <w:t>يُتاح</w:t>
      </w:r>
      <w:proofErr w:type="gramEnd"/>
      <w:r w:rsidR="00067AB1" w:rsidRPr="00016D4F">
        <w:rPr>
          <w:rFonts w:eastAsiaTheme="minorEastAsia" w:hint="cs"/>
          <w:rtl/>
          <w:lang w:eastAsia="zh-CN" w:bidi="ar-EG"/>
        </w:rPr>
        <w:t xml:space="preserve"> مشروع برنامج المنتدى في</w:t>
      </w:r>
      <w:bookmarkStart w:id="0" w:name="_GoBack"/>
      <w:bookmarkEnd w:id="0"/>
      <w:r w:rsidR="00067AB1" w:rsidRPr="00016D4F">
        <w:rPr>
          <w:rFonts w:eastAsiaTheme="minorEastAsia" w:hint="eastAsia"/>
          <w:rtl/>
          <w:lang w:eastAsia="zh-CN" w:bidi="ar-EG"/>
        </w:rPr>
        <w:t> </w:t>
      </w:r>
      <w:r w:rsidR="00067AB1" w:rsidRPr="00016D4F">
        <w:rPr>
          <w:rFonts w:eastAsiaTheme="minorEastAsia" w:hint="cs"/>
          <w:rtl/>
          <w:lang w:eastAsia="zh-CN" w:bidi="ar-EG"/>
        </w:rPr>
        <w:t>الموقع</w:t>
      </w:r>
      <w:r w:rsidR="00067AB1" w:rsidRPr="00016D4F">
        <w:rPr>
          <w:rFonts w:eastAsiaTheme="minorEastAsia" w:hint="eastAsia"/>
          <w:rtl/>
          <w:lang w:eastAsia="zh-CN" w:bidi="ar-EG"/>
        </w:rPr>
        <w:t> </w:t>
      </w:r>
      <w:r w:rsidR="00067AB1" w:rsidRPr="00016D4F">
        <w:rPr>
          <w:rFonts w:eastAsiaTheme="minorEastAsia" w:hint="cs"/>
          <w:rtl/>
          <w:lang w:eastAsia="zh-CN" w:bidi="ar-EG"/>
        </w:rPr>
        <w:t>الإلكتروني للاتحاد في</w:t>
      </w:r>
      <w:r w:rsidR="00067AB1" w:rsidRPr="00016D4F">
        <w:rPr>
          <w:rFonts w:eastAsiaTheme="minorEastAsia" w:hint="eastAsia"/>
          <w:rtl/>
          <w:lang w:eastAsia="zh-CN" w:bidi="ar-EG"/>
        </w:rPr>
        <w:t> </w:t>
      </w:r>
      <w:r w:rsidR="00067AB1" w:rsidRPr="00016D4F">
        <w:rPr>
          <w:rFonts w:eastAsiaTheme="minorEastAsia" w:hint="cs"/>
          <w:rtl/>
          <w:lang w:eastAsia="zh-CN" w:bidi="ar-EG"/>
        </w:rPr>
        <w:t>العنوان التالي:</w:t>
      </w:r>
      <w:r w:rsidR="00067AB1">
        <w:rPr>
          <w:rFonts w:eastAsiaTheme="minorEastAsia" w:hint="cs"/>
          <w:rtl/>
          <w:lang w:eastAsia="zh-CN" w:bidi="ar-EG"/>
        </w:rPr>
        <w:t xml:space="preserve"> </w:t>
      </w:r>
      <w:hyperlink r:id="rId13" w:history="1">
        <w:r w:rsidR="004B2B5B" w:rsidRPr="00A721A6">
          <w:rPr>
            <w:rStyle w:val="Hyperlink"/>
          </w:rPr>
          <w:t>https://www.itu.int/en/ITU-T/</w:t>
        </w:r>
        <w:r w:rsidR="004B2B5B" w:rsidRPr="00A721A6">
          <w:rPr>
            <w:rStyle w:val="Hyperlink"/>
            <w:sz w:val="2"/>
            <w:szCs w:val="2"/>
          </w:rPr>
          <w:t xml:space="preserve"> </w:t>
        </w:r>
        <w:r w:rsidR="004B2B5B" w:rsidRPr="00A721A6">
          <w:rPr>
            <w:rStyle w:val="Hyperlink"/>
          </w:rPr>
          <w:t>Workshops-and-Seminars/bsg/201806/Pages/default.aspx</w:t>
        </w:r>
      </w:hyperlink>
      <w:r w:rsidR="00067AB1" w:rsidRPr="00016D4F">
        <w:rPr>
          <w:rFonts w:eastAsiaTheme="minorEastAsia" w:hint="cs"/>
          <w:rtl/>
          <w:lang w:eastAsia="zh-CN"/>
        </w:rPr>
        <w:t>.</w:t>
      </w:r>
      <w:r w:rsidR="00067AB1">
        <w:rPr>
          <w:rFonts w:eastAsiaTheme="minorEastAsia" w:hint="cs"/>
          <w:rtl/>
          <w:lang w:eastAsia="zh-CN" w:bidi="ar-EG"/>
        </w:rPr>
        <w:t xml:space="preserve"> </w:t>
      </w:r>
      <w:r w:rsidR="00067AB1" w:rsidRPr="00016D4F">
        <w:rPr>
          <w:rFonts w:eastAsiaTheme="minorEastAsia" w:hint="cs"/>
          <w:rtl/>
          <w:lang w:eastAsia="zh-CN" w:bidi="ar-EG"/>
        </w:rPr>
        <w:t>وسيخضع هذا الموقع الإلكتروني للتحديث بانتظام كلما</w:t>
      </w:r>
      <w:r>
        <w:rPr>
          <w:rFonts w:eastAsiaTheme="minorEastAsia" w:hint="eastAsia"/>
          <w:rtl/>
          <w:lang w:eastAsia="zh-CN" w:bidi="ar-EG"/>
        </w:rPr>
        <w:t> </w:t>
      </w:r>
      <w:r w:rsidR="00067AB1" w:rsidRPr="00016D4F">
        <w:rPr>
          <w:rFonts w:eastAsiaTheme="minorEastAsia" w:hint="cs"/>
          <w:rtl/>
          <w:lang w:eastAsia="zh-CN" w:bidi="ar-EG"/>
        </w:rPr>
        <w:t>وردت معلومات جديدة أو</w:t>
      </w:r>
      <w:r w:rsidR="00067AB1" w:rsidRPr="00016D4F">
        <w:rPr>
          <w:rFonts w:eastAsiaTheme="minorEastAsia" w:hint="eastAsia"/>
          <w:rtl/>
          <w:lang w:eastAsia="zh-CN" w:bidi="ar-EG"/>
        </w:rPr>
        <w:t> </w:t>
      </w:r>
      <w:r w:rsidR="00067AB1" w:rsidRPr="00016D4F">
        <w:rPr>
          <w:rFonts w:eastAsiaTheme="minorEastAsia" w:hint="cs"/>
          <w:rtl/>
          <w:lang w:eastAsia="zh-CN" w:bidi="ar-EG"/>
        </w:rPr>
        <w:t>معدّلة.</w:t>
      </w:r>
    </w:p>
    <w:p w:rsidR="00A15845" w:rsidRPr="00A15845" w:rsidRDefault="00A15845" w:rsidP="00357F5A">
      <w:pPr>
        <w:keepNext/>
        <w:keepLines/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EG"/>
        </w:rPr>
      </w:pPr>
      <w:r w:rsidRPr="00A15845">
        <w:rPr>
          <w:rFonts w:eastAsiaTheme="minorEastAsia" w:hint="cs"/>
          <w:rtl/>
          <w:lang w:eastAsia="zh-CN" w:bidi="ar-EG"/>
        </w:rPr>
        <w:t>وتفضلوا بقبول فائق التقدير والاحترام.</w:t>
      </w:r>
    </w:p>
    <w:p w:rsidR="00B570D3" w:rsidRPr="00B570D3" w:rsidRDefault="006C6E87" w:rsidP="00B570D3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720"/>
        <w:jc w:val="left"/>
        <w:rPr>
          <w:rFonts w:eastAsiaTheme="minorEastAsia"/>
          <w:i/>
          <w:iCs/>
          <w:rtl/>
          <w:lang w:eastAsia="zh-CN" w:bidi="ar-SY"/>
        </w:rPr>
      </w:pPr>
      <w:r>
        <w:rPr>
          <w:rFonts w:eastAsiaTheme="minorEastAsia" w:hint="cs"/>
          <w:i/>
          <w:iCs/>
          <w:rtl/>
          <w:lang w:eastAsia="zh-CN" w:bidi="ar-SY"/>
        </w:rPr>
        <w:t>(</w:t>
      </w:r>
      <w:r w:rsidR="00B570D3" w:rsidRPr="00B570D3">
        <w:rPr>
          <w:rFonts w:eastAsiaTheme="minorEastAsia" w:hint="cs"/>
          <w:i/>
          <w:iCs/>
          <w:rtl/>
          <w:lang w:eastAsia="zh-CN" w:bidi="ar-SY"/>
        </w:rPr>
        <w:t>توقيع)</w:t>
      </w:r>
    </w:p>
    <w:p w:rsidR="008B5B5D" w:rsidRDefault="00A15845" w:rsidP="00B570D3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720"/>
        <w:jc w:val="left"/>
        <w:rPr>
          <w:rtl/>
          <w:lang w:bidi="ar-EG"/>
        </w:rPr>
      </w:pPr>
      <w:r w:rsidRPr="00A15845">
        <w:rPr>
          <w:rFonts w:eastAsiaTheme="minorEastAsia" w:hint="cs"/>
          <w:rtl/>
          <w:lang w:eastAsia="zh-CN" w:bidi="ar-SY"/>
        </w:rPr>
        <w:t>تشيساب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لي</w:t>
      </w:r>
      <w:r w:rsidRPr="00A15845">
        <w:rPr>
          <w:rFonts w:eastAsiaTheme="minorEastAsia"/>
          <w:rtl/>
          <w:lang w:eastAsia="zh-CN" w:bidi="ar-SY"/>
        </w:rPr>
        <w:br/>
      </w:r>
      <w:r w:rsidRPr="00A15845">
        <w:rPr>
          <w:rFonts w:eastAsiaTheme="minorEastAsia" w:hint="cs"/>
          <w:rtl/>
          <w:lang w:eastAsia="zh-CN" w:bidi="ar-SY"/>
        </w:rPr>
        <w:t>مدير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مكتب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تقييس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الاتصالات</w:t>
      </w:r>
    </w:p>
    <w:sectPr w:rsidR="008B5B5D" w:rsidSect="008B5B5D">
      <w:headerReference w:type="default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50D" w:rsidRDefault="005E050D" w:rsidP="00E07379">
      <w:pPr>
        <w:spacing w:before="0" w:line="240" w:lineRule="auto"/>
      </w:pPr>
      <w:r>
        <w:separator/>
      </w:r>
    </w:p>
  </w:endnote>
  <w:endnote w:type="continuationSeparator" w:id="0">
    <w:p w:rsidR="005E050D" w:rsidRDefault="005E050D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imes New Roman"/>
    <w:panose1 w:val="020B080403050404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C50" w:rsidRPr="00472F32" w:rsidRDefault="00BD0C50" w:rsidP="001F7726">
    <w:pPr>
      <w:pStyle w:val="Footer"/>
      <w:tabs>
        <w:tab w:val="clear" w:pos="5812"/>
        <w:tab w:val="right" w:pos="5670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845" w:rsidRPr="00A15845" w:rsidRDefault="00A15845" w:rsidP="00A15845">
    <w:pPr>
      <w:tabs>
        <w:tab w:val="left" w:pos="1191"/>
        <w:tab w:val="left" w:pos="1588"/>
        <w:tab w:val="left" w:pos="1985"/>
      </w:tabs>
      <w:bidi w:val="0"/>
      <w:spacing w:before="160" w:line="240" w:lineRule="auto"/>
      <w:ind w:left="-397" w:right="-397"/>
      <w:jc w:val="center"/>
      <w:rPr>
        <w:rFonts w:asciiTheme="minorHAnsi" w:hAnsiTheme="minorHAnsi" w:cs="Times New Roman"/>
        <w:sz w:val="18"/>
        <w:szCs w:val="18"/>
        <w:lang w:val="fr-CH"/>
      </w:rPr>
    </w:pPr>
    <w:r w:rsidRPr="00A15845">
      <w:rPr>
        <w:rFonts w:asciiTheme="minorHAnsi" w:hAnsiTheme="minorHAnsi" w:cs="Times New Roman"/>
        <w:sz w:val="18"/>
        <w:szCs w:val="18"/>
        <w:lang w:val="fr-CH"/>
      </w:rPr>
      <w:t xml:space="preserve">International </w:t>
    </w:r>
    <w:proofErr w:type="spellStart"/>
    <w:r w:rsidRPr="00A15845">
      <w:rPr>
        <w:rFonts w:asciiTheme="minorHAnsi" w:hAnsiTheme="minorHAnsi" w:cs="Times New Roman"/>
        <w:sz w:val="18"/>
        <w:szCs w:val="18"/>
        <w:lang w:val="fr-CH"/>
      </w:rPr>
      <w:t>Telecommunication</w:t>
    </w:r>
    <w:proofErr w:type="spellEnd"/>
    <w:r w:rsidRPr="00A15845">
      <w:rPr>
        <w:rFonts w:asciiTheme="minorHAnsi" w:hAnsiTheme="minorHAnsi" w:cs="Times New Roman"/>
        <w:sz w:val="18"/>
        <w:szCs w:val="18"/>
        <w:lang w:val="fr-CH"/>
      </w:rPr>
      <w:t xml:space="preserve"> Union • Place des Nations • CH</w:t>
    </w:r>
    <w:r w:rsidRPr="00A15845">
      <w:rPr>
        <w:rFonts w:asciiTheme="minorHAnsi" w:hAnsiTheme="minorHAnsi" w:cs="Times New Roman"/>
        <w:sz w:val="18"/>
        <w:szCs w:val="18"/>
        <w:lang w:val="fr-CH"/>
      </w:rPr>
      <w:noBreakHyphen/>
      <w:t xml:space="preserve">1211 Geneva 20 • Switzerland </w:t>
    </w:r>
    <w:r w:rsidRPr="00A15845">
      <w:rPr>
        <w:rFonts w:asciiTheme="minorHAnsi" w:hAnsiTheme="minorHAnsi" w:cs="Times New Roman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A15845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itumail@itu.int</w:t>
      </w:r>
    </w:hyperlink>
    <w:r w:rsidRPr="00A15845">
      <w:rPr>
        <w:rFonts w:asciiTheme="minorHAnsi" w:hAnsiTheme="minorHAnsi" w:cs="Times New Roman"/>
        <w:sz w:val="18"/>
        <w:szCs w:val="18"/>
        <w:lang w:val="fr-CH"/>
      </w:rPr>
      <w:t xml:space="preserve"> • </w:t>
    </w:r>
    <w:hyperlink r:id="rId2" w:history="1">
      <w:r w:rsidRPr="00A15845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www.itu.int</w:t>
      </w:r>
    </w:hyperlink>
    <w:r w:rsidRPr="00A15845">
      <w:rPr>
        <w:rFonts w:asciiTheme="minorHAnsi" w:hAnsiTheme="minorHAnsi" w:cs="Times New Roman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50D" w:rsidRDefault="005E050D" w:rsidP="00E07379">
      <w:pPr>
        <w:spacing w:before="0" w:line="240" w:lineRule="auto"/>
      </w:pPr>
      <w:r>
        <w:separator/>
      </w:r>
    </w:p>
  </w:footnote>
  <w:footnote w:type="continuationSeparator" w:id="0">
    <w:p w:rsidR="005E050D" w:rsidRDefault="005E050D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5D" w:rsidRPr="001F7726" w:rsidRDefault="000B6F03" w:rsidP="000B6F03">
    <w:pPr>
      <w:spacing w:after="240" w:line="240" w:lineRule="auto"/>
      <w:jc w:val="center"/>
      <w:rPr>
        <w:rStyle w:val="PageNumber"/>
        <w:rFonts w:asciiTheme="minorHAnsi" w:hAnsiTheme="minorHAnsi" w:cs="Traditional Arabic"/>
        <w:sz w:val="18"/>
        <w:szCs w:val="18"/>
        <w:rtl/>
        <w:lang w:bidi="ar-EG"/>
      </w:rPr>
    </w:pPr>
    <w:r w:rsidRPr="001F7726">
      <w:rPr>
        <w:rStyle w:val="PageNumber"/>
        <w:rFonts w:asciiTheme="minorHAnsi" w:hAnsiTheme="minorHAnsi" w:cs="Calibri"/>
        <w:sz w:val="18"/>
        <w:szCs w:val="18"/>
      </w:rPr>
      <w:t xml:space="preserve"> -</w:t>
    </w:r>
    <w:r w:rsidR="0022345D" w:rsidRPr="001F7726">
      <w:rPr>
        <w:rStyle w:val="PageNumber"/>
        <w:rFonts w:asciiTheme="minorHAnsi" w:hAnsiTheme="minorHAnsi" w:cs="Calibri"/>
        <w:sz w:val="18"/>
        <w:szCs w:val="18"/>
      </w:rPr>
      <w:fldChar w:fldCharType="begin"/>
    </w:r>
    <w:r w:rsidR="0022345D" w:rsidRPr="001F7726">
      <w:rPr>
        <w:rStyle w:val="PageNumber"/>
        <w:rFonts w:asciiTheme="minorHAnsi" w:hAnsiTheme="minorHAnsi" w:cs="Calibri"/>
        <w:sz w:val="18"/>
        <w:szCs w:val="18"/>
      </w:rPr>
      <w:instrText xml:space="preserve"> PAGE </w:instrText>
    </w:r>
    <w:r w:rsidR="0022345D" w:rsidRPr="001F7726">
      <w:rPr>
        <w:rStyle w:val="PageNumber"/>
        <w:rFonts w:asciiTheme="minorHAnsi" w:hAnsiTheme="minorHAnsi" w:cs="Calibri"/>
        <w:sz w:val="18"/>
        <w:szCs w:val="18"/>
      </w:rPr>
      <w:fldChar w:fldCharType="separate"/>
    </w:r>
    <w:r w:rsidR="001F7726">
      <w:rPr>
        <w:rStyle w:val="PageNumber"/>
        <w:rFonts w:asciiTheme="minorHAnsi" w:hAnsiTheme="minorHAnsi"/>
        <w:noProof/>
        <w:sz w:val="18"/>
        <w:szCs w:val="18"/>
        <w:rtl/>
      </w:rPr>
      <w:t>2</w:t>
    </w:r>
    <w:r w:rsidR="0022345D" w:rsidRPr="001F7726">
      <w:rPr>
        <w:rStyle w:val="PageNumber"/>
        <w:rFonts w:asciiTheme="minorHAnsi" w:hAnsiTheme="minorHAnsi" w:cs="Calibri"/>
        <w:sz w:val="18"/>
        <w:szCs w:val="18"/>
      </w:rPr>
      <w:fldChar w:fldCharType="end"/>
    </w:r>
    <w:r w:rsidRPr="001F7726">
      <w:rPr>
        <w:rStyle w:val="PageNumber"/>
        <w:rFonts w:asciiTheme="minorHAnsi" w:hAnsiTheme="minorHAnsi" w:cs="Calibri"/>
        <w:sz w:val="18"/>
        <w:szCs w:val="18"/>
      </w:rPr>
      <w:t xml:space="preserve">- </w:t>
    </w:r>
    <w:r w:rsidR="00EB1830" w:rsidRPr="001F7726">
      <w:rPr>
        <w:rStyle w:val="PageNumber"/>
        <w:rFonts w:asciiTheme="minorHAnsi" w:hAnsiTheme="minorHAnsi" w:cs="Traditional Arabic"/>
        <w:sz w:val="18"/>
        <w:szCs w:val="18"/>
      </w:rPr>
      <w:br/>
    </w:r>
    <w:r w:rsidR="00067AB1" w:rsidRPr="001F7726">
      <w:rPr>
        <w:rStyle w:val="PageNumber"/>
        <w:rFonts w:asciiTheme="minorHAnsi" w:hAnsiTheme="minorHAnsi" w:cs="Traditional Arabic"/>
        <w:sz w:val="18"/>
        <w:szCs w:val="18"/>
        <w:rtl/>
      </w:rPr>
      <w:t xml:space="preserve">الإضافة </w:t>
    </w:r>
    <w:r w:rsidR="00067AB1" w:rsidRPr="001F7726">
      <w:rPr>
        <w:rStyle w:val="PageNumber"/>
        <w:rFonts w:asciiTheme="minorHAnsi" w:hAnsiTheme="minorHAnsi" w:cs="Traditional Arabic"/>
        <w:sz w:val="18"/>
        <w:szCs w:val="18"/>
      </w:rPr>
      <w:t>1</w:t>
    </w:r>
    <w:r w:rsidR="00067AB1" w:rsidRPr="001F7726">
      <w:rPr>
        <w:rStyle w:val="PageNumber"/>
        <w:rFonts w:asciiTheme="minorHAnsi" w:hAnsiTheme="minorHAnsi" w:cs="Traditional Arabic"/>
        <w:sz w:val="18"/>
        <w:szCs w:val="18"/>
        <w:rtl/>
      </w:rPr>
      <w:t xml:space="preserve"> ل</w:t>
    </w:r>
    <w:r w:rsidRPr="001F7726">
      <w:rPr>
        <w:rStyle w:val="PageNumber"/>
        <w:rFonts w:asciiTheme="minorHAnsi" w:hAnsiTheme="minorHAnsi" w:cs="Traditional Arabic"/>
        <w:sz w:val="18"/>
        <w:szCs w:val="18"/>
        <w:rtl/>
      </w:rPr>
      <w:t xml:space="preserve">لرسالة المعممة </w:t>
    </w:r>
    <w:r w:rsidRPr="001F7726">
      <w:rPr>
        <w:rStyle w:val="PageNumber"/>
        <w:rFonts w:asciiTheme="minorHAnsi" w:hAnsiTheme="minorHAnsi" w:cs="Traditional Arabic"/>
        <w:sz w:val="18"/>
        <w:szCs w:val="18"/>
      </w:rPr>
      <w:t>94</w:t>
    </w:r>
    <w:r w:rsidRPr="001F7726">
      <w:rPr>
        <w:rStyle w:val="PageNumber"/>
        <w:rFonts w:asciiTheme="minorHAnsi" w:hAnsiTheme="minorHAnsi" w:cs="Traditional Arabic"/>
        <w:sz w:val="18"/>
        <w:szCs w:val="18"/>
        <w:rtl/>
        <w:lang w:bidi="ar-EG"/>
      </w:rPr>
      <w:t xml:space="preserve"> لمكتب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B66"/>
    <w:rsid w:val="000124CC"/>
    <w:rsid w:val="00016D4F"/>
    <w:rsid w:val="000262D6"/>
    <w:rsid w:val="00041F8B"/>
    <w:rsid w:val="00046444"/>
    <w:rsid w:val="00054750"/>
    <w:rsid w:val="0006023B"/>
    <w:rsid w:val="000644EC"/>
    <w:rsid w:val="00067AB1"/>
    <w:rsid w:val="0008638B"/>
    <w:rsid w:val="00090574"/>
    <w:rsid w:val="00092FC2"/>
    <w:rsid w:val="000A1677"/>
    <w:rsid w:val="000B407F"/>
    <w:rsid w:val="000B6F03"/>
    <w:rsid w:val="000C13C2"/>
    <w:rsid w:val="000D4C64"/>
    <w:rsid w:val="000F0B1C"/>
    <w:rsid w:val="000F1D42"/>
    <w:rsid w:val="000F4D07"/>
    <w:rsid w:val="00102A03"/>
    <w:rsid w:val="001040A3"/>
    <w:rsid w:val="00116EA0"/>
    <w:rsid w:val="00147F0B"/>
    <w:rsid w:val="00165C37"/>
    <w:rsid w:val="00173915"/>
    <w:rsid w:val="001745B5"/>
    <w:rsid w:val="001F7726"/>
    <w:rsid w:val="0022345D"/>
    <w:rsid w:val="00225854"/>
    <w:rsid w:val="002274A2"/>
    <w:rsid w:val="0023283D"/>
    <w:rsid w:val="00252E0C"/>
    <w:rsid w:val="00264027"/>
    <w:rsid w:val="00276881"/>
    <w:rsid w:val="002916BE"/>
    <w:rsid w:val="002978F4"/>
    <w:rsid w:val="002B028D"/>
    <w:rsid w:val="002B435E"/>
    <w:rsid w:val="002C4DAE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57F5A"/>
    <w:rsid w:val="003A22C5"/>
    <w:rsid w:val="003B3D65"/>
    <w:rsid w:val="003C106D"/>
    <w:rsid w:val="003C3378"/>
    <w:rsid w:val="003C475F"/>
    <w:rsid w:val="003E4132"/>
    <w:rsid w:val="003F678F"/>
    <w:rsid w:val="00425492"/>
    <w:rsid w:val="0042686F"/>
    <w:rsid w:val="004367CE"/>
    <w:rsid w:val="00443869"/>
    <w:rsid w:val="004712C6"/>
    <w:rsid w:val="00472F32"/>
    <w:rsid w:val="00497703"/>
    <w:rsid w:val="004B2B5B"/>
    <w:rsid w:val="004D0D8E"/>
    <w:rsid w:val="004F0F06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A327A"/>
    <w:rsid w:val="005B7B8A"/>
    <w:rsid w:val="005D6476"/>
    <w:rsid w:val="005D6C0D"/>
    <w:rsid w:val="005E050D"/>
    <w:rsid w:val="005E5283"/>
    <w:rsid w:val="005E58F5"/>
    <w:rsid w:val="005F5B66"/>
    <w:rsid w:val="00606660"/>
    <w:rsid w:val="006157A3"/>
    <w:rsid w:val="00620E60"/>
    <w:rsid w:val="0063315A"/>
    <w:rsid w:val="0065591D"/>
    <w:rsid w:val="00662C5A"/>
    <w:rsid w:val="00670AF5"/>
    <w:rsid w:val="0068726E"/>
    <w:rsid w:val="006C1556"/>
    <w:rsid w:val="006C6E87"/>
    <w:rsid w:val="006F11F4"/>
    <w:rsid w:val="006F267F"/>
    <w:rsid w:val="006F63F7"/>
    <w:rsid w:val="006F6F03"/>
    <w:rsid w:val="00706D7A"/>
    <w:rsid w:val="00726AEC"/>
    <w:rsid w:val="007364D4"/>
    <w:rsid w:val="007530CA"/>
    <w:rsid w:val="0079553D"/>
    <w:rsid w:val="007B01CC"/>
    <w:rsid w:val="007B4F22"/>
    <w:rsid w:val="007D4F32"/>
    <w:rsid w:val="007E4B04"/>
    <w:rsid w:val="007E7C6C"/>
    <w:rsid w:val="007F480C"/>
    <w:rsid w:val="007F6238"/>
    <w:rsid w:val="007F646C"/>
    <w:rsid w:val="00801FCD"/>
    <w:rsid w:val="00803D7E"/>
    <w:rsid w:val="00803F08"/>
    <w:rsid w:val="008235CD"/>
    <w:rsid w:val="00823A07"/>
    <w:rsid w:val="00831F62"/>
    <w:rsid w:val="00835FEC"/>
    <w:rsid w:val="00837AD2"/>
    <w:rsid w:val="008513CB"/>
    <w:rsid w:val="00874D9C"/>
    <w:rsid w:val="00880D13"/>
    <w:rsid w:val="0089009E"/>
    <w:rsid w:val="008A1810"/>
    <w:rsid w:val="008B5B5D"/>
    <w:rsid w:val="00917694"/>
    <w:rsid w:val="009263CD"/>
    <w:rsid w:val="00930E6D"/>
    <w:rsid w:val="00960BC6"/>
    <w:rsid w:val="00972CA2"/>
    <w:rsid w:val="00982B28"/>
    <w:rsid w:val="00984EA5"/>
    <w:rsid w:val="00992593"/>
    <w:rsid w:val="009C11D9"/>
    <w:rsid w:val="009C17E1"/>
    <w:rsid w:val="009C35ED"/>
    <w:rsid w:val="009F1C12"/>
    <w:rsid w:val="00A124CB"/>
    <w:rsid w:val="00A15845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81AF1"/>
    <w:rsid w:val="00A97756"/>
    <w:rsid w:val="00A97F94"/>
    <w:rsid w:val="00AB1309"/>
    <w:rsid w:val="00AC2C52"/>
    <w:rsid w:val="00AD1503"/>
    <w:rsid w:val="00AE7244"/>
    <w:rsid w:val="00AF3FEE"/>
    <w:rsid w:val="00B02F46"/>
    <w:rsid w:val="00B07CAD"/>
    <w:rsid w:val="00B2000C"/>
    <w:rsid w:val="00B20ADE"/>
    <w:rsid w:val="00B23C4B"/>
    <w:rsid w:val="00B570D3"/>
    <w:rsid w:val="00B66B9A"/>
    <w:rsid w:val="00B82089"/>
    <w:rsid w:val="00B970AE"/>
    <w:rsid w:val="00BA1427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47B57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EB1830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0EF877"/>
  <w15:chartTrackingRefBased/>
  <w15:docId w15:val="{8880E26E-4C83-433E-AFDC-FCA31BE3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styleId="ListParagraph">
    <w:name w:val="List Paragraph"/>
    <w:basedOn w:val="Normal"/>
    <w:uiPriority w:val="34"/>
    <w:qFormat/>
    <w:rsid w:val="00B07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en/ITU-T/%20Workshops-and-Seminars/bsg/201806/Pages/default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sbevents@itu.i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ridging@itu.in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3.xml><?xml version="1.0" encoding="utf-8"?>
<ds:datastoreItem xmlns:ds="http://schemas.openxmlformats.org/officeDocument/2006/customXml" ds:itemID="{34651139-7C1C-4A07-96F2-021DDC561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Imad RIZ</dc:creator>
  <cp:keywords>DPM_v2016.12.12.1_prod</cp:keywords>
  <dc:description>Template used by DPM and CPI for the WTSA-16</dc:description>
  <cp:lastModifiedBy>Author</cp:lastModifiedBy>
  <cp:revision>6</cp:revision>
  <cp:lastPrinted>2018-06-11T13:47:00Z</cp:lastPrinted>
  <dcterms:created xsi:type="dcterms:W3CDTF">2018-06-12T07:53:00Z</dcterms:created>
  <dcterms:modified xsi:type="dcterms:W3CDTF">2018-07-16T12:30:00Z</dcterms:modified>
  <cp:category>Conference document</cp:category>
</cp:coreProperties>
</file>