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664"/>
        <w:tblOverlap w:val="never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133"/>
        <w:gridCol w:w="4111"/>
        <w:gridCol w:w="2410"/>
        <w:gridCol w:w="1984"/>
      </w:tblGrid>
      <w:tr w:rsidR="00344BEA" w14:paraId="49F3A8A6" w14:textId="77777777" w:rsidTr="00F01D97">
        <w:trPr>
          <w:cantSplit/>
          <w:trHeight w:val="80"/>
        </w:trPr>
        <w:tc>
          <w:tcPr>
            <w:tcW w:w="1276" w:type="dxa"/>
            <w:gridSpan w:val="2"/>
            <w:vAlign w:val="center"/>
          </w:tcPr>
          <w:p w14:paraId="274BB286" w14:textId="77777777" w:rsidR="00344BEA" w:rsidRPr="009A54D9" w:rsidRDefault="00344BEA" w:rsidP="00344BEA">
            <w:pPr>
              <w:pStyle w:val="Tabletext"/>
              <w:jc w:val="center"/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46AAF443" wp14:editId="27698735">
                  <wp:extent cx="717701" cy="799465"/>
                  <wp:effectExtent l="0" t="0" r="6350" b="635"/>
                  <wp:docPr id="8" name="Picture 8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14:paraId="1E0C7ED2" w14:textId="77777777" w:rsidR="00F01D97" w:rsidRDefault="00F01D97" w:rsidP="00F01D9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606A0458" w14:textId="77777777" w:rsidR="00344BEA" w:rsidRPr="00F50108" w:rsidRDefault="00F01D97" w:rsidP="0064201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14:paraId="5E359DCD" w14:textId="77777777" w:rsidR="00344BEA" w:rsidRPr="00F50108" w:rsidRDefault="00344BEA" w:rsidP="00344BE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3D38E3" w14:paraId="27458842" w14:textId="77777777" w:rsidTr="00A5354B">
        <w:trPr>
          <w:cantSplit/>
          <w:trHeight w:val="80"/>
        </w:trPr>
        <w:tc>
          <w:tcPr>
            <w:tcW w:w="5387" w:type="dxa"/>
            <w:gridSpan w:val="3"/>
            <w:vAlign w:val="center"/>
          </w:tcPr>
          <w:p w14:paraId="2399C6B7" w14:textId="77777777" w:rsidR="003D38E3" w:rsidRDefault="003D38E3" w:rsidP="00932E45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vAlign w:val="center"/>
          </w:tcPr>
          <w:p w14:paraId="5D692F39" w14:textId="02715216" w:rsidR="003D38E3" w:rsidRDefault="003D38E3" w:rsidP="00AE7E13">
            <w:pPr>
              <w:pStyle w:val="Tabletext"/>
              <w:spacing w:before="480" w:after="120"/>
            </w:pPr>
            <w:r>
              <w:t xml:space="preserve">Geneva, </w:t>
            </w:r>
            <w:r w:rsidR="00753AAA">
              <w:t>4</w:t>
            </w:r>
            <w:r w:rsidR="00AE7E13">
              <w:t xml:space="preserve"> May</w:t>
            </w:r>
            <w:r w:rsidR="00F86DAB" w:rsidRPr="001329E3">
              <w:t xml:space="preserve"> </w:t>
            </w:r>
            <w:r w:rsidR="00B51CC8" w:rsidRPr="001329E3">
              <w:t>2018</w:t>
            </w:r>
          </w:p>
        </w:tc>
      </w:tr>
      <w:tr w:rsidR="00932E45" w14:paraId="16E634F6" w14:textId="77777777" w:rsidTr="00A5354B">
        <w:trPr>
          <w:cantSplit/>
          <w:trHeight w:val="700"/>
        </w:trPr>
        <w:tc>
          <w:tcPr>
            <w:tcW w:w="1143" w:type="dxa"/>
          </w:tcPr>
          <w:p w14:paraId="31890AB1" w14:textId="77777777" w:rsidR="00932E45" w:rsidRPr="00F36AC4" w:rsidRDefault="00932E45" w:rsidP="0088403A">
            <w:pPr>
              <w:pStyle w:val="Tabletext"/>
              <w:rPr>
                <w:rFonts w:ascii="Futura Lt BT" w:hAnsi="Futura Lt BT"/>
              </w:rPr>
            </w:pPr>
            <w:r w:rsidRPr="00F36AC4">
              <w:t>Ref:</w:t>
            </w:r>
          </w:p>
        </w:tc>
        <w:tc>
          <w:tcPr>
            <w:tcW w:w="4244" w:type="dxa"/>
            <w:gridSpan w:val="2"/>
          </w:tcPr>
          <w:p w14:paraId="716C0369" w14:textId="343ECF4E" w:rsidR="00932E45" w:rsidRPr="00F36AC4" w:rsidRDefault="00932E45" w:rsidP="00AE7E13">
            <w:pPr>
              <w:pStyle w:val="Tabletext"/>
              <w:rPr>
                <w:b/>
              </w:rPr>
            </w:pPr>
            <w:r w:rsidRPr="00F36AC4">
              <w:rPr>
                <w:b/>
              </w:rPr>
              <w:t xml:space="preserve">TSB Circular </w:t>
            </w:r>
            <w:r w:rsidR="00AE7E13">
              <w:rPr>
                <w:b/>
              </w:rPr>
              <w:t>90</w:t>
            </w:r>
          </w:p>
          <w:p w14:paraId="57CBCE8D" w14:textId="15BE4638" w:rsidR="00932E45" w:rsidRPr="00F36AC4" w:rsidRDefault="002F4914" w:rsidP="008A05F5">
            <w:pPr>
              <w:pStyle w:val="Tabletext"/>
            </w:pPr>
            <w:r>
              <w:t xml:space="preserve">TSB </w:t>
            </w:r>
            <w:r w:rsidR="00CA5F8E">
              <w:t>Events</w:t>
            </w:r>
            <w:r>
              <w:t>/</w:t>
            </w:r>
            <w:r w:rsidR="00AE7E13">
              <w:t>JU</w:t>
            </w:r>
          </w:p>
        </w:tc>
        <w:tc>
          <w:tcPr>
            <w:tcW w:w="4394" w:type="dxa"/>
            <w:gridSpan w:val="2"/>
            <w:vMerge w:val="restart"/>
          </w:tcPr>
          <w:p w14:paraId="40BFD75B" w14:textId="77777777" w:rsidR="005A3191" w:rsidRPr="005A3191" w:rsidRDefault="005A3191" w:rsidP="00222D56">
            <w:pPr>
              <w:pStyle w:val="Tabletext"/>
              <w:ind w:left="283" w:hanging="283"/>
              <w:rPr>
                <w:b/>
                <w:bCs/>
              </w:rPr>
            </w:pPr>
            <w:bookmarkStart w:id="1" w:name="Addressee_E"/>
            <w:bookmarkEnd w:id="1"/>
            <w:r w:rsidRPr="005A3191">
              <w:rPr>
                <w:b/>
                <w:bCs/>
              </w:rPr>
              <w:t>To:</w:t>
            </w:r>
          </w:p>
          <w:p w14:paraId="1AB599A0" w14:textId="77777777" w:rsidR="00932E45" w:rsidRDefault="00932E45" w:rsidP="00EB0FD4">
            <w:pPr>
              <w:pStyle w:val="Tabletext"/>
              <w:ind w:left="283" w:hanging="283"/>
            </w:pPr>
            <w:r>
              <w:t>-</w:t>
            </w:r>
            <w:r>
              <w:tab/>
              <w:t>Administrations of Member States of the Union;</w:t>
            </w:r>
          </w:p>
          <w:p w14:paraId="43D34141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 xml:space="preserve">ITU-T </w:t>
            </w:r>
            <w:proofErr w:type="spellStart"/>
            <w:r w:rsidR="00932E45" w:rsidRPr="00EB0FD4">
              <w:rPr>
                <w:color w:val="000000"/>
                <w:lang w:val="fr-CH"/>
              </w:rPr>
              <w:t>Sector</w:t>
            </w:r>
            <w:proofErr w:type="spellEnd"/>
            <w:r w:rsidR="00932E45" w:rsidRPr="00EB0FD4">
              <w:rPr>
                <w:color w:val="000000"/>
                <w:lang w:val="fr-CH"/>
              </w:rPr>
              <w:t xml:space="preserve"> </w:t>
            </w:r>
            <w:proofErr w:type="spellStart"/>
            <w:r w:rsidR="00932E45" w:rsidRPr="00EB0FD4">
              <w:rPr>
                <w:color w:val="000000"/>
                <w:lang w:val="fr-CH"/>
              </w:rPr>
              <w:t>Members</w:t>
            </w:r>
            <w:proofErr w:type="spellEnd"/>
            <w:r w:rsidR="00932E45" w:rsidRPr="00EB0FD4">
              <w:rPr>
                <w:color w:val="000000"/>
                <w:lang w:val="fr-CH"/>
              </w:rPr>
              <w:t>;</w:t>
            </w:r>
          </w:p>
          <w:p w14:paraId="1A7B21F3" w14:textId="77777777" w:rsidR="00932E45" w:rsidRPr="00EB0FD4" w:rsidRDefault="00EB0FD4" w:rsidP="00222D56">
            <w:pPr>
              <w:pStyle w:val="Tabletext"/>
              <w:ind w:left="283" w:hanging="283"/>
              <w:rPr>
                <w:color w:val="000000"/>
                <w:lang w:val="fr-CH"/>
              </w:rPr>
            </w:pPr>
            <w:r w:rsidRPr="00EB0FD4">
              <w:rPr>
                <w:color w:val="000000"/>
                <w:lang w:val="fr-CH"/>
              </w:rPr>
              <w:t>-</w:t>
            </w:r>
            <w:r w:rsidRPr="00EB0FD4">
              <w:rPr>
                <w:color w:val="000000"/>
                <w:lang w:val="fr-CH"/>
              </w:rPr>
              <w:tab/>
            </w:r>
            <w:r w:rsidR="00932E45" w:rsidRPr="00EB0FD4">
              <w:rPr>
                <w:color w:val="000000"/>
                <w:lang w:val="fr-CH"/>
              </w:rPr>
              <w:t>ITU-T Associates;</w:t>
            </w:r>
          </w:p>
          <w:p w14:paraId="00D217C3" w14:textId="77777777" w:rsidR="00932E45" w:rsidRDefault="00EB0FD4" w:rsidP="004D0DCE">
            <w:pPr>
              <w:pStyle w:val="Tabletext"/>
              <w:ind w:left="283" w:hanging="283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</w:r>
            <w:r w:rsidR="00932E45">
              <w:rPr>
                <w:color w:val="000000"/>
              </w:rPr>
              <w:t>ITU Academia</w:t>
            </w:r>
          </w:p>
        </w:tc>
      </w:tr>
      <w:tr w:rsidR="00932E45" w14:paraId="6AF07FA3" w14:textId="77777777" w:rsidTr="00A5354B">
        <w:trPr>
          <w:cantSplit/>
          <w:trHeight w:val="289"/>
        </w:trPr>
        <w:tc>
          <w:tcPr>
            <w:tcW w:w="1143" w:type="dxa"/>
          </w:tcPr>
          <w:p w14:paraId="188A7FC9" w14:textId="77777777" w:rsidR="00932E45" w:rsidRPr="00F36AC4" w:rsidRDefault="00932E45" w:rsidP="009B6449">
            <w:pPr>
              <w:pStyle w:val="Tabletext"/>
            </w:pPr>
            <w:r w:rsidRPr="00F36AC4">
              <w:t>Contact</w:t>
            </w:r>
            <w:r>
              <w:t>:</w:t>
            </w:r>
          </w:p>
        </w:tc>
        <w:tc>
          <w:tcPr>
            <w:tcW w:w="4244" w:type="dxa"/>
            <w:gridSpan w:val="2"/>
          </w:tcPr>
          <w:p w14:paraId="14550CC3" w14:textId="6DB52B39" w:rsidR="00932E45" w:rsidRPr="00F36AC4" w:rsidRDefault="00AE7E13" w:rsidP="009B6449">
            <w:pPr>
              <w:pStyle w:val="Tabletext"/>
              <w:rPr>
                <w:b/>
              </w:rPr>
            </w:pPr>
            <w:proofErr w:type="spellStart"/>
            <w:r>
              <w:rPr>
                <w:b/>
              </w:rPr>
              <w:t>Jinu</w:t>
            </w:r>
            <w:proofErr w:type="spellEnd"/>
            <w:r>
              <w:rPr>
                <w:b/>
              </w:rPr>
              <w:t xml:space="preserve"> UM</w:t>
            </w:r>
          </w:p>
        </w:tc>
        <w:tc>
          <w:tcPr>
            <w:tcW w:w="4394" w:type="dxa"/>
            <w:gridSpan w:val="2"/>
            <w:vMerge/>
          </w:tcPr>
          <w:p w14:paraId="1DD762A8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5CA5E071" w14:textId="77777777" w:rsidTr="00A5354B">
        <w:trPr>
          <w:cantSplit/>
          <w:trHeight w:val="221"/>
        </w:trPr>
        <w:tc>
          <w:tcPr>
            <w:tcW w:w="1143" w:type="dxa"/>
          </w:tcPr>
          <w:p w14:paraId="275D860B" w14:textId="77777777" w:rsidR="00932E45" w:rsidRPr="00F36AC4" w:rsidRDefault="00932E45" w:rsidP="009B6449">
            <w:pPr>
              <w:pStyle w:val="Tabletext"/>
            </w:pPr>
            <w:r w:rsidRPr="00F36AC4">
              <w:t>Tel:</w:t>
            </w:r>
          </w:p>
        </w:tc>
        <w:tc>
          <w:tcPr>
            <w:tcW w:w="4244" w:type="dxa"/>
            <w:gridSpan w:val="2"/>
          </w:tcPr>
          <w:p w14:paraId="49EC0C91" w14:textId="1F28A211" w:rsidR="00932E45" w:rsidRPr="00F36AC4" w:rsidRDefault="00932E45" w:rsidP="008A05F5">
            <w:pPr>
              <w:pStyle w:val="Tabletext"/>
              <w:rPr>
                <w:b/>
              </w:rPr>
            </w:pPr>
            <w:r w:rsidRPr="00F36AC4">
              <w:t>+41 22 730</w:t>
            </w:r>
            <w:r w:rsidR="0024314F">
              <w:t xml:space="preserve"> </w:t>
            </w:r>
            <w:r w:rsidR="005161F8">
              <w:t>6</w:t>
            </w:r>
            <w:r w:rsidR="00AE7E13">
              <w:t>320</w:t>
            </w:r>
          </w:p>
        </w:tc>
        <w:tc>
          <w:tcPr>
            <w:tcW w:w="4394" w:type="dxa"/>
            <w:gridSpan w:val="2"/>
            <w:vMerge/>
          </w:tcPr>
          <w:p w14:paraId="7FAAF5D5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932E45" w14:paraId="2C9E6DC5" w14:textId="77777777" w:rsidTr="00A5354B">
        <w:trPr>
          <w:cantSplit/>
          <w:trHeight w:val="282"/>
        </w:trPr>
        <w:tc>
          <w:tcPr>
            <w:tcW w:w="1143" w:type="dxa"/>
          </w:tcPr>
          <w:p w14:paraId="62A036D3" w14:textId="77777777" w:rsidR="00932E45" w:rsidRPr="00F36AC4" w:rsidRDefault="00932E45" w:rsidP="009B6449">
            <w:pPr>
              <w:pStyle w:val="Tabletext"/>
            </w:pPr>
            <w:r w:rsidRPr="00F36AC4">
              <w:t>Fax:</w:t>
            </w:r>
          </w:p>
        </w:tc>
        <w:tc>
          <w:tcPr>
            <w:tcW w:w="4244" w:type="dxa"/>
            <w:gridSpan w:val="2"/>
          </w:tcPr>
          <w:p w14:paraId="37642C72" w14:textId="77777777" w:rsidR="00932E45" w:rsidRPr="00F36AC4" w:rsidRDefault="00932E45" w:rsidP="009B6449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</w:tcPr>
          <w:p w14:paraId="1909EB8E" w14:textId="77777777" w:rsidR="00932E45" w:rsidRDefault="00932E45" w:rsidP="00932E45">
            <w:pPr>
              <w:pStyle w:val="Tabletext"/>
              <w:ind w:left="142" w:hanging="142"/>
            </w:pPr>
          </w:p>
        </w:tc>
      </w:tr>
      <w:tr w:rsidR="00870336" w14:paraId="15D3277F" w14:textId="77777777" w:rsidTr="00A5354B">
        <w:trPr>
          <w:cantSplit/>
          <w:trHeight w:val="1381"/>
        </w:trPr>
        <w:tc>
          <w:tcPr>
            <w:tcW w:w="1143" w:type="dxa"/>
          </w:tcPr>
          <w:p w14:paraId="54E5E778" w14:textId="77777777" w:rsidR="0087300D" w:rsidRPr="00F36AC4" w:rsidRDefault="0087300D" w:rsidP="009B6449">
            <w:pPr>
              <w:pStyle w:val="Tabletext"/>
            </w:pPr>
            <w:r w:rsidRPr="00F36AC4">
              <w:t>E-mail:</w:t>
            </w:r>
          </w:p>
        </w:tc>
        <w:tc>
          <w:tcPr>
            <w:tcW w:w="4244" w:type="dxa"/>
            <w:gridSpan w:val="2"/>
          </w:tcPr>
          <w:p w14:paraId="12EDDCAF" w14:textId="64712026" w:rsidR="0087300D" w:rsidRPr="00F36AC4" w:rsidRDefault="00983326" w:rsidP="00AE7E13">
            <w:pPr>
              <w:pStyle w:val="Tabletext"/>
            </w:pPr>
            <w:hyperlink r:id="rId9" w:history="1">
              <w:r w:rsidR="00AE7E13" w:rsidRPr="0088774A">
                <w:rPr>
                  <w:rStyle w:val="Hyperlink"/>
                  <w:szCs w:val="22"/>
                </w:rPr>
                <w:t>tsbevents@itu.int</w:t>
              </w:r>
            </w:hyperlink>
            <w:r w:rsidR="0087300D" w:rsidRPr="00F36AC4">
              <w:t xml:space="preserve"> </w:t>
            </w:r>
          </w:p>
        </w:tc>
        <w:tc>
          <w:tcPr>
            <w:tcW w:w="4394" w:type="dxa"/>
            <w:gridSpan w:val="2"/>
          </w:tcPr>
          <w:p w14:paraId="4A37E33D" w14:textId="77777777" w:rsidR="0087300D" w:rsidRDefault="0087300D" w:rsidP="009B6449">
            <w:pPr>
              <w:pStyle w:val="Tabletext"/>
              <w:rPr>
                <w:b/>
              </w:rPr>
            </w:pPr>
            <w:r>
              <w:rPr>
                <w:b/>
              </w:rPr>
              <w:t>Copy</w:t>
            </w:r>
            <w:r w:rsidR="0038107A">
              <w:rPr>
                <w:b/>
              </w:rPr>
              <w:t xml:space="preserve"> to</w:t>
            </w:r>
            <w:r>
              <w:rPr>
                <w:b/>
              </w:rPr>
              <w:t>:</w:t>
            </w:r>
          </w:p>
          <w:p w14:paraId="5D1587CE" w14:textId="358B213D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 w:rsidR="00122D83">
              <w:t>he Chairme</w:t>
            </w:r>
            <w:r>
              <w:t>n and Vice-Chairmen of ITU-T Study Groups;</w:t>
            </w:r>
          </w:p>
          <w:p w14:paraId="1E07D237" w14:textId="77777777" w:rsidR="00932E45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>he Director of the Telecommunication Development Bureau;</w:t>
            </w:r>
          </w:p>
          <w:p w14:paraId="2D183C6F" w14:textId="77777777" w:rsidR="0087300D" w:rsidRDefault="0087300D" w:rsidP="00222D5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87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</w:pPr>
            <w:r>
              <w:t>-</w:t>
            </w:r>
            <w:r w:rsidR="00932E45">
              <w:tab/>
            </w:r>
            <w:r w:rsidR="00EB0FD4">
              <w:t>T</w:t>
            </w:r>
            <w:r>
              <w:t xml:space="preserve">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222D56" w:rsidRPr="009B6449" w14:paraId="2853DC04" w14:textId="77777777" w:rsidTr="00A5354B">
        <w:trPr>
          <w:cantSplit/>
          <w:trHeight w:val="80"/>
        </w:trPr>
        <w:tc>
          <w:tcPr>
            <w:tcW w:w="1143" w:type="dxa"/>
          </w:tcPr>
          <w:p w14:paraId="609EFD50" w14:textId="77777777" w:rsidR="00222D56" w:rsidRPr="009B6449" w:rsidRDefault="00222D56" w:rsidP="00C906A2">
            <w:pPr>
              <w:pStyle w:val="Tabletext"/>
              <w:spacing w:before="360" w:after="120"/>
            </w:pPr>
            <w:r w:rsidRPr="009B6449">
              <w:t>Subject:</w:t>
            </w:r>
          </w:p>
        </w:tc>
        <w:tc>
          <w:tcPr>
            <w:tcW w:w="8638" w:type="dxa"/>
            <w:gridSpan w:val="4"/>
          </w:tcPr>
          <w:p w14:paraId="4E68DF85" w14:textId="6A3348B1" w:rsidR="00222D56" w:rsidRPr="009B6449" w:rsidRDefault="006462F4" w:rsidP="00242FA6">
            <w:pPr>
              <w:pStyle w:val="Tabletext"/>
              <w:spacing w:before="360" w:after="120"/>
            </w:pPr>
            <w:proofErr w:type="spellStart"/>
            <w:r>
              <w:rPr>
                <w:b/>
                <w:bCs/>
              </w:rPr>
              <w:t>IoT</w:t>
            </w:r>
            <w:proofErr w:type="spellEnd"/>
            <w:r>
              <w:rPr>
                <w:b/>
                <w:bCs/>
              </w:rPr>
              <w:t xml:space="preserve"> Week 2018</w:t>
            </w:r>
            <w:r w:rsidR="00002384">
              <w:rPr>
                <w:b/>
                <w:bCs/>
              </w:rPr>
              <w:t xml:space="preserve"> (Bilbao, Spain, 4-7 June 2018</w:t>
            </w:r>
            <w:bookmarkStart w:id="2" w:name="_GoBack"/>
            <w:bookmarkEnd w:id="2"/>
            <w:r w:rsidR="00AE7E13" w:rsidRPr="004E3C29">
              <w:rPr>
                <w:b/>
                <w:bCs/>
              </w:rPr>
              <w:t>)</w:t>
            </w:r>
          </w:p>
        </w:tc>
      </w:tr>
    </w:tbl>
    <w:p w14:paraId="342C521B" w14:textId="77777777" w:rsidR="0087300D" w:rsidRDefault="0087300D" w:rsidP="0013103F">
      <w:pPr>
        <w:pStyle w:val="Normalaftertitle0"/>
        <w:spacing w:before="360"/>
      </w:pPr>
      <w:bookmarkStart w:id="3" w:name="StartTyping_E"/>
      <w:bookmarkEnd w:id="3"/>
      <w:r>
        <w:t>Dear Sir/Madam,</w:t>
      </w:r>
    </w:p>
    <w:p w14:paraId="258A8E38" w14:textId="76876D15" w:rsidR="00AE7E13" w:rsidRDefault="0087300D" w:rsidP="00727A12">
      <w:bookmarkStart w:id="4" w:name="suitetext"/>
      <w:bookmarkStart w:id="5" w:name="text"/>
      <w:bookmarkEnd w:id="4"/>
      <w:bookmarkEnd w:id="5"/>
      <w:r>
        <w:rPr>
          <w:bCs/>
        </w:rPr>
        <w:t>1</w:t>
      </w:r>
      <w:r>
        <w:tab/>
      </w:r>
      <w:r w:rsidR="00AE7E13" w:rsidRPr="004E3C29">
        <w:t xml:space="preserve">The International Telecommunication Union (ITU) is partnering with the </w:t>
      </w:r>
      <w:proofErr w:type="spellStart"/>
      <w:r w:rsidR="00AE7E13" w:rsidRPr="004E3C29">
        <w:t>IoT</w:t>
      </w:r>
      <w:proofErr w:type="spellEnd"/>
      <w:r w:rsidR="00AE7E13" w:rsidRPr="004E3C29">
        <w:t xml:space="preserve"> Forum </w:t>
      </w:r>
      <w:r w:rsidR="00727A12">
        <w:t>to hold</w:t>
      </w:r>
      <w:r w:rsidR="00AE7E13" w:rsidRPr="004E3C29">
        <w:t xml:space="preserve"> </w:t>
      </w:r>
      <w:proofErr w:type="spellStart"/>
      <w:r w:rsidR="00AE7E13" w:rsidRPr="004E3C29">
        <w:t>IoT</w:t>
      </w:r>
      <w:proofErr w:type="spellEnd"/>
      <w:r w:rsidR="00AE7E13" w:rsidRPr="004E3C29">
        <w:t xml:space="preserve"> Week 2018</w:t>
      </w:r>
      <w:r w:rsidR="00AE7E13">
        <w:t xml:space="preserve"> in Bilbao, Spain </w:t>
      </w:r>
      <w:r w:rsidR="00AE7E13" w:rsidRPr="00AE7E13">
        <w:t xml:space="preserve">at the </w:t>
      </w:r>
      <w:proofErr w:type="spellStart"/>
      <w:r w:rsidR="00AE7E13" w:rsidRPr="00AE7E13">
        <w:t>Euskalduna</w:t>
      </w:r>
      <w:proofErr w:type="spellEnd"/>
      <w:r w:rsidR="00AE7E13" w:rsidRPr="00AE7E13">
        <w:t xml:space="preserve"> Conference Centre</w:t>
      </w:r>
      <w:r w:rsidR="00793348">
        <w:t xml:space="preserve"> from 4 to </w:t>
      </w:r>
      <w:r w:rsidR="00AE7E13">
        <w:t>7 June 2018</w:t>
      </w:r>
      <w:r w:rsidR="00AE7E13" w:rsidRPr="004E3C29">
        <w:t xml:space="preserve">. </w:t>
      </w:r>
    </w:p>
    <w:p w14:paraId="4E91F101" w14:textId="159B0C26" w:rsidR="0087300D" w:rsidRDefault="0087300D" w:rsidP="00AE7E13">
      <w:r>
        <w:rPr>
          <w:bCs/>
        </w:rPr>
        <w:t>2</w:t>
      </w:r>
      <w:r>
        <w:tab/>
      </w:r>
      <w:r w:rsidR="00AE7E13" w:rsidRPr="004E3C29">
        <w:t xml:space="preserve">Launched in 2011, the </w:t>
      </w:r>
      <w:proofErr w:type="spellStart"/>
      <w:r w:rsidR="00AE7E13" w:rsidRPr="004E3C29">
        <w:t>IoT</w:t>
      </w:r>
      <w:proofErr w:type="spellEnd"/>
      <w:r w:rsidR="00AE7E13" w:rsidRPr="004E3C29">
        <w:t xml:space="preserve"> Week series is a major annual conference on the Internet of Things (</w:t>
      </w:r>
      <w:proofErr w:type="spellStart"/>
      <w:r w:rsidR="00AE7E13" w:rsidRPr="004E3C29">
        <w:t>IoT</w:t>
      </w:r>
      <w:proofErr w:type="spellEnd"/>
      <w:r w:rsidR="00AE7E13" w:rsidRPr="004E3C29">
        <w:t xml:space="preserve">), which gathers top experts, innovators and stakeholders in the domain of information and communication technologies, smart cities and </w:t>
      </w:r>
      <w:proofErr w:type="spellStart"/>
      <w:r w:rsidR="00AE7E13" w:rsidRPr="004E3C29">
        <w:t>IoT</w:t>
      </w:r>
      <w:proofErr w:type="spellEnd"/>
      <w:r w:rsidR="00AE7E13" w:rsidRPr="004E3C29">
        <w:t xml:space="preserve">. Since its launch, </w:t>
      </w:r>
      <w:proofErr w:type="spellStart"/>
      <w:r w:rsidR="00AE7E13" w:rsidRPr="004E3C29">
        <w:t>IoT</w:t>
      </w:r>
      <w:proofErr w:type="spellEnd"/>
      <w:r w:rsidR="00AE7E13" w:rsidRPr="004E3C29">
        <w:t xml:space="preserve"> Week has been serving as a unique platform where emerging </w:t>
      </w:r>
      <w:proofErr w:type="spellStart"/>
      <w:r w:rsidR="00AE7E13" w:rsidRPr="004E3C29">
        <w:t>IoT</w:t>
      </w:r>
      <w:proofErr w:type="spellEnd"/>
      <w:r w:rsidR="00AE7E13" w:rsidRPr="004E3C29">
        <w:t xml:space="preserve"> technologies, strategies, and policies are discussed and partnerships are developed.</w:t>
      </w:r>
    </w:p>
    <w:p w14:paraId="782DD535" w14:textId="7AC2C9E5" w:rsidR="00AE7E13" w:rsidRDefault="00AE7E13" w:rsidP="00AE7E13">
      <w:r>
        <w:t>3</w:t>
      </w:r>
      <w:r>
        <w:tab/>
      </w:r>
      <w:r w:rsidRPr="004E3C29">
        <w:t>The 2018 edition is growing in scope and will encompass:</w:t>
      </w:r>
    </w:p>
    <w:p w14:paraId="3692A799" w14:textId="78F983CA" w:rsidR="00AE7E13" w:rsidRDefault="00AE7E13" w:rsidP="00AE7E13">
      <w:pPr>
        <w:pStyle w:val="ListParagraph"/>
        <w:numPr>
          <w:ilvl w:val="0"/>
          <w:numId w:val="12"/>
        </w:numPr>
      </w:pPr>
      <w:proofErr w:type="spellStart"/>
      <w:r w:rsidRPr="00AE7E13">
        <w:t>IoT</w:t>
      </w:r>
      <w:proofErr w:type="spellEnd"/>
      <w:r w:rsidRPr="00AE7E13">
        <w:t xml:space="preserve"> Emerging Technologies and Research, reviewing the latest development</w:t>
      </w:r>
      <w:r w:rsidR="009C52A8">
        <w:t>s</w:t>
      </w:r>
      <w:r w:rsidRPr="00AE7E13">
        <w:t xml:space="preserve"> in the field of </w:t>
      </w:r>
      <w:proofErr w:type="spellStart"/>
      <w:r w:rsidRPr="00AE7E13">
        <w:t>IoT</w:t>
      </w:r>
      <w:proofErr w:type="spellEnd"/>
      <w:r w:rsidRPr="00AE7E13">
        <w:t xml:space="preserve"> research and innovation,</w:t>
      </w:r>
      <w:r>
        <w:t xml:space="preserve"> and identifying future trends;</w:t>
      </w:r>
    </w:p>
    <w:p w14:paraId="58AE7488" w14:textId="09535210" w:rsidR="00AE7E13" w:rsidRDefault="00AE7E13" w:rsidP="00AE7E13">
      <w:pPr>
        <w:pStyle w:val="ListParagraph"/>
        <w:numPr>
          <w:ilvl w:val="0"/>
          <w:numId w:val="12"/>
        </w:numPr>
      </w:pPr>
      <w:proofErr w:type="spellStart"/>
      <w:r w:rsidRPr="00AE7E13">
        <w:t>IoT</w:t>
      </w:r>
      <w:proofErr w:type="spellEnd"/>
      <w:r w:rsidRPr="00AE7E13">
        <w:t xml:space="preserve"> Security and Privacy, which will address inter alia issues such as cybersecurity development for the </w:t>
      </w:r>
      <w:proofErr w:type="spellStart"/>
      <w:r w:rsidRPr="00AE7E13">
        <w:t>IoT</w:t>
      </w:r>
      <w:proofErr w:type="spellEnd"/>
      <w:r w:rsidRPr="00AE7E13">
        <w:t xml:space="preserve"> and the impact of the recent evolution of personal data protection and privacy norms at the European level (GDPR, W</w:t>
      </w:r>
      <w:r>
        <w:t>P29, etc.) and in other regions;</w:t>
      </w:r>
    </w:p>
    <w:p w14:paraId="6BF9CC9F" w14:textId="0F4A9F1F" w:rsidR="00AE7E13" w:rsidRDefault="00AE7E13" w:rsidP="00AE7E13">
      <w:pPr>
        <w:pStyle w:val="ListParagraph"/>
        <w:numPr>
          <w:ilvl w:val="0"/>
          <w:numId w:val="12"/>
        </w:numPr>
      </w:pPr>
      <w:proofErr w:type="spellStart"/>
      <w:r w:rsidRPr="00AE7E13">
        <w:t>IoT</w:t>
      </w:r>
      <w:proofErr w:type="spellEnd"/>
      <w:r w:rsidRPr="00AE7E13">
        <w:t xml:space="preserve"> and Artificial Intelligence, discussing the advances in develop</w:t>
      </w:r>
      <w:r w:rsidR="00793348">
        <w:t>ment and democratization of AI</w:t>
      </w:r>
      <w:r w:rsidRPr="00AE7E13">
        <w:t xml:space="preserve"> solutions that can address global challenges related to poverty, hunger, health, educati</w:t>
      </w:r>
      <w:r>
        <w:t>on, the environment and others;</w:t>
      </w:r>
    </w:p>
    <w:p w14:paraId="1E529178" w14:textId="411A5678" w:rsidR="00AE7E13" w:rsidRDefault="00AE7E13" w:rsidP="00AE7E13">
      <w:pPr>
        <w:pStyle w:val="ListParagraph"/>
        <w:numPr>
          <w:ilvl w:val="0"/>
          <w:numId w:val="12"/>
        </w:numPr>
      </w:pPr>
      <w:proofErr w:type="spellStart"/>
      <w:r w:rsidRPr="00AE7E13">
        <w:t>IoT</w:t>
      </w:r>
      <w:proofErr w:type="spellEnd"/>
      <w:r w:rsidRPr="00AE7E13">
        <w:t xml:space="preserve"> Industry 4.0, Market and Business Models, introducing market prospective, new financial and business models, as well as the impact of </w:t>
      </w:r>
      <w:proofErr w:type="spellStart"/>
      <w:r w:rsidRPr="00AE7E13">
        <w:t>IoT</w:t>
      </w:r>
      <w:proofErr w:type="spellEnd"/>
      <w:r w:rsidRPr="00AE7E13">
        <w:t xml:space="preserve"> on the indus</w:t>
      </w:r>
      <w:r>
        <w:t>try and factories of the future;</w:t>
      </w:r>
    </w:p>
    <w:p w14:paraId="256CD928" w14:textId="4470BCF5" w:rsidR="00AE7E13" w:rsidRDefault="00AE7E13" w:rsidP="00AE7E13">
      <w:pPr>
        <w:pStyle w:val="ListParagraph"/>
        <w:numPr>
          <w:ilvl w:val="0"/>
          <w:numId w:val="12"/>
        </w:numPr>
      </w:pPr>
      <w:proofErr w:type="spellStart"/>
      <w:r w:rsidRPr="00AE7E13">
        <w:t>IoT</w:t>
      </w:r>
      <w:proofErr w:type="spellEnd"/>
      <w:r w:rsidRPr="00AE7E13">
        <w:t xml:space="preserve"> and Smart Cities, where experts will in</w:t>
      </w:r>
      <w:r w:rsidR="009C52A8">
        <w:t xml:space="preserve">troduce leading examples of </w:t>
      </w:r>
      <w:proofErr w:type="spellStart"/>
      <w:r w:rsidR="009C52A8">
        <w:t>IoT</w:t>
      </w:r>
      <w:proofErr w:type="spellEnd"/>
      <w:r w:rsidR="009C52A8">
        <w:t>-</w:t>
      </w:r>
      <w:r w:rsidRPr="00AE7E13">
        <w:t>enabled Smart Cities and international platforms, to explore opportunities and cha</w:t>
      </w:r>
      <w:r>
        <w:t>llenges and identify strategies;</w:t>
      </w:r>
    </w:p>
    <w:p w14:paraId="4106F8B0" w14:textId="144E0B97" w:rsidR="00AE7E13" w:rsidRPr="000611A6" w:rsidRDefault="00AE7E13" w:rsidP="00793348">
      <w:pPr>
        <w:pStyle w:val="ListParagraph"/>
        <w:numPr>
          <w:ilvl w:val="0"/>
          <w:numId w:val="12"/>
        </w:numPr>
      </w:pPr>
      <w:proofErr w:type="spellStart"/>
      <w:r w:rsidRPr="00AE7E13">
        <w:lastRenderedPageBreak/>
        <w:t>IoT</w:t>
      </w:r>
      <w:proofErr w:type="spellEnd"/>
      <w:r w:rsidRPr="00AE7E13">
        <w:t xml:space="preserve"> and Big Data, disc</w:t>
      </w:r>
      <w:r w:rsidR="00793348">
        <w:t xml:space="preserve">ussing </w:t>
      </w:r>
      <w:r w:rsidRPr="00AE7E13">
        <w:t xml:space="preserve">how Big Data creation, organization and management </w:t>
      </w:r>
      <w:r w:rsidR="00793348">
        <w:t xml:space="preserve">can </w:t>
      </w:r>
      <w:r w:rsidRPr="00AE7E13">
        <w:t>be changed in a way to make data</w:t>
      </w:r>
      <w:r w:rsidR="00793348">
        <w:t>-</w:t>
      </w:r>
      <w:r w:rsidRPr="00AE7E13">
        <w:t>intensive projects in science and/or industry much more e</w:t>
      </w:r>
      <w:r w:rsidRPr="000611A6">
        <w:t>fficient and thus enable</w:t>
      </w:r>
      <w:r w:rsidR="00793348" w:rsidRPr="000611A6">
        <w:t xml:space="preserve">d to be </w:t>
      </w:r>
      <w:r w:rsidRPr="000611A6">
        <w:t>re-use</w:t>
      </w:r>
      <w:r w:rsidR="00793348" w:rsidRPr="000611A6">
        <w:t>d</w:t>
      </w:r>
      <w:r w:rsidRPr="000611A6">
        <w:t xml:space="preserve"> effectively;</w:t>
      </w:r>
    </w:p>
    <w:p w14:paraId="4E452D01" w14:textId="6A37400D" w:rsidR="00AE7E13" w:rsidRDefault="00AE0BD3" w:rsidP="00770E57">
      <w:pPr>
        <w:pStyle w:val="ListParagraph"/>
        <w:numPr>
          <w:ilvl w:val="0"/>
          <w:numId w:val="12"/>
        </w:numPr>
      </w:pPr>
      <w:r w:rsidRPr="000611A6">
        <w:t xml:space="preserve">The </w:t>
      </w:r>
      <w:r w:rsidR="00AE7E13" w:rsidRPr="000611A6">
        <w:t xml:space="preserve">second Global </w:t>
      </w:r>
      <w:proofErr w:type="spellStart"/>
      <w:r w:rsidR="00AE7E13" w:rsidRPr="000611A6">
        <w:t>IoT</w:t>
      </w:r>
      <w:proofErr w:type="spellEnd"/>
      <w:r w:rsidR="00AE7E13" w:rsidRPr="000611A6">
        <w:t xml:space="preserve"> Summit (</w:t>
      </w:r>
      <w:proofErr w:type="spellStart"/>
      <w:r w:rsidR="00AE7E13" w:rsidRPr="000611A6">
        <w:t>GIoTS</w:t>
      </w:r>
      <w:proofErr w:type="spellEnd"/>
      <w:r w:rsidR="00AE7E13" w:rsidRPr="000611A6">
        <w:t>)</w:t>
      </w:r>
      <w:r w:rsidR="000611A6" w:rsidRPr="000611A6">
        <w:t>, which is</w:t>
      </w:r>
      <w:r w:rsidR="00AE7E13" w:rsidRPr="000611A6">
        <w:t xml:space="preserve"> endorsed by IEEE and driven by the IEEE Subcom</w:t>
      </w:r>
      <w:r w:rsidR="00C90008">
        <w:t xml:space="preserve">mittee on </w:t>
      </w:r>
      <w:proofErr w:type="spellStart"/>
      <w:r w:rsidR="00C90008">
        <w:t>IoT</w:t>
      </w:r>
      <w:proofErr w:type="spellEnd"/>
      <w:r w:rsidR="00C90008">
        <w:t xml:space="preserve"> and the </w:t>
      </w:r>
      <w:proofErr w:type="spellStart"/>
      <w:r w:rsidR="00C90008">
        <w:t>IoT</w:t>
      </w:r>
      <w:proofErr w:type="spellEnd"/>
      <w:r w:rsidR="00C90008">
        <w:t xml:space="preserve"> Forum and </w:t>
      </w:r>
      <w:r w:rsidR="000611A6" w:rsidRPr="000611A6">
        <w:t xml:space="preserve">will </w:t>
      </w:r>
      <w:r w:rsidR="00AE7E13" w:rsidRPr="000611A6">
        <w:t>select and present</w:t>
      </w:r>
      <w:r w:rsidR="00AE7E13" w:rsidRPr="00AE7E13">
        <w:t xml:space="preserve"> cutting edge scientific articles on </w:t>
      </w:r>
      <w:proofErr w:type="spellStart"/>
      <w:r w:rsidR="00AE7E13" w:rsidRPr="00AE7E13">
        <w:t>IoT</w:t>
      </w:r>
      <w:proofErr w:type="spellEnd"/>
      <w:r w:rsidR="00AE7E13" w:rsidRPr="00AE7E13">
        <w:t xml:space="preserve"> innovati</w:t>
      </w:r>
      <w:r w:rsidR="00AE7E13">
        <w:t>ons and</w:t>
      </w:r>
      <w:r w:rsidR="00AB0F5F">
        <w:t xml:space="preserve"> the</w:t>
      </w:r>
      <w:r w:rsidR="00AE7E13">
        <w:t xml:space="preserve"> latest research results;</w:t>
      </w:r>
    </w:p>
    <w:p w14:paraId="5E527255" w14:textId="12B5E0BF" w:rsidR="00AE7E13" w:rsidRDefault="00AE7E13" w:rsidP="00AE7E13">
      <w:pPr>
        <w:pStyle w:val="ListParagraph"/>
        <w:numPr>
          <w:ilvl w:val="0"/>
          <w:numId w:val="12"/>
        </w:numPr>
      </w:pPr>
      <w:r w:rsidRPr="00AE7E13">
        <w:t>An Exhibition Area for emerging</w:t>
      </w:r>
      <w:r>
        <w:t xml:space="preserve"> </w:t>
      </w:r>
      <w:proofErr w:type="spellStart"/>
      <w:r>
        <w:t>IoT</w:t>
      </w:r>
      <w:proofErr w:type="spellEnd"/>
      <w:r>
        <w:t xml:space="preserve"> technologies and solutions;</w:t>
      </w:r>
    </w:p>
    <w:p w14:paraId="1DC8520D" w14:textId="38732D7A" w:rsidR="00AE7E13" w:rsidRPr="00AE7E13" w:rsidRDefault="00AE7E13" w:rsidP="00AE7E13">
      <w:pPr>
        <w:pStyle w:val="ListParagraph"/>
        <w:numPr>
          <w:ilvl w:val="0"/>
          <w:numId w:val="12"/>
        </w:numPr>
      </w:pPr>
      <w:r w:rsidRPr="00AE7E13">
        <w:t xml:space="preserve">A </w:t>
      </w:r>
      <w:proofErr w:type="spellStart"/>
      <w:r w:rsidRPr="00AE7E13">
        <w:t>Startup</w:t>
      </w:r>
      <w:proofErr w:type="spellEnd"/>
      <w:r w:rsidRPr="00AE7E13">
        <w:t xml:space="preserve"> Competition and a Brokerage Event to foster networking opportunities</w:t>
      </w:r>
      <w:r>
        <w:t>.</w:t>
      </w:r>
    </w:p>
    <w:p w14:paraId="4F3ECFD3" w14:textId="4AEC3246" w:rsidR="0092129B" w:rsidRDefault="00727A12" w:rsidP="00AE7E13">
      <w:r>
        <w:t>4</w:t>
      </w:r>
      <w:r w:rsidR="00B51CC8">
        <w:tab/>
        <w:t xml:space="preserve">Participation in </w:t>
      </w:r>
      <w:r w:rsidR="00AE7E13">
        <w:t>this event</w:t>
      </w:r>
      <w:r w:rsidR="0092129B">
        <w:rPr>
          <w:b/>
          <w:bCs/>
        </w:rPr>
        <w:t xml:space="preserve"> </w:t>
      </w:r>
      <w:r w:rsidR="00B51CC8">
        <w:t>is</w:t>
      </w:r>
      <w:r w:rsidR="0087300D">
        <w:t xml:space="preserve"> open to </w:t>
      </w:r>
      <w:r w:rsidR="00AB19E4">
        <w:t>all</w:t>
      </w:r>
      <w:r w:rsidR="00AE7E13">
        <w:t xml:space="preserve">. Kindly note that a registration fee will be charged for attending the conference. </w:t>
      </w:r>
    </w:p>
    <w:p w14:paraId="5E09A410" w14:textId="62517D12" w:rsidR="000840A9" w:rsidRDefault="00727A12" w:rsidP="00AE7E13">
      <w:r>
        <w:t>5</w:t>
      </w:r>
      <w:r w:rsidR="0087300D">
        <w:tab/>
      </w:r>
      <w:r w:rsidR="00076775">
        <w:t xml:space="preserve">Registration is mandatory for all participants planning to attend </w:t>
      </w:r>
      <w:r w:rsidR="00AE7E13">
        <w:t>and can be done at the following link</w:t>
      </w:r>
      <w:r w:rsidR="0044011A">
        <w:t>:</w:t>
      </w:r>
      <w:r w:rsidR="00AE7E13">
        <w:t xml:space="preserve"> </w:t>
      </w:r>
      <w:hyperlink r:id="rId10" w:history="1">
        <w:r w:rsidR="00AE7E13" w:rsidRPr="004E3C29">
          <w:rPr>
            <w:rStyle w:val="Hyperlink"/>
          </w:rPr>
          <w:t>https://iotweek.org/registration-2018/</w:t>
        </w:r>
      </w:hyperlink>
    </w:p>
    <w:p w14:paraId="7C1A4D98" w14:textId="3B83C413" w:rsidR="00AE7E13" w:rsidRPr="00AE7E13" w:rsidRDefault="00727A12" w:rsidP="00AE7E13">
      <w:r>
        <w:t>6</w:t>
      </w:r>
      <w:r w:rsidR="0087300D">
        <w:tab/>
      </w:r>
      <w:r w:rsidR="00AE7E13">
        <w:t xml:space="preserve">Additional information on the conference can be found on the following website: </w:t>
      </w:r>
      <w:hyperlink r:id="rId11" w:history="1">
        <w:r w:rsidR="00AE7E13" w:rsidRPr="004E3C29">
          <w:rPr>
            <w:rStyle w:val="Hyperlink"/>
          </w:rPr>
          <w:t>https://iotweek.org/</w:t>
        </w:r>
      </w:hyperlink>
      <w:r w:rsidR="00AE7E13">
        <w:t xml:space="preserve">. The online programme will be regularly updated and can be accessed here: </w:t>
      </w:r>
      <w:hyperlink r:id="rId12" w:history="1">
        <w:r w:rsidR="00AE7E13" w:rsidRPr="005F06C5">
          <w:rPr>
            <w:rStyle w:val="Hyperlink"/>
            <w:rFonts w:cstheme="minorHAnsi"/>
            <w:lang w:val="en-US"/>
          </w:rPr>
          <w:t>https://iotweek.org/iot-week-2018-programme/</w:t>
        </w:r>
      </w:hyperlink>
      <w:r w:rsidR="00407D61" w:rsidRPr="00407D61">
        <w:rPr>
          <w:rStyle w:val="Hyperlink"/>
          <w:rFonts w:cstheme="minorHAnsi"/>
          <w:color w:val="auto"/>
          <w:u w:val="none"/>
          <w:lang w:val="en-US"/>
        </w:rPr>
        <w:t>.</w:t>
      </w:r>
    </w:p>
    <w:p w14:paraId="1F856085" w14:textId="6991664C" w:rsidR="00E34D68" w:rsidRPr="00DB79F7" w:rsidRDefault="00E34D68" w:rsidP="00AE7E1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5D2C28D6" w14:textId="77777777" w:rsidR="005A3332" w:rsidRDefault="005A3332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14:paraId="27FF5DD7" w14:textId="616AE6FB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t>Yours faithfully,</w:t>
      </w:r>
    </w:p>
    <w:p w14:paraId="2A8B4EB3" w14:textId="77777777" w:rsidR="00E53BC0" w:rsidRPr="00174AF0" w:rsidRDefault="00E53BC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</w:p>
    <w:p w14:paraId="335DCB66" w14:textId="25B570E1" w:rsidR="00174AF0" w:rsidRPr="00174AF0" w:rsidRDefault="00174AF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  <w:rPr>
          <w:i/>
          <w:iCs/>
        </w:rPr>
      </w:pPr>
      <w:r w:rsidRPr="00174AF0">
        <w:rPr>
          <w:i/>
          <w:iCs/>
        </w:rPr>
        <w:t>(signed)</w:t>
      </w:r>
    </w:p>
    <w:p w14:paraId="3050C57F" w14:textId="77777777" w:rsidR="00174AF0" w:rsidRDefault="00174AF0" w:rsidP="005D2B53">
      <w:pPr>
        <w:tabs>
          <w:tab w:val="clear" w:pos="1134"/>
          <w:tab w:val="clear" w:pos="1871"/>
          <w:tab w:val="clear" w:pos="2268"/>
        </w:tabs>
        <w:spacing w:before="0"/>
        <w:ind w:right="91"/>
      </w:pPr>
    </w:p>
    <w:p w14:paraId="78EC9960" w14:textId="77777777" w:rsidR="005D2B53" w:rsidRDefault="005D2B53" w:rsidP="001C46B1">
      <w:pPr>
        <w:spacing w:before="0"/>
        <w:ind w:right="91"/>
        <w:rPr>
          <w:rStyle w:val="LineNumber"/>
          <w:rFonts w:eastAsia="MS Mincho"/>
        </w:rPr>
      </w:pPr>
      <w:r>
        <w:rPr>
          <w:szCs w:val="24"/>
        </w:rPr>
        <w:t>Chaesub Lee</w:t>
      </w:r>
      <w:r>
        <w:br/>
        <w:t>Director of the Telecommunication</w:t>
      </w:r>
      <w:r>
        <w:br/>
        <w:t>Standardization Bureau</w:t>
      </w:r>
      <w:bookmarkStart w:id="6" w:name="Duties"/>
      <w:bookmarkEnd w:id="6"/>
    </w:p>
    <w:p w14:paraId="27C4DEFA" w14:textId="39AF24F9" w:rsidR="005D2B53" w:rsidRDefault="005D2B53" w:rsidP="00ED1F0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eastAsia="MS Mincho"/>
        </w:rPr>
      </w:pPr>
    </w:p>
    <w:sectPr w:rsidR="005D2B53" w:rsidSect="00AD7192">
      <w:headerReference w:type="default" r:id="rId13"/>
      <w:footerReference w:type="first" r:id="rId14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6F3A" w14:textId="77777777" w:rsidR="00983326" w:rsidRDefault="00983326">
      <w:r>
        <w:separator/>
      </w:r>
    </w:p>
  </w:endnote>
  <w:endnote w:type="continuationSeparator" w:id="0">
    <w:p w14:paraId="505AB158" w14:textId="77777777" w:rsidR="00983326" w:rsidRDefault="0098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31401" w14:textId="77777777" w:rsidR="000A3261" w:rsidRPr="005A3191" w:rsidRDefault="000A3261" w:rsidP="005A3191"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/>
        <w:sz w:val="16"/>
      </w:rPr>
    </w:pPr>
    <w:r w:rsidRPr="005A3191">
      <w:rPr>
        <w:rFonts w:ascii="Calibri" w:hAnsi="Calibri"/>
        <w:sz w:val="18"/>
        <w:szCs w:val="18"/>
      </w:rPr>
      <w:t>International Telecommunication Union • Place des Nations • CH-1211 Geneva 20 • Switzerland</w:t>
    </w:r>
    <w:r w:rsidRPr="005A3191">
      <w:rPr>
        <w:rFonts w:ascii="Calibri" w:hAnsi="Calibri"/>
        <w:sz w:val="18"/>
        <w:szCs w:val="18"/>
      </w:rPr>
      <w:br/>
      <w:t xml:space="preserve">Tel: +41 22 730 5111 • Fax: +41 22 733 7256 • E-mail: </w:t>
    </w:r>
    <w:hyperlink r:id="rId1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itumail@itu.int</w:t>
      </w:r>
    </w:hyperlink>
    <w:r w:rsidRPr="005A3191">
      <w:rPr>
        <w:rFonts w:ascii="Calibri" w:hAnsi="Calibri"/>
        <w:sz w:val="18"/>
        <w:szCs w:val="18"/>
      </w:rPr>
      <w:t xml:space="preserve"> • </w:t>
    </w:r>
    <w:hyperlink r:id="rId2" w:history="1">
      <w:r w:rsidRPr="005A3191">
        <w:rPr>
          <w:rFonts w:ascii="Calibri" w:hAnsi="Calibri"/>
          <w:color w:val="0000FF"/>
          <w:sz w:val="18"/>
          <w:szCs w:val="18"/>
          <w:u w:val="single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B987E" w14:textId="77777777" w:rsidR="00983326" w:rsidRDefault="00983326">
      <w:r>
        <w:t>____________________</w:t>
      </w:r>
    </w:p>
  </w:footnote>
  <w:footnote w:type="continuationSeparator" w:id="0">
    <w:p w14:paraId="42B6372C" w14:textId="77777777" w:rsidR="00983326" w:rsidRDefault="009833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8E9051" w14:textId="0B00452E" w:rsidR="000A3261" w:rsidRDefault="000A3261" w:rsidP="004B7E08">
    <w:pPr>
      <w:pStyle w:val="Header"/>
      <w:spacing w:after="240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462F4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  <w:r>
      <w:rPr>
        <w:rStyle w:val="PageNumber"/>
      </w:rPr>
      <w:br/>
      <w:t xml:space="preserve">TSB Circular </w:t>
    </w:r>
    <w:r w:rsidR="00AE7E13">
      <w:rPr>
        <w:rStyle w:val="PageNumber"/>
      </w:rPr>
      <w:t>90</w:t>
    </w:r>
  </w:p>
  <w:p w14:paraId="09434B65" w14:textId="77777777" w:rsidR="000A3261" w:rsidRDefault="000A3261" w:rsidP="00932E45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12617"/>
    <w:multiLevelType w:val="hybridMultilevel"/>
    <w:tmpl w:val="3F7E26BA"/>
    <w:lvl w:ilvl="0" w:tplc="D43A2B6C">
      <w:numFmt w:val="bullet"/>
      <w:lvlText w:val="•"/>
      <w:lvlJc w:val="left"/>
      <w:pPr>
        <w:ind w:left="1500" w:hanging="114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C07C6"/>
    <w:multiLevelType w:val="hybridMultilevel"/>
    <w:tmpl w:val="E790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82655"/>
    <w:multiLevelType w:val="hybridMultilevel"/>
    <w:tmpl w:val="72021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713E6"/>
    <w:multiLevelType w:val="hybridMultilevel"/>
    <w:tmpl w:val="F07EB6A6"/>
    <w:lvl w:ilvl="0" w:tplc="F1420AF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62202"/>
    <w:multiLevelType w:val="hybridMultilevel"/>
    <w:tmpl w:val="A180301E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64D38"/>
    <w:multiLevelType w:val="hybridMultilevel"/>
    <w:tmpl w:val="5FB64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727CD"/>
    <w:multiLevelType w:val="hybridMultilevel"/>
    <w:tmpl w:val="DC3A43A0"/>
    <w:lvl w:ilvl="0" w:tplc="EE1A03D2">
      <w:numFmt w:val="bullet"/>
      <w:lvlText w:val="-"/>
      <w:lvlJc w:val="left"/>
      <w:pPr>
        <w:ind w:left="810" w:hanging="45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0064D"/>
    <w:multiLevelType w:val="hybridMultilevel"/>
    <w:tmpl w:val="D6307588"/>
    <w:lvl w:ilvl="0" w:tplc="BBF681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30CE2"/>
    <w:multiLevelType w:val="hybridMultilevel"/>
    <w:tmpl w:val="BB52E1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05151F"/>
    <w:multiLevelType w:val="hybridMultilevel"/>
    <w:tmpl w:val="FBDCED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F7138"/>
    <w:multiLevelType w:val="hybridMultilevel"/>
    <w:tmpl w:val="A4AE33FC"/>
    <w:lvl w:ilvl="0" w:tplc="C62ABB14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8409F0"/>
    <w:multiLevelType w:val="hybridMultilevel"/>
    <w:tmpl w:val="D650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C1606"/>
    <w:multiLevelType w:val="multilevel"/>
    <w:tmpl w:val="2EF6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2"/>
  </w:num>
  <w:num w:numId="6">
    <w:abstractNumId w:val="11"/>
  </w:num>
  <w:num w:numId="7">
    <w:abstractNumId w:val="3"/>
  </w:num>
  <w:num w:numId="8">
    <w:abstractNumId w:val="5"/>
  </w:num>
  <w:num w:numId="9">
    <w:abstractNumId w:val="10"/>
  </w:num>
  <w:num w:numId="10">
    <w:abstractNumId w:val="8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en-IN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ko-KR" w:vendorID="64" w:dllVersion="131077" w:nlCheck="1" w:checkStyle="1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14"/>
    <w:rsid w:val="00002384"/>
    <w:rsid w:val="00002D4B"/>
    <w:rsid w:val="00003105"/>
    <w:rsid w:val="0000612C"/>
    <w:rsid w:val="000069D4"/>
    <w:rsid w:val="000112E2"/>
    <w:rsid w:val="000174AD"/>
    <w:rsid w:val="00037236"/>
    <w:rsid w:val="000611A6"/>
    <w:rsid w:val="00076775"/>
    <w:rsid w:val="00080586"/>
    <w:rsid w:val="000840A9"/>
    <w:rsid w:val="000858DE"/>
    <w:rsid w:val="0008767F"/>
    <w:rsid w:val="000A3261"/>
    <w:rsid w:val="000A7D55"/>
    <w:rsid w:val="000C2E8E"/>
    <w:rsid w:val="000C7BFA"/>
    <w:rsid w:val="000D49FB"/>
    <w:rsid w:val="000E0E7C"/>
    <w:rsid w:val="000F1B4B"/>
    <w:rsid w:val="00103631"/>
    <w:rsid w:val="00122D83"/>
    <w:rsid w:val="0012744F"/>
    <w:rsid w:val="0013103F"/>
    <w:rsid w:val="001329E3"/>
    <w:rsid w:val="00141285"/>
    <w:rsid w:val="0014147B"/>
    <w:rsid w:val="0015057B"/>
    <w:rsid w:val="00154124"/>
    <w:rsid w:val="00156DFF"/>
    <w:rsid w:val="00156F66"/>
    <w:rsid w:val="00160172"/>
    <w:rsid w:val="0016384C"/>
    <w:rsid w:val="0016414B"/>
    <w:rsid w:val="00167C69"/>
    <w:rsid w:val="00174AF0"/>
    <w:rsid w:val="00182528"/>
    <w:rsid w:val="0018500B"/>
    <w:rsid w:val="001866E7"/>
    <w:rsid w:val="00196103"/>
    <w:rsid w:val="00196A19"/>
    <w:rsid w:val="0019759C"/>
    <w:rsid w:val="001C1DD9"/>
    <w:rsid w:val="001C3018"/>
    <w:rsid w:val="001C46B1"/>
    <w:rsid w:val="001C6B1D"/>
    <w:rsid w:val="001E1011"/>
    <w:rsid w:val="001E16AF"/>
    <w:rsid w:val="001F127B"/>
    <w:rsid w:val="001F1D3F"/>
    <w:rsid w:val="00202DC1"/>
    <w:rsid w:val="00210D47"/>
    <w:rsid w:val="002116EE"/>
    <w:rsid w:val="00222D56"/>
    <w:rsid w:val="002306CD"/>
    <w:rsid w:val="002309D8"/>
    <w:rsid w:val="00235FA1"/>
    <w:rsid w:val="00242FA6"/>
    <w:rsid w:val="0024314F"/>
    <w:rsid w:val="002523E2"/>
    <w:rsid w:val="00263509"/>
    <w:rsid w:val="00265CD3"/>
    <w:rsid w:val="00283112"/>
    <w:rsid w:val="002A1FFE"/>
    <w:rsid w:val="002A7FE2"/>
    <w:rsid w:val="002D2424"/>
    <w:rsid w:val="002E1B4F"/>
    <w:rsid w:val="002F2E67"/>
    <w:rsid w:val="002F4914"/>
    <w:rsid w:val="00307BE5"/>
    <w:rsid w:val="0031444A"/>
    <w:rsid w:val="00315546"/>
    <w:rsid w:val="00320058"/>
    <w:rsid w:val="00323D71"/>
    <w:rsid w:val="003264CE"/>
    <w:rsid w:val="00330567"/>
    <w:rsid w:val="00332E9D"/>
    <w:rsid w:val="0033475A"/>
    <w:rsid w:val="00344BEA"/>
    <w:rsid w:val="00344C91"/>
    <w:rsid w:val="00347AF2"/>
    <w:rsid w:val="00351DA5"/>
    <w:rsid w:val="00355D59"/>
    <w:rsid w:val="003561E1"/>
    <w:rsid w:val="003604AB"/>
    <w:rsid w:val="00373E27"/>
    <w:rsid w:val="0038107A"/>
    <w:rsid w:val="003816DF"/>
    <w:rsid w:val="003824B7"/>
    <w:rsid w:val="003861F9"/>
    <w:rsid w:val="00386A9D"/>
    <w:rsid w:val="00391081"/>
    <w:rsid w:val="00397FBE"/>
    <w:rsid w:val="003B2789"/>
    <w:rsid w:val="003B6B61"/>
    <w:rsid w:val="003C13CE"/>
    <w:rsid w:val="003D38E3"/>
    <w:rsid w:val="003D631C"/>
    <w:rsid w:val="003E2518"/>
    <w:rsid w:val="003E4ABE"/>
    <w:rsid w:val="003E6CFD"/>
    <w:rsid w:val="003F1DE8"/>
    <w:rsid w:val="00402707"/>
    <w:rsid w:val="00407D61"/>
    <w:rsid w:val="00421437"/>
    <w:rsid w:val="00426DFF"/>
    <w:rsid w:val="0044011A"/>
    <w:rsid w:val="00442983"/>
    <w:rsid w:val="00447BC4"/>
    <w:rsid w:val="00452ECF"/>
    <w:rsid w:val="00456F33"/>
    <w:rsid w:val="00457F73"/>
    <w:rsid w:val="004606D4"/>
    <w:rsid w:val="0047474C"/>
    <w:rsid w:val="004A2393"/>
    <w:rsid w:val="004B1EF7"/>
    <w:rsid w:val="004B3FAD"/>
    <w:rsid w:val="004B4988"/>
    <w:rsid w:val="004B7E08"/>
    <w:rsid w:val="004C2625"/>
    <w:rsid w:val="004D0DCE"/>
    <w:rsid w:val="004E202F"/>
    <w:rsid w:val="004E54FF"/>
    <w:rsid w:val="00501DCA"/>
    <w:rsid w:val="00512FA6"/>
    <w:rsid w:val="00513A47"/>
    <w:rsid w:val="005161F8"/>
    <w:rsid w:val="00521349"/>
    <w:rsid w:val="00523A0D"/>
    <w:rsid w:val="00532B7D"/>
    <w:rsid w:val="005408DF"/>
    <w:rsid w:val="00573344"/>
    <w:rsid w:val="00583F9B"/>
    <w:rsid w:val="00594561"/>
    <w:rsid w:val="005A3191"/>
    <w:rsid w:val="005A3332"/>
    <w:rsid w:val="005B43C6"/>
    <w:rsid w:val="005D2B53"/>
    <w:rsid w:val="005E1223"/>
    <w:rsid w:val="005E480F"/>
    <w:rsid w:val="005E5C10"/>
    <w:rsid w:val="005F2C78"/>
    <w:rsid w:val="005F486F"/>
    <w:rsid w:val="00613926"/>
    <w:rsid w:val="006144E4"/>
    <w:rsid w:val="00626945"/>
    <w:rsid w:val="00627B23"/>
    <w:rsid w:val="00640A88"/>
    <w:rsid w:val="00642014"/>
    <w:rsid w:val="00643E20"/>
    <w:rsid w:val="00643EE1"/>
    <w:rsid w:val="00644BB9"/>
    <w:rsid w:val="00644F86"/>
    <w:rsid w:val="006462F4"/>
    <w:rsid w:val="00650299"/>
    <w:rsid w:val="00655FC5"/>
    <w:rsid w:val="00657F9C"/>
    <w:rsid w:val="006637DC"/>
    <w:rsid w:val="00677753"/>
    <w:rsid w:val="00686BB3"/>
    <w:rsid w:val="006927F4"/>
    <w:rsid w:val="006A1D7C"/>
    <w:rsid w:val="006B0395"/>
    <w:rsid w:val="006E1B78"/>
    <w:rsid w:val="007167AB"/>
    <w:rsid w:val="00726BE3"/>
    <w:rsid w:val="00727173"/>
    <w:rsid w:val="00727A12"/>
    <w:rsid w:val="00753AAA"/>
    <w:rsid w:val="007558C0"/>
    <w:rsid w:val="00755DCD"/>
    <w:rsid w:val="007633E9"/>
    <w:rsid w:val="00767230"/>
    <w:rsid w:val="00770E57"/>
    <w:rsid w:val="007723C0"/>
    <w:rsid w:val="00777A31"/>
    <w:rsid w:val="007858A0"/>
    <w:rsid w:val="00787A3C"/>
    <w:rsid w:val="00793348"/>
    <w:rsid w:val="007A6C7C"/>
    <w:rsid w:val="007D2F64"/>
    <w:rsid w:val="007D7EE3"/>
    <w:rsid w:val="007E25A6"/>
    <w:rsid w:val="007E39A4"/>
    <w:rsid w:val="00822581"/>
    <w:rsid w:val="008309DD"/>
    <w:rsid w:val="00831192"/>
    <w:rsid w:val="0083227A"/>
    <w:rsid w:val="00840447"/>
    <w:rsid w:val="008415E7"/>
    <w:rsid w:val="0084644B"/>
    <w:rsid w:val="00850BD6"/>
    <w:rsid w:val="008663E3"/>
    <w:rsid w:val="00866900"/>
    <w:rsid w:val="00870336"/>
    <w:rsid w:val="008710F3"/>
    <w:rsid w:val="00872BF7"/>
    <w:rsid w:val="0087300D"/>
    <w:rsid w:val="00877242"/>
    <w:rsid w:val="00881BA1"/>
    <w:rsid w:val="008820D0"/>
    <w:rsid w:val="0088403A"/>
    <w:rsid w:val="00885329"/>
    <w:rsid w:val="008A05F5"/>
    <w:rsid w:val="008A0A55"/>
    <w:rsid w:val="008A61EA"/>
    <w:rsid w:val="008B1C94"/>
    <w:rsid w:val="008C26B8"/>
    <w:rsid w:val="008F1CFE"/>
    <w:rsid w:val="008F39FA"/>
    <w:rsid w:val="00915429"/>
    <w:rsid w:val="00915592"/>
    <w:rsid w:val="009155E4"/>
    <w:rsid w:val="00915C9B"/>
    <w:rsid w:val="00917513"/>
    <w:rsid w:val="00917FF3"/>
    <w:rsid w:val="0092129B"/>
    <w:rsid w:val="009252B8"/>
    <w:rsid w:val="009273EC"/>
    <w:rsid w:val="00932E45"/>
    <w:rsid w:val="00937C61"/>
    <w:rsid w:val="009662CC"/>
    <w:rsid w:val="00976D71"/>
    <w:rsid w:val="00982084"/>
    <w:rsid w:val="00983326"/>
    <w:rsid w:val="00991A72"/>
    <w:rsid w:val="00994183"/>
    <w:rsid w:val="00995963"/>
    <w:rsid w:val="009B61EB"/>
    <w:rsid w:val="009B6449"/>
    <w:rsid w:val="009C2064"/>
    <w:rsid w:val="009C3AE3"/>
    <w:rsid w:val="009C52A8"/>
    <w:rsid w:val="009D1697"/>
    <w:rsid w:val="009D59C0"/>
    <w:rsid w:val="009E0E1E"/>
    <w:rsid w:val="009F17F4"/>
    <w:rsid w:val="00A014F8"/>
    <w:rsid w:val="00A05E8D"/>
    <w:rsid w:val="00A11DBB"/>
    <w:rsid w:val="00A11DCA"/>
    <w:rsid w:val="00A14C49"/>
    <w:rsid w:val="00A2576E"/>
    <w:rsid w:val="00A35F1E"/>
    <w:rsid w:val="00A5173C"/>
    <w:rsid w:val="00A5354B"/>
    <w:rsid w:val="00A56843"/>
    <w:rsid w:val="00A61AEF"/>
    <w:rsid w:val="00A7146D"/>
    <w:rsid w:val="00AB0E22"/>
    <w:rsid w:val="00AB0F5F"/>
    <w:rsid w:val="00AB0FFD"/>
    <w:rsid w:val="00AB19E4"/>
    <w:rsid w:val="00AB2341"/>
    <w:rsid w:val="00AB6C43"/>
    <w:rsid w:val="00AC7D35"/>
    <w:rsid w:val="00AD7192"/>
    <w:rsid w:val="00AE0BD3"/>
    <w:rsid w:val="00AE2DC6"/>
    <w:rsid w:val="00AE2E00"/>
    <w:rsid w:val="00AE363E"/>
    <w:rsid w:val="00AE7E13"/>
    <w:rsid w:val="00AF173A"/>
    <w:rsid w:val="00AF2BF0"/>
    <w:rsid w:val="00AF47A3"/>
    <w:rsid w:val="00B066A4"/>
    <w:rsid w:val="00B07A13"/>
    <w:rsid w:val="00B143E2"/>
    <w:rsid w:val="00B175DE"/>
    <w:rsid w:val="00B22859"/>
    <w:rsid w:val="00B4109B"/>
    <w:rsid w:val="00B4279B"/>
    <w:rsid w:val="00B45FC9"/>
    <w:rsid w:val="00B51487"/>
    <w:rsid w:val="00B51CC8"/>
    <w:rsid w:val="00B61283"/>
    <w:rsid w:val="00B73CBA"/>
    <w:rsid w:val="00B776BF"/>
    <w:rsid w:val="00B83461"/>
    <w:rsid w:val="00B854E3"/>
    <w:rsid w:val="00B94DE5"/>
    <w:rsid w:val="00BA1944"/>
    <w:rsid w:val="00BA4DAE"/>
    <w:rsid w:val="00BB1D6D"/>
    <w:rsid w:val="00BB7232"/>
    <w:rsid w:val="00BC1330"/>
    <w:rsid w:val="00BC7CCF"/>
    <w:rsid w:val="00BD3B80"/>
    <w:rsid w:val="00BD5411"/>
    <w:rsid w:val="00BE319C"/>
    <w:rsid w:val="00BE470B"/>
    <w:rsid w:val="00BF59A4"/>
    <w:rsid w:val="00C041E7"/>
    <w:rsid w:val="00C07E56"/>
    <w:rsid w:val="00C2515C"/>
    <w:rsid w:val="00C31DDB"/>
    <w:rsid w:val="00C57A91"/>
    <w:rsid w:val="00C62820"/>
    <w:rsid w:val="00C6344E"/>
    <w:rsid w:val="00C63FC0"/>
    <w:rsid w:val="00C71357"/>
    <w:rsid w:val="00C80706"/>
    <w:rsid w:val="00C90008"/>
    <w:rsid w:val="00C906A2"/>
    <w:rsid w:val="00CA5F8E"/>
    <w:rsid w:val="00CB6982"/>
    <w:rsid w:val="00CC01C2"/>
    <w:rsid w:val="00CC3FC7"/>
    <w:rsid w:val="00CD63EC"/>
    <w:rsid w:val="00CD75C0"/>
    <w:rsid w:val="00CD7F8B"/>
    <w:rsid w:val="00CF21F2"/>
    <w:rsid w:val="00D02712"/>
    <w:rsid w:val="00D06F98"/>
    <w:rsid w:val="00D13633"/>
    <w:rsid w:val="00D20D71"/>
    <w:rsid w:val="00D214D0"/>
    <w:rsid w:val="00D2180F"/>
    <w:rsid w:val="00D23BED"/>
    <w:rsid w:val="00D3291C"/>
    <w:rsid w:val="00D339D4"/>
    <w:rsid w:val="00D6546B"/>
    <w:rsid w:val="00D72604"/>
    <w:rsid w:val="00D72B7F"/>
    <w:rsid w:val="00D76AE1"/>
    <w:rsid w:val="00D86DE3"/>
    <w:rsid w:val="00D9649A"/>
    <w:rsid w:val="00D9652D"/>
    <w:rsid w:val="00D9798B"/>
    <w:rsid w:val="00D97C31"/>
    <w:rsid w:val="00DB79F7"/>
    <w:rsid w:val="00DC1CAB"/>
    <w:rsid w:val="00DC5A2D"/>
    <w:rsid w:val="00DD4BED"/>
    <w:rsid w:val="00DE069B"/>
    <w:rsid w:val="00DE39F0"/>
    <w:rsid w:val="00DF0AF3"/>
    <w:rsid w:val="00DF694B"/>
    <w:rsid w:val="00DF74BB"/>
    <w:rsid w:val="00E059B5"/>
    <w:rsid w:val="00E0600D"/>
    <w:rsid w:val="00E0695A"/>
    <w:rsid w:val="00E175D0"/>
    <w:rsid w:val="00E27D7E"/>
    <w:rsid w:val="00E305FC"/>
    <w:rsid w:val="00E34935"/>
    <w:rsid w:val="00E34D68"/>
    <w:rsid w:val="00E42E13"/>
    <w:rsid w:val="00E53BC0"/>
    <w:rsid w:val="00E6257C"/>
    <w:rsid w:val="00E63C59"/>
    <w:rsid w:val="00E8290E"/>
    <w:rsid w:val="00E8760A"/>
    <w:rsid w:val="00E95BDE"/>
    <w:rsid w:val="00EA15B1"/>
    <w:rsid w:val="00EA7544"/>
    <w:rsid w:val="00EB0FD4"/>
    <w:rsid w:val="00EC2D81"/>
    <w:rsid w:val="00ED1F02"/>
    <w:rsid w:val="00EE549D"/>
    <w:rsid w:val="00EF0A61"/>
    <w:rsid w:val="00EF335B"/>
    <w:rsid w:val="00EF576E"/>
    <w:rsid w:val="00F01D97"/>
    <w:rsid w:val="00F435A4"/>
    <w:rsid w:val="00F43EEB"/>
    <w:rsid w:val="00F45EDA"/>
    <w:rsid w:val="00F46C8A"/>
    <w:rsid w:val="00F47820"/>
    <w:rsid w:val="00F5169C"/>
    <w:rsid w:val="00F5419D"/>
    <w:rsid w:val="00F54EF2"/>
    <w:rsid w:val="00F75767"/>
    <w:rsid w:val="00F7771A"/>
    <w:rsid w:val="00F8448B"/>
    <w:rsid w:val="00F86DAB"/>
    <w:rsid w:val="00F91B8D"/>
    <w:rsid w:val="00FA124A"/>
    <w:rsid w:val="00FB1C69"/>
    <w:rsid w:val="00FB351E"/>
    <w:rsid w:val="00FC08DD"/>
    <w:rsid w:val="00FC2316"/>
    <w:rsid w:val="00FC2CFD"/>
    <w:rsid w:val="00FC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334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03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E63C59"/>
    <w:pPr>
      <w:ind w:left="1871" w:hanging="737"/>
    </w:pPr>
  </w:style>
  <w:style w:type="paragraph" w:customStyle="1" w:styleId="enumlev3">
    <w:name w:val="enumlev3"/>
    <w:basedOn w:val="enumlev2"/>
    <w:rsid w:val="00E63C59"/>
    <w:pPr>
      <w:ind w:left="2268" w:hanging="397"/>
    </w:pPr>
  </w:style>
  <w:style w:type="paragraph" w:customStyle="1" w:styleId="Equation">
    <w:name w:val="Equation"/>
    <w:basedOn w:val="Normal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9273EC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E63C59"/>
    <w:rPr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E63C59"/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E63C5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3C59"/>
  </w:style>
  <w:style w:type="character" w:customStyle="1" w:styleId="Artdef">
    <w:name w:val="Art_def"/>
    <w:basedOn w:val="DefaultParagraphFont"/>
    <w:rsid w:val="00E63C5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E63C59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clear" w:pos="1134"/>
        <w:tab w:val="clear" w:pos="1871"/>
        <w:tab w:val="clear" w:pos="2268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table" w:customStyle="1" w:styleId="TableGridLight1">
    <w:name w:val="Table Grid Light1"/>
    <w:basedOn w:val="TableNormal"/>
    <w:uiPriority w:val="40"/>
    <w:rsid w:val="00344BE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semiHidden/>
    <w:unhideWhenUsed/>
    <w:rsid w:val="00A05E8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05E8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05E8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E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E8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BE319C"/>
    <w:rPr>
      <w:rFonts w:asciiTheme="minorHAnsi" w:hAnsiTheme="minorHAnsi"/>
      <w:sz w:val="24"/>
      <w:lang w:val="en-GB" w:eastAsia="en-US"/>
    </w:rPr>
  </w:style>
  <w:style w:type="table" w:customStyle="1" w:styleId="TableGrid1">
    <w:name w:val="Table Grid1"/>
    <w:basedOn w:val="TableNormal"/>
    <w:next w:val="TableGrid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C31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BE3"/>
    <w:pPr>
      <w:ind w:left="720"/>
      <w:contextualSpacing/>
    </w:pPr>
  </w:style>
  <w:style w:type="paragraph" w:customStyle="1" w:styleId="Default">
    <w:name w:val="Default"/>
    <w:rsid w:val="00A14C49"/>
    <w:pPr>
      <w:autoSpaceDE w:val="0"/>
      <w:autoSpaceDN w:val="0"/>
      <w:adjustRightInd w:val="0"/>
    </w:pPr>
    <w:rPr>
      <w:rFonts w:ascii="Georgia" w:eastAsiaTheme="minorEastAsia" w:hAnsi="Georgia" w:cs="Georgia"/>
      <w:color w:val="000000"/>
      <w:sz w:val="24"/>
      <w:szCs w:val="24"/>
      <w:lang w:val="en-IN" w:eastAsia="en-IN"/>
    </w:rPr>
  </w:style>
  <w:style w:type="table" w:customStyle="1" w:styleId="LightShading1">
    <w:name w:val="Light Shading1"/>
    <w:basedOn w:val="TableNormal"/>
    <w:uiPriority w:val="60"/>
    <w:rsid w:val="00A14C49"/>
    <w:rPr>
      <w:rFonts w:asciiTheme="minorHAnsi" w:eastAsiaTheme="minorEastAsia" w:hAnsiTheme="minorHAnsi" w:cstheme="minorBidi"/>
      <w:color w:val="000000" w:themeColor="text1" w:themeShade="BF"/>
      <w:sz w:val="22"/>
      <w:szCs w:val="22"/>
      <w:lang w:val="en-IN" w:eastAsia="en-IN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plist">
    <w:name w:val="plist"/>
    <w:basedOn w:val="Normal"/>
    <w:rsid w:val="00A14C49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after="100" w:line="220" w:lineRule="atLeast"/>
      <w:ind w:left="100" w:right="100"/>
      <w:textAlignment w:val="auto"/>
    </w:pPr>
    <w:rPr>
      <w:rFonts w:ascii="Verdana" w:hAnsi="Verdana"/>
      <w:color w:val="000000"/>
      <w:sz w:val="18"/>
      <w:szCs w:val="18"/>
      <w:lang w:val="en-US"/>
    </w:rPr>
  </w:style>
  <w:style w:type="character" w:customStyle="1" w:styleId="xbe">
    <w:name w:val="_xbe"/>
    <w:basedOn w:val="DefaultParagraphFont"/>
    <w:rsid w:val="000A3261"/>
  </w:style>
  <w:style w:type="paragraph" w:customStyle="1" w:styleId="m-2848596977394494507gmail-m-6398971901515787245gmail-msolistparagraph">
    <w:name w:val="m_-2848596977394494507gmail-m-6398971901515787245gmail-msolistparagraph"/>
    <w:basedOn w:val="Normal"/>
    <w:rsid w:val="00AE7E1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6914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869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3932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705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8955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38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otweek.org/iot-week-2018-programm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otweek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tweek.org/registration-201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ragima\AppData\Roaming\Microsoft\Templates\TSB%20DOC\WORKSHOP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841F8-2DC1-49D7-B83D-48119582E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WORKSHOP-E.dotx</Template>
  <TotalTime>5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Ibragimova, Malika</dc:creator>
  <cp:lastModifiedBy>Meshkurti, Ana Maria</cp:lastModifiedBy>
  <cp:revision>10</cp:revision>
  <cp:lastPrinted>2018-05-04T12:58:00Z</cp:lastPrinted>
  <dcterms:created xsi:type="dcterms:W3CDTF">2018-05-04T12:56:00Z</dcterms:created>
  <dcterms:modified xsi:type="dcterms:W3CDTF">2018-05-05T07:13:00Z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