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BE0A9C" w:rsidTr="00B80E33">
        <w:trPr>
          <w:cantSplit/>
        </w:trPr>
        <w:tc>
          <w:tcPr>
            <w:tcW w:w="1418" w:type="dxa"/>
            <w:vAlign w:val="center"/>
          </w:tcPr>
          <w:p w:rsidR="00884D12" w:rsidRPr="00BE0A9C" w:rsidRDefault="00884D12" w:rsidP="00701574">
            <w:pPr>
              <w:tabs>
                <w:tab w:val="right" w:pos="8732"/>
              </w:tabs>
              <w:spacing w:before="0"/>
              <w:rPr>
                <w:b/>
                <w:bCs/>
                <w:iCs/>
                <w:color w:val="FFFFFF"/>
                <w:sz w:val="30"/>
                <w:szCs w:val="30"/>
              </w:rPr>
            </w:pPr>
            <w:r w:rsidRPr="00BE0A9C">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BE0A9C" w:rsidRDefault="00884D12" w:rsidP="00701574">
            <w:pPr>
              <w:spacing w:before="0"/>
              <w:rPr>
                <w:rFonts w:cs="Times New Roman Bold"/>
                <w:b/>
                <w:bCs/>
                <w:smallCaps/>
                <w:sz w:val="26"/>
                <w:szCs w:val="26"/>
              </w:rPr>
            </w:pPr>
            <w:r w:rsidRPr="00BE0A9C">
              <w:rPr>
                <w:rFonts w:cs="Times New Roman Bold"/>
                <w:b/>
                <w:bCs/>
                <w:smallCaps/>
                <w:sz w:val="36"/>
                <w:szCs w:val="36"/>
              </w:rPr>
              <w:t>Unión Internacional de Telecomunicaciones</w:t>
            </w:r>
          </w:p>
          <w:p w:rsidR="00884D12" w:rsidRPr="00BE0A9C" w:rsidRDefault="00884D12" w:rsidP="00701574">
            <w:pPr>
              <w:tabs>
                <w:tab w:val="right" w:pos="8732"/>
              </w:tabs>
              <w:spacing w:before="0"/>
              <w:rPr>
                <w:b/>
                <w:bCs/>
                <w:iCs/>
                <w:color w:val="FFFFFF"/>
                <w:sz w:val="30"/>
                <w:szCs w:val="30"/>
              </w:rPr>
            </w:pPr>
            <w:r w:rsidRPr="00BE0A9C">
              <w:rPr>
                <w:rFonts w:cs="Times New Roman Bold"/>
                <w:b/>
                <w:bCs/>
                <w:iCs/>
                <w:smallCaps/>
                <w:sz w:val="28"/>
                <w:szCs w:val="28"/>
              </w:rPr>
              <w:t>Oficina de Normalización de las Telecomunicaciones</w:t>
            </w:r>
          </w:p>
        </w:tc>
        <w:tc>
          <w:tcPr>
            <w:tcW w:w="1984" w:type="dxa"/>
            <w:vAlign w:val="center"/>
          </w:tcPr>
          <w:p w:rsidR="00884D12" w:rsidRPr="00BE0A9C" w:rsidRDefault="00884D12" w:rsidP="00701574">
            <w:pPr>
              <w:spacing w:before="0"/>
              <w:jc w:val="right"/>
              <w:rPr>
                <w:color w:val="FFFFFF"/>
                <w:sz w:val="26"/>
                <w:szCs w:val="26"/>
              </w:rPr>
            </w:pPr>
          </w:p>
        </w:tc>
      </w:tr>
    </w:tbl>
    <w:p w:rsidR="00C34772" w:rsidRPr="00BE0A9C" w:rsidRDefault="00C34772" w:rsidP="00701574">
      <w:pPr>
        <w:tabs>
          <w:tab w:val="clear" w:pos="794"/>
          <w:tab w:val="clear" w:pos="1191"/>
          <w:tab w:val="clear" w:pos="1588"/>
          <w:tab w:val="clear" w:pos="1985"/>
          <w:tab w:val="left" w:pos="4962"/>
        </w:tabs>
      </w:pPr>
    </w:p>
    <w:p w:rsidR="00C34772" w:rsidRPr="00BE0A9C" w:rsidRDefault="00C34772" w:rsidP="00275D74">
      <w:pPr>
        <w:tabs>
          <w:tab w:val="clear" w:pos="794"/>
          <w:tab w:val="clear" w:pos="1191"/>
          <w:tab w:val="clear" w:pos="1588"/>
          <w:tab w:val="clear" w:pos="1985"/>
          <w:tab w:val="left" w:pos="4962"/>
        </w:tabs>
      </w:pPr>
      <w:r w:rsidRPr="00BE0A9C">
        <w:tab/>
        <w:t xml:space="preserve">Ginebra, </w:t>
      </w:r>
      <w:r w:rsidR="00275D74" w:rsidRPr="00BE0A9C">
        <w:t>12</w:t>
      </w:r>
      <w:r w:rsidR="007D4290" w:rsidRPr="00BE0A9C">
        <w:t xml:space="preserve"> de </w:t>
      </w:r>
      <w:r w:rsidR="00275D74" w:rsidRPr="00BE0A9C">
        <w:t>abril</w:t>
      </w:r>
      <w:r w:rsidR="0094637C" w:rsidRPr="00BE0A9C">
        <w:t xml:space="preserve"> de 201</w:t>
      </w:r>
      <w:r w:rsidR="00E52775" w:rsidRPr="00BE0A9C">
        <w:t>8</w:t>
      </w:r>
    </w:p>
    <w:p w:rsidR="00C34772" w:rsidRPr="00BE0A9C" w:rsidRDefault="00C34772" w:rsidP="00701574">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BE0A9C" w:rsidTr="008A5CFA">
        <w:trPr>
          <w:cantSplit/>
          <w:trHeight w:val="340"/>
        </w:trPr>
        <w:tc>
          <w:tcPr>
            <w:tcW w:w="1182" w:type="dxa"/>
          </w:tcPr>
          <w:p w:rsidR="00CC5ACE" w:rsidRPr="00CB33EF" w:rsidRDefault="00CC5ACE" w:rsidP="003B7220">
            <w:pPr>
              <w:tabs>
                <w:tab w:val="left" w:pos="4111"/>
              </w:tabs>
              <w:spacing w:before="40" w:after="40"/>
              <w:ind w:left="57"/>
              <w:rPr>
                <w:b/>
                <w:bCs/>
                <w:szCs w:val="24"/>
              </w:rPr>
            </w:pPr>
            <w:r w:rsidRPr="00CB33EF">
              <w:rPr>
                <w:b/>
                <w:bCs/>
                <w:szCs w:val="24"/>
              </w:rPr>
              <w:t>Ref.:</w:t>
            </w:r>
          </w:p>
        </w:tc>
        <w:tc>
          <w:tcPr>
            <w:tcW w:w="3695" w:type="dxa"/>
          </w:tcPr>
          <w:p w:rsidR="00CC5ACE" w:rsidRPr="00BE0A9C" w:rsidRDefault="00CC5ACE" w:rsidP="00275D74">
            <w:pPr>
              <w:tabs>
                <w:tab w:val="left" w:pos="4111"/>
              </w:tabs>
              <w:spacing w:before="0"/>
              <w:ind w:left="57"/>
              <w:rPr>
                <w:b/>
              </w:rPr>
            </w:pPr>
            <w:r w:rsidRPr="00BE0A9C">
              <w:rPr>
                <w:b/>
              </w:rPr>
              <w:t xml:space="preserve">Circular TSB </w:t>
            </w:r>
            <w:r w:rsidR="00E52775" w:rsidRPr="00BE0A9C">
              <w:rPr>
                <w:b/>
              </w:rPr>
              <w:t>8</w:t>
            </w:r>
            <w:r w:rsidR="00275D74" w:rsidRPr="00BE0A9C">
              <w:rPr>
                <w:b/>
              </w:rPr>
              <w:t>6</w:t>
            </w:r>
          </w:p>
          <w:p w:rsidR="00CC5ACE" w:rsidRPr="00BE0A9C" w:rsidRDefault="00A712C9" w:rsidP="00807BDC">
            <w:pPr>
              <w:tabs>
                <w:tab w:val="left" w:pos="4111"/>
              </w:tabs>
              <w:spacing w:before="0"/>
              <w:ind w:left="57"/>
              <w:rPr>
                <w:b/>
              </w:rPr>
            </w:pPr>
            <w:r w:rsidRPr="00BE0A9C">
              <w:rPr>
                <w:szCs w:val="24"/>
              </w:rPr>
              <w:t>CE </w:t>
            </w:r>
            <w:r w:rsidR="00275D74" w:rsidRPr="00BE0A9C">
              <w:rPr>
                <w:szCs w:val="24"/>
              </w:rPr>
              <w:t>17/XY</w:t>
            </w:r>
          </w:p>
        </w:tc>
        <w:tc>
          <w:tcPr>
            <w:tcW w:w="5329" w:type="dxa"/>
            <w:vMerge w:val="restart"/>
          </w:tcPr>
          <w:p w:rsidR="002836A3" w:rsidRPr="00BE0A9C" w:rsidRDefault="00066573" w:rsidP="00275D74">
            <w:pPr>
              <w:tabs>
                <w:tab w:val="clear" w:pos="794"/>
                <w:tab w:val="clear" w:pos="1191"/>
                <w:tab w:val="clear" w:pos="1588"/>
                <w:tab w:val="clear" w:pos="1985"/>
                <w:tab w:val="left" w:pos="284"/>
              </w:tabs>
              <w:spacing w:before="0"/>
              <w:ind w:left="284" w:hanging="227"/>
            </w:pPr>
            <w:bookmarkStart w:id="0" w:name="Addressee_S"/>
            <w:bookmarkEnd w:id="0"/>
            <w:r w:rsidRPr="00BE0A9C">
              <w:t>–</w:t>
            </w:r>
            <w:r w:rsidRPr="00BE0A9C">
              <w:tab/>
              <w:t>A las Administraciones de lo</w:t>
            </w:r>
            <w:r w:rsidR="00275D74" w:rsidRPr="00BE0A9C">
              <w:t xml:space="preserve">s Estados Miembros </w:t>
            </w:r>
            <w:r w:rsidR="00275D74" w:rsidRPr="00BE0A9C">
              <w:br/>
              <w:t>de la Unión</w:t>
            </w:r>
          </w:p>
        </w:tc>
      </w:tr>
      <w:tr w:rsidR="00CC5ACE" w:rsidRPr="00BE0A9C" w:rsidTr="008A5CFA">
        <w:trPr>
          <w:cantSplit/>
          <w:trHeight w:val="340"/>
        </w:trPr>
        <w:tc>
          <w:tcPr>
            <w:tcW w:w="1182" w:type="dxa"/>
          </w:tcPr>
          <w:p w:rsidR="00CC5ACE" w:rsidRPr="00CB33EF" w:rsidRDefault="00CC5ACE" w:rsidP="003B7220">
            <w:pPr>
              <w:tabs>
                <w:tab w:val="left" w:pos="4111"/>
              </w:tabs>
              <w:spacing w:before="40" w:after="40"/>
              <w:ind w:left="57"/>
              <w:rPr>
                <w:b/>
                <w:bCs/>
                <w:szCs w:val="24"/>
              </w:rPr>
            </w:pPr>
            <w:r w:rsidRPr="00CB33EF">
              <w:rPr>
                <w:b/>
                <w:bCs/>
                <w:szCs w:val="24"/>
              </w:rPr>
              <w:t>Tel.:</w:t>
            </w:r>
          </w:p>
        </w:tc>
        <w:tc>
          <w:tcPr>
            <w:tcW w:w="3695" w:type="dxa"/>
          </w:tcPr>
          <w:p w:rsidR="00CC5ACE" w:rsidRPr="00BE0A9C" w:rsidRDefault="00275D74" w:rsidP="003B7220">
            <w:pPr>
              <w:tabs>
                <w:tab w:val="left" w:pos="4111"/>
              </w:tabs>
              <w:spacing w:before="40" w:after="40"/>
              <w:ind w:left="57"/>
              <w:rPr>
                <w:b/>
              </w:rPr>
            </w:pPr>
            <w:r w:rsidRPr="00BE0A9C">
              <w:t>+41 22 730 6206</w:t>
            </w:r>
          </w:p>
        </w:tc>
        <w:tc>
          <w:tcPr>
            <w:tcW w:w="5329" w:type="dxa"/>
            <w:vMerge/>
          </w:tcPr>
          <w:p w:rsidR="00CC5ACE" w:rsidRPr="00BE0A9C" w:rsidRDefault="00CC5ACE" w:rsidP="00701574">
            <w:pPr>
              <w:tabs>
                <w:tab w:val="clear" w:pos="794"/>
                <w:tab w:val="clear" w:pos="1191"/>
                <w:tab w:val="clear" w:pos="1588"/>
                <w:tab w:val="clear" w:pos="1985"/>
                <w:tab w:val="left" w:pos="284"/>
              </w:tabs>
              <w:spacing w:before="0"/>
              <w:ind w:left="284" w:hanging="227"/>
            </w:pPr>
          </w:p>
        </w:tc>
      </w:tr>
      <w:tr w:rsidR="00CC5ACE" w:rsidRPr="00BE0A9C" w:rsidTr="008A5CFA">
        <w:trPr>
          <w:cantSplit/>
          <w:trHeight w:val="340"/>
        </w:trPr>
        <w:tc>
          <w:tcPr>
            <w:tcW w:w="1182" w:type="dxa"/>
          </w:tcPr>
          <w:p w:rsidR="00CC5ACE" w:rsidRPr="00CB33EF" w:rsidRDefault="00CC5ACE" w:rsidP="003B7220">
            <w:pPr>
              <w:tabs>
                <w:tab w:val="left" w:pos="4111"/>
              </w:tabs>
              <w:spacing w:before="40" w:after="40"/>
              <w:ind w:left="57"/>
              <w:rPr>
                <w:b/>
                <w:bCs/>
                <w:szCs w:val="24"/>
              </w:rPr>
            </w:pPr>
            <w:r w:rsidRPr="00CB33EF">
              <w:rPr>
                <w:b/>
                <w:bCs/>
                <w:szCs w:val="24"/>
              </w:rPr>
              <w:t>Fax:</w:t>
            </w:r>
          </w:p>
        </w:tc>
        <w:tc>
          <w:tcPr>
            <w:tcW w:w="3695" w:type="dxa"/>
          </w:tcPr>
          <w:p w:rsidR="00CC5ACE" w:rsidRPr="00BE0A9C" w:rsidRDefault="00CC5ACE" w:rsidP="003B7220">
            <w:pPr>
              <w:tabs>
                <w:tab w:val="left" w:pos="4111"/>
              </w:tabs>
              <w:spacing w:before="40" w:after="40"/>
              <w:ind w:left="57"/>
              <w:rPr>
                <w:b/>
              </w:rPr>
            </w:pPr>
            <w:r w:rsidRPr="00BE0A9C">
              <w:t>+41 22 730 5853</w:t>
            </w:r>
          </w:p>
        </w:tc>
        <w:tc>
          <w:tcPr>
            <w:tcW w:w="5329" w:type="dxa"/>
            <w:vMerge/>
          </w:tcPr>
          <w:p w:rsidR="00CC5ACE" w:rsidRPr="00BE0A9C" w:rsidRDefault="00CC5ACE" w:rsidP="00701574">
            <w:pPr>
              <w:tabs>
                <w:tab w:val="clear" w:pos="794"/>
                <w:tab w:val="clear" w:pos="1191"/>
                <w:tab w:val="clear" w:pos="1588"/>
                <w:tab w:val="clear" w:pos="1985"/>
                <w:tab w:val="left" w:pos="284"/>
              </w:tabs>
              <w:spacing w:before="0"/>
              <w:ind w:left="284" w:hanging="227"/>
            </w:pPr>
          </w:p>
        </w:tc>
      </w:tr>
      <w:tr w:rsidR="00C34772" w:rsidRPr="00BE0A9C" w:rsidTr="008A5CFA">
        <w:trPr>
          <w:cantSplit/>
        </w:trPr>
        <w:tc>
          <w:tcPr>
            <w:tcW w:w="1182" w:type="dxa"/>
          </w:tcPr>
          <w:p w:rsidR="00C34772" w:rsidRPr="00CB33EF" w:rsidRDefault="00C34772" w:rsidP="003B7220">
            <w:pPr>
              <w:tabs>
                <w:tab w:val="left" w:pos="4111"/>
              </w:tabs>
              <w:spacing w:before="40" w:after="40"/>
              <w:ind w:left="57"/>
              <w:rPr>
                <w:b/>
                <w:bCs/>
                <w:szCs w:val="24"/>
              </w:rPr>
            </w:pPr>
            <w:r w:rsidRPr="00CB33EF">
              <w:rPr>
                <w:b/>
                <w:bCs/>
                <w:szCs w:val="24"/>
              </w:rPr>
              <w:t>Correo-e:</w:t>
            </w:r>
          </w:p>
        </w:tc>
        <w:tc>
          <w:tcPr>
            <w:tcW w:w="3695" w:type="dxa"/>
          </w:tcPr>
          <w:p w:rsidR="00C34772" w:rsidRPr="00BE0A9C" w:rsidRDefault="00B4017E" w:rsidP="003B7220">
            <w:pPr>
              <w:tabs>
                <w:tab w:val="left" w:pos="4111"/>
              </w:tabs>
              <w:spacing w:before="40" w:after="40"/>
              <w:ind w:left="57"/>
            </w:pPr>
            <w:hyperlink r:id="rId9" w:history="1">
              <w:r w:rsidR="00275D74" w:rsidRPr="00BE0A9C">
                <w:rPr>
                  <w:rStyle w:val="Hyperlink"/>
                  <w:szCs w:val="24"/>
                </w:rPr>
                <w:t>tsbsg17@itu.int</w:t>
              </w:r>
            </w:hyperlink>
          </w:p>
        </w:tc>
        <w:tc>
          <w:tcPr>
            <w:tcW w:w="5329" w:type="dxa"/>
          </w:tcPr>
          <w:p w:rsidR="00C34772" w:rsidRPr="00BE0A9C" w:rsidRDefault="00C34772" w:rsidP="003B7220">
            <w:pPr>
              <w:tabs>
                <w:tab w:val="left" w:pos="4111"/>
              </w:tabs>
              <w:spacing w:before="40" w:after="40"/>
              <w:ind w:left="57"/>
            </w:pPr>
            <w:r w:rsidRPr="00BE0A9C">
              <w:rPr>
                <w:b/>
              </w:rPr>
              <w:t>Copia</w:t>
            </w:r>
            <w:r w:rsidRPr="00BE0A9C">
              <w:t>:</w:t>
            </w:r>
          </w:p>
          <w:p w:rsidR="00275D74" w:rsidRPr="00BE0A9C" w:rsidRDefault="00275D74" w:rsidP="00275D74">
            <w:pPr>
              <w:tabs>
                <w:tab w:val="clear" w:pos="794"/>
                <w:tab w:val="clear" w:pos="1191"/>
                <w:tab w:val="clear" w:pos="1588"/>
                <w:tab w:val="clear" w:pos="1985"/>
                <w:tab w:val="left" w:pos="284"/>
              </w:tabs>
              <w:spacing w:before="0"/>
              <w:ind w:left="284" w:hanging="227"/>
            </w:pPr>
            <w:r w:rsidRPr="00BE0A9C">
              <w:t>–</w:t>
            </w:r>
            <w:r w:rsidRPr="00BE0A9C">
              <w:tab/>
              <w:t>A los Miembros de Sector del UIT-T;</w:t>
            </w:r>
          </w:p>
          <w:p w:rsidR="00275D74" w:rsidRPr="00BE0A9C" w:rsidRDefault="00275D74" w:rsidP="00275D74">
            <w:pPr>
              <w:tabs>
                <w:tab w:val="clear" w:pos="794"/>
                <w:tab w:val="clear" w:pos="1191"/>
                <w:tab w:val="clear" w:pos="1588"/>
                <w:tab w:val="clear" w:pos="1985"/>
                <w:tab w:val="left" w:pos="284"/>
              </w:tabs>
              <w:spacing w:before="0"/>
              <w:ind w:left="284" w:hanging="227"/>
            </w:pPr>
            <w:r w:rsidRPr="00BE0A9C">
              <w:t>–</w:t>
            </w:r>
            <w:r w:rsidRPr="00BE0A9C">
              <w:tab/>
            </w:r>
            <w:r w:rsidR="00287FF5" w:rsidRPr="00BE0A9C">
              <w:rPr>
                <w:szCs w:val="24"/>
              </w:rPr>
              <w:t>A los Asociados de la Comisión de Estudio 17 del UIT-T</w:t>
            </w:r>
            <w:r w:rsidRPr="00BE0A9C">
              <w:t>;</w:t>
            </w:r>
          </w:p>
          <w:p w:rsidR="00275D74" w:rsidRPr="00BE0A9C" w:rsidRDefault="00275D74" w:rsidP="00275D74">
            <w:pPr>
              <w:tabs>
                <w:tab w:val="clear" w:pos="794"/>
                <w:tab w:val="clear" w:pos="1191"/>
                <w:tab w:val="clear" w:pos="1588"/>
                <w:tab w:val="clear" w:pos="1985"/>
                <w:tab w:val="left" w:pos="284"/>
              </w:tabs>
              <w:spacing w:before="0"/>
              <w:ind w:left="284" w:hanging="227"/>
            </w:pPr>
            <w:r w:rsidRPr="00BE0A9C">
              <w:t>–</w:t>
            </w:r>
            <w:r w:rsidRPr="00BE0A9C">
              <w:tab/>
              <w:t>A las Instituciones Académicas de la UIT</w:t>
            </w:r>
            <w:r w:rsidR="00287FF5" w:rsidRPr="00BE0A9C">
              <w:t>;</w:t>
            </w:r>
          </w:p>
          <w:p w:rsidR="00066573" w:rsidRPr="00BE0A9C" w:rsidRDefault="00066573" w:rsidP="00275D74">
            <w:pPr>
              <w:tabs>
                <w:tab w:val="clear" w:pos="794"/>
                <w:tab w:val="clear" w:pos="1191"/>
                <w:tab w:val="clear" w:pos="1588"/>
                <w:tab w:val="clear" w:pos="1985"/>
                <w:tab w:val="left" w:pos="284"/>
              </w:tabs>
              <w:spacing w:before="0"/>
              <w:ind w:left="284" w:hanging="227"/>
            </w:pPr>
            <w:r w:rsidRPr="00BE0A9C">
              <w:t>–</w:t>
            </w:r>
            <w:r w:rsidRPr="00BE0A9C">
              <w:tab/>
            </w:r>
            <w:r w:rsidR="00287FF5" w:rsidRPr="00BE0A9C">
              <w:rPr>
                <w:szCs w:val="24"/>
              </w:rPr>
              <w:t>Al Presidente y a los Vicepresidentes de la Comisión de Estudio 17 del UIT-T</w:t>
            </w:r>
            <w:r w:rsidRPr="00BE0A9C">
              <w:t>;</w:t>
            </w:r>
          </w:p>
          <w:p w:rsidR="00066573" w:rsidRPr="00BE0A9C" w:rsidRDefault="00066573" w:rsidP="00066573">
            <w:pPr>
              <w:tabs>
                <w:tab w:val="clear" w:pos="794"/>
                <w:tab w:val="clear" w:pos="1191"/>
                <w:tab w:val="clear" w:pos="1588"/>
                <w:tab w:val="clear" w:pos="1985"/>
                <w:tab w:val="left" w:pos="284"/>
              </w:tabs>
              <w:spacing w:before="0"/>
              <w:ind w:left="284" w:hanging="227"/>
            </w:pPr>
            <w:r w:rsidRPr="00BE0A9C">
              <w:t>–</w:t>
            </w:r>
            <w:r w:rsidRPr="00BE0A9C">
              <w:tab/>
              <w:t>Al Director de la Oficina de Desarrollo de las Telecomunicaciones;</w:t>
            </w:r>
          </w:p>
          <w:p w:rsidR="00E52775" w:rsidRPr="00BE0A9C" w:rsidRDefault="00066573" w:rsidP="00A60338">
            <w:pPr>
              <w:tabs>
                <w:tab w:val="clear" w:pos="794"/>
                <w:tab w:val="clear" w:pos="1191"/>
                <w:tab w:val="clear" w:pos="1588"/>
                <w:tab w:val="clear" w:pos="1985"/>
                <w:tab w:val="left" w:pos="284"/>
              </w:tabs>
              <w:spacing w:before="40" w:after="40"/>
              <w:ind w:left="284" w:hanging="227"/>
            </w:pPr>
            <w:r w:rsidRPr="00BE0A9C">
              <w:t>–</w:t>
            </w:r>
            <w:r w:rsidRPr="00BE0A9C">
              <w:tab/>
              <w:t>Al Director de la Oficina de Radiocomunicaciones</w:t>
            </w:r>
          </w:p>
        </w:tc>
      </w:tr>
      <w:tr w:rsidR="00CC5ACE" w:rsidRPr="00BE0A9C" w:rsidTr="00B80E33">
        <w:trPr>
          <w:cantSplit/>
        </w:trPr>
        <w:tc>
          <w:tcPr>
            <w:tcW w:w="1182" w:type="dxa"/>
          </w:tcPr>
          <w:p w:rsidR="00CC5ACE" w:rsidRPr="00CB33EF" w:rsidRDefault="00CC5ACE" w:rsidP="0041233F">
            <w:pPr>
              <w:spacing w:before="360" w:after="240"/>
              <w:ind w:left="57"/>
              <w:rPr>
                <w:b/>
                <w:bCs/>
              </w:rPr>
            </w:pPr>
            <w:r w:rsidRPr="00CB33EF">
              <w:rPr>
                <w:b/>
                <w:bCs/>
              </w:rPr>
              <w:t>Asunto:</w:t>
            </w:r>
          </w:p>
        </w:tc>
        <w:tc>
          <w:tcPr>
            <w:tcW w:w="9024" w:type="dxa"/>
            <w:gridSpan w:val="2"/>
          </w:tcPr>
          <w:p w:rsidR="00CC5ACE" w:rsidRPr="00BE0A9C" w:rsidRDefault="00287FF5" w:rsidP="0041233F">
            <w:pPr>
              <w:spacing w:before="360" w:after="240"/>
              <w:ind w:left="57"/>
              <w:rPr>
                <w:b/>
                <w:bCs/>
              </w:rPr>
            </w:pPr>
            <w:r w:rsidRPr="00BE0A9C">
              <w:rPr>
                <w:b/>
                <w:bCs/>
              </w:rPr>
              <w:t>Consulta a los Estados Miembros sobre los proyectos de nueva Recomendación determinada UI</w:t>
            </w:r>
            <w:r w:rsidR="00874476" w:rsidRPr="00BE0A9C">
              <w:rPr>
                <w:b/>
                <w:bCs/>
              </w:rPr>
              <w:t>T-T X.1249 (</w:t>
            </w:r>
            <w:proofErr w:type="spellStart"/>
            <w:r w:rsidR="00874476" w:rsidRPr="00BE0A9C">
              <w:rPr>
                <w:b/>
                <w:bCs/>
              </w:rPr>
              <w:t>X.tfcma</w:t>
            </w:r>
            <w:proofErr w:type="spellEnd"/>
            <w:r w:rsidR="00874476" w:rsidRPr="00BE0A9C">
              <w:rPr>
                <w:b/>
                <w:bCs/>
              </w:rPr>
              <w:t>) y UIT-T X.</w:t>
            </w:r>
            <w:r w:rsidRPr="00BE0A9C">
              <w:rPr>
                <w:b/>
                <w:bCs/>
              </w:rPr>
              <w:t xml:space="preserve">1361 (X.iotsec-2), propuestos para aprobación en la reunión de la Comisión de Estudio 17 </w:t>
            </w:r>
            <w:r w:rsidR="00874476" w:rsidRPr="00BE0A9C">
              <w:rPr>
                <w:b/>
                <w:bCs/>
              </w:rPr>
              <w:br/>
            </w:r>
            <w:r w:rsidRPr="00BE0A9C">
              <w:rPr>
                <w:b/>
                <w:bCs/>
              </w:rPr>
              <w:t>(Ginebra, 29 de agosto-7 de septiembre de 2018)</w:t>
            </w:r>
          </w:p>
        </w:tc>
      </w:tr>
    </w:tbl>
    <w:p w:rsidR="00C34772" w:rsidRPr="00BE0A9C" w:rsidRDefault="003F6326" w:rsidP="0041233F">
      <w:pPr>
        <w:pStyle w:val="Normalaftertitle0"/>
      </w:pPr>
      <w:bookmarkStart w:id="1" w:name="StartTyping_S"/>
      <w:bookmarkStart w:id="2" w:name="suitetext"/>
      <w:bookmarkStart w:id="3" w:name="text"/>
      <w:bookmarkEnd w:id="1"/>
      <w:bookmarkEnd w:id="2"/>
      <w:bookmarkEnd w:id="3"/>
      <w:r w:rsidRPr="00BE0A9C">
        <w:t>Muy Señora mía</w:t>
      </w:r>
      <w:r w:rsidR="0094637C" w:rsidRPr="00BE0A9C">
        <w:t>/</w:t>
      </w:r>
      <w:r w:rsidR="00B80E33" w:rsidRPr="00BE0A9C">
        <w:t>Muy Señor mío</w:t>
      </w:r>
      <w:r w:rsidR="0041233F">
        <w:t>,</w:t>
      </w:r>
    </w:p>
    <w:p w:rsidR="00287FF5" w:rsidRPr="00CB33EF" w:rsidRDefault="00287FF5" w:rsidP="00287FF5">
      <w:pPr>
        <w:rPr>
          <w:spacing w:val="-2"/>
        </w:rPr>
      </w:pPr>
      <w:r w:rsidRPr="00CB33EF">
        <w:rPr>
          <w:spacing w:val="-2"/>
        </w:rPr>
        <w:t>1</w:t>
      </w:r>
      <w:r w:rsidRPr="00CB33EF">
        <w:rPr>
          <w:spacing w:val="-2"/>
        </w:rPr>
        <w:tab/>
        <w:t>La Comisión de Estudio 17 del UIT-T (Seguridad) tiene intención de aplicar el procedimiento de aprobación tradicional descrito en la cláu</w:t>
      </w:r>
      <w:r w:rsidR="00CB33EF" w:rsidRPr="00CB33EF">
        <w:rPr>
          <w:spacing w:val="-2"/>
        </w:rPr>
        <w:t xml:space="preserve">sula 9 de la Resolución 1 (Rev. </w:t>
      </w:r>
      <w:proofErr w:type="spellStart"/>
      <w:r w:rsidRPr="00CB33EF">
        <w:rPr>
          <w:spacing w:val="-2"/>
        </w:rPr>
        <w:t>Hammamet</w:t>
      </w:r>
      <w:proofErr w:type="spellEnd"/>
      <w:r w:rsidRPr="00CB33EF">
        <w:rPr>
          <w:spacing w:val="-2"/>
        </w:rPr>
        <w:t>, 2016) de la AMNT para la aprobación de los citados proyectos de Recomendación UI</w:t>
      </w:r>
      <w:r w:rsidR="00735E0B" w:rsidRPr="00CB33EF">
        <w:rPr>
          <w:spacing w:val="-2"/>
        </w:rPr>
        <w:t>T-T X.1249 (</w:t>
      </w:r>
      <w:proofErr w:type="spellStart"/>
      <w:r w:rsidR="00735E0B" w:rsidRPr="00CB33EF">
        <w:rPr>
          <w:spacing w:val="-2"/>
        </w:rPr>
        <w:t>X.tfcma</w:t>
      </w:r>
      <w:proofErr w:type="spellEnd"/>
      <w:r w:rsidR="00735E0B" w:rsidRPr="00CB33EF">
        <w:rPr>
          <w:spacing w:val="-2"/>
        </w:rPr>
        <w:t>) y UIT-T X.</w:t>
      </w:r>
      <w:r w:rsidRPr="00CB33EF">
        <w:rPr>
          <w:spacing w:val="-2"/>
        </w:rPr>
        <w:t xml:space="preserve">1361 (X.iotsec-2), durante su próxima reunión en Ginebra, del 29 de agosto al 7 de septiembre de 2018. El orden del día y toda la información pertinente sobre la reunión de la Comisión de Estudio 17 del UIT-T </w:t>
      </w:r>
      <w:r w:rsidR="00735E0B" w:rsidRPr="00CB33EF">
        <w:rPr>
          <w:spacing w:val="-2"/>
        </w:rPr>
        <w:t>figurarán en la Carta Colectiva </w:t>
      </w:r>
      <w:r w:rsidRPr="00CB33EF">
        <w:rPr>
          <w:spacing w:val="-2"/>
        </w:rPr>
        <w:t>4/17.</w:t>
      </w:r>
    </w:p>
    <w:p w:rsidR="00287FF5" w:rsidRPr="00BE0A9C" w:rsidRDefault="00287FF5" w:rsidP="00287FF5">
      <w:pPr>
        <w:rPr>
          <w:szCs w:val="24"/>
        </w:rPr>
      </w:pPr>
      <w:r w:rsidRPr="00BE0A9C">
        <w:rPr>
          <w:szCs w:val="24"/>
        </w:rPr>
        <w:t>2</w:t>
      </w:r>
      <w:r w:rsidRPr="00BE0A9C">
        <w:rPr>
          <w:szCs w:val="24"/>
        </w:rPr>
        <w:tab/>
        <w:t xml:space="preserve">El Anexo 1 contiene los títulos y los resúmenes de los proyectos de Recomendación UIT-T </w:t>
      </w:r>
      <w:r w:rsidR="00CA5177" w:rsidRPr="00BE0A9C">
        <w:t>X.1249 (</w:t>
      </w:r>
      <w:proofErr w:type="spellStart"/>
      <w:r w:rsidR="00CA5177" w:rsidRPr="00BE0A9C">
        <w:t>X.tfcma</w:t>
      </w:r>
      <w:proofErr w:type="spellEnd"/>
      <w:r w:rsidR="00CA5177" w:rsidRPr="00BE0A9C">
        <w:t>) y UIT-T X.</w:t>
      </w:r>
      <w:r w:rsidRPr="00BE0A9C">
        <w:t xml:space="preserve">1361 (X.iotsec-2) </w:t>
      </w:r>
      <w:r w:rsidRPr="00BE0A9C">
        <w:rPr>
          <w:szCs w:val="24"/>
        </w:rPr>
        <w:t>propuestos para aprobación, con indicación de los documentos en que figuran.</w:t>
      </w:r>
    </w:p>
    <w:p w:rsidR="00287FF5" w:rsidRPr="00BE0A9C" w:rsidRDefault="00287FF5" w:rsidP="00287FF5">
      <w:pPr>
        <w:rPr>
          <w:szCs w:val="24"/>
        </w:rPr>
      </w:pPr>
      <w:r w:rsidRPr="00BE0A9C">
        <w:rPr>
          <w:szCs w:val="24"/>
        </w:rPr>
        <w:t>3</w:t>
      </w:r>
      <w:r w:rsidRPr="00BE0A9C">
        <w:rPr>
          <w:szCs w:val="24"/>
        </w:rPr>
        <w:tab/>
        <w:t>Con esta Circular se inicia la consulta formal con los Estados Miembros sobre si pueden considerarse las Recomendaciones citadas para aprobación en la próxima reunión, de acuerdo con la cláusula 9.4 de la Resolución 1. Se ruega a los Estados Miembros que completen y devuelvan el formulario del Anexo 2 hasta las 23.59 horas UTC del 17 de agosto de 2018.</w:t>
      </w:r>
    </w:p>
    <w:p w:rsidR="00287FF5" w:rsidRPr="00BE0A9C" w:rsidRDefault="00287FF5" w:rsidP="00287FF5">
      <w:pPr>
        <w:keepNext/>
        <w:keepLines/>
        <w:rPr>
          <w:szCs w:val="24"/>
        </w:rPr>
      </w:pPr>
      <w:r w:rsidRPr="00BE0A9C">
        <w:rPr>
          <w:szCs w:val="24"/>
        </w:rPr>
        <w:lastRenderedPageBreak/>
        <w:t>4</w:t>
      </w:r>
      <w:r w:rsidRPr="00BE0A9C">
        <w:rPr>
          <w:szCs w:val="24"/>
        </w:rPr>
        <w:tab/>
        <w:t>Si el 70% como mínimo de las respuestas de los Estados Miembros están a favor de que se consi</w:t>
      </w:r>
      <w:r w:rsidRPr="00BE0A9C">
        <w:t>d</w:t>
      </w:r>
      <w:r w:rsidRPr="00BE0A9C">
        <w:rPr>
          <w:szCs w:val="24"/>
        </w:rPr>
        <w:t>ere la aprobación de estos proyectos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prosiguieran los trabajos.</w:t>
      </w:r>
    </w:p>
    <w:p w:rsidR="00C34772" w:rsidRPr="00BE0A9C" w:rsidRDefault="0094637C" w:rsidP="00696783">
      <w:r w:rsidRPr="00BE0A9C">
        <w:t>A</w:t>
      </w:r>
      <w:r w:rsidR="00C34772" w:rsidRPr="00BE0A9C">
        <w:t>tentamente</w:t>
      </w:r>
      <w:r w:rsidR="00981644" w:rsidRPr="00BE0A9C">
        <w:t>,</w:t>
      </w:r>
    </w:p>
    <w:p w:rsidR="00231A3B" w:rsidRPr="00BE0A9C" w:rsidRDefault="003B7220" w:rsidP="003B7220">
      <w:pPr>
        <w:spacing w:before="480"/>
        <w:rPr>
          <w:i/>
          <w:iCs/>
        </w:rPr>
      </w:pPr>
      <w:bookmarkStart w:id="4" w:name="_GoBack"/>
      <w:r w:rsidRPr="00BE0A9C">
        <w:rPr>
          <w:i/>
          <w:iCs/>
        </w:rPr>
        <w:t>(</w:t>
      </w:r>
      <w:proofErr w:type="gramStart"/>
      <w:r w:rsidRPr="00BE0A9C">
        <w:rPr>
          <w:i/>
          <w:iCs/>
        </w:rPr>
        <w:t>firmado</w:t>
      </w:r>
      <w:proofErr w:type="gramEnd"/>
      <w:r w:rsidRPr="00BE0A9C">
        <w:rPr>
          <w:i/>
          <w:iCs/>
        </w:rPr>
        <w:t>)</w:t>
      </w:r>
    </w:p>
    <w:bookmarkEnd w:id="4"/>
    <w:p w:rsidR="00C34772" w:rsidRPr="00BE0A9C" w:rsidRDefault="002E496E" w:rsidP="003B7220">
      <w:pPr>
        <w:tabs>
          <w:tab w:val="clear" w:pos="1588"/>
          <w:tab w:val="clear" w:pos="1985"/>
          <w:tab w:val="left" w:pos="7560"/>
        </w:tabs>
        <w:spacing w:before="720"/>
        <w:ind w:right="91"/>
      </w:pPr>
      <w:proofErr w:type="spellStart"/>
      <w:r w:rsidRPr="00BE0A9C">
        <w:t>Chaesub</w:t>
      </w:r>
      <w:proofErr w:type="spellEnd"/>
      <w:r w:rsidRPr="00BE0A9C">
        <w:t xml:space="preserve"> Lee</w:t>
      </w:r>
      <w:r w:rsidR="00C34772" w:rsidRPr="00BE0A9C">
        <w:br/>
        <w:t>Director de la Oficina de</w:t>
      </w:r>
      <w:r w:rsidR="00C34772" w:rsidRPr="00BE0A9C">
        <w:br/>
        <w:t>Normalización de las Telecomunicaciones</w:t>
      </w:r>
    </w:p>
    <w:p w:rsidR="003170F6" w:rsidRPr="00BE0A9C" w:rsidRDefault="003170F6" w:rsidP="003170F6">
      <w:pPr>
        <w:spacing w:before="1680"/>
        <w:ind w:right="-284"/>
        <w:rPr>
          <w:szCs w:val="22"/>
        </w:rPr>
      </w:pPr>
      <w:r w:rsidRPr="00BE0A9C">
        <w:rPr>
          <w:b/>
        </w:rPr>
        <w:t>Anexos</w:t>
      </w:r>
      <w:r w:rsidRPr="00BE0A9C">
        <w:rPr>
          <w:bCs/>
        </w:rPr>
        <w:t>: 2</w:t>
      </w:r>
    </w:p>
    <w:p w:rsidR="003170F6" w:rsidRPr="00BE0A9C" w:rsidRDefault="003170F6" w:rsidP="003B7220">
      <w:pPr>
        <w:tabs>
          <w:tab w:val="clear" w:pos="1588"/>
          <w:tab w:val="clear" w:pos="1985"/>
          <w:tab w:val="left" w:pos="7560"/>
        </w:tabs>
        <w:spacing w:before="720"/>
        <w:ind w:right="91"/>
      </w:pPr>
      <w:r w:rsidRPr="00BE0A9C">
        <w:br w:type="page"/>
      </w:r>
    </w:p>
    <w:p w:rsidR="003170F6" w:rsidRPr="00BE0A9C" w:rsidRDefault="003170F6" w:rsidP="0036678C">
      <w:pPr>
        <w:pStyle w:val="AnnexNo"/>
      </w:pPr>
      <w:r w:rsidRPr="00BE0A9C">
        <w:lastRenderedPageBreak/>
        <w:t>ANEXO 1</w:t>
      </w:r>
      <w:r w:rsidR="0036678C" w:rsidRPr="00BE0A9C">
        <w:br/>
      </w:r>
      <w:r w:rsidRPr="00BE0A9C">
        <w:t>(a la Circular 86 de la TSB)</w:t>
      </w:r>
    </w:p>
    <w:p w:rsidR="003170F6" w:rsidRPr="00BE0A9C" w:rsidRDefault="003170F6" w:rsidP="00D12F82">
      <w:pPr>
        <w:pStyle w:val="AnnexTitle"/>
        <w:rPr>
          <w:sz w:val="28"/>
          <w:szCs w:val="28"/>
        </w:rPr>
      </w:pPr>
      <w:r w:rsidRPr="00BE0A9C">
        <w:rPr>
          <w:sz w:val="28"/>
          <w:szCs w:val="28"/>
        </w:rPr>
        <w:t xml:space="preserve">Resumen y ubicación de los proyectos de Recomendación determinada </w:t>
      </w:r>
      <w:r w:rsidRPr="00BE0A9C">
        <w:rPr>
          <w:sz w:val="28"/>
          <w:szCs w:val="28"/>
        </w:rPr>
        <w:br/>
        <w:t xml:space="preserve">UIT-T </w:t>
      </w:r>
      <w:r w:rsidR="00D12F82" w:rsidRPr="00BE0A9C">
        <w:rPr>
          <w:sz w:val="28"/>
          <w:szCs w:val="28"/>
        </w:rPr>
        <w:t>X.1249 (</w:t>
      </w:r>
      <w:proofErr w:type="spellStart"/>
      <w:r w:rsidR="00D12F82" w:rsidRPr="00BE0A9C">
        <w:rPr>
          <w:sz w:val="28"/>
          <w:szCs w:val="28"/>
        </w:rPr>
        <w:t>X.tfcma</w:t>
      </w:r>
      <w:proofErr w:type="spellEnd"/>
      <w:r w:rsidR="00D12F82" w:rsidRPr="00BE0A9C">
        <w:rPr>
          <w:sz w:val="28"/>
          <w:szCs w:val="28"/>
        </w:rPr>
        <w:t>) y UIT-T X.</w:t>
      </w:r>
      <w:r w:rsidRPr="00BE0A9C">
        <w:rPr>
          <w:sz w:val="28"/>
          <w:szCs w:val="28"/>
        </w:rPr>
        <w:t>1361 (X.iotsec-2)</w:t>
      </w:r>
    </w:p>
    <w:p w:rsidR="003170F6" w:rsidRPr="00BE0A9C" w:rsidRDefault="003170F6" w:rsidP="004C236F">
      <w:pPr>
        <w:pStyle w:val="Heading1"/>
      </w:pPr>
      <w:bookmarkStart w:id="5" w:name="lt_pId111"/>
      <w:r w:rsidRPr="00BE0A9C">
        <w:t>1</w:t>
      </w:r>
      <w:r w:rsidRPr="00BE0A9C">
        <w:tab/>
        <w:t xml:space="preserve">Proyecto de </w:t>
      </w:r>
      <w:r w:rsidR="002B72CB" w:rsidRPr="00BE0A9C">
        <w:t xml:space="preserve">nueva </w:t>
      </w:r>
      <w:r w:rsidRPr="00BE0A9C">
        <w:t xml:space="preserve">Recomendación UIT-T X.1361 (X.iotsec-2) </w:t>
      </w:r>
      <w:r w:rsidR="004C236F" w:rsidRPr="00BE0A9C">
        <w:t>[</w:t>
      </w:r>
      <w:hyperlink r:id="rId10" w:history="1">
        <w:r w:rsidRPr="00BE0A9C">
          <w:rPr>
            <w:bCs/>
            <w:color w:val="0000FF"/>
            <w:u w:val="single"/>
          </w:rPr>
          <w:t>SG17-R20</w:t>
        </w:r>
      </w:hyperlink>
      <w:r w:rsidR="004C236F" w:rsidRPr="00BE0A9C">
        <w:t>]</w:t>
      </w:r>
    </w:p>
    <w:p w:rsidR="003170F6" w:rsidRPr="00BE0A9C" w:rsidRDefault="003170F6" w:rsidP="003170F6">
      <w:pPr>
        <w:pStyle w:val="Headingb0"/>
      </w:pPr>
      <w:r w:rsidRPr="00BE0A9C">
        <w:t xml:space="preserve">Marco de seguridad para la Internet de las </w:t>
      </w:r>
      <w:r w:rsidR="004369BE" w:rsidRPr="00BE0A9C">
        <w:t xml:space="preserve">cosas </w:t>
      </w:r>
      <w:r w:rsidRPr="00BE0A9C">
        <w:t>basado en el modelo de pasarela</w:t>
      </w:r>
    </w:p>
    <w:p w:rsidR="003170F6" w:rsidRPr="00BE0A9C" w:rsidRDefault="003170F6" w:rsidP="004369BE">
      <w:pPr>
        <w:pStyle w:val="Headingb0"/>
      </w:pPr>
      <w:r w:rsidRPr="00BE0A9C">
        <w:t>Resumen</w:t>
      </w:r>
    </w:p>
    <w:p w:rsidR="003170F6" w:rsidRPr="00BE0A9C" w:rsidRDefault="003170F6" w:rsidP="003170F6">
      <w:r w:rsidRPr="00BE0A9C">
        <w:t xml:space="preserve">La Internet de las </w:t>
      </w:r>
      <w:r w:rsidR="00570B91" w:rsidRPr="00BE0A9C">
        <w:t xml:space="preserve">cosas </w:t>
      </w:r>
      <w:r w:rsidRPr="00BE0A9C">
        <w:t>(</w:t>
      </w:r>
      <w:proofErr w:type="spellStart"/>
      <w:r w:rsidRPr="00BE0A9C">
        <w:t>IoT</w:t>
      </w:r>
      <w:proofErr w:type="spellEnd"/>
      <w:r w:rsidRPr="00BE0A9C">
        <w:t>) es una infraestructura mundial para la sociedad de la información, que permite servicios avanzados gracias a la interconexión (física y virtual) de cosas sobre la base de las tecnologías de la información y la comunicación interoperables e</w:t>
      </w:r>
      <w:r w:rsidR="00570B91" w:rsidRPr="00BE0A9C">
        <w:t>xistentes y en plena evolución.</w:t>
      </w:r>
    </w:p>
    <w:p w:rsidR="003170F6" w:rsidRPr="00BE0A9C" w:rsidRDefault="003170F6" w:rsidP="003170F6">
      <w:r w:rsidRPr="00BE0A9C">
        <w:t xml:space="preserve">En la Recomendación UIT-T X.1361 se describe un marco de seguridad para la Internet de las </w:t>
      </w:r>
      <w:r w:rsidR="00570B91" w:rsidRPr="00BE0A9C">
        <w:t xml:space="preserve">cosas </w:t>
      </w:r>
      <w:r w:rsidRPr="00BE0A9C">
        <w:t>(</w:t>
      </w:r>
      <w:proofErr w:type="spellStart"/>
      <w:r w:rsidRPr="00BE0A9C">
        <w:t>IoT</w:t>
      </w:r>
      <w:proofErr w:type="spellEnd"/>
      <w:r w:rsidRPr="00BE0A9C">
        <w:t>) mediante pasarelas de seguridad. En esta Recomendación se analizan las amen</w:t>
      </w:r>
      <w:r w:rsidR="00570B91" w:rsidRPr="00BE0A9C">
        <w:t xml:space="preserve">azas y retos para la seguridad </w:t>
      </w:r>
      <w:r w:rsidRPr="00BE0A9C">
        <w:t xml:space="preserve">en el entorno de la </w:t>
      </w:r>
      <w:proofErr w:type="spellStart"/>
      <w:r w:rsidRPr="00BE0A9C">
        <w:t>IoT</w:t>
      </w:r>
      <w:proofErr w:type="spellEnd"/>
      <w:r w:rsidRPr="00BE0A9C">
        <w:t xml:space="preserve">, y se describen las capacidades que podrían abordar y mitigar dichas amenazas y retos. Se proporciona una metodología marco para determinar qué capacidades de seguridad se requieren para mitigar y abordar estas amenazas y retos para la </w:t>
      </w:r>
      <w:proofErr w:type="spellStart"/>
      <w:r w:rsidRPr="00BE0A9C">
        <w:t>IoT</w:t>
      </w:r>
      <w:proofErr w:type="spellEnd"/>
      <w:r w:rsidRPr="00BE0A9C">
        <w:t>.</w:t>
      </w:r>
    </w:p>
    <w:p w:rsidR="003170F6" w:rsidRPr="00BE0A9C" w:rsidRDefault="003170F6" w:rsidP="001A3544">
      <w:pPr>
        <w:pStyle w:val="Heading1"/>
        <w:rPr>
          <w:b w:val="0"/>
        </w:rPr>
      </w:pPr>
      <w:r w:rsidRPr="00BE0A9C">
        <w:t>2</w:t>
      </w:r>
      <w:r w:rsidRPr="00BE0A9C">
        <w:tab/>
        <w:t xml:space="preserve">Proyecto de </w:t>
      </w:r>
      <w:r w:rsidR="00DC7C75" w:rsidRPr="00BE0A9C">
        <w:t xml:space="preserve">nueva </w:t>
      </w:r>
      <w:r w:rsidRPr="00BE0A9C">
        <w:t>Recomendación UIT-T X.1249 (</w:t>
      </w:r>
      <w:proofErr w:type="spellStart"/>
      <w:r w:rsidRPr="00BE0A9C">
        <w:t>X.tfcma</w:t>
      </w:r>
      <w:proofErr w:type="spellEnd"/>
      <w:r w:rsidRPr="00BE0A9C">
        <w:t xml:space="preserve">) </w:t>
      </w:r>
      <w:r w:rsidR="001A3544" w:rsidRPr="00BE0A9C">
        <w:t>[</w:t>
      </w:r>
      <w:hyperlink r:id="rId11" w:history="1">
        <w:r w:rsidRPr="00BE0A9C">
          <w:rPr>
            <w:rStyle w:val="Hyperlink"/>
          </w:rPr>
          <w:t>SG17-R22</w:t>
        </w:r>
      </w:hyperlink>
      <w:r w:rsidR="001A3544" w:rsidRPr="00BE0A9C">
        <w:t>]</w:t>
      </w:r>
    </w:p>
    <w:p w:rsidR="003170F6" w:rsidRPr="00BE0A9C" w:rsidRDefault="003170F6" w:rsidP="003170F6">
      <w:pPr>
        <w:pStyle w:val="Headingb0"/>
      </w:pPr>
      <w:r w:rsidRPr="00BE0A9C">
        <w:t>Marco técnico para la lucha contra el spam publicitario en aplicaciones móviles</w:t>
      </w:r>
    </w:p>
    <w:p w:rsidR="003170F6" w:rsidRPr="00BE0A9C" w:rsidRDefault="003170F6" w:rsidP="00004428">
      <w:pPr>
        <w:pStyle w:val="Headingb0"/>
      </w:pPr>
      <w:r w:rsidRPr="00BE0A9C">
        <w:t>Resumen</w:t>
      </w:r>
    </w:p>
    <w:p w:rsidR="003170F6" w:rsidRPr="00BE0A9C" w:rsidRDefault="003170F6" w:rsidP="003170F6">
      <w:r w:rsidRPr="00BE0A9C">
        <w:t>En la Recomendación UIT-T X.1249 se proporciona un marco técnico para la lucha contra el spam publicitario en aplicaciones móviles. El spam publicitario en aplicaciones móviles es el envío de anuncios no solicitados, que se muestran dentro de una aplicación de teléfono móvil. Estos mensajes no solicitados pueden aparecer en la pantalla de un dispositivo móvil como una banderola en la parte de arriba o de debajo de la pantalla, un intercalar móvil o una superposición. Coincidiendo con el rápido incremento del desarrollo de aplicaciones móviles, la publicidad en aplicaciones móviles se ha multiplicado espectacularmente. Se necesita urgentemente la filtración de anuncios no deseados o malévolos en lo que afecta tanto a la experiencia de</w:t>
      </w:r>
      <w:r w:rsidR="006A3831" w:rsidRPr="00BE0A9C">
        <w:t xml:space="preserve">l usuario como a la seguridad. </w:t>
      </w:r>
      <w:r w:rsidRPr="00BE0A9C">
        <w:t>Aunque se han propuesto e implementado mucha</w:t>
      </w:r>
      <w:r w:rsidR="006A3831" w:rsidRPr="00BE0A9C">
        <w:t>s contramedidas, todas adolecen</w:t>
      </w:r>
      <w:r w:rsidRPr="00BE0A9C">
        <w:t xml:space="preserve"> de limitaciones o inconvenientes, y los usuarios siguen enfrentándose a un gran volumen y una alta incidencia de spam publicitario en aplicaciones móviles. Por consiguiente, es necesario definir un marco práctico para luchar contra el spam publicitario en aplicaciones móviles, que pueda integrar razonablemente las venta</w:t>
      </w:r>
      <w:r w:rsidR="006A3831" w:rsidRPr="00BE0A9C">
        <w:t>jas de todas las contramedidas.</w:t>
      </w:r>
    </w:p>
    <w:p w:rsidR="003170F6" w:rsidRPr="00BE0A9C" w:rsidRDefault="003170F6" w:rsidP="003170F6">
      <w:pPr>
        <w:tabs>
          <w:tab w:val="clear" w:pos="794"/>
          <w:tab w:val="clear" w:pos="1191"/>
          <w:tab w:val="clear" w:pos="1588"/>
          <w:tab w:val="clear" w:pos="1985"/>
        </w:tabs>
        <w:overflowPunct/>
        <w:autoSpaceDE/>
        <w:autoSpaceDN/>
        <w:adjustRightInd/>
        <w:spacing w:before="0"/>
        <w:textAlignment w:val="auto"/>
        <w:rPr>
          <w:b/>
          <w:sz w:val="28"/>
        </w:rPr>
      </w:pPr>
      <w:r w:rsidRPr="00BE0A9C">
        <w:br w:type="page"/>
      </w:r>
    </w:p>
    <w:p w:rsidR="003170F6" w:rsidRPr="00BE0A9C" w:rsidRDefault="003170F6" w:rsidP="00B95E28">
      <w:pPr>
        <w:pStyle w:val="AnnexNo"/>
      </w:pPr>
      <w:r w:rsidRPr="00BE0A9C">
        <w:t>ANEXO 2</w:t>
      </w:r>
      <w:bookmarkEnd w:id="5"/>
      <w:r w:rsidR="00B95E28" w:rsidRPr="00BE0A9C">
        <w:br/>
      </w:r>
      <w:r w:rsidRPr="00BE0A9C">
        <w:t>(a la Circular 86 de la TSB)</w:t>
      </w:r>
    </w:p>
    <w:p w:rsidR="003170F6" w:rsidRPr="00BE0A9C" w:rsidRDefault="003170F6" w:rsidP="00BD0B78">
      <w:pPr>
        <w:pStyle w:val="AnnexTitle"/>
        <w:rPr>
          <w:sz w:val="28"/>
          <w:szCs w:val="28"/>
        </w:rPr>
      </w:pPr>
      <w:bookmarkStart w:id="6" w:name="lt_pId112"/>
      <w:r w:rsidRPr="00BE0A9C">
        <w:rPr>
          <w:sz w:val="28"/>
          <w:szCs w:val="28"/>
        </w:rPr>
        <w:t xml:space="preserve">Asunto: Respuesta de Estado Miembro a la Circular 86 de la TSB: </w:t>
      </w:r>
      <w:r w:rsidR="00BD0B78" w:rsidRPr="00BE0A9C">
        <w:rPr>
          <w:sz w:val="28"/>
          <w:szCs w:val="28"/>
        </w:rPr>
        <w:br/>
      </w:r>
      <w:r w:rsidRPr="00BE0A9C">
        <w:rPr>
          <w:sz w:val="28"/>
          <w:szCs w:val="28"/>
        </w:rPr>
        <w:t xml:space="preserve">Consulta sobre los proyectos de </w:t>
      </w:r>
      <w:r w:rsidR="001D3372" w:rsidRPr="00BE0A9C">
        <w:rPr>
          <w:sz w:val="28"/>
          <w:szCs w:val="28"/>
        </w:rPr>
        <w:t xml:space="preserve">nueva </w:t>
      </w:r>
      <w:r w:rsidRPr="00BE0A9C">
        <w:rPr>
          <w:sz w:val="28"/>
          <w:szCs w:val="28"/>
        </w:rPr>
        <w:t xml:space="preserve">Recomendación determinada </w:t>
      </w:r>
      <w:bookmarkEnd w:id="6"/>
      <w:r w:rsidR="00BD0B78" w:rsidRPr="00BE0A9C">
        <w:rPr>
          <w:sz w:val="28"/>
          <w:szCs w:val="28"/>
        </w:rPr>
        <w:br/>
      </w:r>
      <w:r w:rsidRPr="00BE0A9C">
        <w:rPr>
          <w:sz w:val="28"/>
          <w:szCs w:val="28"/>
        </w:rPr>
        <w:t>UI</w:t>
      </w:r>
      <w:r w:rsidR="00192C66" w:rsidRPr="00BE0A9C">
        <w:rPr>
          <w:sz w:val="28"/>
          <w:szCs w:val="28"/>
        </w:rPr>
        <w:t>T-T X.1249 (</w:t>
      </w:r>
      <w:proofErr w:type="spellStart"/>
      <w:r w:rsidR="00192C66" w:rsidRPr="00BE0A9C">
        <w:rPr>
          <w:sz w:val="28"/>
          <w:szCs w:val="28"/>
        </w:rPr>
        <w:t>X.tfcma</w:t>
      </w:r>
      <w:proofErr w:type="spellEnd"/>
      <w:r w:rsidR="00192C66" w:rsidRPr="00BE0A9C">
        <w:rPr>
          <w:sz w:val="28"/>
          <w:szCs w:val="28"/>
        </w:rPr>
        <w:t>) y UIT-T X.</w:t>
      </w:r>
      <w:r w:rsidRPr="00BE0A9C">
        <w:rPr>
          <w:sz w:val="28"/>
          <w:szCs w:val="28"/>
        </w:rPr>
        <w:t>1361 (X.iotsec-2)</w:t>
      </w:r>
    </w:p>
    <w:tbl>
      <w:tblPr>
        <w:tblW w:w="10240" w:type="dxa"/>
        <w:tblInd w:w="-176" w:type="dxa"/>
        <w:tblLayout w:type="fixed"/>
        <w:tblLook w:val="04A0" w:firstRow="1" w:lastRow="0" w:firstColumn="1" w:lastColumn="0" w:noHBand="0" w:noVBand="1"/>
      </w:tblPr>
      <w:tblGrid>
        <w:gridCol w:w="1169"/>
        <w:gridCol w:w="4677"/>
        <w:gridCol w:w="1276"/>
        <w:gridCol w:w="3118"/>
      </w:tblGrid>
      <w:tr w:rsidR="003170F6" w:rsidRPr="00BE0A9C" w:rsidTr="005A7FF6">
        <w:tc>
          <w:tcPr>
            <w:tcW w:w="1169" w:type="dxa"/>
            <w:shd w:val="clear" w:color="auto" w:fill="auto"/>
          </w:tcPr>
          <w:p w:rsidR="003170F6" w:rsidRPr="00BE0A9C" w:rsidRDefault="003170F6" w:rsidP="005A7FF6">
            <w:pPr>
              <w:jc w:val="right"/>
              <w:rPr>
                <w:sz w:val="22"/>
                <w:szCs w:val="22"/>
              </w:rPr>
            </w:pPr>
            <w:bookmarkStart w:id="7" w:name="lt_pId114"/>
            <w:r w:rsidRPr="00BE0A9C">
              <w:rPr>
                <w:b/>
                <w:bCs/>
                <w:sz w:val="22"/>
                <w:szCs w:val="22"/>
              </w:rPr>
              <w:t>A</w:t>
            </w:r>
            <w:r w:rsidRPr="00BE0A9C">
              <w:rPr>
                <w:sz w:val="22"/>
                <w:szCs w:val="22"/>
              </w:rPr>
              <w:t>:</w:t>
            </w:r>
            <w:bookmarkEnd w:id="7"/>
          </w:p>
        </w:tc>
        <w:tc>
          <w:tcPr>
            <w:tcW w:w="4677" w:type="dxa"/>
            <w:tcBorders>
              <w:right w:val="single" w:sz="8" w:space="0" w:color="auto"/>
            </w:tcBorders>
            <w:shd w:val="clear" w:color="auto" w:fill="auto"/>
          </w:tcPr>
          <w:p w:rsidR="003170F6" w:rsidRPr="00BE0A9C" w:rsidRDefault="003170F6" w:rsidP="002970F1">
            <w:pPr>
              <w:rPr>
                <w:sz w:val="22"/>
                <w:szCs w:val="22"/>
              </w:rPr>
            </w:pPr>
            <w:bookmarkStart w:id="8" w:name="lt_pId115"/>
            <w:r w:rsidRPr="00BE0A9C">
              <w:rPr>
                <w:sz w:val="22"/>
                <w:szCs w:val="22"/>
              </w:rPr>
              <w:t xml:space="preserve">Director </w:t>
            </w:r>
            <w:bookmarkStart w:id="9" w:name="lt_pId116"/>
            <w:bookmarkEnd w:id="8"/>
            <w:r w:rsidRPr="00BE0A9C">
              <w:rPr>
                <w:sz w:val="22"/>
                <w:szCs w:val="22"/>
              </w:rPr>
              <w:t xml:space="preserve">de la Oficina de </w:t>
            </w:r>
            <w:r w:rsidRPr="00BE0A9C">
              <w:rPr>
                <w:sz w:val="22"/>
                <w:szCs w:val="22"/>
              </w:rPr>
              <w:br/>
              <w:t>Normalización de las Telecomunicaciones,</w:t>
            </w:r>
            <w:bookmarkEnd w:id="9"/>
          </w:p>
          <w:p w:rsidR="003170F6" w:rsidRPr="00BE0A9C" w:rsidRDefault="003170F6" w:rsidP="005A7FF6">
            <w:pPr>
              <w:spacing w:before="0"/>
              <w:rPr>
                <w:sz w:val="22"/>
                <w:szCs w:val="22"/>
              </w:rPr>
            </w:pPr>
            <w:r w:rsidRPr="00BE0A9C">
              <w:rPr>
                <w:sz w:val="22"/>
                <w:szCs w:val="22"/>
              </w:rPr>
              <w:t>Unión Internacional de Telecomunicaciones</w:t>
            </w:r>
          </w:p>
          <w:p w:rsidR="003170F6" w:rsidRPr="00BE0A9C" w:rsidRDefault="003170F6" w:rsidP="005A7FF6">
            <w:pPr>
              <w:spacing w:before="0"/>
              <w:rPr>
                <w:sz w:val="22"/>
                <w:szCs w:val="22"/>
              </w:rPr>
            </w:pPr>
            <w:bookmarkStart w:id="10" w:name="lt_pId118"/>
            <w:r w:rsidRPr="00BE0A9C">
              <w:rPr>
                <w:sz w:val="22"/>
                <w:szCs w:val="22"/>
              </w:rPr>
              <w:t xml:space="preserve">Place des </w:t>
            </w:r>
            <w:proofErr w:type="spellStart"/>
            <w:r w:rsidRPr="00BE0A9C">
              <w:rPr>
                <w:sz w:val="22"/>
                <w:szCs w:val="22"/>
              </w:rPr>
              <w:t>Nations</w:t>
            </w:r>
            <w:bookmarkEnd w:id="10"/>
            <w:proofErr w:type="spellEnd"/>
          </w:p>
          <w:p w:rsidR="003170F6" w:rsidRPr="00BE0A9C" w:rsidRDefault="003170F6" w:rsidP="005A7FF6">
            <w:pPr>
              <w:spacing w:before="0"/>
              <w:rPr>
                <w:sz w:val="22"/>
                <w:szCs w:val="22"/>
              </w:rPr>
            </w:pPr>
            <w:bookmarkStart w:id="11" w:name="lt_pId119"/>
            <w:r w:rsidRPr="00BE0A9C">
              <w:rPr>
                <w:sz w:val="22"/>
                <w:szCs w:val="22"/>
              </w:rPr>
              <w:t xml:space="preserve">CH 1211 Ginebra 20, </w:t>
            </w:r>
            <w:bookmarkEnd w:id="11"/>
            <w:r w:rsidRPr="00BE0A9C">
              <w:rPr>
                <w:sz w:val="22"/>
                <w:szCs w:val="22"/>
              </w:rPr>
              <w:t>Suiza</w:t>
            </w:r>
          </w:p>
        </w:tc>
        <w:tc>
          <w:tcPr>
            <w:tcW w:w="1276" w:type="dxa"/>
            <w:tcBorders>
              <w:left w:val="single" w:sz="8" w:space="0" w:color="auto"/>
            </w:tcBorders>
            <w:shd w:val="clear" w:color="auto" w:fill="auto"/>
          </w:tcPr>
          <w:p w:rsidR="003170F6" w:rsidRPr="00BE0A9C" w:rsidRDefault="003170F6" w:rsidP="005A7FF6">
            <w:pPr>
              <w:jc w:val="right"/>
              <w:rPr>
                <w:sz w:val="22"/>
                <w:szCs w:val="22"/>
              </w:rPr>
            </w:pPr>
            <w:bookmarkStart w:id="12" w:name="lt_pId120"/>
            <w:r w:rsidRPr="00BE0A9C">
              <w:rPr>
                <w:b/>
                <w:bCs/>
                <w:sz w:val="22"/>
                <w:szCs w:val="22"/>
              </w:rPr>
              <w:t>De</w:t>
            </w:r>
            <w:r w:rsidRPr="00BE0A9C">
              <w:rPr>
                <w:sz w:val="22"/>
                <w:szCs w:val="22"/>
              </w:rPr>
              <w:t>:</w:t>
            </w:r>
            <w:bookmarkEnd w:id="12"/>
          </w:p>
        </w:tc>
        <w:tc>
          <w:tcPr>
            <w:tcW w:w="3118" w:type="dxa"/>
            <w:shd w:val="clear" w:color="auto" w:fill="auto"/>
          </w:tcPr>
          <w:p w:rsidR="003170F6" w:rsidRPr="00BE0A9C" w:rsidRDefault="003170F6" w:rsidP="005A7FF6">
            <w:pPr>
              <w:rPr>
                <w:sz w:val="22"/>
                <w:szCs w:val="22"/>
                <w:highlight w:val="green"/>
              </w:rPr>
            </w:pPr>
            <w:bookmarkStart w:id="13" w:name="lt_pId121"/>
            <w:r w:rsidRPr="00BE0A9C">
              <w:rPr>
                <w:sz w:val="22"/>
                <w:szCs w:val="22"/>
                <w:highlight w:val="green"/>
              </w:rPr>
              <w:t>[Nombre]</w:t>
            </w:r>
            <w:bookmarkEnd w:id="13"/>
          </w:p>
          <w:p w:rsidR="003170F6" w:rsidRPr="00BE0A9C" w:rsidRDefault="003170F6" w:rsidP="005A7FF6">
            <w:pPr>
              <w:spacing w:before="0"/>
              <w:rPr>
                <w:sz w:val="22"/>
                <w:szCs w:val="22"/>
                <w:highlight w:val="green"/>
              </w:rPr>
            </w:pPr>
            <w:bookmarkStart w:id="14" w:name="lt_pId122"/>
            <w:r w:rsidRPr="00BE0A9C">
              <w:rPr>
                <w:sz w:val="22"/>
                <w:szCs w:val="22"/>
                <w:highlight w:val="green"/>
              </w:rPr>
              <w:t>[Cargo oficial/Título]</w:t>
            </w:r>
            <w:bookmarkEnd w:id="14"/>
          </w:p>
          <w:p w:rsidR="003170F6" w:rsidRPr="00BE0A9C" w:rsidRDefault="003170F6" w:rsidP="005A7FF6">
            <w:pPr>
              <w:spacing w:before="0"/>
              <w:rPr>
                <w:sz w:val="22"/>
                <w:szCs w:val="22"/>
                <w:highlight w:val="green"/>
              </w:rPr>
            </w:pPr>
            <w:bookmarkStart w:id="15" w:name="lt_pId123"/>
            <w:r w:rsidRPr="00BE0A9C">
              <w:rPr>
                <w:sz w:val="22"/>
                <w:szCs w:val="22"/>
                <w:highlight w:val="green"/>
              </w:rPr>
              <w:t>[Dirección]</w:t>
            </w:r>
            <w:bookmarkEnd w:id="15"/>
          </w:p>
        </w:tc>
      </w:tr>
      <w:tr w:rsidR="003170F6" w:rsidRPr="00BE0A9C" w:rsidTr="005A7FF6">
        <w:tc>
          <w:tcPr>
            <w:tcW w:w="1169" w:type="dxa"/>
            <w:shd w:val="clear" w:color="auto" w:fill="auto"/>
          </w:tcPr>
          <w:p w:rsidR="003170F6" w:rsidRPr="00BE0A9C" w:rsidRDefault="003170F6" w:rsidP="005A7FF6">
            <w:pPr>
              <w:spacing w:before="0"/>
              <w:jc w:val="right"/>
              <w:rPr>
                <w:sz w:val="22"/>
                <w:szCs w:val="22"/>
              </w:rPr>
            </w:pPr>
            <w:bookmarkStart w:id="16" w:name="lt_pId124"/>
            <w:r w:rsidRPr="00BE0A9C">
              <w:rPr>
                <w:b/>
                <w:bCs/>
                <w:sz w:val="22"/>
                <w:szCs w:val="22"/>
              </w:rPr>
              <w:t>Fax</w:t>
            </w:r>
            <w:r w:rsidRPr="00BE0A9C">
              <w:rPr>
                <w:sz w:val="22"/>
                <w:szCs w:val="22"/>
              </w:rPr>
              <w:t>:</w:t>
            </w:r>
            <w:bookmarkEnd w:id="16"/>
          </w:p>
          <w:p w:rsidR="003170F6" w:rsidRPr="00BE0A9C" w:rsidRDefault="003170F6" w:rsidP="005A7FF6">
            <w:pPr>
              <w:spacing w:before="0"/>
              <w:jc w:val="right"/>
              <w:rPr>
                <w:sz w:val="22"/>
                <w:szCs w:val="22"/>
              </w:rPr>
            </w:pPr>
            <w:bookmarkStart w:id="17" w:name="lt_pId125"/>
            <w:r w:rsidRPr="00BE0A9C">
              <w:rPr>
                <w:b/>
                <w:bCs/>
                <w:sz w:val="22"/>
                <w:szCs w:val="22"/>
              </w:rPr>
              <w:t>Correo-e</w:t>
            </w:r>
            <w:r w:rsidRPr="00BE0A9C">
              <w:rPr>
                <w:sz w:val="22"/>
                <w:szCs w:val="22"/>
              </w:rPr>
              <w:t>:</w:t>
            </w:r>
            <w:bookmarkEnd w:id="17"/>
          </w:p>
        </w:tc>
        <w:tc>
          <w:tcPr>
            <w:tcW w:w="4677" w:type="dxa"/>
            <w:tcBorders>
              <w:right w:val="single" w:sz="8" w:space="0" w:color="auto"/>
            </w:tcBorders>
            <w:shd w:val="clear" w:color="auto" w:fill="auto"/>
          </w:tcPr>
          <w:p w:rsidR="003170F6" w:rsidRPr="00BE0A9C" w:rsidRDefault="003170F6" w:rsidP="005A7FF6">
            <w:pPr>
              <w:spacing w:before="0"/>
              <w:rPr>
                <w:sz w:val="22"/>
                <w:szCs w:val="22"/>
              </w:rPr>
            </w:pPr>
            <w:r w:rsidRPr="00BE0A9C">
              <w:rPr>
                <w:sz w:val="22"/>
                <w:szCs w:val="22"/>
              </w:rPr>
              <w:t>+41-22-730-5853</w:t>
            </w:r>
          </w:p>
          <w:p w:rsidR="003170F6" w:rsidRPr="00BE0A9C" w:rsidRDefault="00B4017E" w:rsidP="005A7FF6">
            <w:pPr>
              <w:spacing w:before="0"/>
              <w:rPr>
                <w:sz w:val="22"/>
                <w:szCs w:val="22"/>
              </w:rPr>
            </w:pPr>
            <w:hyperlink r:id="rId12" w:history="1">
              <w:bookmarkStart w:id="18" w:name="lt_pId127"/>
              <w:r w:rsidR="003170F6" w:rsidRPr="00BE0A9C">
                <w:rPr>
                  <w:color w:val="0000FF"/>
                  <w:sz w:val="22"/>
                  <w:szCs w:val="22"/>
                  <w:u w:val="single"/>
                </w:rPr>
                <w:t>tsbdir@itu.int</w:t>
              </w:r>
              <w:bookmarkEnd w:id="18"/>
            </w:hyperlink>
            <w:r w:rsidR="003170F6" w:rsidRPr="00BE0A9C">
              <w:rPr>
                <w:sz w:val="22"/>
                <w:szCs w:val="22"/>
              </w:rPr>
              <w:t xml:space="preserve"> </w:t>
            </w:r>
          </w:p>
        </w:tc>
        <w:tc>
          <w:tcPr>
            <w:tcW w:w="1276" w:type="dxa"/>
            <w:tcBorders>
              <w:left w:val="single" w:sz="8" w:space="0" w:color="auto"/>
            </w:tcBorders>
            <w:shd w:val="clear" w:color="auto" w:fill="auto"/>
          </w:tcPr>
          <w:p w:rsidR="003170F6" w:rsidRPr="00BE0A9C" w:rsidRDefault="003170F6" w:rsidP="005A7FF6">
            <w:pPr>
              <w:spacing w:before="0"/>
              <w:jc w:val="right"/>
              <w:rPr>
                <w:sz w:val="22"/>
                <w:szCs w:val="22"/>
              </w:rPr>
            </w:pPr>
            <w:bookmarkStart w:id="19" w:name="lt_pId128"/>
            <w:r w:rsidRPr="00BE0A9C">
              <w:rPr>
                <w:b/>
                <w:bCs/>
                <w:sz w:val="22"/>
                <w:szCs w:val="22"/>
              </w:rPr>
              <w:t>Fax</w:t>
            </w:r>
            <w:r w:rsidRPr="00BE0A9C">
              <w:rPr>
                <w:sz w:val="22"/>
                <w:szCs w:val="22"/>
              </w:rPr>
              <w:t>:</w:t>
            </w:r>
            <w:bookmarkEnd w:id="19"/>
          </w:p>
          <w:p w:rsidR="003170F6" w:rsidRPr="00BE0A9C" w:rsidRDefault="003170F6" w:rsidP="005A7FF6">
            <w:pPr>
              <w:spacing w:before="0"/>
              <w:jc w:val="right"/>
              <w:rPr>
                <w:sz w:val="22"/>
                <w:szCs w:val="22"/>
              </w:rPr>
            </w:pPr>
            <w:bookmarkStart w:id="20" w:name="lt_pId129"/>
            <w:r w:rsidRPr="00BE0A9C">
              <w:rPr>
                <w:b/>
                <w:bCs/>
                <w:sz w:val="22"/>
                <w:szCs w:val="22"/>
              </w:rPr>
              <w:t>Correo-e</w:t>
            </w:r>
            <w:r w:rsidRPr="00BE0A9C">
              <w:rPr>
                <w:sz w:val="22"/>
                <w:szCs w:val="22"/>
              </w:rPr>
              <w:t>:</w:t>
            </w:r>
            <w:bookmarkEnd w:id="20"/>
          </w:p>
        </w:tc>
        <w:tc>
          <w:tcPr>
            <w:tcW w:w="3118" w:type="dxa"/>
            <w:shd w:val="clear" w:color="auto" w:fill="auto"/>
          </w:tcPr>
          <w:p w:rsidR="003170F6" w:rsidRPr="00BE0A9C" w:rsidRDefault="003170F6" w:rsidP="005A7FF6">
            <w:pPr>
              <w:spacing w:before="0"/>
              <w:rPr>
                <w:sz w:val="22"/>
                <w:szCs w:val="22"/>
              </w:rPr>
            </w:pPr>
          </w:p>
        </w:tc>
      </w:tr>
      <w:tr w:rsidR="003170F6" w:rsidRPr="00BE0A9C" w:rsidTr="005A7FF6">
        <w:tc>
          <w:tcPr>
            <w:tcW w:w="1169" w:type="dxa"/>
            <w:shd w:val="clear" w:color="auto" w:fill="auto"/>
          </w:tcPr>
          <w:p w:rsidR="003170F6" w:rsidRPr="00BE0A9C" w:rsidRDefault="003170F6" w:rsidP="005A7FF6">
            <w:pPr>
              <w:spacing w:before="0"/>
              <w:jc w:val="right"/>
              <w:rPr>
                <w:sz w:val="22"/>
                <w:szCs w:val="22"/>
              </w:rPr>
            </w:pPr>
          </w:p>
        </w:tc>
        <w:tc>
          <w:tcPr>
            <w:tcW w:w="4677" w:type="dxa"/>
            <w:tcBorders>
              <w:right w:val="single" w:sz="8" w:space="0" w:color="auto"/>
            </w:tcBorders>
            <w:shd w:val="clear" w:color="auto" w:fill="auto"/>
          </w:tcPr>
          <w:p w:rsidR="003170F6" w:rsidRPr="00BE0A9C" w:rsidRDefault="003170F6" w:rsidP="005A7FF6">
            <w:pPr>
              <w:spacing w:before="0"/>
              <w:rPr>
                <w:sz w:val="22"/>
                <w:szCs w:val="22"/>
              </w:rPr>
            </w:pPr>
          </w:p>
        </w:tc>
        <w:tc>
          <w:tcPr>
            <w:tcW w:w="1276" w:type="dxa"/>
            <w:tcBorders>
              <w:left w:val="single" w:sz="8" w:space="0" w:color="auto"/>
            </w:tcBorders>
            <w:shd w:val="clear" w:color="auto" w:fill="auto"/>
          </w:tcPr>
          <w:p w:rsidR="003170F6" w:rsidRPr="00BE0A9C" w:rsidRDefault="003170F6" w:rsidP="005A7FF6">
            <w:pPr>
              <w:spacing w:before="0"/>
              <w:jc w:val="right"/>
              <w:rPr>
                <w:sz w:val="22"/>
                <w:szCs w:val="22"/>
              </w:rPr>
            </w:pPr>
            <w:bookmarkStart w:id="21" w:name="lt_pId130"/>
            <w:r w:rsidRPr="00BE0A9C">
              <w:rPr>
                <w:b/>
                <w:bCs/>
                <w:sz w:val="22"/>
                <w:szCs w:val="22"/>
              </w:rPr>
              <w:t>Fecha</w:t>
            </w:r>
            <w:r w:rsidRPr="00BE0A9C">
              <w:rPr>
                <w:sz w:val="22"/>
                <w:szCs w:val="22"/>
              </w:rPr>
              <w:t>:</w:t>
            </w:r>
            <w:bookmarkEnd w:id="21"/>
          </w:p>
        </w:tc>
        <w:tc>
          <w:tcPr>
            <w:tcW w:w="3118" w:type="dxa"/>
            <w:shd w:val="clear" w:color="auto" w:fill="auto"/>
          </w:tcPr>
          <w:p w:rsidR="003170F6" w:rsidRPr="00BE0A9C" w:rsidRDefault="003170F6" w:rsidP="005A7FF6">
            <w:pPr>
              <w:spacing w:before="0"/>
              <w:rPr>
                <w:sz w:val="22"/>
                <w:szCs w:val="22"/>
              </w:rPr>
            </w:pPr>
            <w:bookmarkStart w:id="22" w:name="lt_pId131"/>
            <w:r w:rsidRPr="00BE0A9C">
              <w:rPr>
                <w:sz w:val="22"/>
                <w:szCs w:val="22"/>
                <w:highlight w:val="green"/>
              </w:rPr>
              <w:t>[Lugar,] [Fecha]</w:t>
            </w:r>
            <w:bookmarkEnd w:id="22"/>
          </w:p>
        </w:tc>
      </w:tr>
    </w:tbl>
    <w:p w:rsidR="003170F6" w:rsidRPr="00BE0A9C" w:rsidRDefault="003170F6" w:rsidP="00695B35">
      <w:pPr>
        <w:pStyle w:val="Normalaftertitle"/>
      </w:pPr>
      <w:bookmarkStart w:id="23" w:name="lt_pId132"/>
      <w:r w:rsidRPr="00BE0A9C">
        <w:t>Estimado(a) Señor(a):</w:t>
      </w:r>
      <w:bookmarkEnd w:id="23"/>
    </w:p>
    <w:p w:rsidR="003170F6" w:rsidRPr="00BE0A9C" w:rsidRDefault="003170F6" w:rsidP="00535B71">
      <w:pPr>
        <w:spacing w:after="120"/>
      </w:pPr>
      <w:bookmarkStart w:id="24" w:name="lt_pId133"/>
      <w:r w:rsidRPr="00BE0A9C">
        <w:t>En lo que respecta a la Consulta a los Estados Miembros sobre los proyectos de texto determinado que figuran en la Circular TSB 86, deseo informarle de la opinión de esta Administración, que se refleja en el siguiente cuadro:</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3170F6" w:rsidRPr="00BE0A9C" w:rsidTr="005A7FF6">
        <w:trPr>
          <w:tblHeader/>
        </w:trPr>
        <w:tc>
          <w:tcPr>
            <w:tcW w:w="2063" w:type="dxa"/>
            <w:shd w:val="clear" w:color="auto" w:fill="auto"/>
            <w:vAlign w:val="center"/>
          </w:tcPr>
          <w:p w:rsidR="003170F6" w:rsidRPr="00BE0A9C" w:rsidRDefault="003170F6" w:rsidP="00D21DC0">
            <w:pPr>
              <w:pStyle w:val="Tablehead0"/>
            </w:pPr>
          </w:p>
        </w:tc>
        <w:tc>
          <w:tcPr>
            <w:tcW w:w="7566" w:type="dxa"/>
            <w:shd w:val="clear" w:color="auto" w:fill="auto"/>
            <w:vAlign w:val="center"/>
          </w:tcPr>
          <w:p w:rsidR="003170F6" w:rsidRPr="00BE0A9C" w:rsidRDefault="003170F6" w:rsidP="00D21DC0">
            <w:pPr>
              <w:pStyle w:val="Tablehead0"/>
            </w:pPr>
            <w:bookmarkStart w:id="25" w:name="lt_pId134"/>
            <w:r w:rsidRPr="00BE0A9C">
              <w:t>Seleccione una de las dos casillas</w:t>
            </w:r>
            <w:bookmarkEnd w:id="25"/>
          </w:p>
        </w:tc>
      </w:tr>
      <w:tr w:rsidR="003170F6" w:rsidRPr="00BE0A9C" w:rsidTr="005A7FF6">
        <w:trPr>
          <w:trHeight w:val="748"/>
        </w:trPr>
        <w:tc>
          <w:tcPr>
            <w:tcW w:w="2063" w:type="dxa"/>
            <w:vMerge w:val="restart"/>
            <w:shd w:val="clear" w:color="auto" w:fill="auto"/>
            <w:vAlign w:val="center"/>
          </w:tcPr>
          <w:p w:rsidR="003170F6" w:rsidRPr="00BE0A9C" w:rsidRDefault="003170F6" w:rsidP="002B00F0">
            <w:pPr>
              <w:pStyle w:val="Tabletext0"/>
              <w:jc w:val="center"/>
              <w:rPr>
                <w:b/>
                <w:bCs/>
              </w:rPr>
            </w:pPr>
            <w:bookmarkStart w:id="26" w:name="lt_pId135"/>
            <w:r w:rsidRPr="00BE0A9C">
              <w:rPr>
                <w:b/>
                <w:bCs/>
              </w:rPr>
              <w:t>Proyecto de Recomendación UIT-T X.1249 (</w:t>
            </w:r>
            <w:proofErr w:type="spellStart"/>
            <w:r w:rsidRPr="00BE0A9C">
              <w:rPr>
                <w:b/>
                <w:bCs/>
              </w:rPr>
              <w:t>X.tfcma</w:t>
            </w:r>
            <w:proofErr w:type="spellEnd"/>
            <w:r w:rsidRPr="00BE0A9C">
              <w:rPr>
                <w:b/>
                <w:bCs/>
              </w:rPr>
              <w:t>)</w:t>
            </w:r>
            <w:bookmarkEnd w:id="26"/>
          </w:p>
        </w:tc>
        <w:tc>
          <w:tcPr>
            <w:tcW w:w="7566" w:type="dxa"/>
            <w:shd w:val="clear" w:color="auto" w:fill="auto"/>
            <w:vAlign w:val="center"/>
          </w:tcPr>
          <w:p w:rsidR="003170F6" w:rsidRPr="00BE0A9C" w:rsidRDefault="003170F6" w:rsidP="005A7FF6">
            <w:pPr>
              <w:tabs>
                <w:tab w:val="clear" w:pos="794"/>
                <w:tab w:val="clear" w:pos="1191"/>
                <w:tab w:val="clear" w:pos="1588"/>
                <w:tab w:val="clear" w:pos="1985"/>
              </w:tabs>
              <w:spacing w:before="40" w:after="40"/>
              <w:ind w:left="459" w:hanging="459"/>
              <w:rPr>
                <w:sz w:val="22"/>
                <w:szCs w:val="22"/>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B4017E">
              <w:rPr>
                <w:sz w:val="20"/>
              </w:rPr>
            </w:r>
            <w:r w:rsidR="00B4017E">
              <w:rPr>
                <w:sz w:val="20"/>
              </w:rPr>
              <w:fldChar w:fldCharType="separate"/>
            </w:r>
            <w:r w:rsidRPr="00BE0A9C">
              <w:rPr>
                <w:sz w:val="20"/>
              </w:rPr>
              <w:fldChar w:fldCharType="end"/>
            </w:r>
            <w:r w:rsidRPr="00BE0A9C">
              <w:rPr>
                <w:sz w:val="18"/>
                <w:szCs w:val="18"/>
              </w:rPr>
              <w:tab/>
            </w:r>
            <w:bookmarkStart w:id="27" w:name="lt_pId136"/>
            <w:r w:rsidRPr="00BE0A9C">
              <w:rPr>
                <w:b/>
                <w:bCs/>
                <w:sz w:val="22"/>
                <w:szCs w:val="22"/>
              </w:rPr>
              <w:t xml:space="preserve">otorga autoridad </w:t>
            </w:r>
            <w:r w:rsidRPr="00BE0A9C">
              <w:rPr>
                <w:sz w:val="22"/>
                <w:szCs w:val="22"/>
              </w:rPr>
              <w:t xml:space="preserve">a la Comisión de Estudio 17 a fin de examinar este texto para aprobación (en cuyo caso seleccionará una de las dos opciones </w:t>
            </w:r>
            <w:r w:rsidRPr="00BE0A9C">
              <w:rPr>
                <w:sz w:val="18"/>
                <w:szCs w:val="18"/>
              </w:rPr>
              <w:t>⃝</w:t>
            </w:r>
            <w:r w:rsidRPr="00BE0A9C">
              <w:rPr>
                <w:sz w:val="22"/>
                <w:szCs w:val="22"/>
              </w:rPr>
              <w:t>):</w:t>
            </w:r>
            <w:bookmarkEnd w:id="27"/>
          </w:p>
          <w:p w:rsidR="003170F6" w:rsidRPr="00BE0A9C" w:rsidRDefault="003170F6" w:rsidP="005A7FF6">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bookmarkStart w:id="28" w:name="lt_pId138"/>
            <w:r w:rsidRPr="00BE0A9C">
              <w:rPr>
                <w:sz w:val="22"/>
                <w:szCs w:val="22"/>
              </w:rPr>
              <w:t>Sin comentarios o cambios sugeridos</w:t>
            </w:r>
            <w:bookmarkEnd w:id="28"/>
          </w:p>
          <w:p w:rsidR="003170F6" w:rsidRPr="00BE0A9C" w:rsidRDefault="003170F6" w:rsidP="005A7FF6">
            <w:pPr>
              <w:tabs>
                <w:tab w:val="clear" w:pos="794"/>
                <w:tab w:val="clear" w:pos="1191"/>
                <w:tab w:val="clear" w:pos="1588"/>
                <w:tab w:val="clear" w:pos="1985"/>
              </w:tabs>
              <w:spacing w:before="40" w:after="40"/>
              <w:ind w:left="941" w:hanging="459"/>
              <w:rPr>
                <w:sz w:val="22"/>
                <w:szCs w:val="22"/>
              </w:rPr>
            </w:pPr>
            <w:r w:rsidRPr="00BE0A9C">
              <w:rPr>
                <w:sz w:val="18"/>
                <w:szCs w:val="18"/>
              </w:rPr>
              <w:t>⃝</w:t>
            </w:r>
            <w:r w:rsidRPr="00BE0A9C">
              <w:rPr>
                <w:sz w:val="18"/>
                <w:szCs w:val="18"/>
              </w:rPr>
              <w:tab/>
            </w:r>
            <w:bookmarkStart w:id="29" w:name="lt_pId140"/>
            <w:r w:rsidRPr="00BE0A9C">
              <w:rPr>
                <w:sz w:val="22"/>
                <w:szCs w:val="22"/>
              </w:rPr>
              <w:t>Se adjuntan los</w:t>
            </w:r>
            <w:r w:rsidRPr="00BE0A9C">
              <w:rPr>
                <w:sz w:val="18"/>
                <w:szCs w:val="18"/>
              </w:rPr>
              <w:t xml:space="preserve"> </w:t>
            </w:r>
            <w:r w:rsidRPr="00BE0A9C">
              <w:rPr>
                <w:sz w:val="22"/>
                <w:szCs w:val="22"/>
              </w:rPr>
              <w:t>comentarios o cambios sugeridos</w:t>
            </w:r>
            <w:bookmarkEnd w:id="29"/>
          </w:p>
        </w:tc>
      </w:tr>
      <w:tr w:rsidR="003170F6" w:rsidRPr="00BE0A9C" w:rsidTr="005A7FF6">
        <w:trPr>
          <w:trHeight w:val="747"/>
        </w:trPr>
        <w:tc>
          <w:tcPr>
            <w:tcW w:w="2063" w:type="dxa"/>
            <w:vMerge/>
            <w:shd w:val="clear" w:color="auto" w:fill="auto"/>
            <w:vAlign w:val="center"/>
          </w:tcPr>
          <w:p w:rsidR="003170F6" w:rsidRPr="00BE0A9C" w:rsidRDefault="003170F6" w:rsidP="002B00F0">
            <w:pPr>
              <w:pStyle w:val="Tabletext0"/>
              <w:jc w:val="center"/>
              <w:rPr>
                <w:b/>
                <w:bCs/>
              </w:rPr>
            </w:pPr>
          </w:p>
        </w:tc>
        <w:tc>
          <w:tcPr>
            <w:tcW w:w="7566" w:type="dxa"/>
            <w:shd w:val="clear" w:color="auto" w:fill="auto"/>
            <w:vAlign w:val="center"/>
          </w:tcPr>
          <w:p w:rsidR="003170F6" w:rsidRPr="00BE0A9C" w:rsidRDefault="003170F6" w:rsidP="005A7FF6">
            <w:pPr>
              <w:tabs>
                <w:tab w:val="clear" w:pos="794"/>
                <w:tab w:val="clear" w:pos="1191"/>
                <w:tab w:val="clear" w:pos="1588"/>
                <w:tab w:val="clear" w:pos="1985"/>
                <w:tab w:val="left" w:pos="250"/>
              </w:tabs>
              <w:spacing w:before="40" w:after="40"/>
              <w:ind w:left="459" w:hanging="459"/>
              <w:rPr>
                <w:sz w:val="18"/>
                <w:szCs w:val="18"/>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B4017E">
              <w:rPr>
                <w:sz w:val="20"/>
              </w:rPr>
            </w:r>
            <w:r w:rsidR="00B4017E">
              <w:rPr>
                <w:sz w:val="20"/>
              </w:rPr>
              <w:fldChar w:fldCharType="separate"/>
            </w:r>
            <w:r w:rsidRPr="00BE0A9C">
              <w:rPr>
                <w:sz w:val="20"/>
              </w:rPr>
              <w:fldChar w:fldCharType="end"/>
            </w:r>
            <w:r w:rsidRPr="00BE0A9C">
              <w:rPr>
                <w:sz w:val="20"/>
              </w:rPr>
              <w:tab/>
            </w:r>
            <w:bookmarkStart w:id="30" w:name="lt_pId141"/>
            <w:r w:rsidRPr="00BE0A9C">
              <w:rPr>
                <w:sz w:val="20"/>
              </w:rPr>
              <w:tab/>
            </w:r>
            <w:r w:rsidRPr="00BE0A9C">
              <w:rPr>
                <w:b/>
                <w:bCs/>
                <w:sz w:val="22"/>
                <w:szCs w:val="22"/>
              </w:rPr>
              <w:t xml:space="preserve">no otorga autoridad </w:t>
            </w:r>
            <w:r w:rsidRPr="00BE0A9C">
              <w:rPr>
                <w:sz w:val="22"/>
                <w:szCs w:val="22"/>
              </w:rPr>
              <w:t xml:space="preserve">a la Comisión de Estudio 17 a fin de examinar este texto para aprobación (se adjuntan los motivos para esta opinión y las posibles modificaciones que permitirían </w:t>
            </w:r>
            <w:r w:rsidRPr="00BE0A9C">
              <w:rPr>
                <w:sz w:val="22"/>
              </w:rPr>
              <w:t>que prosiguieran los trabajos)</w:t>
            </w:r>
            <w:bookmarkEnd w:id="30"/>
          </w:p>
        </w:tc>
      </w:tr>
      <w:tr w:rsidR="003170F6" w:rsidRPr="00BE0A9C" w:rsidTr="005A7FF6">
        <w:trPr>
          <w:trHeight w:val="748"/>
        </w:trPr>
        <w:tc>
          <w:tcPr>
            <w:tcW w:w="2063" w:type="dxa"/>
            <w:vMerge w:val="restart"/>
            <w:shd w:val="clear" w:color="auto" w:fill="auto"/>
            <w:vAlign w:val="center"/>
          </w:tcPr>
          <w:p w:rsidR="003170F6" w:rsidRPr="00BE0A9C" w:rsidRDefault="003170F6" w:rsidP="002B00F0">
            <w:pPr>
              <w:pStyle w:val="Tabletext0"/>
              <w:jc w:val="center"/>
              <w:rPr>
                <w:b/>
                <w:bCs/>
              </w:rPr>
            </w:pPr>
            <w:bookmarkStart w:id="31" w:name="lt_pId142"/>
            <w:r w:rsidRPr="00BE0A9C">
              <w:rPr>
                <w:b/>
                <w:bCs/>
              </w:rPr>
              <w:t xml:space="preserve">Proyecto de Recomendación UIT-T </w:t>
            </w:r>
            <w:r w:rsidR="002B00F0" w:rsidRPr="00BE0A9C">
              <w:rPr>
                <w:b/>
                <w:bCs/>
              </w:rPr>
              <w:t>X.</w:t>
            </w:r>
            <w:r w:rsidRPr="00BE0A9C">
              <w:rPr>
                <w:b/>
                <w:bCs/>
              </w:rPr>
              <w:t>1361 (X.iotsec-2)</w:t>
            </w:r>
            <w:bookmarkEnd w:id="31"/>
          </w:p>
        </w:tc>
        <w:tc>
          <w:tcPr>
            <w:tcW w:w="7566" w:type="dxa"/>
            <w:shd w:val="clear" w:color="auto" w:fill="auto"/>
            <w:vAlign w:val="center"/>
          </w:tcPr>
          <w:p w:rsidR="003170F6" w:rsidRPr="00BE0A9C" w:rsidRDefault="003170F6" w:rsidP="005A7FF6">
            <w:pPr>
              <w:tabs>
                <w:tab w:val="clear" w:pos="794"/>
                <w:tab w:val="clear" w:pos="1191"/>
                <w:tab w:val="clear" w:pos="1588"/>
                <w:tab w:val="clear" w:pos="1985"/>
              </w:tabs>
              <w:spacing w:before="40" w:after="40"/>
              <w:ind w:left="459" w:hanging="459"/>
              <w:rPr>
                <w:sz w:val="22"/>
                <w:szCs w:val="22"/>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B4017E">
              <w:rPr>
                <w:sz w:val="20"/>
              </w:rPr>
            </w:r>
            <w:r w:rsidR="00B4017E">
              <w:rPr>
                <w:sz w:val="20"/>
              </w:rPr>
              <w:fldChar w:fldCharType="separate"/>
            </w:r>
            <w:r w:rsidRPr="00BE0A9C">
              <w:rPr>
                <w:sz w:val="20"/>
              </w:rPr>
              <w:fldChar w:fldCharType="end"/>
            </w:r>
            <w:r w:rsidRPr="00BE0A9C">
              <w:rPr>
                <w:sz w:val="18"/>
                <w:szCs w:val="18"/>
              </w:rPr>
              <w:tab/>
            </w:r>
            <w:r w:rsidRPr="00BE0A9C">
              <w:rPr>
                <w:b/>
                <w:bCs/>
                <w:sz w:val="22"/>
                <w:szCs w:val="22"/>
              </w:rPr>
              <w:t xml:space="preserve">otorga autoridad </w:t>
            </w:r>
            <w:r w:rsidRPr="00BE0A9C">
              <w:rPr>
                <w:sz w:val="22"/>
                <w:szCs w:val="22"/>
              </w:rPr>
              <w:t xml:space="preserve">a la Comisión de Estudio 17 a fin de examinar este texto para aprobación (en cuyo caso seleccionará una de las dos opciones </w:t>
            </w:r>
            <w:r w:rsidRPr="00BE0A9C">
              <w:rPr>
                <w:sz w:val="18"/>
                <w:szCs w:val="18"/>
              </w:rPr>
              <w:t>⃝</w:t>
            </w:r>
            <w:r w:rsidRPr="00BE0A9C">
              <w:rPr>
                <w:sz w:val="22"/>
                <w:szCs w:val="22"/>
              </w:rPr>
              <w:t>):</w:t>
            </w:r>
          </w:p>
          <w:p w:rsidR="003170F6" w:rsidRPr="00BE0A9C" w:rsidRDefault="003170F6" w:rsidP="005A7FF6">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r w:rsidRPr="00BE0A9C">
              <w:rPr>
                <w:sz w:val="22"/>
                <w:szCs w:val="22"/>
              </w:rPr>
              <w:t>Sin comentarios o cambios sugeridos</w:t>
            </w:r>
          </w:p>
          <w:p w:rsidR="003170F6" w:rsidRPr="00BE0A9C" w:rsidRDefault="003170F6" w:rsidP="005A7FF6">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r w:rsidRPr="00BE0A9C">
              <w:rPr>
                <w:sz w:val="22"/>
                <w:szCs w:val="22"/>
              </w:rPr>
              <w:t>Se adjuntan los</w:t>
            </w:r>
            <w:r w:rsidRPr="00BE0A9C">
              <w:rPr>
                <w:sz w:val="18"/>
                <w:szCs w:val="18"/>
              </w:rPr>
              <w:t xml:space="preserve"> </w:t>
            </w:r>
            <w:r w:rsidRPr="00BE0A9C">
              <w:rPr>
                <w:sz w:val="22"/>
                <w:szCs w:val="22"/>
              </w:rPr>
              <w:t>comentarios o cambios sugeridos</w:t>
            </w:r>
          </w:p>
        </w:tc>
      </w:tr>
      <w:tr w:rsidR="003170F6" w:rsidRPr="00BE0A9C" w:rsidTr="005A7FF6">
        <w:trPr>
          <w:trHeight w:val="747"/>
        </w:trPr>
        <w:tc>
          <w:tcPr>
            <w:tcW w:w="2063" w:type="dxa"/>
            <w:vMerge/>
            <w:shd w:val="clear" w:color="auto" w:fill="auto"/>
            <w:vAlign w:val="center"/>
          </w:tcPr>
          <w:p w:rsidR="003170F6" w:rsidRPr="00BE0A9C" w:rsidRDefault="003170F6" w:rsidP="005A7FF6">
            <w:pPr>
              <w:spacing w:before="60" w:after="60"/>
              <w:jc w:val="center"/>
              <w:rPr>
                <w:b/>
                <w:bCs/>
                <w:sz w:val="22"/>
                <w:szCs w:val="22"/>
              </w:rPr>
            </w:pPr>
          </w:p>
        </w:tc>
        <w:tc>
          <w:tcPr>
            <w:tcW w:w="7566" w:type="dxa"/>
            <w:shd w:val="clear" w:color="auto" w:fill="auto"/>
            <w:vAlign w:val="center"/>
          </w:tcPr>
          <w:p w:rsidR="003170F6" w:rsidRPr="00BE0A9C" w:rsidRDefault="003170F6" w:rsidP="005A7FF6">
            <w:pPr>
              <w:tabs>
                <w:tab w:val="clear" w:pos="794"/>
                <w:tab w:val="clear" w:pos="1191"/>
                <w:tab w:val="clear" w:pos="1588"/>
                <w:tab w:val="clear" w:pos="1985"/>
              </w:tabs>
              <w:spacing w:before="40" w:after="40"/>
              <w:ind w:left="459" w:hanging="459"/>
              <w:rPr>
                <w:sz w:val="18"/>
                <w:szCs w:val="18"/>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B4017E">
              <w:rPr>
                <w:sz w:val="20"/>
              </w:rPr>
            </w:r>
            <w:r w:rsidR="00B4017E">
              <w:rPr>
                <w:sz w:val="20"/>
              </w:rPr>
              <w:fldChar w:fldCharType="separate"/>
            </w:r>
            <w:r w:rsidRPr="00BE0A9C">
              <w:rPr>
                <w:sz w:val="20"/>
              </w:rPr>
              <w:fldChar w:fldCharType="end"/>
            </w:r>
            <w:r w:rsidRPr="00BE0A9C">
              <w:rPr>
                <w:sz w:val="20"/>
              </w:rPr>
              <w:tab/>
            </w:r>
            <w:r w:rsidRPr="00BE0A9C">
              <w:rPr>
                <w:b/>
                <w:bCs/>
                <w:sz w:val="22"/>
                <w:szCs w:val="22"/>
              </w:rPr>
              <w:t xml:space="preserve">no otorga autoridad </w:t>
            </w:r>
            <w:r w:rsidRPr="00BE0A9C">
              <w:rPr>
                <w:sz w:val="22"/>
                <w:szCs w:val="22"/>
              </w:rPr>
              <w:t xml:space="preserve">a la Comisión de Estudio 17 a fin de examinar este texto para aprobación (se adjuntan los motivos para esta opinión y las posibles modificaciones que permitirían </w:t>
            </w:r>
            <w:r w:rsidRPr="00BE0A9C">
              <w:rPr>
                <w:sz w:val="22"/>
              </w:rPr>
              <w:t>que prosiguieran los trabajos)</w:t>
            </w:r>
          </w:p>
        </w:tc>
      </w:tr>
    </w:tbl>
    <w:p w:rsidR="003170F6" w:rsidRPr="00BE0A9C" w:rsidRDefault="003170F6" w:rsidP="003170F6">
      <w:pPr>
        <w:spacing w:before="0"/>
        <w:rPr>
          <w:sz w:val="16"/>
          <w:szCs w:val="16"/>
        </w:rPr>
      </w:pPr>
    </w:p>
    <w:p w:rsidR="003170F6" w:rsidRPr="00BE0A9C" w:rsidRDefault="003170F6" w:rsidP="00C25EA0">
      <w:pPr>
        <w:spacing w:after="120"/>
      </w:pPr>
      <w:bookmarkStart w:id="32" w:name="lt_pId163"/>
      <w:r w:rsidRPr="00BE0A9C">
        <w:t>Atentamente,</w:t>
      </w:r>
      <w:bookmarkEnd w:id="32"/>
    </w:p>
    <w:p w:rsidR="003170F6" w:rsidRPr="00BE0A9C" w:rsidRDefault="003170F6" w:rsidP="00B92C55">
      <w:pPr>
        <w:spacing w:before="1080"/>
        <w:rPr>
          <w:szCs w:val="24"/>
          <w:highlight w:val="green"/>
        </w:rPr>
      </w:pPr>
      <w:bookmarkStart w:id="33" w:name="lt_pId164"/>
      <w:r w:rsidRPr="00BE0A9C">
        <w:rPr>
          <w:szCs w:val="24"/>
          <w:highlight w:val="green"/>
        </w:rPr>
        <w:t>[Nombre]</w:t>
      </w:r>
      <w:bookmarkEnd w:id="33"/>
    </w:p>
    <w:p w:rsidR="003170F6" w:rsidRPr="00BE0A9C" w:rsidRDefault="003170F6" w:rsidP="00B92C55">
      <w:pPr>
        <w:spacing w:before="0"/>
        <w:rPr>
          <w:szCs w:val="24"/>
        </w:rPr>
      </w:pPr>
      <w:bookmarkStart w:id="34" w:name="lt_pId165"/>
      <w:r w:rsidRPr="00BE0A9C">
        <w:rPr>
          <w:szCs w:val="24"/>
          <w:highlight w:val="green"/>
        </w:rPr>
        <w:t>[Cargo oficial/Título]</w:t>
      </w:r>
      <w:bookmarkEnd w:id="34"/>
    </w:p>
    <w:p w:rsidR="003170F6" w:rsidRPr="00BE0A9C" w:rsidRDefault="003170F6" w:rsidP="00B92C55">
      <w:pPr>
        <w:spacing w:before="0"/>
        <w:rPr>
          <w:szCs w:val="24"/>
        </w:rPr>
      </w:pPr>
      <w:bookmarkStart w:id="35" w:name="lt_pId166"/>
      <w:r w:rsidRPr="00BE0A9C">
        <w:rPr>
          <w:szCs w:val="24"/>
        </w:rPr>
        <w:t xml:space="preserve">Administración de </w:t>
      </w:r>
      <w:r w:rsidRPr="00BE0A9C">
        <w:rPr>
          <w:szCs w:val="24"/>
          <w:highlight w:val="green"/>
        </w:rPr>
        <w:t>[Estado Miembro]</w:t>
      </w:r>
      <w:bookmarkEnd w:id="35"/>
    </w:p>
    <w:p w:rsidR="00FE5FBD" w:rsidRPr="00BE0A9C" w:rsidRDefault="00FE5FBD">
      <w:pPr>
        <w:jc w:val="center"/>
      </w:pPr>
      <w:r w:rsidRPr="00BE0A9C">
        <w:t>______________</w:t>
      </w:r>
    </w:p>
    <w:sectPr w:rsidR="00FE5FBD" w:rsidRPr="00BE0A9C" w:rsidSect="00807BDC">
      <w:headerReference w:type="default" r:id="rId13"/>
      <w:footerReference w:type="first" r:id="rId14"/>
      <w:pgSz w:w="11907" w:h="16834" w:code="9"/>
      <w:pgMar w:top="1021" w:right="1134" w:bottom="1077"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09" w:rsidRDefault="00237609">
      <w:r>
        <w:separator/>
      </w:r>
    </w:p>
  </w:endnote>
  <w:endnote w:type="continuationSeparator" w:id="0">
    <w:p w:rsidR="00237609" w:rsidRDefault="0023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9" w:rsidRPr="00CB33EF" w:rsidRDefault="00237609" w:rsidP="003F05C4">
    <w:pPr>
      <w:pStyle w:val="FirstFooter"/>
      <w:ind w:left="-397" w:right="-397"/>
      <w:jc w:val="center"/>
      <w:rPr>
        <w:color w:val="0070C0"/>
        <w:szCs w:val="18"/>
      </w:rPr>
    </w:pPr>
    <w:r w:rsidRPr="00CB33EF">
      <w:rPr>
        <w:color w:val="0070C0"/>
        <w:szCs w:val="18"/>
      </w:rPr>
      <w:t xml:space="preserve">Unión Internacional de Telecomunicaciones • Place des </w:t>
    </w:r>
    <w:proofErr w:type="spellStart"/>
    <w:r w:rsidRPr="00CB33EF">
      <w:rPr>
        <w:color w:val="0070C0"/>
        <w:szCs w:val="18"/>
      </w:rPr>
      <w:t>Nations</w:t>
    </w:r>
    <w:proofErr w:type="spellEnd"/>
    <w:r w:rsidRPr="00CB33EF">
      <w:rPr>
        <w:color w:val="0070C0"/>
        <w:szCs w:val="18"/>
      </w:rPr>
      <w:t>, CH</w:t>
    </w:r>
    <w:r w:rsidRPr="00CB33EF">
      <w:rPr>
        <w:color w:val="0070C0"/>
        <w:szCs w:val="18"/>
      </w:rPr>
      <w:noBreakHyphen/>
      <w:t xml:space="preserve">1211 Ginebra 20, Suiza </w:t>
    </w:r>
    <w:r w:rsidRPr="00CB33EF">
      <w:rPr>
        <w:color w:val="0070C0"/>
        <w:szCs w:val="18"/>
      </w:rPr>
      <w:br/>
      <w:t xml:space="preserve">Tel.: +41 22 730 5111 • Fax: +41 22 733 7256 • Correo-e: </w:t>
    </w:r>
    <w:hyperlink r:id="rId1" w:history="1">
      <w:r w:rsidRPr="00CB33EF">
        <w:rPr>
          <w:rStyle w:val="Hyperlink"/>
          <w:color w:val="0070C0"/>
        </w:rPr>
        <w:t>itumail@itu.int</w:t>
      </w:r>
    </w:hyperlink>
    <w:r w:rsidRPr="00CB33EF">
      <w:rPr>
        <w:color w:val="0070C0"/>
        <w:szCs w:val="18"/>
      </w:rPr>
      <w:t xml:space="preserve"> • </w:t>
    </w:r>
    <w:hyperlink r:id="rId2" w:history="1">
      <w:r w:rsidRPr="00CB33EF">
        <w:rPr>
          <w:rStyle w:val="Hyperlink"/>
          <w:color w:val="0070C0"/>
        </w:rPr>
        <w:t>www.itu.int</w:t>
      </w:r>
    </w:hyperlink>
    <w:r w:rsidRPr="00CB33EF">
      <w:rPr>
        <w:color w:val="0070C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09" w:rsidRDefault="00237609">
      <w:r>
        <w:t>____________________</w:t>
      </w:r>
    </w:p>
  </w:footnote>
  <w:footnote w:type="continuationSeparator" w:id="0">
    <w:p w:rsidR="00237609" w:rsidRDefault="0023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9" w:rsidRPr="00FD7428" w:rsidRDefault="00237609" w:rsidP="0041233F">
    <w:pPr>
      <w:spacing w:before="0" w:after="360"/>
      <w:jc w:val="center"/>
      <w:rPr>
        <w:rFonts w:ascii="Calibri" w:hAnsi="Calibri"/>
        <w:sz w:val="18"/>
        <w:lang w:val="en-US"/>
      </w:rPr>
    </w:pPr>
    <w:r w:rsidRPr="00696783">
      <w:rPr>
        <w:sz w:val="18"/>
        <w:szCs w:val="18"/>
      </w:rPr>
      <w:t xml:space="preserve">- </w:t>
    </w:r>
    <w:r w:rsidRPr="00696783">
      <w:rPr>
        <w:sz w:val="18"/>
        <w:szCs w:val="18"/>
      </w:rPr>
      <w:fldChar w:fldCharType="begin"/>
    </w:r>
    <w:r w:rsidRPr="00696783">
      <w:rPr>
        <w:sz w:val="18"/>
        <w:szCs w:val="18"/>
      </w:rPr>
      <w:instrText xml:space="preserve"> PAGE   \* MERGEFORMAT </w:instrText>
    </w:r>
    <w:r w:rsidRPr="00696783">
      <w:rPr>
        <w:sz w:val="18"/>
        <w:szCs w:val="18"/>
      </w:rPr>
      <w:fldChar w:fldCharType="separate"/>
    </w:r>
    <w:r w:rsidR="00B4017E">
      <w:rPr>
        <w:noProof/>
        <w:sz w:val="18"/>
        <w:szCs w:val="18"/>
      </w:rPr>
      <w:t>4</w:t>
    </w:r>
    <w:r w:rsidRPr="00696783">
      <w:rPr>
        <w:noProof/>
        <w:sz w:val="18"/>
        <w:szCs w:val="18"/>
      </w:rPr>
      <w:fldChar w:fldCharType="end"/>
    </w:r>
    <w:r w:rsidRPr="00696783">
      <w:rPr>
        <w:noProof/>
        <w:sz w:val="18"/>
        <w:szCs w:val="18"/>
      </w:rPr>
      <w:t xml:space="preserve"> -</w:t>
    </w:r>
    <w:r>
      <w:rPr>
        <w:noProof/>
        <w:sz w:val="18"/>
        <w:szCs w:val="18"/>
      </w:rPr>
      <w:br/>
    </w:r>
    <w:r w:rsidRPr="004C58BA">
      <w:rPr>
        <w:rFonts w:ascii="Calibri" w:hAnsi="Calibri"/>
        <w:noProof/>
        <w:sz w:val="18"/>
        <w:lang w:val="en-GB"/>
      </w:rPr>
      <w:t xml:space="preserve">Circular TSB </w:t>
    </w:r>
    <w:r w:rsidR="00DC1FF3">
      <w:rPr>
        <w:rFonts w:ascii="Calibri" w:hAnsi="Calibri"/>
        <w:noProof/>
        <w:sz w:val="18"/>
        <w:lang w:val="en-GB"/>
      </w:rPr>
      <w:t>8</w:t>
    </w:r>
    <w:r w:rsidR="00287FF5">
      <w:rPr>
        <w:rFonts w:ascii="Calibri" w:hAnsi="Calibri"/>
        <w:noProof/>
        <w:sz w:val="18"/>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4428"/>
    <w:rsid w:val="00013073"/>
    <w:rsid w:val="00023391"/>
    <w:rsid w:val="00066573"/>
    <w:rsid w:val="00074E76"/>
    <w:rsid w:val="00085662"/>
    <w:rsid w:val="000B6BE8"/>
    <w:rsid w:val="000B72F8"/>
    <w:rsid w:val="000C382F"/>
    <w:rsid w:val="000E53D0"/>
    <w:rsid w:val="000F09C3"/>
    <w:rsid w:val="000F0D53"/>
    <w:rsid w:val="0010395A"/>
    <w:rsid w:val="00103CCF"/>
    <w:rsid w:val="001043DC"/>
    <w:rsid w:val="001173CC"/>
    <w:rsid w:val="00137448"/>
    <w:rsid w:val="00143C4B"/>
    <w:rsid w:val="00143DDD"/>
    <w:rsid w:val="0014464D"/>
    <w:rsid w:val="00145E28"/>
    <w:rsid w:val="00146069"/>
    <w:rsid w:val="00162E19"/>
    <w:rsid w:val="00192C66"/>
    <w:rsid w:val="001A3544"/>
    <w:rsid w:val="001A54CC"/>
    <w:rsid w:val="001A746E"/>
    <w:rsid w:val="001D3372"/>
    <w:rsid w:val="001E38BB"/>
    <w:rsid w:val="001F17D2"/>
    <w:rsid w:val="001F62D1"/>
    <w:rsid w:val="001F74EA"/>
    <w:rsid w:val="00210274"/>
    <w:rsid w:val="0022342F"/>
    <w:rsid w:val="00227F6A"/>
    <w:rsid w:val="00231A3B"/>
    <w:rsid w:val="002337A4"/>
    <w:rsid w:val="00235C3D"/>
    <w:rsid w:val="00237609"/>
    <w:rsid w:val="002436DA"/>
    <w:rsid w:val="00252227"/>
    <w:rsid w:val="00255A6F"/>
    <w:rsid w:val="00257279"/>
    <w:rsid w:val="00257FB4"/>
    <w:rsid w:val="002652C0"/>
    <w:rsid w:val="00266A0E"/>
    <w:rsid w:val="00275D74"/>
    <w:rsid w:val="00280386"/>
    <w:rsid w:val="0028155E"/>
    <w:rsid w:val="002836A3"/>
    <w:rsid w:val="00287FF5"/>
    <w:rsid w:val="002970F1"/>
    <w:rsid w:val="002B00F0"/>
    <w:rsid w:val="002B72CB"/>
    <w:rsid w:val="002E496E"/>
    <w:rsid w:val="00303D62"/>
    <w:rsid w:val="003170F6"/>
    <w:rsid w:val="00321D03"/>
    <w:rsid w:val="0032761A"/>
    <w:rsid w:val="00335367"/>
    <w:rsid w:val="00343BBB"/>
    <w:rsid w:val="0036678C"/>
    <w:rsid w:val="00370C2D"/>
    <w:rsid w:val="00381555"/>
    <w:rsid w:val="003843A9"/>
    <w:rsid w:val="00385798"/>
    <w:rsid w:val="0039302E"/>
    <w:rsid w:val="003950F2"/>
    <w:rsid w:val="003B7220"/>
    <w:rsid w:val="003D1E8D"/>
    <w:rsid w:val="003D673B"/>
    <w:rsid w:val="003F05C4"/>
    <w:rsid w:val="003F2855"/>
    <w:rsid w:val="003F6326"/>
    <w:rsid w:val="00400C94"/>
    <w:rsid w:val="00401C20"/>
    <w:rsid w:val="0041233F"/>
    <w:rsid w:val="00416D9A"/>
    <w:rsid w:val="00430378"/>
    <w:rsid w:val="00434F7D"/>
    <w:rsid w:val="004369BE"/>
    <w:rsid w:val="00437D85"/>
    <w:rsid w:val="004A1426"/>
    <w:rsid w:val="004A74D6"/>
    <w:rsid w:val="004A7957"/>
    <w:rsid w:val="004C236F"/>
    <w:rsid w:val="004C4144"/>
    <w:rsid w:val="004D4967"/>
    <w:rsid w:val="004D6B4C"/>
    <w:rsid w:val="004F0D34"/>
    <w:rsid w:val="004F2479"/>
    <w:rsid w:val="005316A8"/>
    <w:rsid w:val="005359E7"/>
    <w:rsid w:val="00535B71"/>
    <w:rsid w:val="0054013E"/>
    <w:rsid w:val="00552CED"/>
    <w:rsid w:val="00565D71"/>
    <w:rsid w:val="00570B91"/>
    <w:rsid w:val="00581C9B"/>
    <w:rsid w:val="005856B1"/>
    <w:rsid w:val="005B0AC0"/>
    <w:rsid w:val="005B2217"/>
    <w:rsid w:val="005B3DB9"/>
    <w:rsid w:val="005D2A7C"/>
    <w:rsid w:val="00605D55"/>
    <w:rsid w:val="0062151E"/>
    <w:rsid w:val="00642DC4"/>
    <w:rsid w:val="00655A05"/>
    <w:rsid w:val="00695B35"/>
    <w:rsid w:val="00696783"/>
    <w:rsid w:val="006969B4"/>
    <w:rsid w:val="006A3831"/>
    <w:rsid w:val="006A4F9F"/>
    <w:rsid w:val="006D675D"/>
    <w:rsid w:val="006E4F7B"/>
    <w:rsid w:val="00701574"/>
    <w:rsid w:val="00707400"/>
    <w:rsid w:val="00707B3A"/>
    <w:rsid w:val="00735E0B"/>
    <w:rsid w:val="00743E41"/>
    <w:rsid w:val="00781E2A"/>
    <w:rsid w:val="007933A2"/>
    <w:rsid w:val="007952C3"/>
    <w:rsid w:val="007D4290"/>
    <w:rsid w:val="007E1FEF"/>
    <w:rsid w:val="00801C52"/>
    <w:rsid w:val="00807BDC"/>
    <w:rsid w:val="00811DE7"/>
    <w:rsid w:val="00814503"/>
    <w:rsid w:val="008258C2"/>
    <w:rsid w:val="00830DAE"/>
    <w:rsid w:val="00832513"/>
    <w:rsid w:val="008325FF"/>
    <w:rsid w:val="008439E3"/>
    <w:rsid w:val="008505BD"/>
    <w:rsid w:val="00850C78"/>
    <w:rsid w:val="00855BDC"/>
    <w:rsid w:val="00855E3A"/>
    <w:rsid w:val="00866BAC"/>
    <w:rsid w:val="00874476"/>
    <w:rsid w:val="00884D12"/>
    <w:rsid w:val="008A5CFA"/>
    <w:rsid w:val="008A746D"/>
    <w:rsid w:val="008C17AD"/>
    <w:rsid w:val="008D02CD"/>
    <w:rsid w:val="008D54BA"/>
    <w:rsid w:val="0090137A"/>
    <w:rsid w:val="00912126"/>
    <w:rsid w:val="00921BFB"/>
    <w:rsid w:val="0092348E"/>
    <w:rsid w:val="0093316C"/>
    <w:rsid w:val="0093767D"/>
    <w:rsid w:val="0094637C"/>
    <w:rsid w:val="0095172A"/>
    <w:rsid w:val="00963BBE"/>
    <w:rsid w:val="00973CF1"/>
    <w:rsid w:val="0097405D"/>
    <w:rsid w:val="009762DA"/>
    <w:rsid w:val="00981644"/>
    <w:rsid w:val="00993D80"/>
    <w:rsid w:val="0099524A"/>
    <w:rsid w:val="009A0BA0"/>
    <w:rsid w:val="009A7294"/>
    <w:rsid w:val="009B0D9C"/>
    <w:rsid w:val="009B4A41"/>
    <w:rsid w:val="009B7FCB"/>
    <w:rsid w:val="009F51D6"/>
    <w:rsid w:val="00A23999"/>
    <w:rsid w:val="00A42768"/>
    <w:rsid w:val="00A54E47"/>
    <w:rsid w:val="00A60338"/>
    <w:rsid w:val="00A712C9"/>
    <w:rsid w:val="00A71D8D"/>
    <w:rsid w:val="00A826DF"/>
    <w:rsid w:val="00A93E3B"/>
    <w:rsid w:val="00AA13ED"/>
    <w:rsid w:val="00AA3095"/>
    <w:rsid w:val="00AA3CBA"/>
    <w:rsid w:val="00AA472C"/>
    <w:rsid w:val="00AB56EA"/>
    <w:rsid w:val="00AB6E3A"/>
    <w:rsid w:val="00AC16C0"/>
    <w:rsid w:val="00AD123E"/>
    <w:rsid w:val="00AE7093"/>
    <w:rsid w:val="00B00651"/>
    <w:rsid w:val="00B14BE9"/>
    <w:rsid w:val="00B211AC"/>
    <w:rsid w:val="00B312DA"/>
    <w:rsid w:val="00B4017E"/>
    <w:rsid w:val="00B422BC"/>
    <w:rsid w:val="00B43F77"/>
    <w:rsid w:val="00B5057D"/>
    <w:rsid w:val="00B55A3E"/>
    <w:rsid w:val="00B80E33"/>
    <w:rsid w:val="00B82F7D"/>
    <w:rsid w:val="00B87E9E"/>
    <w:rsid w:val="00B90CD8"/>
    <w:rsid w:val="00B92C55"/>
    <w:rsid w:val="00B95E28"/>
    <w:rsid w:val="00B95F0A"/>
    <w:rsid w:val="00B96180"/>
    <w:rsid w:val="00BA07F1"/>
    <w:rsid w:val="00BA3874"/>
    <w:rsid w:val="00BD0B78"/>
    <w:rsid w:val="00BD56A8"/>
    <w:rsid w:val="00BD7629"/>
    <w:rsid w:val="00BE05EC"/>
    <w:rsid w:val="00BE0A9C"/>
    <w:rsid w:val="00C116FE"/>
    <w:rsid w:val="00C17AC0"/>
    <w:rsid w:val="00C20E01"/>
    <w:rsid w:val="00C25EA0"/>
    <w:rsid w:val="00C31108"/>
    <w:rsid w:val="00C34772"/>
    <w:rsid w:val="00C34E8A"/>
    <w:rsid w:val="00C4046F"/>
    <w:rsid w:val="00C47780"/>
    <w:rsid w:val="00C47C70"/>
    <w:rsid w:val="00C5465A"/>
    <w:rsid w:val="00C57F94"/>
    <w:rsid w:val="00CA4DAA"/>
    <w:rsid w:val="00CA5177"/>
    <w:rsid w:val="00CB2845"/>
    <w:rsid w:val="00CB33EF"/>
    <w:rsid w:val="00CC07F0"/>
    <w:rsid w:val="00CC5ACE"/>
    <w:rsid w:val="00CD75AB"/>
    <w:rsid w:val="00CE6747"/>
    <w:rsid w:val="00CF65ED"/>
    <w:rsid w:val="00D12F82"/>
    <w:rsid w:val="00D14A29"/>
    <w:rsid w:val="00D21DC0"/>
    <w:rsid w:val="00D263D6"/>
    <w:rsid w:val="00D54642"/>
    <w:rsid w:val="00D7168B"/>
    <w:rsid w:val="00D720C5"/>
    <w:rsid w:val="00D7517D"/>
    <w:rsid w:val="00D94CDB"/>
    <w:rsid w:val="00DC10A8"/>
    <w:rsid w:val="00DC1FF3"/>
    <w:rsid w:val="00DC4421"/>
    <w:rsid w:val="00DC7C75"/>
    <w:rsid w:val="00DD7018"/>
    <w:rsid w:val="00DD77C9"/>
    <w:rsid w:val="00DE1AF7"/>
    <w:rsid w:val="00DF3538"/>
    <w:rsid w:val="00DF7D57"/>
    <w:rsid w:val="00E3211B"/>
    <w:rsid w:val="00E3747D"/>
    <w:rsid w:val="00E40026"/>
    <w:rsid w:val="00E52775"/>
    <w:rsid w:val="00E7319E"/>
    <w:rsid w:val="00E734C3"/>
    <w:rsid w:val="00E839B0"/>
    <w:rsid w:val="00E92C09"/>
    <w:rsid w:val="00EA0E30"/>
    <w:rsid w:val="00EE7B49"/>
    <w:rsid w:val="00EF4AA6"/>
    <w:rsid w:val="00EF6CD1"/>
    <w:rsid w:val="00F14380"/>
    <w:rsid w:val="00F275A7"/>
    <w:rsid w:val="00F42B1E"/>
    <w:rsid w:val="00F43A6B"/>
    <w:rsid w:val="00F6461F"/>
    <w:rsid w:val="00FA4B9E"/>
    <w:rsid w:val="00FD2B2D"/>
    <w:rsid w:val="00FD7428"/>
    <w:rsid w:val="00FE5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customStyle="1" w:styleId="AnnexNo">
    <w:name w:val="Annex_No"/>
    <w:basedOn w:val="AnnexNotitle"/>
    <w:rsid w:val="002337A4"/>
    <w:pPr>
      <w:tabs>
        <w:tab w:val="center" w:pos="4819"/>
        <w:tab w:val="left" w:pos="571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R-0022/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17-R-0020/es"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C2D8-FDFA-474D-A950-820BFE7B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62</TotalTime>
  <Pages>4</Pages>
  <Words>1089</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54</cp:revision>
  <cp:lastPrinted>2018-04-20T15:59:00Z</cp:lastPrinted>
  <dcterms:created xsi:type="dcterms:W3CDTF">2018-04-17T15:01:00Z</dcterms:created>
  <dcterms:modified xsi:type="dcterms:W3CDTF">2018-04-20T15:59:00Z</dcterms:modified>
</cp:coreProperties>
</file>