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170D27" w:rsidTr="00CB634F">
        <w:trPr>
          <w:cantSplit/>
        </w:trPr>
        <w:tc>
          <w:tcPr>
            <w:tcW w:w="1418" w:type="dxa"/>
            <w:vAlign w:val="center"/>
          </w:tcPr>
          <w:p w:rsidR="00341117" w:rsidRPr="00170D27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170D27" w:rsidRDefault="00341117" w:rsidP="007A59E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170D27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170D27" w:rsidRDefault="00341117" w:rsidP="007A59E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170D27" w:rsidRDefault="00341117" w:rsidP="007A59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170D27" w:rsidRDefault="00517A03" w:rsidP="007A59E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ab/>
        <w:t xml:space="preserve">Genève, le </w:t>
      </w:r>
      <w:r w:rsidR="00B65D26" w:rsidRPr="00170D27">
        <w:rPr>
          <w:rFonts w:asciiTheme="minorHAnsi" w:hAnsiTheme="minorHAnsi"/>
          <w:lang w:val="fr-CH"/>
        </w:rPr>
        <w:t>12 avril 2018</w:t>
      </w:r>
    </w:p>
    <w:p w:rsidR="00517A03" w:rsidRPr="00170D27" w:rsidRDefault="00517A03" w:rsidP="007A59EC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170D27" w:rsidTr="00697BC1">
        <w:trPr>
          <w:cantSplit/>
          <w:trHeight w:val="340"/>
        </w:trPr>
        <w:tc>
          <w:tcPr>
            <w:tcW w:w="822" w:type="dxa"/>
          </w:tcPr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Réf.:</w:t>
            </w:r>
          </w:p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</w:p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Tél.:</w:t>
            </w:r>
            <w:r w:rsidRPr="001B0B58">
              <w:rPr>
                <w:rFonts w:asciiTheme="minorHAnsi" w:hAnsiTheme="minorHAnsi"/>
                <w:b/>
                <w:bCs/>
                <w:lang w:val="fr-CH"/>
              </w:rPr>
              <w:br/>
              <w:t>Fax:</w:t>
            </w:r>
            <w:r w:rsidRPr="001B0B58">
              <w:rPr>
                <w:rFonts w:asciiTheme="minorHAnsi" w:hAnsiTheme="minorHAnsi"/>
                <w:b/>
                <w:bCs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170D27" w:rsidRDefault="00D630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B65D26" w:rsidRPr="00170D27">
              <w:rPr>
                <w:rFonts w:asciiTheme="minorHAnsi" w:hAnsiTheme="minorHAnsi"/>
                <w:b/>
                <w:lang w:val="fr-CH"/>
              </w:rPr>
              <w:t>85</w:t>
            </w:r>
          </w:p>
          <w:p w:rsidR="00517A03" w:rsidRPr="00170D27" w:rsidRDefault="007A59EC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CE</w:t>
            </w:r>
            <w:r w:rsidR="00D63003" w:rsidRPr="00170D27">
              <w:rPr>
                <w:rFonts w:asciiTheme="minorHAnsi" w:hAnsiTheme="minorHAnsi"/>
                <w:lang w:val="fr-CH"/>
              </w:rPr>
              <w:t xml:space="preserve"> 17/XY</w:t>
            </w:r>
          </w:p>
          <w:p w:rsidR="00517A03" w:rsidRPr="00170D27" w:rsidRDefault="00517A03" w:rsidP="001B0B5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 xml:space="preserve">+41 22 730 </w:t>
            </w:r>
            <w:r w:rsidR="00D63003" w:rsidRPr="00170D27">
              <w:rPr>
                <w:rFonts w:asciiTheme="minorHAnsi" w:hAnsiTheme="minorHAnsi"/>
                <w:lang w:val="fr-CH"/>
              </w:rPr>
              <w:t>6206</w:t>
            </w:r>
            <w:r w:rsidRPr="00170D27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170D27">
              <w:rPr>
                <w:rFonts w:asciiTheme="minorHAnsi" w:hAnsiTheme="minorHAnsi"/>
                <w:lang w:val="fr-CH"/>
              </w:rPr>
              <w:br/>
            </w:r>
            <w:hyperlink r:id="rId9" w:history="1">
              <w:r w:rsidR="00D63003" w:rsidRPr="00170D27">
                <w:rPr>
                  <w:rStyle w:val="Hyperlink"/>
                  <w:rFonts w:asciiTheme="minorHAnsi" w:hAnsiTheme="minorHAnsi"/>
                  <w:lang w:val="fr-CH"/>
                </w:rPr>
                <w:t>tsbsg17@itu.int</w:t>
              </w:r>
            </w:hyperlink>
          </w:p>
        </w:tc>
        <w:tc>
          <w:tcPr>
            <w:tcW w:w="5046" w:type="dxa"/>
            <w:gridSpan w:val="2"/>
          </w:tcPr>
          <w:p w:rsidR="00517A03" w:rsidRPr="00170D27" w:rsidRDefault="00517A03" w:rsidP="007A59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170D27" w:rsidTr="00697BC1">
        <w:trPr>
          <w:cantSplit/>
        </w:trPr>
        <w:tc>
          <w:tcPr>
            <w:tcW w:w="822" w:type="dxa"/>
          </w:tcPr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170D27" w:rsidRDefault="00517A03" w:rsidP="007A59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170D27" w:rsidRDefault="00517A03" w:rsidP="007A59EC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Copie</w:t>
            </w:r>
            <w:r w:rsidRPr="00170D27">
              <w:rPr>
                <w:rFonts w:asciiTheme="minorHAnsi" w:hAnsiTheme="minorHAnsi"/>
                <w:lang w:val="fr-CH"/>
              </w:rPr>
              <w:t>: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>UIT-T;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</w:r>
            <w:r w:rsidR="000C56BE" w:rsidRPr="00170D27">
              <w:rPr>
                <w:rFonts w:asciiTheme="minorHAnsi" w:hAnsiTheme="minorHAnsi"/>
                <w:lang w:val="fr-CH"/>
              </w:rPr>
              <w:t>Aux établissements universitaires participant aux travaux de l'UIT;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 xml:space="preserve">études </w:t>
            </w:r>
            <w:r w:rsidR="00D63003" w:rsidRPr="00170D27">
              <w:rPr>
                <w:rFonts w:asciiTheme="minorHAnsi" w:hAnsiTheme="minorHAnsi"/>
                <w:lang w:val="fr-CH"/>
              </w:rPr>
              <w:t>17 de l'UIT</w:t>
            </w:r>
            <w:r w:rsidR="00D63003" w:rsidRPr="00170D27">
              <w:rPr>
                <w:rFonts w:asciiTheme="minorHAnsi" w:hAnsiTheme="minorHAnsi"/>
                <w:lang w:val="fr-CH"/>
              </w:rPr>
              <w:noBreakHyphen/>
              <w:t>T</w:t>
            </w:r>
            <w:r w:rsidRPr="00170D27">
              <w:rPr>
                <w:rFonts w:asciiTheme="minorHAnsi" w:hAnsiTheme="minorHAnsi"/>
                <w:lang w:val="fr-CH"/>
              </w:rPr>
              <w:t>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 Directeur du Bureau de développement des télécommunications;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170D27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170D2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1B0B58" w:rsidRDefault="00517A03" w:rsidP="00987D60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  <w:b/>
                <w:bCs/>
                <w:sz w:val="22"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szCs w:val="22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170D27" w:rsidRDefault="00B65D26" w:rsidP="00987D60">
            <w:pPr>
              <w:tabs>
                <w:tab w:val="left" w:pos="4111"/>
              </w:tabs>
              <w:spacing w:before="360" w:after="24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Statut des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Recommandation</w:t>
            </w:r>
            <w:r w:rsidRPr="00170D27">
              <w:rPr>
                <w:rFonts w:asciiTheme="minorHAnsi" w:hAnsiTheme="minorHAnsi"/>
                <w:b/>
                <w:lang w:val="fr-CH"/>
              </w:rPr>
              <w:t>s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UIT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noBreakHyphen/>
              <w:t>T X.1214 (anciennement X.samtn), UIT-T X.1331 (anciennement X.sgsec-2) et UIT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noBreakHyphen/>
              <w:t>T </w:t>
            </w:r>
            <w:r w:rsidRPr="00170D27">
              <w:rPr>
                <w:rFonts w:asciiTheme="minorHAnsi" w:hAnsiTheme="minorHAnsi"/>
                <w:b/>
                <w:lang w:val="fr-CH"/>
              </w:rPr>
              <w:t>X.1603 (anciennement X.dsms)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170D27">
              <w:rPr>
                <w:rFonts w:asciiTheme="minorHAnsi" w:hAnsiTheme="minorHAnsi"/>
                <w:b/>
                <w:lang w:val="fr-CH"/>
              </w:rPr>
              <w:t xml:space="preserve">après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la réunion de la Commission d'étud</w:t>
            </w:r>
            <w:r w:rsidR="0070129E" w:rsidRPr="00170D27">
              <w:rPr>
                <w:rFonts w:asciiTheme="minorHAnsi" w:hAnsiTheme="minorHAnsi"/>
                <w:b/>
                <w:lang w:val="fr-CH"/>
              </w:rPr>
              <w:t>es 17 de l'UIT-T (Genève, 20-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29 mars 2018)</w:t>
            </w:r>
          </w:p>
        </w:tc>
      </w:tr>
    </w:tbl>
    <w:p w:rsidR="00517A03" w:rsidRPr="00170D27" w:rsidRDefault="00517A03" w:rsidP="007A59EC">
      <w:pPr>
        <w:spacing w:before="240"/>
        <w:rPr>
          <w:rFonts w:asciiTheme="minorHAnsi" w:hAnsiTheme="minorHAnsi"/>
          <w:lang w:val="fr-CH"/>
        </w:rPr>
      </w:pPr>
      <w:bookmarkStart w:id="1" w:name="StartTyping_F"/>
      <w:bookmarkEnd w:id="1"/>
      <w:r w:rsidRPr="00170D27">
        <w:rPr>
          <w:rFonts w:asciiTheme="minorHAnsi" w:hAnsiTheme="minorHAnsi"/>
          <w:lang w:val="fr-CH"/>
        </w:rPr>
        <w:t>Madame, Monsieur,</w:t>
      </w:r>
    </w:p>
    <w:p w:rsidR="00043E08" w:rsidRPr="00170D27" w:rsidRDefault="00D63003" w:rsidP="00987D60">
      <w:pPr>
        <w:spacing w:after="240"/>
        <w:rPr>
          <w:rFonts w:asciiTheme="minorHAnsi" w:hAnsiTheme="minorHAnsi"/>
          <w:bCs/>
          <w:lang w:val="fr-CH"/>
        </w:rPr>
      </w:pPr>
      <w:r w:rsidRPr="00170D27">
        <w:rPr>
          <w:rFonts w:asciiTheme="minorHAnsi" w:hAnsiTheme="minorHAnsi"/>
          <w:bCs/>
          <w:lang w:val="fr-CH"/>
        </w:rPr>
        <w:t>1</w:t>
      </w:r>
      <w:r w:rsidRPr="00170D27">
        <w:rPr>
          <w:rFonts w:asciiTheme="minorHAnsi" w:hAnsiTheme="minorHAnsi"/>
          <w:bCs/>
          <w:lang w:val="fr-CH"/>
        </w:rPr>
        <w:tab/>
      </w:r>
      <w:r w:rsidR="00043E08" w:rsidRPr="00170D27">
        <w:rPr>
          <w:rFonts w:asciiTheme="minorHAnsi" w:hAnsiTheme="minorHAnsi"/>
          <w:bCs/>
          <w:lang w:val="fr-CH"/>
        </w:rPr>
        <w:t xml:space="preserve">Suite à la </w:t>
      </w:r>
      <w:hyperlink r:id="rId10" w:history="1">
        <w:r w:rsidR="00043E08" w:rsidRPr="00170D27">
          <w:rPr>
            <w:rStyle w:val="Hyperlink"/>
            <w:rFonts w:asciiTheme="minorHAnsi" w:hAnsiTheme="minorHAnsi"/>
            <w:bCs/>
            <w:lang w:val="fr-CH"/>
          </w:rPr>
          <w:t>Circulaire TSB 53</w:t>
        </w:r>
      </w:hyperlink>
      <w:r w:rsidR="00043E08" w:rsidRPr="00170D27">
        <w:rPr>
          <w:rFonts w:asciiTheme="minorHAnsi" w:hAnsiTheme="minorHAnsi"/>
          <w:bCs/>
          <w:lang w:val="fr-CH"/>
        </w:rPr>
        <w:t xml:space="preserve"> du 11 octobre, et conformément au</w:t>
      </w:r>
      <w:r w:rsidR="00A742CC" w:rsidRPr="00170D27">
        <w:rPr>
          <w:rFonts w:asciiTheme="minorHAnsi" w:hAnsiTheme="minorHAnsi"/>
          <w:bCs/>
          <w:lang w:val="fr-CH"/>
        </w:rPr>
        <w:t xml:space="preserve"> § 9.5 de la Résolution 1 (Rév.</w:t>
      </w:r>
      <w:r w:rsidR="00043E08" w:rsidRPr="00170D27">
        <w:rPr>
          <w:rFonts w:asciiTheme="minorHAnsi" w:hAnsiTheme="minorHAnsi"/>
          <w:bCs/>
          <w:lang w:val="fr-CH"/>
        </w:rPr>
        <w:t xml:space="preserve">Hammamet, 2016) de l'AMNT, j'ai l'honneur de vous informer que la Commission d'études 17 </w:t>
      </w:r>
      <w:r w:rsidR="0070129E" w:rsidRPr="00170D27">
        <w:rPr>
          <w:rFonts w:asciiTheme="minorHAnsi" w:hAnsiTheme="minorHAnsi"/>
          <w:bCs/>
          <w:lang w:val="fr-CH"/>
        </w:rPr>
        <w:t xml:space="preserve">de l'UIT-T </w:t>
      </w:r>
      <w:r w:rsidR="00043E08" w:rsidRPr="00170D27">
        <w:rPr>
          <w:rFonts w:asciiTheme="minorHAnsi" w:hAnsiTheme="minorHAnsi"/>
          <w:bCs/>
          <w:lang w:val="fr-CH"/>
        </w:rPr>
        <w:t>est parvenue, durant sa séance plénière qui s'est tenue le 29 mars 2018, aux décisions suivantes concernant les projets de Recommandation UIT-T mentionnés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51"/>
        <w:gridCol w:w="1172"/>
      </w:tblGrid>
      <w:tr w:rsidR="00043E08" w:rsidRPr="00170D27" w:rsidTr="004E34B4">
        <w:trPr>
          <w:cantSplit/>
          <w:tblHeader/>
          <w:jc w:val="center"/>
        </w:trPr>
        <w:tc>
          <w:tcPr>
            <w:tcW w:w="1689" w:type="dxa"/>
            <w:vAlign w:val="center"/>
          </w:tcPr>
          <w:p w:rsidR="00043E08" w:rsidRPr="00170D27" w:rsidRDefault="00043E08" w:rsidP="007A59EC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Numéro</w:t>
            </w:r>
          </w:p>
        </w:tc>
        <w:tc>
          <w:tcPr>
            <w:tcW w:w="7125" w:type="dxa"/>
            <w:vAlign w:val="center"/>
          </w:tcPr>
          <w:p w:rsidR="00043E08" w:rsidRPr="00170D27" w:rsidRDefault="00043E08" w:rsidP="007A59EC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Titre</w:t>
            </w:r>
          </w:p>
        </w:tc>
        <w:tc>
          <w:tcPr>
            <w:tcW w:w="1172" w:type="dxa"/>
            <w:vAlign w:val="center"/>
          </w:tcPr>
          <w:p w:rsidR="00043E08" w:rsidRPr="00170D27" w:rsidRDefault="00043E08" w:rsidP="007A59EC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Décision</w:t>
            </w:r>
          </w:p>
        </w:tc>
      </w:tr>
      <w:tr w:rsidR="00043E08" w:rsidRPr="00170D27" w:rsidTr="004E34B4">
        <w:trPr>
          <w:cantSplit/>
          <w:jc w:val="center"/>
        </w:trPr>
        <w:tc>
          <w:tcPr>
            <w:tcW w:w="1689" w:type="dxa"/>
            <w:vAlign w:val="center"/>
          </w:tcPr>
          <w:p w:rsidR="00043E08" w:rsidRPr="00170D27" w:rsidRDefault="00043E08" w:rsidP="007A59EC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>UIT-T X.1214</w:t>
            </w:r>
            <w:r w:rsidRPr="00170D27">
              <w:rPr>
                <w:lang w:val="fr-CH"/>
              </w:rPr>
              <w:br/>
              <w:t>(anciennement X.samtn)</w:t>
            </w:r>
          </w:p>
        </w:tc>
        <w:tc>
          <w:tcPr>
            <w:tcW w:w="7125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b/>
                <w:color w:val="800000"/>
                <w:sz w:val="22"/>
                <w:highlight w:val="yellow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Techniques d'évaluation de la sécurité dans le</w:t>
            </w:r>
            <w:r w:rsidR="00955CD5">
              <w:rPr>
                <w:rFonts w:asciiTheme="minorHAnsi" w:hAnsiTheme="minorHAnsi"/>
                <w:lang w:val="fr-CH"/>
              </w:rPr>
              <w:t>s</w:t>
            </w:r>
            <w:r w:rsidRPr="00170D27">
              <w:rPr>
                <w:rFonts w:asciiTheme="minorHAnsi" w:hAnsiTheme="minorHAnsi"/>
                <w:lang w:val="fr-CH"/>
              </w:rPr>
              <w:t>s réseaux de télécommunication/TIC</w:t>
            </w:r>
          </w:p>
        </w:tc>
        <w:tc>
          <w:tcPr>
            <w:tcW w:w="1172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lang w:val="fr-CH"/>
              </w:rPr>
            </w:pPr>
            <w:r w:rsidRPr="00170D27">
              <w:rPr>
                <w:lang w:val="fr-CH"/>
              </w:rPr>
              <w:t>Approuvé</w:t>
            </w:r>
          </w:p>
        </w:tc>
      </w:tr>
      <w:tr w:rsidR="00043E08" w:rsidRPr="00170D27" w:rsidTr="004E34B4">
        <w:trPr>
          <w:cantSplit/>
          <w:jc w:val="center"/>
        </w:trPr>
        <w:tc>
          <w:tcPr>
            <w:tcW w:w="1689" w:type="dxa"/>
            <w:vAlign w:val="center"/>
          </w:tcPr>
          <w:p w:rsidR="00043E08" w:rsidRPr="00170D27" w:rsidRDefault="00043E08" w:rsidP="007A59EC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>UIT-T X.1331</w:t>
            </w:r>
            <w:r w:rsidRPr="00170D27">
              <w:rPr>
                <w:lang w:val="fr-CH"/>
              </w:rPr>
              <w:br/>
              <w:t>(anciennement X.sgsec-2)</w:t>
            </w:r>
          </w:p>
        </w:tc>
        <w:tc>
          <w:tcPr>
            <w:tcW w:w="7125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rFonts w:asciiTheme="minorHAnsi" w:hAnsiTheme="minorHAnsi"/>
                <w:b/>
                <w:bCs/>
                <w:lang w:val="fr-CH"/>
              </w:rPr>
            </w:pPr>
            <w:r w:rsidRPr="00170D27">
              <w:rPr>
                <w:rFonts w:asciiTheme="minorHAnsi" w:hAnsiTheme="minorHAnsi"/>
                <w:bCs/>
                <w:lang w:val="fr-CH"/>
              </w:rPr>
              <w:t>Directives de sécurité pour les dispositifs de réseaux domestiques (HAN) dans les réseaux électriques intelligents</w:t>
            </w:r>
          </w:p>
        </w:tc>
        <w:tc>
          <w:tcPr>
            <w:tcW w:w="1172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lang w:val="fr-CH"/>
              </w:rPr>
            </w:pPr>
            <w:r w:rsidRPr="00170D27">
              <w:rPr>
                <w:lang w:val="fr-CH"/>
              </w:rPr>
              <w:t>Approuvé</w:t>
            </w:r>
          </w:p>
        </w:tc>
      </w:tr>
      <w:tr w:rsidR="00043E08" w:rsidRPr="00170D27" w:rsidTr="004E34B4">
        <w:trPr>
          <w:cantSplit/>
          <w:jc w:val="center"/>
        </w:trPr>
        <w:tc>
          <w:tcPr>
            <w:tcW w:w="1689" w:type="dxa"/>
            <w:vAlign w:val="center"/>
          </w:tcPr>
          <w:p w:rsidR="00043E08" w:rsidRPr="00170D27" w:rsidRDefault="00043E08" w:rsidP="007A59EC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>UIT-T X.1603</w:t>
            </w:r>
            <w:r w:rsidRPr="00170D27">
              <w:rPr>
                <w:lang w:val="fr-CH"/>
              </w:rPr>
              <w:br/>
              <w:t>(anciennement X.dsms)</w:t>
            </w:r>
          </w:p>
        </w:tc>
        <w:tc>
          <w:tcPr>
            <w:tcW w:w="7125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b/>
                <w:bCs/>
                <w:highlight w:val="yellow"/>
                <w:lang w:val="fr-CH"/>
              </w:rPr>
            </w:pPr>
            <w:r w:rsidRPr="00170D27">
              <w:rPr>
                <w:rFonts w:asciiTheme="minorHAnsi" w:hAnsiTheme="minorHAnsi"/>
                <w:bCs/>
                <w:lang w:val="fr-CH"/>
              </w:rPr>
              <w:t xml:space="preserve">Exigences de sécurité des données pour le service de surveillance de l'informatique en nuage </w:t>
            </w:r>
          </w:p>
        </w:tc>
        <w:tc>
          <w:tcPr>
            <w:tcW w:w="1172" w:type="dxa"/>
            <w:vAlign w:val="center"/>
          </w:tcPr>
          <w:p w:rsidR="00043E08" w:rsidRPr="00170D27" w:rsidRDefault="00043E08" w:rsidP="007A59EC">
            <w:pPr>
              <w:pStyle w:val="Tabletext0"/>
              <w:rPr>
                <w:lang w:val="fr-CH"/>
              </w:rPr>
            </w:pPr>
            <w:r w:rsidRPr="00170D27">
              <w:rPr>
                <w:lang w:val="fr-CH"/>
              </w:rPr>
              <w:t>Approuvé</w:t>
            </w:r>
          </w:p>
        </w:tc>
      </w:tr>
    </w:tbl>
    <w:p w:rsidR="00043E08" w:rsidRPr="00170D27" w:rsidRDefault="00043E08" w:rsidP="007A59EC">
      <w:pPr>
        <w:rPr>
          <w:rFonts w:asciiTheme="minorHAnsi" w:hAnsiTheme="minorHAnsi"/>
          <w:bCs/>
          <w:lang w:val="fr-CH"/>
        </w:rPr>
      </w:pPr>
    </w:p>
    <w:p w:rsidR="00043E08" w:rsidRPr="00170D27" w:rsidRDefault="00043E08" w:rsidP="00A742CC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lastRenderedPageBreak/>
        <w:t>2</w:t>
      </w:r>
      <w:r w:rsidRPr="00170D27">
        <w:rPr>
          <w:rFonts w:asciiTheme="minorHAnsi" w:hAnsiTheme="minorHAnsi"/>
          <w:lang w:val="fr-CH"/>
        </w:rPr>
        <w:tab/>
        <w:t xml:space="preserve">Les renseignements existants sur les brevets sont accessibles en ligne sur le site </w:t>
      </w:r>
      <w:hyperlink r:id="rId11" w:history="1">
        <w:r w:rsidRPr="00170D27">
          <w:rPr>
            <w:rStyle w:val="Hyperlink"/>
            <w:rFonts w:asciiTheme="minorHAnsi" w:hAnsiTheme="minorHAnsi"/>
            <w:lang w:val="fr-CH"/>
          </w:rPr>
          <w:t>web de l'UIT-T</w:t>
        </w:r>
      </w:hyperlink>
      <w:r w:rsidRPr="00170D27">
        <w:rPr>
          <w:rFonts w:asciiTheme="minorHAnsi" w:hAnsiTheme="minorHAnsi"/>
          <w:lang w:val="fr-CH"/>
        </w:rPr>
        <w:t>.</w:t>
      </w:r>
    </w:p>
    <w:p w:rsidR="00043E08" w:rsidRPr="00170D27" w:rsidRDefault="00043E08" w:rsidP="00A742CC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3</w:t>
      </w:r>
      <w:r w:rsidRPr="00170D27">
        <w:rPr>
          <w:rFonts w:asciiTheme="minorHAnsi" w:hAnsiTheme="minorHAnsi"/>
          <w:lang w:val="fr-CH"/>
        </w:rPr>
        <w:tab/>
        <w:t xml:space="preserve">Les versions prépubliées de ces Recommandations seront prochainement disponibles sur le site web de l'UIT-T à l'adresse: </w:t>
      </w:r>
      <w:hyperlink r:id="rId12" w:history="1">
        <w:r w:rsidRPr="00170D27">
          <w:rPr>
            <w:rStyle w:val="Hyperlink"/>
            <w:rFonts w:asciiTheme="minorHAnsi" w:hAnsiTheme="minorHAnsi"/>
            <w:lang w:val="fr-CH"/>
          </w:rPr>
          <w:t>http://itu.int/itu-t/recommendations/</w:t>
        </w:r>
      </w:hyperlink>
      <w:r w:rsidRPr="00170D27">
        <w:rPr>
          <w:rFonts w:asciiTheme="minorHAnsi" w:hAnsiTheme="minorHAnsi"/>
          <w:lang w:val="fr-CH"/>
        </w:rPr>
        <w:t xml:space="preserve">. </w:t>
      </w:r>
    </w:p>
    <w:p w:rsidR="00043E08" w:rsidRPr="00170D27" w:rsidRDefault="00043E08" w:rsidP="00A742CC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bCs/>
          <w:lang w:val="fr-CH"/>
        </w:rPr>
        <w:t>4</w:t>
      </w:r>
      <w:r w:rsidRPr="00170D27">
        <w:rPr>
          <w:rFonts w:asciiTheme="minorHAnsi" w:hAnsiTheme="minorHAnsi"/>
          <w:lang w:val="fr-CH"/>
        </w:rPr>
        <w:tab/>
        <w:t>L'UIT publiera ces Recommandations dès que possible.</w:t>
      </w:r>
    </w:p>
    <w:p w:rsidR="00043E08" w:rsidRPr="00170D27" w:rsidRDefault="00043E08" w:rsidP="00A742CC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043E08" w:rsidRPr="00170D27" w:rsidRDefault="00043E08" w:rsidP="007A59EC">
      <w:pPr>
        <w:spacing w:before="240"/>
        <w:rPr>
          <w:rFonts w:asciiTheme="minorHAnsi" w:hAnsiTheme="minorHAnsi"/>
          <w:i/>
          <w:iCs/>
          <w:lang w:val="fr-CH"/>
        </w:rPr>
      </w:pPr>
      <w:bookmarkStart w:id="2" w:name="_GoBack"/>
      <w:r w:rsidRPr="00170D27">
        <w:rPr>
          <w:rFonts w:asciiTheme="minorHAnsi" w:hAnsiTheme="minorHAnsi"/>
          <w:i/>
          <w:iCs/>
          <w:lang w:val="fr-CH"/>
        </w:rPr>
        <w:t>(</w:t>
      </w:r>
      <w:proofErr w:type="gramStart"/>
      <w:r w:rsidRPr="00170D27">
        <w:rPr>
          <w:rFonts w:asciiTheme="minorHAnsi" w:hAnsiTheme="minorHAnsi"/>
          <w:i/>
          <w:iCs/>
          <w:lang w:val="fr-CH"/>
        </w:rPr>
        <w:t>signé</w:t>
      </w:r>
      <w:proofErr w:type="gramEnd"/>
      <w:r w:rsidRPr="00170D27">
        <w:rPr>
          <w:rFonts w:asciiTheme="minorHAnsi" w:hAnsiTheme="minorHAnsi"/>
          <w:i/>
          <w:iCs/>
          <w:lang w:val="fr-CH"/>
        </w:rPr>
        <w:t>)</w:t>
      </w:r>
    </w:p>
    <w:bookmarkEnd w:id="2"/>
    <w:p w:rsidR="00D63003" w:rsidRPr="00170D27" w:rsidRDefault="00043E08" w:rsidP="007A59EC">
      <w:pPr>
        <w:spacing w:before="360"/>
        <w:ind w:right="-284"/>
        <w:rPr>
          <w:lang w:val="fr-CH"/>
        </w:rPr>
      </w:pPr>
      <w:proofErr w:type="spellStart"/>
      <w:r w:rsidRPr="00170D27">
        <w:rPr>
          <w:rFonts w:asciiTheme="minorHAnsi" w:hAnsiTheme="minorHAnsi"/>
          <w:lang w:val="fr-CH"/>
        </w:rPr>
        <w:t>Chaesub</w:t>
      </w:r>
      <w:proofErr w:type="spellEnd"/>
      <w:r w:rsidRPr="00170D27">
        <w:rPr>
          <w:rFonts w:asciiTheme="minorHAnsi" w:hAnsiTheme="minorHAnsi"/>
          <w:lang w:val="fr-CH"/>
        </w:rPr>
        <w:t xml:space="preserve"> Lee</w:t>
      </w:r>
      <w:r w:rsidRPr="00170D27">
        <w:rPr>
          <w:rFonts w:asciiTheme="minorHAnsi" w:hAnsiTheme="minorHAnsi"/>
          <w:lang w:val="fr-CH"/>
        </w:rPr>
        <w:br/>
        <w:t xml:space="preserve">Directeur du Bureau de la normalisation </w:t>
      </w:r>
      <w:r w:rsidRPr="00170D27">
        <w:rPr>
          <w:rFonts w:asciiTheme="minorHAnsi" w:hAnsiTheme="minorHAnsi"/>
          <w:lang w:val="fr-CH"/>
        </w:rPr>
        <w:br/>
        <w:t>des télécommunications</w:t>
      </w:r>
      <w:r w:rsidRPr="00170D27">
        <w:rPr>
          <w:rFonts w:asciiTheme="minorHAnsi" w:hAnsiTheme="minorHAnsi"/>
          <w:b/>
          <w:lang w:val="fr-CH"/>
        </w:rPr>
        <w:t xml:space="preserve"> </w:t>
      </w:r>
    </w:p>
    <w:sectPr w:rsidR="00D63003" w:rsidRPr="00170D27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2" w:rsidRDefault="007D5702">
      <w:r>
        <w:separator/>
      </w:r>
    </w:p>
  </w:endnote>
  <w:endnote w:type="continuationSeparator" w:id="0">
    <w:p w:rsidR="007D5702" w:rsidRDefault="007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1B0B58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1B0B58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br/>
      <w:t>Tél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>.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>: +41 22 730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 xml:space="preserve"> 5111 • Fax: +41 22 733 7256 • C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ourriel: </w:t>
    </w:r>
    <w:hyperlink r:id="rId1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2" w:rsidRDefault="007D5702">
      <w:r>
        <w:t>____________________</w:t>
      </w:r>
    </w:p>
  </w:footnote>
  <w:footnote w:type="continuationSeparator" w:id="0">
    <w:p w:rsidR="007D5702" w:rsidRDefault="007D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987D60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9821B9" w:rsidP="00987D60">
    <w:pPr>
      <w:pStyle w:val="Header"/>
      <w:spacing w:after="360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70129E">
      <w:rPr>
        <w:rFonts w:asciiTheme="minorHAnsi" w:hAnsiTheme="minorHAnsi"/>
        <w:noProof/>
        <w:sz w:val="18"/>
        <w:szCs w:val="16"/>
      </w:rPr>
      <w:t>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2519E"/>
    <w:rsid w:val="00035B43"/>
    <w:rsid w:val="00043E08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0D27"/>
    <w:rsid w:val="00173738"/>
    <w:rsid w:val="001B0B58"/>
    <w:rsid w:val="001B79A3"/>
    <w:rsid w:val="001D3816"/>
    <w:rsid w:val="00207FA2"/>
    <w:rsid w:val="002152A3"/>
    <w:rsid w:val="002E395D"/>
    <w:rsid w:val="003131F0"/>
    <w:rsid w:val="00324012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635D6"/>
    <w:rsid w:val="004977C9"/>
    <w:rsid w:val="004B732E"/>
    <w:rsid w:val="004C038A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68DA"/>
    <w:rsid w:val="00697BC1"/>
    <w:rsid w:val="006A0341"/>
    <w:rsid w:val="006A6FFE"/>
    <w:rsid w:val="006B2E1F"/>
    <w:rsid w:val="006C5A91"/>
    <w:rsid w:val="0070129E"/>
    <w:rsid w:val="00716BBC"/>
    <w:rsid w:val="007321BC"/>
    <w:rsid w:val="00760063"/>
    <w:rsid w:val="00775E4B"/>
    <w:rsid w:val="0079553B"/>
    <w:rsid w:val="00795679"/>
    <w:rsid w:val="007A40FE"/>
    <w:rsid w:val="007A59EC"/>
    <w:rsid w:val="007D5702"/>
    <w:rsid w:val="00810105"/>
    <w:rsid w:val="008157E0"/>
    <w:rsid w:val="00854E1D"/>
    <w:rsid w:val="00887FA6"/>
    <w:rsid w:val="008C4397"/>
    <w:rsid w:val="008C465A"/>
    <w:rsid w:val="008F2C9B"/>
    <w:rsid w:val="00923CD6"/>
    <w:rsid w:val="00925FE6"/>
    <w:rsid w:val="00935AA8"/>
    <w:rsid w:val="00955CD5"/>
    <w:rsid w:val="00971C9A"/>
    <w:rsid w:val="009821B9"/>
    <w:rsid w:val="00983606"/>
    <w:rsid w:val="00987D60"/>
    <w:rsid w:val="009C40B4"/>
    <w:rsid w:val="009D51FA"/>
    <w:rsid w:val="009F1E23"/>
    <w:rsid w:val="00A15179"/>
    <w:rsid w:val="00A51537"/>
    <w:rsid w:val="00A5280F"/>
    <w:rsid w:val="00A60FC1"/>
    <w:rsid w:val="00A742CC"/>
    <w:rsid w:val="00A97C37"/>
    <w:rsid w:val="00AC37B5"/>
    <w:rsid w:val="00AD752F"/>
    <w:rsid w:val="00AF08A4"/>
    <w:rsid w:val="00AF2DA3"/>
    <w:rsid w:val="00B27B41"/>
    <w:rsid w:val="00B42659"/>
    <w:rsid w:val="00B65D26"/>
    <w:rsid w:val="00B8573E"/>
    <w:rsid w:val="00BB24C0"/>
    <w:rsid w:val="00BD4D1F"/>
    <w:rsid w:val="00C26F2E"/>
    <w:rsid w:val="00C302E3"/>
    <w:rsid w:val="00C45376"/>
    <w:rsid w:val="00C9028F"/>
    <w:rsid w:val="00CA0416"/>
    <w:rsid w:val="00CA20EF"/>
    <w:rsid w:val="00CB10D2"/>
    <w:rsid w:val="00CB1125"/>
    <w:rsid w:val="00CD042E"/>
    <w:rsid w:val="00CF2560"/>
    <w:rsid w:val="00CF5B46"/>
    <w:rsid w:val="00D46B68"/>
    <w:rsid w:val="00D542A5"/>
    <w:rsid w:val="00D63003"/>
    <w:rsid w:val="00DC3D47"/>
    <w:rsid w:val="00DD77DA"/>
    <w:rsid w:val="00E06C61"/>
    <w:rsid w:val="00E13DB3"/>
    <w:rsid w:val="00E23F04"/>
    <w:rsid w:val="00E2408B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43E08"/>
    <w:pPr>
      <w:ind w:left="720"/>
      <w:contextualSpacing/>
    </w:pPr>
  </w:style>
  <w:style w:type="paragraph" w:customStyle="1" w:styleId="Tabletext0">
    <w:name w:val="Table_text"/>
    <w:basedOn w:val="Normal"/>
    <w:rsid w:val="00043E0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43E0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T17-TSB-CIR-00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9C0D-0FE5-464F-A8B8-0CC884A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8</TotalTime>
  <Pages>2</Pages>
  <Words>303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2401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5</cp:revision>
  <cp:lastPrinted>2018-04-20T14:58:00Z</cp:lastPrinted>
  <dcterms:created xsi:type="dcterms:W3CDTF">2018-04-17T07:16:00Z</dcterms:created>
  <dcterms:modified xsi:type="dcterms:W3CDTF">2018-04-20T14:59:00Z</dcterms:modified>
</cp:coreProperties>
</file>