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9035AF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9035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A15845" w:rsidRPr="00A15845" w:rsidTr="009A0741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8872C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924" w:type="pct"/>
          </w:tcPr>
          <w:p w:rsidR="00A15845" w:rsidRPr="00A15845" w:rsidRDefault="00A15845" w:rsidP="008872C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280" w:type="pct"/>
          </w:tcPr>
          <w:p w:rsidR="00A15845" w:rsidRPr="00A15845" w:rsidRDefault="00425492" w:rsidP="008872C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46744">
              <w:rPr>
                <w:rFonts w:eastAsiaTheme="minorEastAsia"/>
                <w:lang w:eastAsia="zh-CN"/>
              </w:rPr>
              <w:t>27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46744"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</w:tc>
      </w:tr>
      <w:tr w:rsidR="00140308" w:rsidRPr="00A15845" w:rsidTr="009A0741">
        <w:trPr>
          <w:cantSplit/>
          <w:trHeight w:val="340"/>
        </w:trPr>
        <w:tc>
          <w:tcPr>
            <w:tcW w:w="796" w:type="pct"/>
          </w:tcPr>
          <w:p w:rsidR="00140308" w:rsidRPr="00A15845" w:rsidRDefault="00140308" w:rsidP="0034674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924" w:type="pct"/>
          </w:tcPr>
          <w:p w:rsidR="00140308" w:rsidRPr="009A0741" w:rsidRDefault="00140308" w:rsidP="0067299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auto"/>
              <w:jc w:val="left"/>
              <w:rPr>
                <w:rFonts w:eastAsiaTheme="minorEastAsia"/>
                <w:b/>
                <w:spacing w:val="-8"/>
                <w:rtl/>
                <w:lang w:eastAsia="zh-CN" w:bidi="ar-EG"/>
              </w:rPr>
            </w:pPr>
            <w:r w:rsidRPr="009A0741">
              <w:rPr>
                <w:rFonts w:eastAsiaTheme="minorEastAsia" w:hint="cs"/>
                <w:bCs/>
                <w:spacing w:val="-8"/>
                <w:rtl/>
                <w:lang w:eastAsia="zh-CN" w:bidi="ar-SY"/>
              </w:rPr>
              <w:t>الإضافة</w:t>
            </w:r>
            <w:r w:rsidRPr="009A0741">
              <w:rPr>
                <w:rFonts w:eastAsiaTheme="minorEastAsia" w:hint="cs"/>
                <w:b/>
                <w:spacing w:val="-8"/>
                <w:rtl/>
                <w:lang w:eastAsia="zh-CN" w:bidi="ar-SY"/>
              </w:rPr>
              <w:t xml:space="preserve"> </w:t>
            </w:r>
            <w:r w:rsidRPr="009A0741">
              <w:rPr>
                <w:rFonts w:eastAsiaTheme="minorEastAsia"/>
                <w:b/>
                <w:spacing w:val="-8"/>
                <w:lang w:eastAsia="zh-CN" w:bidi="ar-SY"/>
              </w:rPr>
              <w:t>1</w:t>
            </w:r>
            <w:r w:rsidRPr="009A0741">
              <w:rPr>
                <w:rFonts w:eastAsiaTheme="minorEastAsia" w:hint="cs"/>
                <w:b/>
                <w:spacing w:val="-8"/>
                <w:rtl/>
                <w:lang w:eastAsia="zh-CN" w:bidi="ar-EG"/>
              </w:rPr>
              <w:t xml:space="preserve"> </w:t>
            </w:r>
            <w:r w:rsidRPr="009A0741">
              <w:rPr>
                <w:rFonts w:eastAsiaTheme="minorEastAsia" w:hint="cs"/>
                <w:bCs/>
                <w:spacing w:val="-8"/>
                <w:rtl/>
                <w:lang w:eastAsia="zh-CN" w:bidi="ar-EG"/>
              </w:rPr>
              <w:t>للرسالة المعممة</w:t>
            </w:r>
            <w:r w:rsidRPr="009A0741">
              <w:rPr>
                <w:rFonts w:eastAsiaTheme="minorEastAsia" w:hint="cs"/>
                <w:b/>
                <w:spacing w:val="-8"/>
                <w:rtl/>
                <w:lang w:eastAsia="zh-CN" w:bidi="ar-EG"/>
              </w:rPr>
              <w:t xml:space="preserve"> </w:t>
            </w:r>
            <w:r w:rsidRPr="009A0741">
              <w:rPr>
                <w:rFonts w:eastAsiaTheme="minorEastAsia"/>
                <w:b/>
                <w:spacing w:val="-8"/>
                <w:lang w:eastAsia="zh-CN" w:bidi="ar-SY"/>
              </w:rPr>
              <w:t>TSB</w:t>
            </w:r>
            <w:r w:rsidRPr="009A0741">
              <w:rPr>
                <w:rFonts w:eastAsiaTheme="minorEastAsia"/>
                <w:b/>
                <w:spacing w:val="-8"/>
              </w:rPr>
              <w:t> </w:t>
            </w:r>
            <w:r w:rsidRPr="009A0741">
              <w:rPr>
                <w:rFonts w:eastAsiaTheme="minorEastAsia"/>
                <w:b/>
                <w:spacing w:val="-8"/>
                <w:lang w:eastAsia="zh-CN" w:bidi="ar-SY"/>
              </w:rPr>
              <w:t>Circular 84</w:t>
            </w:r>
            <w:r w:rsidRPr="009A0741">
              <w:rPr>
                <w:rFonts w:eastAsiaTheme="minorEastAsia"/>
                <w:b/>
                <w:spacing w:val="-8"/>
                <w:lang w:eastAsia="zh-CN" w:bidi="ar-SY"/>
              </w:rPr>
              <w:br/>
            </w:r>
            <w:r w:rsidRPr="006C1A64">
              <w:rPr>
                <w:rFonts w:eastAsiaTheme="minorEastAsia"/>
                <w:bCs/>
                <w:lang w:eastAsia="zh-CN" w:bidi="ar-SY"/>
              </w:rPr>
              <w:t>TSB Events/DA</w:t>
            </w:r>
          </w:p>
        </w:tc>
        <w:tc>
          <w:tcPr>
            <w:tcW w:w="2280" w:type="pct"/>
            <w:vMerge w:val="restart"/>
            <w:shd w:val="clear" w:color="auto" w:fill="auto"/>
          </w:tcPr>
          <w:p w:rsidR="00140308" w:rsidRPr="00346744" w:rsidRDefault="00140308" w:rsidP="00346744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346744">
              <w:rPr>
                <w:rFonts w:hint="cs"/>
                <w:b/>
                <w:bCs/>
                <w:rtl/>
              </w:rPr>
              <w:t>إلى:</w:t>
            </w:r>
          </w:p>
          <w:p w:rsidR="00140308" w:rsidRPr="00346744" w:rsidRDefault="00140308" w:rsidP="0034674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</w:r>
            <w:r w:rsidRPr="00346744">
              <w:rPr>
                <w:rFonts w:hint="cs"/>
                <w:rtl/>
              </w:rPr>
              <w:t>إدارات الدول الأعضاء في الاتحاد</w:t>
            </w:r>
            <w:r w:rsidRPr="00346744">
              <w:rPr>
                <w:rFonts w:hint="cs"/>
                <w:rtl/>
                <w:lang w:bidi="ar-EG"/>
              </w:rPr>
              <w:t>؛</w:t>
            </w:r>
          </w:p>
          <w:p w:rsidR="00140308" w:rsidRPr="00346744" w:rsidRDefault="00140308" w:rsidP="0034674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</w:r>
            <w:r w:rsidRPr="00346744">
              <w:rPr>
                <w:rFonts w:hint="cs"/>
                <w:rtl/>
                <w:lang w:bidi="ar-EG"/>
              </w:rPr>
              <w:t>أعضاء قطاع تقييس الاتصالات في الاتحاد؛</w:t>
            </w:r>
          </w:p>
          <w:p w:rsidR="00140308" w:rsidRPr="00346744" w:rsidRDefault="00140308" w:rsidP="0034674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</w:r>
            <w:r w:rsidRPr="00346744">
              <w:rPr>
                <w:rFonts w:hint="cs"/>
                <w:rtl/>
              </w:rPr>
              <w:t>المنتسبين إلى قطاع تقييس الاتصالات؛</w:t>
            </w:r>
          </w:p>
          <w:p w:rsidR="00140308" w:rsidRPr="00346744" w:rsidRDefault="00140308" w:rsidP="00346744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</w:r>
            <w:r w:rsidRPr="00346744">
              <w:rPr>
                <w:rFonts w:hint="cs"/>
                <w:rtl/>
              </w:rPr>
              <w:t>الهيئات الأكاديمية المنضمة إلى</w:t>
            </w:r>
            <w:r w:rsidRPr="00346744">
              <w:rPr>
                <w:rFonts w:hint="cs"/>
                <w:rtl/>
                <w:lang w:bidi="ar-EG"/>
              </w:rPr>
              <w:t xml:space="preserve"> الاتحاد</w:t>
            </w:r>
          </w:p>
          <w:p w:rsidR="00140308" w:rsidRPr="00346744" w:rsidRDefault="00140308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346744">
              <w:rPr>
                <w:rFonts w:hint="cs"/>
                <w:b/>
                <w:bCs/>
                <w:rtl/>
              </w:rPr>
              <w:t>نسخة إلى:</w:t>
            </w:r>
          </w:p>
          <w:p w:rsidR="00140308" w:rsidRPr="009A0741" w:rsidRDefault="00140308" w:rsidP="0070694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spacing w:val="-4"/>
                <w:rtl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</w:r>
            <w:r w:rsidR="0070694C">
              <w:rPr>
                <w:rFonts w:hint="cs"/>
                <w:spacing w:val="-4"/>
                <w:rtl/>
              </w:rPr>
              <w:t>رؤساء لجان دراسات قطاع</w:t>
            </w:r>
            <w:r w:rsidRPr="009A0741">
              <w:rPr>
                <w:rFonts w:hint="cs"/>
                <w:spacing w:val="-4"/>
                <w:rtl/>
                <w:lang w:bidi="ar-EG"/>
              </w:rPr>
              <w:t xml:space="preserve"> تقييس الاتصالات ونوابهم</w:t>
            </w:r>
            <w:r w:rsidRPr="009A0741">
              <w:rPr>
                <w:rFonts w:hint="cs"/>
                <w:spacing w:val="-4"/>
                <w:rtl/>
              </w:rPr>
              <w:t>؛</w:t>
            </w:r>
          </w:p>
          <w:p w:rsidR="00140308" w:rsidRPr="00346744" w:rsidRDefault="00140308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  <w:t>مدير مكتب تنمية الاتصالات</w:t>
            </w:r>
            <w:r w:rsidRPr="00346744">
              <w:rPr>
                <w:rFonts w:hint="cs"/>
                <w:rtl/>
              </w:rPr>
              <w:t>؛</w:t>
            </w:r>
          </w:p>
          <w:p w:rsidR="00140308" w:rsidRPr="00346744" w:rsidRDefault="00140308" w:rsidP="0009088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lang w:bidi="ar-EG"/>
              </w:rPr>
            </w:pPr>
            <w:r w:rsidRPr="00346744">
              <w:rPr>
                <w:rFonts w:hint="cs"/>
                <w:rtl/>
              </w:rPr>
              <w:t>-</w:t>
            </w:r>
            <w:r w:rsidRPr="00346744">
              <w:rPr>
                <w:rtl/>
              </w:rPr>
              <w:tab/>
              <w:t>مدير مكتب الاتصالات الراديوية</w:t>
            </w:r>
          </w:p>
        </w:tc>
      </w:tr>
      <w:tr w:rsidR="00140308" w:rsidRPr="00A15845" w:rsidTr="009A0741">
        <w:trPr>
          <w:cantSplit/>
          <w:trHeight w:val="340"/>
        </w:trPr>
        <w:tc>
          <w:tcPr>
            <w:tcW w:w="796" w:type="pct"/>
          </w:tcPr>
          <w:p w:rsidR="00140308" w:rsidRPr="0033723B" w:rsidRDefault="00140308" w:rsidP="0034674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auto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33723B"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924" w:type="pct"/>
          </w:tcPr>
          <w:p w:rsidR="00140308" w:rsidRPr="0033723B" w:rsidRDefault="00140308" w:rsidP="00F932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auto"/>
              <w:jc w:val="left"/>
              <w:rPr>
                <w:rFonts w:eastAsiaTheme="minorEastAsia"/>
                <w:lang w:eastAsia="zh-CN" w:bidi="ar-SY"/>
              </w:rPr>
            </w:pPr>
            <w:r w:rsidRPr="0033723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دنيس أندريف </w:t>
            </w:r>
            <w:r w:rsidRPr="0033723B">
              <w:rPr>
                <w:rFonts w:eastAsiaTheme="minorEastAsia"/>
                <w:b/>
                <w:bCs/>
                <w:lang w:eastAsia="zh-CN" w:bidi="ar-SY"/>
              </w:rPr>
              <w:t>(Denis</w:t>
            </w:r>
            <w:r w:rsidR="00F932E2">
              <w:rPr>
                <w:rFonts w:eastAsiaTheme="minorEastAsia"/>
                <w:b/>
                <w:bCs/>
                <w:lang w:eastAsia="zh-CN" w:bidi="ar-SY"/>
              </w:rPr>
              <w:t> </w:t>
            </w:r>
            <w:r w:rsidRPr="0033723B">
              <w:rPr>
                <w:rFonts w:eastAsiaTheme="minorEastAsia"/>
                <w:b/>
                <w:bCs/>
                <w:lang w:eastAsia="zh-CN" w:bidi="ar-SY"/>
              </w:rPr>
              <w:t>Andreev)</w:t>
            </w:r>
          </w:p>
        </w:tc>
        <w:tc>
          <w:tcPr>
            <w:tcW w:w="2280" w:type="pct"/>
            <w:vMerge/>
            <w:shd w:val="clear" w:color="auto" w:fill="auto"/>
          </w:tcPr>
          <w:p w:rsidR="00140308" w:rsidRPr="00346744" w:rsidRDefault="00140308" w:rsidP="0009088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</w:p>
        </w:tc>
      </w:tr>
      <w:tr w:rsidR="00140308" w:rsidRPr="00A15845" w:rsidTr="009A0741">
        <w:trPr>
          <w:cantSplit/>
          <w:trHeight w:val="340"/>
        </w:trPr>
        <w:tc>
          <w:tcPr>
            <w:tcW w:w="796" w:type="pct"/>
          </w:tcPr>
          <w:p w:rsidR="00140308" w:rsidRPr="00A15845" w:rsidRDefault="00140308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924" w:type="pct"/>
          </w:tcPr>
          <w:p w:rsidR="00140308" w:rsidRPr="00A15845" w:rsidRDefault="00140308" w:rsidP="0034674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280" w:type="pct"/>
            <w:vMerge/>
            <w:shd w:val="clear" w:color="auto" w:fill="auto"/>
          </w:tcPr>
          <w:p w:rsidR="00140308" w:rsidRPr="00346744" w:rsidRDefault="00140308" w:rsidP="0009088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</w:p>
        </w:tc>
      </w:tr>
      <w:tr w:rsidR="00140308" w:rsidRPr="00A15845" w:rsidTr="009A0741">
        <w:trPr>
          <w:cantSplit/>
          <w:trHeight w:val="340"/>
        </w:trPr>
        <w:tc>
          <w:tcPr>
            <w:tcW w:w="796" w:type="pct"/>
          </w:tcPr>
          <w:p w:rsidR="00140308" w:rsidRPr="00A15845" w:rsidRDefault="00140308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924" w:type="pct"/>
          </w:tcPr>
          <w:p w:rsidR="00140308" w:rsidRPr="00A15845" w:rsidRDefault="00140308" w:rsidP="0034674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280" w:type="pct"/>
            <w:vMerge/>
            <w:shd w:val="clear" w:color="auto" w:fill="auto"/>
          </w:tcPr>
          <w:p w:rsidR="00140308" w:rsidRPr="00346744" w:rsidRDefault="00140308" w:rsidP="0009088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</w:p>
        </w:tc>
      </w:tr>
      <w:tr w:rsidR="00140308" w:rsidRPr="00A15845" w:rsidTr="009A0741">
        <w:trPr>
          <w:cantSplit/>
        </w:trPr>
        <w:tc>
          <w:tcPr>
            <w:tcW w:w="796" w:type="pct"/>
          </w:tcPr>
          <w:p w:rsidR="00140308" w:rsidRPr="00A15845" w:rsidRDefault="00140308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924" w:type="pct"/>
          </w:tcPr>
          <w:p w:rsidR="00140308" w:rsidRPr="00A15845" w:rsidRDefault="00183FFC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40308" w:rsidRPr="00E52B2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280" w:type="pct"/>
            <w:vMerge/>
            <w:shd w:val="clear" w:color="auto" w:fill="auto"/>
          </w:tcPr>
          <w:p w:rsidR="00140308" w:rsidRPr="00346744" w:rsidRDefault="00140308" w:rsidP="009A074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9A0741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92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8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346744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33723B">
              <w:rPr>
                <w:rFonts w:eastAsiaTheme="minorEastAsia" w:hint="cs"/>
                <w:b/>
                <w:bCs/>
                <w:rtl/>
                <w:lang w:eastAsia="zh-CN"/>
              </w:rPr>
              <w:t>ورشة عمل ينظمها الاتحاد بشأن ال</w:t>
            </w:r>
            <w:r w:rsidRPr="0033723B">
              <w:rPr>
                <w:rFonts w:eastAsiaTheme="minorEastAsia" w:hint="cs"/>
                <w:b/>
                <w:bCs/>
                <w:rtl/>
                <w:lang w:eastAsia="zh-CN" w:bidi="ar-EG"/>
              </w:rPr>
              <w:t>ن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ُ</w:t>
            </w:r>
            <w:r w:rsidRPr="0033723B">
              <w:rPr>
                <w:rFonts w:eastAsiaTheme="minorEastAsia" w:hint="cs"/>
                <w:b/>
                <w:bCs/>
                <w:rtl/>
                <w:lang w:eastAsia="zh-CN" w:bidi="ar-EG"/>
              </w:rPr>
              <w:t>ه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ُ</w:t>
            </w:r>
            <w:r w:rsidRPr="0033723B">
              <w:rPr>
                <w:rFonts w:eastAsiaTheme="minorEastAsia" w:hint="cs"/>
                <w:b/>
                <w:bCs/>
                <w:rtl/>
                <w:lang w:eastAsia="zh-CN" w:bidi="ar-EG"/>
              </w:rPr>
              <w:t>ج العالمية لمكافحة أجهزة تكنولوجيا المعلومات والاتصالات المزيفة والمسروقة (</w:t>
            </w:r>
            <w:r w:rsidRPr="0033723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سويسرا، </w:t>
            </w:r>
            <w:r w:rsidRPr="0033723B">
              <w:rPr>
                <w:rFonts w:eastAsiaTheme="minorEastAsia"/>
                <w:b/>
                <w:bCs/>
                <w:lang w:eastAsia="zh-CN"/>
              </w:rPr>
              <w:t>23</w:t>
            </w:r>
            <w:r w:rsidRPr="0033723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يوليو </w:t>
            </w:r>
            <w:r w:rsidRPr="0033723B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33723B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8127B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46744" w:rsidRPr="007B1987" w:rsidRDefault="00346744" w:rsidP="00EA4BF4">
      <w:pPr>
        <w:rPr>
          <w:rFonts w:eastAsiaTheme="minorEastAsia"/>
          <w:rtl/>
          <w:lang w:eastAsia="zh-CN"/>
        </w:rPr>
      </w:pPr>
      <w:r w:rsidRPr="007D5B57">
        <w:rPr>
          <w:rFonts w:eastAsiaTheme="minorEastAsia" w:hint="cs"/>
          <w:spacing w:val="-2"/>
          <w:rtl/>
          <w:lang w:eastAsia="zh-CN"/>
        </w:rPr>
        <w:t xml:space="preserve">يُرجى الإحاطة علماً بأن </w:t>
      </w:r>
      <w:r w:rsidRPr="007D5B57">
        <w:rPr>
          <w:rFonts w:eastAsiaTheme="minorEastAsia" w:hint="cs"/>
          <w:b/>
          <w:bCs/>
          <w:spacing w:val="-2"/>
          <w:rtl/>
          <w:lang w:eastAsia="zh-CN"/>
        </w:rPr>
        <w:t>ورشة العمل</w:t>
      </w:r>
      <w:r w:rsidRPr="007D5B57">
        <w:rPr>
          <w:rFonts w:eastAsiaTheme="minorEastAsia" w:hint="cs"/>
          <w:spacing w:val="-2"/>
          <w:rtl/>
          <w:lang w:eastAsia="zh-CN"/>
        </w:rPr>
        <w:t xml:space="preserve"> </w:t>
      </w:r>
      <w:r w:rsidRPr="007D5B57">
        <w:rPr>
          <w:rFonts w:eastAsiaTheme="minorEastAsia" w:hint="cs"/>
          <w:b/>
          <w:bCs/>
          <w:spacing w:val="-2"/>
          <w:rtl/>
          <w:lang w:eastAsia="zh-CN"/>
        </w:rPr>
        <w:t>بشأن ال</w:t>
      </w:r>
      <w:r w:rsidRPr="007D5B57">
        <w:rPr>
          <w:rFonts w:eastAsiaTheme="minorEastAsia" w:hint="cs"/>
          <w:b/>
          <w:bCs/>
          <w:spacing w:val="-2"/>
          <w:rtl/>
          <w:lang w:eastAsia="zh-CN" w:bidi="ar-EG"/>
        </w:rPr>
        <w:t xml:space="preserve">نُهُج العالمية لمكافحة أجهزة تكنولوجيا المعلومات والاتصالات المزيفة والمسروقة </w:t>
      </w:r>
      <w:r w:rsidRPr="007B1987">
        <w:rPr>
          <w:rFonts w:eastAsiaTheme="minorEastAsia" w:hint="cs"/>
          <w:b/>
          <w:bCs/>
          <w:rtl/>
          <w:lang w:eastAsia="zh-CN" w:bidi="ar-EG"/>
        </w:rPr>
        <w:t xml:space="preserve">(جنيف، </w:t>
      </w:r>
      <w:r w:rsidRPr="007B1987">
        <w:rPr>
          <w:rFonts w:eastAsiaTheme="minorEastAsia"/>
          <w:b/>
          <w:bCs/>
          <w:lang w:eastAsia="zh-CN" w:bidi="ar-EG"/>
        </w:rPr>
        <w:t>23</w:t>
      </w:r>
      <w:r w:rsidRPr="007B1987">
        <w:rPr>
          <w:rFonts w:eastAsiaTheme="minorEastAsia" w:hint="cs"/>
          <w:b/>
          <w:bCs/>
          <w:rtl/>
          <w:lang w:eastAsia="zh-CN" w:bidi="ar-EG"/>
        </w:rPr>
        <w:t xml:space="preserve"> يوليو </w:t>
      </w:r>
      <w:r w:rsidRPr="007B1987">
        <w:rPr>
          <w:rFonts w:eastAsiaTheme="minorEastAsia"/>
          <w:b/>
          <w:bCs/>
          <w:lang w:eastAsia="zh-CN" w:bidi="ar-EG"/>
        </w:rPr>
        <w:t>2018</w:t>
      </w:r>
      <w:r w:rsidRPr="007B1987">
        <w:rPr>
          <w:rFonts w:eastAsiaTheme="minorEastAsia" w:hint="cs"/>
          <w:b/>
          <w:bCs/>
          <w:rtl/>
          <w:lang w:eastAsia="zh-CN" w:bidi="ar-EG"/>
        </w:rPr>
        <w:t xml:space="preserve">) </w:t>
      </w:r>
      <w:r w:rsidRPr="007B1987">
        <w:rPr>
          <w:rFonts w:eastAsiaTheme="minorEastAsia" w:hint="cs"/>
          <w:rtl/>
          <w:lang w:eastAsia="zh-CN" w:bidi="ar-EG"/>
        </w:rPr>
        <w:t>ستركز على الشواغل التي أثارتها الدول الأعضاء في الاتحاد خلال دورة مجلس الاتحاد لعام</w:t>
      </w:r>
      <w:r w:rsidR="007D5B57" w:rsidRPr="007B1987">
        <w:rPr>
          <w:rFonts w:eastAsiaTheme="minorEastAsia" w:hint="eastAsia"/>
          <w:rtl/>
          <w:lang w:eastAsia="zh-CN" w:bidi="ar-EG"/>
        </w:rPr>
        <w:t> </w:t>
      </w:r>
      <w:r w:rsidRPr="007B1987">
        <w:rPr>
          <w:rFonts w:eastAsiaTheme="minorEastAsia"/>
          <w:lang w:val="fr-CH" w:eastAsia="zh-CN" w:bidi="ar-EG"/>
        </w:rPr>
        <w:t>2018</w:t>
      </w:r>
      <w:r w:rsidRPr="007B1987">
        <w:rPr>
          <w:rFonts w:eastAsiaTheme="minorEastAsia" w:hint="cs"/>
          <w:rtl/>
          <w:lang w:eastAsia="zh-CN" w:bidi="ar-EG"/>
        </w:rPr>
        <w:t xml:space="preserve"> بشأن التلاعب بمعرفات الهوية الفريدة لأجهزة الاتصالات المستعملة في أجهزة تكنولوجيا المعلومات والاتصالات مثل</w:t>
      </w:r>
      <w:r w:rsidR="007D5B57" w:rsidRPr="007B1987">
        <w:rPr>
          <w:rFonts w:eastAsiaTheme="minorEastAsia" w:hint="cs"/>
          <w:rtl/>
          <w:lang w:eastAsia="zh-CN" w:bidi="ar-EG"/>
        </w:rPr>
        <w:t xml:space="preserve"> </w:t>
      </w:r>
      <w:r w:rsidRPr="007B1987">
        <w:rPr>
          <w:rFonts w:eastAsiaTheme="minorEastAsia" w:hint="cs"/>
          <w:rtl/>
          <w:lang w:eastAsia="zh-CN" w:bidi="ar-EG"/>
        </w:rPr>
        <w:t>الهوية الدولية للمعدات المتنقلة</w:t>
      </w:r>
      <w:r w:rsidR="00EA4BF4" w:rsidRPr="007B1987">
        <w:rPr>
          <w:rFonts w:eastAsiaTheme="minorEastAsia" w:hint="eastAsia"/>
          <w:rtl/>
          <w:lang w:eastAsia="zh-CN" w:bidi="ar-EG"/>
        </w:rPr>
        <w:t> </w:t>
      </w:r>
      <w:r w:rsidRPr="007B1987">
        <w:rPr>
          <w:rFonts w:eastAsiaTheme="minorEastAsia"/>
          <w:lang w:val="fr-CH" w:eastAsia="zh-CN" w:bidi="ar-EG"/>
        </w:rPr>
        <w:t>(IMEI)</w:t>
      </w:r>
      <w:r w:rsidRPr="007B1987">
        <w:rPr>
          <w:rFonts w:eastAsiaTheme="minorEastAsia" w:hint="cs"/>
          <w:rtl/>
          <w:lang w:val="fr-CH" w:eastAsia="zh-CN" w:bidi="ar-EG"/>
        </w:rPr>
        <w:t xml:space="preserve">. وفي هذا الصدد، </w:t>
      </w:r>
      <w:r w:rsidR="00672997" w:rsidRPr="007B1987">
        <w:rPr>
          <w:rFonts w:eastAsiaTheme="minorEastAsia" w:hint="cs"/>
          <w:rtl/>
          <w:lang w:val="fr-CH" w:eastAsia="zh-CN" w:bidi="ar-EG"/>
        </w:rPr>
        <w:t>يعتزم</w:t>
      </w:r>
      <w:r w:rsidRPr="007B1987">
        <w:rPr>
          <w:rFonts w:eastAsiaTheme="minorEastAsia" w:hint="cs"/>
          <w:rtl/>
          <w:lang w:val="fr-CH" w:eastAsia="zh-CN" w:bidi="ar-EG"/>
        </w:rPr>
        <w:t xml:space="preserve"> مناقشة المواضيع التالية ذات الصلة في ورشة العمل:</w:t>
      </w:r>
    </w:p>
    <w:p w:rsidR="00346744" w:rsidRDefault="00346744" w:rsidP="00307803">
      <w:pPr>
        <w:pStyle w:val="enumlev1"/>
        <w:tabs>
          <w:tab w:val="clear" w:pos="794"/>
          <w:tab w:val="left" w:pos="1134"/>
        </w:tabs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  <w:t xml:space="preserve">التلاعب بمعرفات الهوية الدولية للمعدات المتنقلة المستعملة في الأجهزة المتنقلة، </w:t>
      </w:r>
      <w:r w:rsidR="00672997">
        <w:rPr>
          <w:rFonts w:eastAsiaTheme="minorEastAsia" w:hint="cs"/>
          <w:rtl/>
          <w:lang w:eastAsia="zh-CN"/>
        </w:rPr>
        <w:t>وتقليدها</w:t>
      </w:r>
      <w:r w:rsidR="00307803">
        <w:rPr>
          <w:rFonts w:eastAsiaTheme="minorEastAsia" w:hint="cs"/>
          <w:rtl/>
          <w:lang w:eastAsia="zh-CN"/>
        </w:rPr>
        <w:t>؛</w:t>
      </w:r>
    </w:p>
    <w:p w:rsidR="00346744" w:rsidRDefault="00346744" w:rsidP="00307803">
      <w:pPr>
        <w:pStyle w:val="enumlev1"/>
        <w:tabs>
          <w:tab w:val="clear" w:pos="794"/>
          <w:tab w:val="left" w:pos="1134"/>
        </w:tabs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  <w:t>التحديات الرئيسية التي يواجهها مشغلو الاتصالات والمنظمون وموردو تكنولوجيا المعلومات والاتصالات الذين يصنّعون أجهزة طرفية أصلية</w:t>
      </w:r>
      <w:r w:rsidR="00672997">
        <w:rPr>
          <w:rFonts w:eastAsiaTheme="minorEastAsia" w:hint="cs"/>
          <w:rtl/>
          <w:lang w:eastAsia="zh-CN"/>
        </w:rPr>
        <w:t>،</w:t>
      </w:r>
      <w:r>
        <w:rPr>
          <w:rFonts w:eastAsiaTheme="minorEastAsia" w:hint="cs"/>
          <w:rtl/>
          <w:lang w:eastAsia="zh-CN"/>
        </w:rPr>
        <w:t xml:space="preserve"> عند استعمال معرفات هوية موجودة لأجهزة تكنولوجيا المعلومات والاتصالات، بما</w:t>
      </w:r>
      <w:r w:rsidR="008E7BAC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في</w:t>
      </w:r>
      <w:r w:rsidR="008E7BAC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 xml:space="preserve">ذلك قضايا تتعلق باستنساخ معرفات الهوية والتلاعب بها </w:t>
      </w:r>
      <w:r w:rsidR="00672997">
        <w:rPr>
          <w:rFonts w:eastAsiaTheme="minorEastAsia" w:hint="cs"/>
          <w:rtl/>
          <w:lang w:eastAsia="zh-CN"/>
        </w:rPr>
        <w:t>وتقليدها</w:t>
      </w:r>
      <w:r w:rsidR="00307803">
        <w:rPr>
          <w:rFonts w:eastAsiaTheme="minorEastAsia" w:hint="cs"/>
          <w:rtl/>
          <w:lang w:eastAsia="zh-CN"/>
        </w:rPr>
        <w:t>؛</w:t>
      </w:r>
    </w:p>
    <w:p w:rsidR="00346744" w:rsidRDefault="00346744" w:rsidP="00672997">
      <w:pPr>
        <w:pStyle w:val="enumlev1"/>
        <w:tabs>
          <w:tab w:val="clear" w:pos="794"/>
          <w:tab w:val="left" w:pos="1134"/>
        </w:tabs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  <w:t xml:space="preserve">أنظمة التعرف على الهوية، التي تُستعمل حالياً لمكافحة أجهزة تكنولوجيا المعلومات والاتصالات المزيفة والمسروقة، ومناقشة أهمية معرفات الهوية الموثوقة والفريدة لأجهزة تكنولوجيا المعلومات والاتصالات من أجل </w:t>
      </w:r>
      <w:r w:rsidR="00672997">
        <w:rPr>
          <w:rFonts w:eastAsiaTheme="minorEastAsia" w:hint="cs"/>
          <w:rtl/>
          <w:lang w:eastAsia="zh-CN"/>
        </w:rPr>
        <w:t>هذه ال</w:t>
      </w:r>
      <w:r>
        <w:rPr>
          <w:rFonts w:eastAsiaTheme="minorEastAsia" w:hint="cs"/>
          <w:rtl/>
          <w:lang w:eastAsia="zh-CN"/>
        </w:rPr>
        <w:t>مهام؛</w:t>
      </w:r>
    </w:p>
    <w:p w:rsidR="00346744" w:rsidRDefault="00346744" w:rsidP="00672997">
      <w:pPr>
        <w:pStyle w:val="enumlev1"/>
        <w:tabs>
          <w:tab w:val="clear" w:pos="794"/>
          <w:tab w:val="left" w:pos="1134"/>
        </w:tabs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  <w:t xml:space="preserve">أنظمة التعرف على الهوية، التي تضمن </w:t>
      </w:r>
      <w:r w:rsidR="00672997">
        <w:rPr>
          <w:rFonts w:eastAsiaTheme="minorEastAsia" w:hint="cs"/>
          <w:rtl/>
          <w:lang w:eastAsia="zh-CN"/>
        </w:rPr>
        <w:t>إمكانية تخزين</w:t>
      </w:r>
      <w:r>
        <w:rPr>
          <w:rFonts w:eastAsiaTheme="minorEastAsia" w:hint="cs"/>
          <w:rtl/>
          <w:lang w:eastAsia="zh-CN"/>
        </w:rPr>
        <w:t xml:space="preserve"> معرفات الهوية الموجودة بشكل آمن في </w:t>
      </w:r>
      <w:r w:rsidR="00672997">
        <w:rPr>
          <w:rFonts w:eastAsiaTheme="minorEastAsia" w:hint="cs"/>
          <w:rtl/>
          <w:lang w:eastAsia="zh-CN"/>
        </w:rPr>
        <w:t>ال</w:t>
      </w:r>
      <w:r>
        <w:rPr>
          <w:rFonts w:eastAsiaTheme="minorEastAsia" w:hint="cs"/>
          <w:rtl/>
          <w:lang w:eastAsia="zh-CN"/>
        </w:rPr>
        <w:t xml:space="preserve">أجهزة وجعلها عصية </w:t>
      </w:r>
      <w:r w:rsidR="00672997">
        <w:rPr>
          <w:rFonts w:eastAsiaTheme="minorEastAsia" w:hint="cs"/>
          <w:rtl/>
          <w:lang w:eastAsia="zh-CN"/>
        </w:rPr>
        <w:t xml:space="preserve">على </w:t>
      </w:r>
      <w:r>
        <w:rPr>
          <w:rFonts w:eastAsiaTheme="minorEastAsia" w:hint="cs"/>
          <w:rtl/>
          <w:lang w:eastAsia="zh-CN"/>
        </w:rPr>
        <w:t>التلاعب بها</w:t>
      </w:r>
      <w:r w:rsidR="00672997">
        <w:rPr>
          <w:rFonts w:eastAsiaTheme="minorEastAsia" w:hint="cs"/>
          <w:rtl/>
          <w:lang w:eastAsia="zh-CN"/>
        </w:rPr>
        <w:t>،</w:t>
      </w:r>
      <w:r>
        <w:rPr>
          <w:rFonts w:eastAsiaTheme="minorEastAsia" w:hint="cs"/>
          <w:rtl/>
          <w:lang w:eastAsia="zh-CN"/>
        </w:rPr>
        <w:t xml:space="preserve"> وتنفيذ وسائل كشف </w:t>
      </w:r>
      <w:r w:rsidR="00672997">
        <w:rPr>
          <w:rFonts w:eastAsiaTheme="minorEastAsia" w:hint="cs"/>
          <w:rtl/>
          <w:lang w:eastAsia="zh-CN"/>
        </w:rPr>
        <w:t>الأجهزة المستنسخة</w:t>
      </w:r>
      <w:r>
        <w:rPr>
          <w:rFonts w:eastAsiaTheme="minorEastAsia" w:hint="cs"/>
          <w:rtl/>
          <w:lang w:eastAsia="zh-CN"/>
        </w:rPr>
        <w:t xml:space="preserve"> وتمييزها عن الأجهزة الأصلية؛</w:t>
      </w:r>
    </w:p>
    <w:p w:rsidR="00346744" w:rsidRPr="00346744" w:rsidRDefault="00346744" w:rsidP="005C7829">
      <w:pPr>
        <w:pStyle w:val="enumlev1"/>
        <w:tabs>
          <w:tab w:val="clear" w:pos="794"/>
          <w:tab w:val="left" w:pos="1134"/>
        </w:tabs>
        <w:rPr>
          <w:rFonts w:eastAsiaTheme="minorEastAsia"/>
        </w:rPr>
      </w:pPr>
      <w:r w:rsidRPr="00346744">
        <w:rPr>
          <w:rFonts w:eastAsiaTheme="minorEastAsia" w:hint="cs"/>
          <w:rtl/>
        </w:rPr>
        <w:lastRenderedPageBreak/>
        <w:t>-</w:t>
      </w:r>
      <w:r w:rsidRPr="00346744">
        <w:rPr>
          <w:rFonts w:eastAsiaTheme="minorEastAsia" w:hint="cs"/>
          <w:rtl/>
        </w:rPr>
        <w:tab/>
        <w:t>خطة عمل بشأن وضع حلول تق</w:t>
      </w:r>
      <w:bookmarkStart w:id="0" w:name="_GoBack"/>
      <w:bookmarkEnd w:id="0"/>
      <w:r w:rsidRPr="00346744">
        <w:rPr>
          <w:rFonts w:eastAsiaTheme="minorEastAsia" w:hint="cs"/>
          <w:rtl/>
        </w:rPr>
        <w:t xml:space="preserve">نية محتملة لمعالجة مشاكل </w:t>
      </w:r>
      <w:r w:rsidR="00672997">
        <w:rPr>
          <w:rFonts w:eastAsiaTheme="minorEastAsia" w:hint="cs"/>
          <w:rtl/>
        </w:rPr>
        <w:t xml:space="preserve">تقليد </w:t>
      </w:r>
      <w:r w:rsidRPr="00346744">
        <w:rPr>
          <w:rFonts w:eastAsiaTheme="minorEastAsia" w:hint="cs"/>
          <w:rtl/>
        </w:rPr>
        <w:t>معرفات الهوية الفريدة لأجهزة تكنولوجيا المعلومات والاتصالات</w:t>
      </w:r>
      <w:r w:rsidR="00672997">
        <w:rPr>
          <w:rFonts w:eastAsiaTheme="minorEastAsia" w:hint="cs"/>
          <w:rtl/>
        </w:rPr>
        <w:t xml:space="preserve"> واستنساخها والتلاعب بها،</w:t>
      </w:r>
      <w:r w:rsidRPr="00346744">
        <w:rPr>
          <w:rFonts w:eastAsiaTheme="minorEastAsia" w:hint="cs"/>
          <w:rtl/>
        </w:rPr>
        <w:t xml:space="preserve"> </w:t>
      </w:r>
      <w:r w:rsidR="00672997">
        <w:rPr>
          <w:rFonts w:eastAsiaTheme="minorEastAsia" w:hint="cs"/>
          <w:rtl/>
        </w:rPr>
        <w:t xml:space="preserve">بغية مكافحة </w:t>
      </w:r>
      <w:r w:rsidRPr="00346744">
        <w:rPr>
          <w:rFonts w:eastAsiaTheme="minorEastAsia" w:hint="cs"/>
          <w:rtl/>
        </w:rPr>
        <w:t>أجهزة تكنولوجيا المعلومات والاتصالات المزيفة والمسروقة.</w:t>
      </w:r>
    </w:p>
    <w:p w:rsidR="00346744" w:rsidRDefault="00672997" w:rsidP="0067299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line="240" w:lineRule="aut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</w:t>
      </w:r>
      <w:r w:rsidR="00346744">
        <w:rPr>
          <w:rFonts w:eastAsiaTheme="minorEastAsia" w:hint="cs"/>
          <w:rtl/>
          <w:lang w:eastAsia="zh-CN"/>
        </w:rPr>
        <w:t xml:space="preserve">يمكن </w:t>
      </w:r>
      <w:r>
        <w:rPr>
          <w:rFonts w:eastAsiaTheme="minorEastAsia" w:hint="cs"/>
          <w:rtl/>
          <w:lang w:eastAsia="zh-CN"/>
        </w:rPr>
        <w:t>الاطلاع</w:t>
      </w:r>
      <w:r w:rsidR="00346744">
        <w:rPr>
          <w:rFonts w:eastAsiaTheme="minorEastAsia" w:hint="cs"/>
          <w:rtl/>
          <w:lang w:eastAsia="zh-CN"/>
        </w:rPr>
        <w:t xml:space="preserve"> على جميع المعلومات المتعلقة بورشة العمل </w:t>
      </w:r>
      <w:r>
        <w:rPr>
          <w:rFonts w:eastAsiaTheme="minorEastAsia" w:hint="cs"/>
          <w:rtl/>
          <w:lang w:eastAsia="zh-CN"/>
        </w:rPr>
        <w:t>في</w:t>
      </w:r>
      <w:r w:rsidR="00346744">
        <w:rPr>
          <w:rFonts w:eastAsiaTheme="minorEastAsia" w:hint="cs"/>
          <w:rtl/>
          <w:lang w:eastAsia="zh-CN"/>
        </w:rPr>
        <w:t xml:space="preserve"> </w:t>
      </w:r>
      <w:hyperlink r:id="rId12" w:history="1">
        <w:r w:rsidR="00346744" w:rsidRPr="00672997">
          <w:rPr>
            <w:rStyle w:val="Hyperlink"/>
            <w:rFonts w:eastAsiaTheme="minorEastAsia" w:hint="cs"/>
            <w:rtl/>
            <w:lang w:eastAsia="zh-CN"/>
          </w:rPr>
          <w:t>الموقع</w:t>
        </w:r>
        <w:r w:rsidR="00307803">
          <w:rPr>
            <w:rStyle w:val="Hyperlink"/>
            <w:rFonts w:eastAsiaTheme="minorEastAsia" w:hint="cs"/>
            <w:rtl/>
            <w:lang w:eastAsia="zh-CN"/>
          </w:rPr>
          <w:t xml:space="preserve"> الإ</w:t>
        </w:r>
        <w:r w:rsidR="00346744" w:rsidRPr="00672997">
          <w:rPr>
            <w:rStyle w:val="Hyperlink"/>
            <w:rFonts w:eastAsiaTheme="minorEastAsia" w:hint="cs"/>
            <w:rtl/>
            <w:lang w:eastAsia="zh-CN"/>
          </w:rPr>
          <w:t>لكتروني</w:t>
        </w:r>
      </w:hyperlink>
      <w:r w:rsidR="00346744">
        <w:rPr>
          <w:rFonts w:eastAsiaTheme="minorEastAsia" w:hint="cs"/>
          <w:rtl/>
          <w:lang w:eastAsia="zh-CN"/>
        </w:rPr>
        <w:t>.</w:t>
      </w:r>
    </w:p>
    <w:p w:rsidR="00346744" w:rsidRDefault="00346744" w:rsidP="008127B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أتمنى لكم اجتماعاً مثمراً وممتعاً.</w:t>
      </w:r>
    </w:p>
    <w:p w:rsidR="00A15845" w:rsidRDefault="00A15845" w:rsidP="008127B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346744" w:rsidRPr="0033723B" w:rsidRDefault="00346744" w:rsidP="008127B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 w:line="240" w:lineRule="auto"/>
        <w:jc w:val="left"/>
        <w:rPr>
          <w:rFonts w:eastAsiaTheme="minorEastAsia"/>
          <w:i/>
          <w:iCs/>
          <w:rtl/>
          <w:lang w:eastAsia="zh-CN" w:bidi="ar-EG"/>
        </w:rPr>
      </w:pPr>
      <w:r w:rsidRPr="0033723B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4E4D8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4E4D84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FC" w:rsidRDefault="00183FFC" w:rsidP="00E07379">
      <w:pPr>
        <w:spacing w:before="0" w:line="240" w:lineRule="auto"/>
      </w:pPr>
      <w:r>
        <w:separator/>
      </w:r>
    </w:p>
  </w:endnote>
  <w:endnote w:type="continuationSeparator" w:id="0">
    <w:p w:rsidR="00183FFC" w:rsidRDefault="00183FF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FE0D5C" w:rsidRDefault="00BD0C50" w:rsidP="006202BE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C4" w:rsidRPr="008872C4" w:rsidRDefault="008872C4" w:rsidP="008872C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8872C4">
      <w:rPr>
        <w:rFonts w:cs="Calibri"/>
        <w:noProof/>
        <w:color w:val="0070C0"/>
        <w:sz w:val="18"/>
        <w:szCs w:val="18"/>
        <w:lang w:val="en-GB"/>
      </w:rPr>
      <w:t xml:space="preserve">International Telecommunication Union • Place des Nations 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t>•</w:t>
    </w:r>
    <w:r w:rsidRPr="008872C4">
      <w:rPr>
        <w:rFonts w:cs="Calibri"/>
        <w:noProof/>
        <w:color w:val="0070C0"/>
        <w:sz w:val="18"/>
        <w:szCs w:val="18"/>
        <w:lang w:val="en-GB"/>
      </w:rPr>
      <w:t xml:space="preserve"> CH</w:t>
    </w:r>
    <w:r w:rsidRPr="008872C4">
      <w:rPr>
        <w:rFonts w:cs="Calibri"/>
        <w:noProof/>
        <w:color w:val="0070C0"/>
        <w:sz w:val="18"/>
        <w:szCs w:val="18"/>
        <w:lang w:val="en-GB"/>
      </w:rPr>
      <w:noBreakHyphen/>
      <w:t xml:space="preserve">1211 Geneva 20 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t>•</w:t>
    </w:r>
    <w:r w:rsidRPr="008872C4">
      <w:rPr>
        <w:rFonts w:cs="Calibri"/>
        <w:noProof/>
        <w:color w:val="0070C0"/>
        <w:sz w:val="18"/>
        <w:szCs w:val="18"/>
        <w:lang w:val="en-GB"/>
      </w:rPr>
      <w:t xml:space="preserve"> Switzerland 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br/>
    </w:r>
    <w:r w:rsidRPr="008872C4">
      <w:rPr>
        <w:rFonts w:cs="Calibri"/>
        <w:noProof/>
        <w:color w:val="0070C0"/>
        <w:sz w:val="18"/>
        <w:szCs w:val="18"/>
        <w:lang w:val="en-GB"/>
      </w:rPr>
      <w:t>Tel: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t xml:space="preserve"> +41 22 730 5111 • </w:t>
    </w:r>
    <w:r w:rsidRPr="008872C4">
      <w:rPr>
        <w:rFonts w:cs="Calibri"/>
        <w:noProof/>
        <w:color w:val="0070C0"/>
        <w:sz w:val="18"/>
        <w:szCs w:val="18"/>
        <w:lang w:val="en-GB"/>
      </w:rPr>
      <w:t>Fax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t>: +41 22 733 7256 • E-</w:t>
    </w:r>
    <w:r w:rsidRPr="008872C4">
      <w:rPr>
        <w:rFonts w:cs="Calibri"/>
        <w:noProof/>
        <w:color w:val="0070C0"/>
        <w:sz w:val="18"/>
        <w:szCs w:val="18"/>
        <w:lang w:val="en-GB"/>
      </w:rPr>
      <w:t>mail</w:t>
    </w:r>
    <w:r w:rsidRPr="008872C4">
      <w:rPr>
        <w:rFonts w:cs="Calibri"/>
        <w:caps/>
        <w:noProof/>
        <w:color w:val="0070C0"/>
        <w:sz w:val="18"/>
        <w:szCs w:val="18"/>
        <w:lang w:val="en-GB"/>
      </w:rPr>
      <w:t xml:space="preserve">: </w:t>
    </w:r>
    <w:hyperlink r:id="rId1" w:history="1">
      <w:r w:rsidRPr="008872C4">
        <w:rPr>
          <w:rFonts w:cs="Calibri"/>
          <w:noProof/>
          <w:color w:val="0070C0"/>
          <w:sz w:val="18"/>
          <w:szCs w:val="18"/>
          <w:u w:val="single"/>
          <w:lang w:val="en-GB"/>
        </w:rPr>
        <w:t>itumail@itu.int</w:t>
      </w:r>
    </w:hyperlink>
    <w:r w:rsidRPr="008872C4">
      <w:rPr>
        <w:rFonts w:cs="Calibri"/>
        <w:noProof/>
        <w:color w:val="0070C0"/>
        <w:sz w:val="18"/>
        <w:szCs w:val="18"/>
        <w:lang w:val="en-GB"/>
      </w:rPr>
      <w:t xml:space="preserve"> • </w:t>
    </w:r>
    <w:hyperlink r:id="rId2" w:history="1">
      <w:r w:rsidRPr="008872C4">
        <w:rPr>
          <w:rFonts w:cs="Calibri"/>
          <w:noProof/>
          <w:color w:val="0070C0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FC" w:rsidRDefault="00183FFC" w:rsidP="00E07379">
      <w:pPr>
        <w:spacing w:before="0" w:line="240" w:lineRule="auto"/>
      </w:pPr>
      <w:r>
        <w:separator/>
      </w:r>
    </w:p>
  </w:footnote>
  <w:footnote w:type="continuationSeparator" w:id="0">
    <w:p w:rsidR="00183FFC" w:rsidRDefault="00183FF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6202BE" w:rsidRDefault="00A73377" w:rsidP="00FE0D5C">
    <w:pPr>
      <w:spacing w:after="240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6202BE">
      <w:rPr>
        <w:rStyle w:val="PageNumber"/>
        <w:rFonts w:cs="Calibri"/>
        <w:sz w:val="18"/>
        <w:szCs w:val="18"/>
      </w:rPr>
      <w:fldChar w:fldCharType="begin"/>
    </w:r>
    <w:r w:rsidR="0022345D" w:rsidRPr="006202BE">
      <w:rPr>
        <w:rStyle w:val="PageNumber"/>
        <w:rFonts w:cs="Calibri"/>
        <w:sz w:val="18"/>
        <w:szCs w:val="18"/>
      </w:rPr>
      <w:instrText xml:space="preserve"> PAGE </w:instrText>
    </w:r>
    <w:r w:rsidR="0022345D" w:rsidRPr="006202BE">
      <w:rPr>
        <w:rStyle w:val="PageNumber"/>
        <w:rFonts w:cs="Calibri"/>
        <w:sz w:val="18"/>
        <w:szCs w:val="18"/>
      </w:rPr>
      <w:fldChar w:fldCharType="separate"/>
    </w:r>
    <w:r w:rsidR="006202BE">
      <w:rPr>
        <w:rStyle w:val="PageNumber"/>
        <w:noProof/>
        <w:sz w:val="18"/>
        <w:szCs w:val="18"/>
        <w:rtl/>
      </w:rPr>
      <w:t>2</w:t>
    </w:r>
    <w:r w:rsidR="0022345D" w:rsidRPr="006202BE">
      <w:rPr>
        <w:rStyle w:val="PageNumber"/>
        <w:rFonts w:cs="Calibri"/>
        <w:sz w:val="18"/>
        <w:szCs w:val="18"/>
      </w:rPr>
      <w:fldChar w:fldCharType="end"/>
    </w:r>
    <w:r w:rsidRPr="006202BE">
      <w:rPr>
        <w:rStyle w:val="PageNumber"/>
        <w:rFonts w:cs="Calibri"/>
        <w:sz w:val="18"/>
        <w:szCs w:val="18"/>
      </w:rPr>
      <w:t>-</w:t>
    </w:r>
    <w:r w:rsidRPr="00A73377">
      <w:rPr>
        <w:rStyle w:val="PageNumber"/>
        <w:rFonts w:cs="Calibri"/>
      </w:rPr>
      <w:t xml:space="preserve"> </w:t>
    </w:r>
    <w:r>
      <w:rPr>
        <w:rStyle w:val="PageNumber"/>
        <w:rtl/>
      </w:rPr>
      <w:br/>
    </w:r>
    <w:r w:rsidR="00672997" w:rsidRPr="006202B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>الإضافة</w:t>
    </w:r>
    <w:r w:rsidR="00FE0D5C" w:rsidRPr="006202B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> </w:t>
    </w:r>
    <w:r w:rsidR="00672997" w:rsidRPr="006202BE">
      <w:rPr>
        <w:rStyle w:val="PageNumber"/>
        <w:rFonts w:asciiTheme="minorHAnsi" w:hAnsiTheme="minorHAnsi" w:cs="Traditional Arabic"/>
        <w:sz w:val="18"/>
        <w:szCs w:val="18"/>
        <w:lang w:bidi="ar-EG"/>
      </w:rPr>
      <w:t>1</w:t>
    </w:r>
    <w:r w:rsidR="00672997" w:rsidRPr="006202B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</w:t>
    </w:r>
    <w:r w:rsidRPr="006202B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لرسالة المعممة </w:t>
    </w:r>
    <w:r w:rsidR="00672997" w:rsidRPr="006202BE">
      <w:rPr>
        <w:rStyle w:val="PageNumber"/>
        <w:rFonts w:asciiTheme="minorHAnsi" w:hAnsiTheme="minorHAnsi" w:cs="Traditional Arabic"/>
        <w:sz w:val="18"/>
        <w:szCs w:val="18"/>
        <w:lang w:bidi="ar-EG"/>
      </w:rPr>
      <w:t>84</w:t>
    </w:r>
    <w:r w:rsidRPr="006202B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9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40308"/>
    <w:rsid w:val="00173915"/>
    <w:rsid w:val="00183FF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07803"/>
    <w:rsid w:val="0031159C"/>
    <w:rsid w:val="0032063D"/>
    <w:rsid w:val="003231B9"/>
    <w:rsid w:val="003275AC"/>
    <w:rsid w:val="00333D29"/>
    <w:rsid w:val="003409F4"/>
    <w:rsid w:val="0034674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E4D84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7829"/>
    <w:rsid w:val="005D6476"/>
    <w:rsid w:val="005D6C0D"/>
    <w:rsid w:val="005E5283"/>
    <w:rsid w:val="005E58F5"/>
    <w:rsid w:val="00606660"/>
    <w:rsid w:val="006157A3"/>
    <w:rsid w:val="006202BE"/>
    <w:rsid w:val="00620E60"/>
    <w:rsid w:val="0063315A"/>
    <w:rsid w:val="0065591D"/>
    <w:rsid w:val="00662C5A"/>
    <w:rsid w:val="00670AF5"/>
    <w:rsid w:val="00672997"/>
    <w:rsid w:val="006C1556"/>
    <w:rsid w:val="006C1A64"/>
    <w:rsid w:val="006F267F"/>
    <w:rsid w:val="006F63F7"/>
    <w:rsid w:val="006F6F03"/>
    <w:rsid w:val="0070694C"/>
    <w:rsid w:val="00706D7A"/>
    <w:rsid w:val="00726AEC"/>
    <w:rsid w:val="007530CA"/>
    <w:rsid w:val="0079553D"/>
    <w:rsid w:val="007B01CC"/>
    <w:rsid w:val="007B1987"/>
    <w:rsid w:val="007C02C6"/>
    <w:rsid w:val="007D4F32"/>
    <w:rsid w:val="007D5B57"/>
    <w:rsid w:val="007E7C6C"/>
    <w:rsid w:val="007F6238"/>
    <w:rsid w:val="007F646C"/>
    <w:rsid w:val="00801FCD"/>
    <w:rsid w:val="00803D7E"/>
    <w:rsid w:val="00803F08"/>
    <w:rsid w:val="008127BA"/>
    <w:rsid w:val="008235CD"/>
    <w:rsid w:val="00823A07"/>
    <w:rsid w:val="00835FEC"/>
    <w:rsid w:val="008513CB"/>
    <w:rsid w:val="00874D9C"/>
    <w:rsid w:val="00880D13"/>
    <w:rsid w:val="008872C4"/>
    <w:rsid w:val="008A1810"/>
    <w:rsid w:val="008B3C78"/>
    <w:rsid w:val="008B5B5D"/>
    <w:rsid w:val="008E7BAC"/>
    <w:rsid w:val="009035AF"/>
    <w:rsid w:val="00917694"/>
    <w:rsid w:val="009263CD"/>
    <w:rsid w:val="00930E6D"/>
    <w:rsid w:val="00972CA2"/>
    <w:rsid w:val="00982B28"/>
    <w:rsid w:val="00984EA5"/>
    <w:rsid w:val="00992593"/>
    <w:rsid w:val="009A0741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4BF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32E2"/>
    <w:rsid w:val="00FC7B92"/>
    <w:rsid w:val="00FD2867"/>
    <w:rsid w:val="00FD58BD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A73B"/>
  <w15:chartTrackingRefBased/>
  <w15:docId w15:val="{6BCCFAF4-27FF-4FC8-B61A-58138EE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6744"/>
    <w:pPr>
      <w:tabs>
        <w:tab w:val="clear" w:pos="794"/>
        <w:tab w:val="left" w:pos="1134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180723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87FFC2C-B469-4FC8-8454-57E8C657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81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Author</cp:lastModifiedBy>
  <cp:revision>19</cp:revision>
  <cp:lastPrinted>2018-05-07T09:45:00Z</cp:lastPrinted>
  <dcterms:created xsi:type="dcterms:W3CDTF">2018-05-07T08:51:00Z</dcterms:created>
  <dcterms:modified xsi:type="dcterms:W3CDTF">2018-05-23T12:32:00Z</dcterms:modified>
  <cp:category>Conference document</cp:category>
</cp:coreProperties>
</file>