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40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1984"/>
      </w:tblGrid>
      <w:tr w:rsidR="00391379" w:rsidRPr="00CB4DD9" w:rsidTr="00817CC8">
        <w:trPr>
          <w:cantSplit/>
        </w:trPr>
        <w:tc>
          <w:tcPr>
            <w:tcW w:w="1418" w:type="dxa"/>
            <w:vAlign w:val="center"/>
          </w:tcPr>
          <w:p w:rsidR="00391379" w:rsidRPr="00CB4DD9" w:rsidRDefault="00391379" w:rsidP="00817CC8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CB4DD9">
              <w:rPr>
                <w:noProof/>
                <w:lang w:val="en-US" w:eastAsia="zh-CN"/>
              </w:rPr>
              <w:drawing>
                <wp:inline distT="0" distB="0" distL="0" distR="0" wp14:anchorId="652380C7" wp14:editId="1E105113">
                  <wp:extent cx="717701" cy="799465"/>
                  <wp:effectExtent l="0" t="0" r="6350" b="635"/>
                  <wp:docPr id="8" name="Picture 8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:rsidR="00391379" w:rsidRPr="00CB4DD9" w:rsidRDefault="00391379" w:rsidP="00817CC8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CB4DD9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:rsidR="00391379" w:rsidRPr="00CB4DD9" w:rsidRDefault="00391379" w:rsidP="00817CC8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CB4DD9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Oficina de Normalización de las Telecomunicaciones</w:t>
            </w:r>
          </w:p>
        </w:tc>
        <w:tc>
          <w:tcPr>
            <w:tcW w:w="1984" w:type="dxa"/>
            <w:vAlign w:val="center"/>
          </w:tcPr>
          <w:p w:rsidR="00391379" w:rsidRPr="00CB4DD9" w:rsidRDefault="00391379" w:rsidP="00817CC8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</w:tbl>
    <w:p w:rsidR="00391379" w:rsidRPr="00CB4DD9" w:rsidRDefault="00391379" w:rsidP="00303D62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</w:pPr>
    </w:p>
    <w:p w:rsidR="00391379" w:rsidRPr="00CB4DD9" w:rsidRDefault="00391379" w:rsidP="003938D8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</w:pPr>
      <w:r w:rsidRPr="00CB4DD9">
        <w:tab/>
        <w:t>Ginebra,</w:t>
      </w:r>
      <w:r w:rsidRPr="00CB4DD9">
        <w:rPr>
          <w:szCs w:val="24"/>
        </w:rPr>
        <w:t xml:space="preserve"> 15 de marzo de 2018</w:t>
      </w:r>
    </w:p>
    <w:p w:rsidR="00391379" w:rsidRPr="00CB4DD9" w:rsidRDefault="00391379" w:rsidP="00606A0E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6"/>
        <w:gridCol w:w="3821"/>
        <w:gridCol w:w="5306"/>
        <w:gridCol w:w="23"/>
      </w:tblGrid>
      <w:tr w:rsidR="00391379" w:rsidRPr="00CB4DD9" w:rsidTr="001E5FC0">
        <w:trPr>
          <w:cantSplit/>
          <w:trHeight w:val="340"/>
        </w:trPr>
        <w:tc>
          <w:tcPr>
            <w:tcW w:w="1056" w:type="dxa"/>
          </w:tcPr>
          <w:p w:rsidR="00391379" w:rsidRPr="00CB4DD9" w:rsidRDefault="00391379" w:rsidP="00303D62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CB4DD9">
              <w:rPr>
                <w:szCs w:val="24"/>
              </w:rPr>
              <w:t>Ref.:</w:t>
            </w:r>
          </w:p>
          <w:p w:rsidR="00391379" w:rsidRPr="00CB4DD9" w:rsidRDefault="00391379" w:rsidP="00303D62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</w:p>
          <w:p w:rsidR="00391379" w:rsidRPr="00CB4DD9" w:rsidRDefault="00391379" w:rsidP="0044124B">
            <w:pPr>
              <w:tabs>
                <w:tab w:val="left" w:pos="4111"/>
              </w:tabs>
              <w:spacing w:before="60"/>
              <w:ind w:left="57"/>
              <w:rPr>
                <w:szCs w:val="24"/>
              </w:rPr>
            </w:pPr>
          </w:p>
          <w:p w:rsidR="00391379" w:rsidRPr="00CB4DD9" w:rsidRDefault="00391379" w:rsidP="00FF0BD0">
            <w:pPr>
              <w:tabs>
                <w:tab w:val="left" w:pos="4111"/>
              </w:tabs>
              <w:spacing w:before="60"/>
              <w:ind w:left="57"/>
              <w:rPr>
                <w:szCs w:val="24"/>
              </w:rPr>
            </w:pPr>
            <w:r w:rsidRPr="00CB4DD9">
              <w:rPr>
                <w:szCs w:val="24"/>
              </w:rPr>
              <w:t>Contacto:</w:t>
            </w:r>
          </w:p>
          <w:p w:rsidR="00391379" w:rsidRPr="00CB4DD9" w:rsidRDefault="00391379" w:rsidP="00EF37AF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CB4DD9">
              <w:rPr>
                <w:szCs w:val="24"/>
              </w:rPr>
              <w:t>Tel.:</w:t>
            </w:r>
          </w:p>
          <w:p w:rsidR="00391379" w:rsidRPr="00CB4DD9" w:rsidRDefault="00391379" w:rsidP="00EF37AF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CB4DD9">
              <w:rPr>
                <w:szCs w:val="24"/>
              </w:rPr>
              <w:t>Fax:</w:t>
            </w:r>
          </w:p>
        </w:tc>
        <w:tc>
          <w:tcPr>
            <w:tcW w:w="3821" w:type="dxa"/>
          </w:tcPr>
          <w:p w:rsidR="00391379" w:rsidRPr="00CB4DD9" w:rsidRDefault="00391379" w:rsidP="003938D8">
            <w:pPr>
              <w:tabs>
                <w:tab w:val="left" w:pos="4111"/>
              </w:tabs>
              <w:spacing w:before="10"/>
              <w:ind w:left="57"/>
              <w:rPr>
                <w:b/>
                <w:szCs w:val="24"/>
              </w:rPr>
            </w:pPr>
            <w:r w:rsidRPr="00CB4DD9">
              <w:rPr>
                <w:b/>
                <w:szCs w:val="24"/>
              </w:rPr>
              <w:t>Circular TSB 78</w:t>
            </w:r>
          </w:p>
          <w:p w:rsidR="00391379" w:rsidRPr="00CB4DD9" w:rsidRDefault="00391379" w:rsidP="003938D8">
            <w:pPr>
              <w:tabs>
                <w:tab w:val="left" w:pos="4111"/>
              </w:tabs>
              <w:spacing w:before="10"/>
              <w:ind w:left="57"/>
              <w:rPr>
                <w:b/>
                <w:szCs w:val="24"/>
              </w:rPr>
            </w:pPr>
            <w:r w:rsidRPr="00CB4DD9">
              <w:rPr>
                <w:szCs w:val="24"/>
              </w:rPr>
              <w:t xml:space="preserve">TSB </w:t>
            </w:r>
            <w:proofErr w:type="spellStart"/>
            <w:r w:rsidRPr="00CB4DD9">
              <w:rPr>
                <w:szCs w:val="24"/>
              </w:rPr>
              <w:t>Events</w:t>
            </w:r>
            <w:proofErr w:type="spellEnd"/>
            <w:r w:rsidRPr="00CB4DD9">
              <w:rPr>
                <w:szCs w:val="24"/>
              </w:rPr>
              <w:t>/CB</w:t>
            </w:r>
          </w:p>
          <w:p w:rsidR="00391379" w:rsidRPr="00CB4DD9" w:rsidRDefault="00391379" w:rsidP="00FF0BD0">
            <w:pPr>
              <w:tabs>
                <w:tab w:val="left" w:pos="4111"/>
              </w:tabs>
              <w:spacing w:before="60"/>
              <w:ind w:left="57"/>
              <w:rPr>
                <w:b/>
                <w:bCs/>
                <w:szCs w:val="24"/>
              </w:rPr>
            </w:pPr>
          </w:p>
          <w:p w:rsidR="00391379" w:rsidRPr="00CB4DD9" w:rsidRDefault="00391379" w:rsidP="00FF0BD0">
            <w:pPr>
              <w:tabs>
                <w:tab w:val="left" w:pos="4111"/>
              </w:tabs>
              <w:spacing w:before="60"/>
              <w:ind w:left="57"/>
              <w:rPr>
                <w:b/>
                <w:bCs/>
                <w:szCs w:val="24"/>
              </w:rPr>
            </w:pPr>
            <w:r w:rsidRPr="00CB4DD9">
              <w:rPr>
                <w:b/>
                <w:bCs/>
                <w:szCs w:val="24"/>
              </w:rPr>
              <w:t xml:space="preserve">Cristina </w:t>
            </w:r>
            <w:proofErr w:type="spellStart"/>
            <w:r w:rsidRPr="00CB4DD9">
              <w:rPr>
                <w:b/>
                <w:bCs/>
                <w:szCs w:val="24"/>
              </w:rPr>
              <w:t>Bueti</w:t>
            </w:r>
            <w:proofErr w:type="spellEnd"/>
          </w:p>
          <w:p w:rsidR="00391379" w:rsidRDefault="00391379" w:rsidP="003938D8">
            <w:pPr>
              <w:tabs>
                <w:tab w:val="left" w:pos="4111"/>
              </w:tabs>
              <w:spacing w:before="10"/>
              <w:ind w:left="57" w:right="-77"/>
              <w:rPr>
                <w:szCs w:val="24"/>
              </w:rPr>
            </w:pPr>
            <w:r w:rsidRPr="00CB4DD9">
              <w:rPr>
                <w:szCs w:val="24"/>
              </w:rPr>
              <w:t>+41 22 730 6320</w:t>
            </w:r>
            <w:r w:rsidRPr="00CB4DD9">
              <w:rPr>
                <w:szCs w:val="24"/>
              </w:rPr>
              <w:br/>
              <w:t>+41 22 730 5853</w:t>
            </w:r>
          </w:p>
          <w:p w:rsidR="00606A0E" w:rsidRPr="00CB4DD9" w:rsidRDefault="00606A0E" w:rsidP="003938D8">
            <w:pPr>
              <w:tabs>
                <w:tab w:val="left" w:pos="4111"/>
              </w:tabs>
              <w:spacing w:before="10"/>
              <w:ind w:left="57" w:right="-77"/>
              <w:rPr>
                <w:szCs w:val="24"/>
              </w:rPr>
            </w:pPr>
          </w:p>
        </w:tc>
        <w:tc>
          <w:tcPr>
            <w:tcW w:w="5329" w:type="dxa"/>
            <w:gridSpan w:val="2"/>
          </w:tcPr>
          <w:p w:rsidR="00391379" w:rsidRPr="00CB4DD9" w:rsidRDefault="00391379" w:rsidP="00EF37A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27"/>
              <w:rPr>
                <w:rFonts w:eastAsiaTheme="minorEastAsia"/>
                <w:szCs w:val="24"/>
              </w:rPr>
            </w:pPr>
            <w:r w:rsidRPr="00CB4DD9">
              <w:rPr>
                <w:szCs w:val="24"/>
              </w:rPr>
              <w:t>-</w:t>
            </w:r>
            <w:r w:rsidRPr="00CB4DD9">
              <w:rPr>
                <w:szCs w:val="24"/>
              </w:rPr>
              <w:tab/>
            </w:r>
            <w:r w:rsidRPr="00CB4DD9">
              <w:rPr>
                <w:rFonts w:eastAsiaTheme="minorEastAsia"/>
                <w:szCs w:val="24"/>
              </w:rPr>
              <w:t xml:space="preserve">A las Administraciones de los Estados </w:t>
            </w:r>
            <w:r w:rsidRPr="00CB4DD9">
              <w:rPr>
                <w:rFonts w:eastAsiaTheme="minorEastAsia"/>
                <w:szCs w:val="24"/>
              </w:rPr>
              <w:br/>
              <w:t>Miembros de la Unión;</w:t>
            </w:r>
          </w:p>
          <w:p w:rsidR="00391379" w:rsidRPr="00CB4DD9" w:rsidRDefault="00391379" w:rsidP="000244E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27"/>
              <w:rPr>
                <w:rFonts w:eastAsiaTheme="minorEastAsia"/>
                <w:szCs w:val="24"/>
              </w:rPr>
            </w:pPr>
            <w:r w:rsidRPr="00CB4DD9">
              <w:rPr>
                <w:szCs w:val="24"/>
              </w:rPr>
              <w:t>-</w:t>
            </w:r>
            <w:r w:rsidRPr="00CB4DD9">
              <w:rPr>
                <w:szCs w:val="24"/>
              </w:rPr>
              <w:tab/>
            </w:r>
            <w:r w:rsidRPr="00CB4DD9">
              <w:rPr>
                <w:rFonts w:eastAsiaTheme="minorEastAsia"/>
                <w:szCs w:val="24"/>
              </w:rPr>
              <w:t>A los Miembros de Sector del UIT</w:t>
            </w:r>
            <w:r w:rsidRPr="00CB4DD9">
              <w:rPr>
                <w:rFonts w:eastAsiaTheme="minorEastAsia"/>
                <w:szCs w:val="24"/>
              </w:rPr>
              <w:noBreakHyphen/>
              <w:t>T;</w:t>
            </w:r>
          </w:p>
          <w:p w:rsidR="00391379" w:rsidRPr="00CB4DD9" w:rsidRDefault="00391379" w:rsidP="00CC5E9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27"/>
              <w:rPr>
                <w:rFonts w:eastAsiaTheme="minorEastAsia"/>
                <w:szCs w:val="24"/>
              </w:rPr>
            </w:pPr>
            <w:r w:rsidRPr="00CB4DD9">
              <w:rPr>
                <w:szCs w:val="24"/>
              </w:rPr>
              <w:t>-</w:t>
            </w:r>
            <w:r w:rsidRPr="00CB4DD9">
              <w:rPr>
                <w:szCs w:val="24"/>
              </w:rPr>
              <w:tab/>
            </w:r>
            <w:r w:rsidRPr="00CB4DD9">
              <w:rPr>
                <w:rFonts w:eastAsiaTheme="minorEastAsia"/>
                <w:szCs w:val="24"/>
              </w:rPr>
              <w:t>A los Asociados del UIT</w:t>
            </w:r>
            <w:r w:rsidRPr="00CB4DD9">
              <w:rPr>
                <w:rFonts w:eastAsiaTheme="minorEastAsia"/>
                <w:szCs w:val="24"/>
              </w:rPr>
              <w:noBreakHyphen/>
              <w:t xml:space="preserve">T; </w:t>
            </w:r>
          </w:p>
          <w:p w:rsidR="00391379" w:rsidRPr="00CB4DD9" w:rsidRDefault="00391379" w:rsidP="00391379">
            <w:pPr>
              <w:pStyle w:val="ListParagraph"/>
              <w:numPr>
                <w:ilvl w:val="0"/>
                <w:numId w:val="5"/>
              </w:num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hanging="700"/>
              <w:rPr>
                <w:rFonts w:eastAsiaTheme="minorEastAsia"/>
                <w:szCs w:val="24"/>
                <w:lang w:val="es-ES_tradnl"/>
              </w:rPr>
            </w:pPr>
            <w:r w:rsidRPr="00CB4DD9">
              <w:rPr>
                <w:rFonts w:asciiTheme="minorHAnsi" w:eastAsiaTheme="minorEastAsia" w:hAnsiTheme="minorHAnsi"/>
                <w:szCs w:val="24"/>
                <w:lang w:val="es-ES_tradnl"/>
              </w:rPr>
              <w:t>A las Instituciones Académicas de la UIT</w:t>
            </w:r>
          </w:p>
        </w:tc>
      </w:tr>
      <w:tr w:rsidR="00391379" w:rsidRPr="00CB4DD9" w:rsidTr="001E5FC0">
        <w:trPr>
          <w:cantSplit/>
        </w:trPr>
        <w:tc>
          <w:tcPr>
            <w:tcW w:w="1056" w:type="dxa"/>
          </w:tcPr>
          <w:p w:rsidR="00391379" w:rsidRPr="00CB4DD9" w:rsidRDefault="00391379" w:rsidP="00303D62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CB4DD9">
              <w:rPr>
                <w:szCs w:val="24"/>
              </w:rPr>
              <w:t>Correo-e:</w:t>
            </w:r>
          </w:p>
        </w:tc>
        <w:tc>
          <w:tcPr>
            <w:tcW w:w="3821" w:type="dxa"/>
          </w:tcPr>
          <w:p w:rsidR="00391379" w:rsidRPr="00CB4DD9" w:rsidRDefault="009F3926" w:rsidP="003938D8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hyperlink r:id="rId9" w:history="1">
              <w:r w:rsidR="00391379" w:rsidRPr="00CB4DD9">
                <w:rPr>
                  <w:rStyle w:val="Hyperlink"/>
                  <w:szCs w:val="24"/>
                </w:rPr>
                <w:t>cristina.bueti@itu.int</w:t>
              </w:r>
            </w:hyperlink>
            <w:r w:rsidR="00391379" w:rsidRPr="00CB4DD9">
              <w:rPr>
                <w:szCs w:val="24"/>
              </w:rPr>
              <w:t xml:space="preserve"> </w:t>
            </w:r>
          </w:p>
        </w:tc>
        <w:tc>
          <w:tcPr>
            <w:tcW w:w="5329" w:type="dxa"/>
            <w:gridSpan w:val="2"/>
          </w:tcPr>
          <w:p w:rsidR="00391379" w:rsidRPr="00CB4DD9" w:rsidRDefault="00391379" w:rsidP="00303D62">
            <w:pPr>
              <w:tabs>
                <w:tab w:val="left" w:pos="4111"/>
              </w:tabs>
              <w:spacing w:before="0"/>
              <w:rPr>
                <w:szCs w:val="24"/>
              </w:rPr>
            </w:pPr>
            <w:r w:rsidRPr="00CB4DD9">
              <w:rPr>
                <w:b/>
                <w:szCs w:val="24"/>
              </w:rPr>
              <w:t>Copia</w:t>
            </w:r>
            <w:r w:rsidRPr="00CB4DD9">
              <w:rPr>
                <w:szCs w:val="24"/>
              </w:rPr>
              <w:t>:</w:t>
            </w:r>
          </w:p>
          <w:p w:rsidR="00391379" w:rsidRPr="00CB4DD9" w:rsidRDefault="00391379" w:rsidP="00C564B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27"/>
              <w:rPr>
                <w:rFonts w:eastAsiaTheme="minorEastAsia"/>
                <w:szCs w:val="24"/>
              </w:rPr>
            </w:pPr>
            <w:r w:rsidRPr="00CB4DD9">
              <w:rPr>
                <w:szCs w:val="24"/>
              </w:rPr>
              <w:t>-</w:t>
            </w:r>
            <w:r w:rsidRPr="00CB4DD9">
              <w:rPr>
                <w:szCs w:val="24"/>
              </w:rPr>
              <w:tab/>
            </w:r>
            <w:r w:rsidRPr="00CB4DD9">
              <w:rPr>
                <w:rFonts w:eastAsiaTheme="minorEastAsia"/>
                <w:szCs w:val="24"/>
              </w:rPr>
              <w:t xml:space="preserve">A los Presidentes y Vicepresidentes </w:t>
            </w:r>
            <w:r w:rsidRPr="00CB4DD9">
              <w:rPr>
                <w:rFonts w:eastAsiaTheme="minorEastAsia"/>
                <w:szCs w:val="24"/>
              </w:rPr>
              <w:br/>
              <w:t>de las Comisiones de Estudio del UIT</w:t>
            </w:r>
            <w:r w:rsidRPr="00CB4DD9">
              <w:rPr>
                <w:rFonts w:eastAsiaTheme="minorEastAsia"/>
                <w:szCs w:val="24"/>
              </w:rPr>
              <w:noBreakHyphen/>
              <w:t>T;</w:t>
            </w:r>
          </w:p>
          <w:p w:rsidR="00391379" w:rsidRPr="00CB4DD9" w:rsidRDefault="00391379" w:rsidP="00EF37A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27"/>
              <w:rPr>
                <w:rFonts w:eastAsiaTheme="minorEastAsia"/>
                <w:szCs w:val="24"/>
              </w:rPr>
            </w:pPr>
            <w:r w:rsidRPr="00CB4DD9">
              <w:rPr>
                <w:szCs w:val="24"/>
              </w:rPr>
              <w:t>-</w:t>
            </w:r>
            <w:r w:rsidRPr="00CB4DD9">
              <w:rPr>
                <w:szCs w:val="24"/>
              </w:rPr>
              <w:tab/>
            </w:r>
            <w:r w:rsidRPr="00CB4DD9">
              <w:rPr>
                <w:rFonts w:eastAsiaTheme="minorEastAsia"/>
                <w:szCs w:val="24"/>
              </w:rPr>
              <w:t xml:space="preserve">Al Director de la Oficina de Desarrollo </w:t>
            </w:r>
            <w:r w:rsidRPr="00CB4DD9">
              <w:rPr>
                <w:rFonts w:eastAsiaTheme="minorEastAsia"/>
                <w:szCs w:val="24"/>
              </w:rPr>
              <w:br/>
              <w:t>de las Telecomunicaciones;</w:t>
            </w:r>
          </w:p>
          <w:p w:rsidR="00391379" w:rsidRPr="00CB4DD9" w:rsidRDefault="00391379" w:rsidP="003938D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27"/>
              <w:rPr>
                <w:szCs w:val="24"/>
              </w:rPr>
            </w:pPr>
            <w:r w:rsidRPr="00CB4DD9">
              <w:rPr>
                <w:szCs w:val="24"/>
              </w:rPr>
              <w:t>-</w:t>
            </w:r>
            <w:r w:rsidRPr="00CB4DD9">
              <w:rPr>
                <w:szCs w:val="24"/>
              </w:rPr>
              <w:tab/>
            </w:r>
            <w:r w:rsidRPr="00CB4DD9">
              <w:rPr>
                <w:rFonts w:eastAsiaTheme="minorEastAsia"/>
                <w:szCs w:val="24"/>
              </w:rPr>
              <w:t>Al Director de la Oficina de Radiocomunicaciones</w:t>
            </w:r>
          </w:p>
          <w:p w:rsidR="00391379" w:rsidRPr="00CB4DD9" w:rsidRDefault="00391379" w:rsidP="00B0620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27"/>
              <w:rPr>
                <w:szCs w:val="24"/>
              </w:rPr>
            </w:pPr>
          </w:p>
        </w:tc>
      </w:tr>
      <w:tr w:rsidR="00391379" w:rsidRPr="00CB4DD9" w:rsidTr="001E5FC0">
        <w:trPr>
          <w:gridAfter w:val="1"/>
          <w:wAfter w:w="23" w:type="dxa"/>
          <w:cantSplit/>
        </w:trPr>
        <w:tc>
          <w:tcPr>
            <w:tcW w:w="1056" w:type="dxa"/>
          </w:tcPr>
          <w:p w:rsidR="00391379" w:rsidRPr="00CB4DD9" w:rsidRDefault="00391379" w:rsidP="00303D62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CB4DD9">
              <w:rPr>
                <w:szCs w:val="24"/>
              </w:rPr>
              <w:t>Asunto:</w:t>
            </w:r>
          </w:p>
        </w:tc>
        <w:tc>
          <w:tcPr>
            <w:tcW w:w="9127" w:type="dxa"/>
            <w:gridSpan w:val="2"/>
          </w:tcPr>
          <w:p w:rsidR="00391379" w:rsidRPr="00CB4DD9" w:rsidRDefault="00391379" w:rsidP="003938D8">
            <w:pPr>
              <w:tabs>
                <w:tab w:val="left" w:pos="4111"/>
              </w:tabs>
              <w:spacing w:before="0"/>
              <w:ind w:left="57"/>
              <w:rPr>
                <w:rFonts w:cstheme="majorBidi"/>
                <w:b/>
                <w:bCs/>
                <w:szCs w:val="24"/>
              </w:rPr>
            </w:pPr>
            <w:r w:rsidRPr="00CB4DD9">
              <w:rPr>
                <w:rFonts w:cstheme="majorBidi"/>
                <w:b/>
                <w:bCs/>
                <w:szCs w:val="24"/>
              </w:rPr>
              <w:t xml:space="preserve">Serie de eventos celebrados conjuntamente con la reunión de la Comisión de Estudio 20 </w:t>
            </w:r>
          </w:p>
          <w:p w:rsidR="00606A0E" w:rsidRPr="003D2613" w:rsidRDefault="00391379" w:rsidP="003D2613">
            <w:pPr>
              <w:tabs>
                <w:tab w:val="left" w:pos="4111"/>
              </w:tabs>
              <w:spacing w:before="0"/>
              <w:ind w:left="57"/>
              <w:rPr>
                <w:rFonts w:cstheme="majorBidi"/>
                <w:b/>
                <w:bCs/>
                <w:szCs w:val="24"/>
              </w:rPr>
            </w:pPr>
            <w:r w:rsidRPr="00CB4DD9">
              <w:rPr>
                <w:rFonts w:cstheme="majorBidi"/>
                <w:b/>
                <w:bCs/>
                <w:szCs w:val="24"/>
              </w:rPr>
              <w:t>(El Cairo, Egipto, 6-16 de mayo de 2018</w:t>
            </w:r>
            <w:r w:rsidR="003D2613">
              <w:rPr>
                <w:rFonts w:cstheme="majorBidi"/>
                <w:b/>
                <w:bCs/>
                <w:szCs w:val="24"/>
              </w:rPr>
              <w:t>)</w:t>
            </w:r>
          </w:p>
        </w:tc>
      </w:tr>
    </w:tbl>
    <w:p w:rsidR="00391379" w:rsidRPr="00CB4DD9" w:rsidRDefault="00391379" w:rsidP="00F727A8">
      <w:pPr>
        <w:pStyle w:val="Normalaftertitle"/>
        <w:spacing w:before="360"/>
        <w:rPr>
          <w:szCs w:val="24"/>
        </w:rPr>
      </w:pPr>
      <w:r w:rsidRPr="00CB4DD9">
        <w:rPr>
          <w:szCs w:val="24"/>
        </w:rPr>
        <w:t>Muy Señora mía/Muy Señor mío</w:t>
      </w:r>
      <w:r w:rsidR="00F727A8">
        <w:rPr>
          <w:szCs w:val="24"/>
        </w:rPr>
        <w:t>,</w:t>
      </w:r>
    </w:p>
    <w:p w:rsidR="00391379" w:rsidRPr="00CB4DD9" w:rsidRDefault="00391379" w:rsidP="00055D8E">
      <w:r w:rsidRPr="00CB4DD9">
        <w:t>1</w:t>
      </w:r>
      <w:r w:rsidRPr="00CB4DD9">
        <w:tab/>
        <w:t>Deseo informarle que el amable anfitrión de la serie de eventos que se indica a continuación será el Organismo Reg</w:t>
      </w:r>
      <w:r w:rsidR="00055D8E">
        <w:t>u</w:t>
      </w:r>
      <w:r w:rsidRPr="00CB4DD9">
        <w:t xml:space="preserve">lador Nacional de las Telecomunicaciones (NTRA) y que éstos se celebrarán en el </w:t>
      </w:r>
      <w:hyperlink r:id="rId10" w:history="1">
        <w:proofErr w:type="spellStart"/>
        <w:r w:rsidRPr="00CB4DD9">
          <w:rPr>
            <w:rStyle w:val="Hyperlink"/>
            <w:b/>
            <w:bCs/>
          </w:rPr>
          <w:t>Dusit</w:t>
        </w:r>
        <w:proofErr w:type="spellEnd"/>
        <w:r w:rsidRPr="00CB4DD9">
          <w:rPr>
            <w:rStyle w:val="Hyperlink"/>
            <w:b/>
            <w:bCs/>
          </w:rPr>
          <w:t xml:space="preserve"> </w:t>
        </w:r>
        <w:proofErr w:type="spellStart"/>
        <w:r w:rsidRPr="00CB4DD9">
          <w:rPr>
            <w:rStyle w:val="Hyperlink"/>
            <w:b/>
            <w:bCs/>
          </w:rPr>
          <w:t>Thani</w:t>
        </w:r>
        <w:proofErr w:type="spellEnd"/>
        <w:r w:rsidRPr="00CB4DD9">
          <w:rPr>
            <w:rStyle w:val="Hyperlink"/>
            <w:b/>
            <w:bCs/>
          </w:rPr>
          <w:t xml:space="preserve"> </w:t>
        </w:r>
        <w:proofErr w:type="spellStart"/>
        <w:r w:rsidRPr="00CB4DD9">
          <w:rPr>
            <w:rStyle w:val="Hyperlink"/>
            <w:b/>
            <w:bCs/>
          </w:rPr>
          <w:t>Lakeview</w:t>
        </w:r>
        <w:proofErr w:type="spellEnd"/>
        <w:r w:rsidRPr="00CB4DD9">
          <w:rPr>
            <w:rStyle w:val="Hyperlink"/>
            <w:b/>
            <w:bCs/>
          </w:rPr>
          <w:t xml:space="preserve"> Cairo</w:t>
        </w:r>
      </w:hyperlink>
      <w:r w:rsidRPr="00CB4DD9">
        <w:t xml:space="preserve"> de El Cairo,</w:t>
      </w:r>
      <w:r w:rsidR="002E0CDE" w:rsidRPr="00CB4DD9">
        <w:t xml:space="preserve"> del 6 al 16 de mayo de 2018.</w:t>
      </w:r>
    </w:p>
    <w:p w:rsidR="00391379" w:rsidRPr="00CB4DD9" w:rsidRDefault="002E0CDE" w:rsidP="00E957E4">
      <w:pPr>
        <w:pStyle w:val="enumlev1"/>
      </w:pPr>
      <w:r w:rsidRPr="00CB4DD9">
        <w:t>•</w:t>
      </w:r>
      <w:r w:rsidRPr="00CB4DD9">
        <w:tab/>
      </w:r>
      <w:r w:rsidR="00391379" w:rsidRPr="00CB4DD9">
        <w:t xml:space="preserve">6 de mayo de 2018: Foro sobre la exploración del potencial de la Inteligencia Artificial e Internet de las Cosas </w:t>
      </w:r>
      <w:r w:rsidR="00CB4DD9" w:rsidRPr="00CB4DD9">
        <w:t>(09</w:t>
      </w:r>
      <w:r w:rsidR="00EC08E7">
        <w:t>.</w:t>
      </w:r>
      <w:r w:rsidR="00CB4DD9" w:rsidRPr="00CB4DD9">
        <w:t>00</w:t>
      </w:r>
      <w:r w:rsidR="00E957E4">
        <w:t>-</w:t>
      </w:r>
      <w:r w:rsidR="00CB4DD9" w:rsidRPr="00CB4DD9">
        <w:t>11</w:t>
      </w:r>
      <w:r w:rsidR="00EC08E7">
        <w:t>.</w:t>
      </w:r>
      <w:r w:rsidRPr="00CB4DD9">
        <w:t>00</w:t>
      </w:r>
      <w:r w:rsidR="00EC08E7">
        <w:t xml:space="preserve"> horas</w:t>
      </w:r>
      <w:r w:rsidRPr="00CB4DD9">
        <w:t>)</w:t>
      </w:r>
      <w:r w:rsidR="00CB4DD9" w:rsidRPr="00CB4DD9">
        <w:t>.</w:t>
      </w:r>
    </w:p>
    <w:p w:rsidR="00391379" w:rsidRPr="00CB4DD9" w:rsidRDefault="002E0CDE" w:rsidP="00E957E4">
      <w:pPr>
        <w:pStyle w:val="enumlev1"/>
      </w:pPr>
      <w:r w:rsidRPr="00CB4DD9">
        <w:t>•</w:t>
      </w:r>
      <w:r w:rsidRPr="00CB4DD9">
        <w:tab/>
      </w:r>
      <w:r w:rsidR="00391379" w:rsidRPr="00CB4DD9">
        <w:t xml:space="preserve">6 de mayo de 2018: Sesión sobre reducción de la disparidad en materia de normalización sobre la </w:t>
      </w:r>
      <w:proofErr w:type="spellStart"/>
      <w:r w:rsidR="00391379" w:rsidRPr="00CB4DD9">
        <w:t>IoT</w:t>
      </w:r>
      <w:proofErr w:type="spellEnd"/>
      <w:r w:rsidR="00391379" w:rsidRPr="00CB4DD9">
        <w:t xml:space="preserve"> (Formación sobre </w:t>
      </w:r>
      <w:proofErr w:type="spellStart"/>
      <w:r w:rsidR="00391379" w:rsidRPr="00CB4DD9">
        <w:t>IoT</w:t>
      </w:r>
      <w:proofErr w:type="spellEnd"/>
      <w:r w:rsidR="00391379" w:rsidRPr="00CB4DD9">
        <w:t>) (11</w:t>
      </w:r>
      <w:r w:rsidR="00EC08E7">
        <w:t>.</w:t>
      </w:r>
      <w:r w:rsidR="00391379" w:rsidRPr="00CB4DD9">
        <w:t>30</w:t>
      </w:r>
      <w:r w:rsidR="00E957E4">
        <w:t>-</w:t>
      </w:r>
      <w:r w:rsidR="00391379" w:rsidRPr="00CB4DD9">
        <w:t>16</w:t>
      </w:r>
      <w:r w:rsidR="00EC08E7">
        <w:t>.</w:t>
      </w:r>
      <w:r w:rsidR="00391379" w:rsidRPr="00CB4DD9">
        <w:t>00</w:t>
      </w:r>
      <w:r w:rsidR="00EC08E7">
        <w:t xml:space="preserve"> horas</w:t>
      </w:r>
      <w:r w:rsidR="00391379" w:rsidRPr="00CB4DD9">
        <w:t>)</w:t>
      </w:r>
      <w:r w:rsidR="00CB4DD9" w:rsidRPr="00CB4DD9">
        <w:t>.</w:t>
      </w:r>
    </w:p>
    <w:p w:rsidR="00391379" w:rsidRPr="00CB4DD9" w:rsidRDefault="002E0CDE" w:rsidP="002E0CDE">
      <w:pPr>
        <w:pStyle w:val="enumlev1"/>
        <w:rPr>
          <w:bCs/>
        </w:rPr>
      </w:pPr>
      <w:r w:rsidRPr="00CB4DD9">
        <w:t>•</w:t>
      </w:r>
      <w:r w:rsidRPr="00CB4DD9">
        <w:tab/>
      </w:r>
      <w:r w:rsidR="00391379" w:rsidRPr="00CB4DD9">
        <w:t xml:space="preserve">6-8 de mayo de 2018: </w:t>
      </w:r>
      <w:r w:rsidRPr="00CB4DD9">
        <w:t xml:space="preserve">Exposición de soluciones de </w:t>
      </w:r>
      <w:proofErr w:type="spellStart"/>
      <w:r w:rsidRPr="00CB4DD9">
        <w:t>IoT</w:t>
      </w:r>
      <w:proofErr w:type="spellEnd"/>
      <w:r w:rsidR="00CB4DD9" w:rsidRPr="00CB4DD9">
        <w:t>.</w:t>
      </w:r>
    </w:p>
    <w:p w:rsidR="00391379" w:rsidRPr="00CB4DD9" w:rsidRDefault="00391379" w:rsidP="00606A0E">
      <w:r w:rsidRPr="00CB4DD9">
        <w:t xml:space="preserve">El </w:t>
      </w:r>
      <w:r w:rsidRPr="00CB4DD9">
        <w:rPr>
          <w:b/>
          <w:bCs/>
        </w:rPr>
        <w:t xml:space="preserve">Foro sobre la exploración del potencial de la Inteligencia Artificial e Internet de las Cosas </w:t>
      </w:r>
      <w:r w:rsidRPr="00CB4DD9">
        <w:t xml:space="preserve">proporcionará una plataforma para explorar la interconexión de las tecnologías de IA y los datos de la </w:t>
      </w:r>
      <w:proofErr w:type="spellStart"/>
      <w:r w:rsidRPr="00CB4DD9">
        <w:t>IoT</w:t>
      </w:r>
      <w:proofErr w:type="spellEnd"/>
      <w:r w:rsidRPr="00CB4DD9">
        <w:t xml:space="preserve"> en el ámbito de la ciudad inteligente. También examinará la próxima fase de evolución de la IA para adaptarse al ecosistema en expansión de la </w:t>
      </w:r>
      <w:proofErr w:type="spellStart"/>
      <w:r w:rsidRPr="00CB4DD9">
        <w:t>IoT</w:t>
      </w:r>
      <w:proofErr w:type="spellEnd"/>
      <w:r w:rsidRPr="00CB4DD9">
        <w:t xml:space="preserve"> y el papel que pueden desempeñar las normas internacionales. La información relativa al Foro estará disponible en el sitio web del evento en la dirección: </w:t>
      </w:r>
      <w:hyperlink r:id="rId11" w:history="1">
        <w:r w:rsidRPr="00CB4DD9">
          <w:rPr>
            <w:color w:val="0000FF"/>
            <w:u w:val="single"/>
          </w:rPr>
          <w:t>http://www.itu.int/en/ITU-T/Workshops-and-Seminars/20180506/Pages/default.aspx</w:t>
        </w:r>
      </w:hyperlink>
      <w:r w:rsidRPr="00CB4DD9">
        <w:t>. Este sitio web se actualizará periódicamente a medida de que se disponga de información nueva o actualizada. Se pide a los participantes que lo consulten periódicamen</w:t>
      </w:r>
      <w:r w:rsidR="002E0CDE" w:rsidRPr="00CB4DD9">
        <w:t>te para nuevas actualizaciones.</w:t>
      </w:r>
    </w:p>
    <w:p w:rsidR="00391379" w:rsidRPr="00CB4DD9" w:rsidRDefault="00391379" w:rsidP="00CE3B22">
      <w:pPr>
        <w:keepLines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rPr>
          <w:rFonts w:ascii="Calibri" w:hAnsi="Calibri"/>
          <w:color w:val="1F497D"/>
          <w:sz w:val="22"/>
          <w:lang w:eastAsia="zh-CN"/>
        </w:rPr>
      </w:pPr>
      <w:r w:rsidRPr="00CB4DD9">
        <w:lastRenderedPageBreak/>
        <w:t>La</w:t>
      </w:r>
      <w:r w:rsidRPr="00CB4DD9">
        <w:rPr>
          <w:b/>
          <w:bCs/>
        </w:rPr>
        <w:t xml:space="preserve"> Sesión sobre reducción de la disparidad en materia de normalización sobre la </w:t>
      </w:r>
      <w:proofErr w:type="spellStart"/>
      <w:r w:rsidRPr="00CB4DD9">
        <w:rPr>
          <w:b/>
          <w:bCs/>
        </w:rPr>
        <w:t>IoT</w:t>
      </w:r>
      <w:proofErr w:type="spellEnd"/>
      <w:r w:rsidRPr="00CB4DD9">
        <w:rPr>
          <w:b/>
          <w:bCs/>
        </w:rPr>
        <w:t xml:space="preserve"> (Formación sobre </w:t>
      </w:r>
      <w:proofErr w:type="spellStart"/>
      <w:r w:rsidRPr="00CB4DD9">
        <w:rPr>
          <w:b/>
          <w:bCs/>
        </w:rPr>
        <w:t>IoT</w:t>
      </w:r>
      <w:proofErr w:type="spellEnd"/>
      <w:r w:rsidRPr="00CB4DD9">
        <w:rPr>
          <w:b/>
          <w:bCs/>
        </w:rPr>
        <w:t>)</w:t>
      </w:r>
      <w:r w:rsidRPr="00CB4DD9">
        <w:t xml:space="preserve"> facilitará una plataforma para presentar las especificaciones técnicas oneM2M que se han trasladado a Recomendaciones UIT-T con miras a reducir la disparidad en materia de normalización. La Sesión sobre reducción de la disparidad en ma</w:t>
      </w:r>
      <w:r w:rsidR="00A248EB">
        <w:t>teria de normalización sobre la </w:t>
      </w:r>
      <w:proofErr w:type="spellStart"/>
      <w:r w:rsidRPr="00CB4DD9">
        <w:t>IoT</w:t>
      </w:r>
      <w:proofErr w:type="spellEnd"/>
      <w:r w:rsidRPr="00CB4DD9">
        <w:t xml:space="preserve"> prestará especial atención a la interoperabilidad de la </w:t>
      </w:r>
      <w:proofErr w:type="spellStart"/>
      <w:r w:rsidRPr="00CB4DD9">
        <w:t>IoT</w:t>
      </w:r>
      <w:proofErr w:type="spellEnd"/>
      <w:r w:rsidRPr="00CB4DD9">
        <w:t xml:space="preserve">. La Sesión sobre reducción de la disparidad en materia de normalización sobre la </w:t>
      </w:r>
      <w:proofErr w:type="spellStart"/>
      <w:r w:rsidRPr="00CB4DD9">
        <w:t>IoT</w:t>
      </w:r>
      <w:proofErr w:type="spellEnd"/>
      <w:r w:rsidRPr="00CB4DD9">
        <w:t xml:space="preserve"> será organizada por la UIT junto a TTA (Corea</w:t>
      </w:r>
      <w:r w:rsidR="00A248EB">
        <w:t>, </w:t>
      </w:r>
      <w:r w:rsidR="00CE3B22">
        <w:t>República</w:t>
      </w:r>
      <w:r w:rsidRPr="00CB4DD9">
        <w:t xml:space="preserve"> de) y el NTRA (Egipto), y contará con el generoso ap</w:t>
      </w:r>
      <w:r w:rsidR="00A248EB">
        <w:t>oyo del Ministerio de Ciencia y </w:t>
      </w:r>
      <w:r w:rsidR="00CE3B22">
        <w:t>TIC </w:t>
      </w:r>
      <w:r w:rsidRPr="00CB4DD9">
        <w:t>(</w:t>
      </w:r>
      <w:r w:rsidRPr="00CE3B22">
        <w:t xml:space="preserve">Corea, </w:t>
      </w:r>
      <w:r w:rsidR="00CE3B22" w:rsidRPr="00CE3B22">
        <w:t>República</w:t>
      </w:r>
      <w:r w:rsidRPr="00CE3B22">
        <w:t xml:space="preserve"> de</w:t>
      </w:r>
      <w:r w:rsidR="00CE3B22">
        <w:t>)</w:t>
      </w:r>
      <w:r w:rsidRPr="00CB4DD9">
        <w:t xml:space="preserve">. La información relativa a la Sesión sobre reducción de la disparidad en materia de normalización sobre la </w:t>
      </w:r>
      <w:proofErr w:type="spellStart"/>
      <w:r w:rsidRPr="00CB4DD9">
        <w:t>IoT</w:t>
      </w:r>
      <w:proofErr w:type="spellEnd"/>
      <w:r w:rsidRPr="00CB4DD9">
        <w:t xml:space="preserve"> estará disponible en el sitio web del evento en la dirección: </w:t>
      </w:r>
      <w:hyperlink r:id="rId12" w:history="1">
        <w:r w:rsidRPr="00CB4DD9">
          <w:rPr>
            <w:color w:val="0000FF"/>
            <w:u w:val="single"/>
            <w:lang w:eastAsia="zh-CN"/>
          </w:rPr>
          <w:t>https://www.itu.int/en/ITU-T/Workshops-and-Seminars/bsg/20180506/Pages/default.aspx</w:t>
        </w:r>
      </w:hyperlink>
      <w:r w:rsidRPr="00CB4DD9">
        <w:t>. Este sitio web se actualizará periódicamente a medida de que se disponga de información nueva o actualizada. Se pide a los participantes que lo consulten periódicamente para nuevas actualizaciones.</w:t>
      </w:r>
    </w:p>
    <w:p w:rsidR="00391379" w:rsidRPr="00CB4DD9" w:rsidRDefault="00391379" w:rsidP="004230C4">
      <w:r w:rsidRPr="00CB4DD9">
        <w:rPr>
          <w:bCs/>
        </w:rPr>
        <w:t>2</w:t>
      </w:r>
      <w:r w:rsidRPr="00CB4DD9">
        <w:tab/>
        <w:t>Estos eventos se celebrarán únicamente en inglés.</w:t>
      </w:r>
    </w:p>
    <w:p w:rsidR="00391379" w:rsidRPr="00CB4DD9" w:rsidRDefault="00391379" w:rsidP="004230C4">
      <w:r w:rsidRPr="00CB4DD9">
        <w:t>3</w:t>
      </w:r>
      <w:r w:rsidRPr="00CB4DD9">
        <w:tab/>
        <w:t>La participación en estos eventos está abierta a todos y es gratuita, pero el número de asientos es limitado y no se concederá ninguna beca.</w:t>
      </w:r>
    </w:p>
    <w:p w:rsidR="00391379" w:rsidRPr="00CB4DD9" w:rsidRDefault="00391379" w:rsidP="004230C4">
      <w:pPr>
        <w:rPr>
          <w:rFonts w:ascii="Times New Roman" w:hAnsi="Times New Roman"/>
          <w:sz w:val="22"/>
          <w:lang w:eastAsia="en-GB"/>
        </w:rPr>
      </w:pPr>
      <w:r w:rsidRPr="00CB4DD9">
        <w:t>4</w:t>
      </w:r>
      <w:r w:rsidRPr="00CB4DD9">
        <w:tab/>
        <w:t xml:space="preserve">Sírvase tener presente que también se celebrará un evento de realización de pruebas de interoperabilidad sobre la </w:t>
      </w:r>
      <w:proofErr w:type="spellStart"/>
      <w:r w:rsidRPr="00CB4DD9">
        <w:t>IoT</w:t>
      </w:r>
      <w:proofErr w:type="spellEnd"/>
      <w:r w:rsidRPr="00CB4DD9">
        <w:t xml:space="preserve"> los días 8 y 9 de mayo de 2018 en el mismo lugar de celebración. Este evento de realización de pruebas de interoperabilidad está destinado a proporcionar una plataforma para comprobar la interoperabilidad de las soluciones de </w:t>
      </w:r>
      <w:proofErr w:type="spellStart"/>
      <w:r w:rsidRPr="00CB4DD9">
        <w:t>IoT</w:t>
      </w:r>
      <w:proofErr w:type="spellEnd"/>
      <w:r w:rsidRPr="00CB4DD9">
        <w:t xml:space="preserve"> producidas por distintos fabricantes. </w:t>
      </w:r>
      <w:r w:rsidRPr="00CB4DD9">
        <w:rPr>
          <w:bCs/>
        </w:rPr>
        <w:t xml:space="preserve">Los resultados de las pruebas pueden compartirse entre los participantes previo acuerdo, por ejemplo acuerdos de no divulgación. El evento está reservado a los participantes inscritos que aporten sus productos de </w:t>
      </w:r>
      <w:proofErr w:type="spellStart"/>
      <w:r w:rsidRPr="00CB4DD9">
        <w:rPr>
          <w:bCs/>
        </w:rPr>
        <w:t>IoT</w:t>
      </w:r>
      <w:proofErr w:type="spellEnd"/>
      <w:r w:rsidRPr="00CB4DD9">
        <w:rPr>
          <w:bCs/>
        </w:rPr>
        <w:t xml:space="preserve"> para la realización de pruebas. </w:t>
      </w:r>
      <w:r w:rsidRPr="00CB4DD9">
        <w:t xml:space="preserve">La información relativa al evento de interoperabilidad sobre la </w:t>
      </w:r>
      <w:proofErr w:type="spellStart"/>
      <w:r w:rsidRPr="00CB4DD9">
        <w:t>IoT</w:t>
      </w:r>
      <w:proofErr w:type="spellEnd"/>
      <w:r w:rsidRPr="00CB4DD9">
        <w:t xml:space="preserve"> estará disponible en el sitio web del evento en la dirección: </w:t>
      </w:r>
      <w:hyperlink r:id="rId13" w:history="1">
        <w:r w:rsidRPr="00CB4DD9">
          <w:rPr>
            <w:color w:val="0000FF"/>
            <w:u w:val="single"/>
          </w:rPr>
          <w:t>https://www.itu.int/en/ITU-T/C-I/interop/Pages/IoT2018May.aspx</w:t>
        </w:r>
      </w:hyperlink>
      <w:r w:rsidRPr="00CB4DD9">
        <w:t xml:space="preserve">. Este sitio web se actualizará periódicamente a medida de que se disponga de información nueva o actualizada. Se pide a los participantes que lo consulten periódicamente para nuevas actualizaciones. Le agradecería que manifestara su interés enviando una solicitud a la dirección </w:t>
      </w:r>
      <w:hyperlink r:id="rId14" w:history="1">
        <w:r w:rsidRPr="00CB4DD9">
          <w:rPr>
            <w:color w:val="0000FF"/>
            <w:u w:val="single"/>
          </w:rPr>
          <w:t>interop@itu.int</w:t>
        </w:r>
      </w:hyperlink>
      <w:r w:rsidRPr="00CB4DD9">
        <w:t xml:space="preserve"> hasta el </w:t>
      </w:r>
      <w:r w:rsidRPr="00CB4DD9">
        <w:rPr>
          <w:b/>
          <w:bCs/>
        </w:rPr>
        <w:t>10 de abril de 2018</w:t>
      </w:r>
      <w:r w:rsidRPr="00CB4DD9">
        <w:t xml:space="preserve"> a más tardar</w:t>
      </w:r>
      <w:r w:rsidR="00CB4DD9" w:rsidRPr="00CB4DD9">
        <w:t>.</w:t>
      </w:r>
    </w:p>
    <w:p w:rsidR="00391379" w:rsidRPr="00CB4DD9" w:rsidRDefault="00391379" w:rsidP="00410F07">
      <w:r w:rsidRPr="00CB4DD9">
        <w:t>5</w:t>
      </w:r>
      <w:r w:rsidRPr="00CB4DD9">
        <w:tab/>
        <w:t>Se dispondrá de instalaciones de red de área local inalámbrica en el lugar de celebración del evento.</w:t>
      </w:r>
    </w:p>
    <w:p w:rsidR="00391379" w:rsidRPr="00CB4DD9" w:rsidRDefault="00391379" w:rsidP="004230C4">
      <w:r w:rsidRPr="00CB4DD9">
        <w:t>6</w:t>
      </w:r>
      <w:r w:rsidRPr="00CB4DD9">
        <w:tab/>
        <w:t>La inscripción es obligatoria para todos los participantes que prevean asistir a esta serie de eventos. Se le invita a completar el formulario de inscripción en línea dispon</w:t>
      </w:r>
      <w:r w:rsidR="00CB4DD9" w:rsidRPr="00CB4DD9">
        <w:t>ible en los enlaces siguientes:</w:t>
      </w:r>
    </w:p>
    <w:p w:rsidR="00391379" w:rsidRPr="00CB4DD9" w:rsidRDefault="00391379" w:rsidP="00651D7B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rPr>
          <w:b/>
        </w:rPr>
      </w:pPr>
      <w:r w:rsidRPr="00CB4DD9">
        <w:rPr>
          <w:b/>
          <w:bCs/>
        </w:rPr>
        <w:t>Foro sobre la exploración del potencial de la Inteligencia Artificial e Internet de las Cosas</w:t>
      </w:r>
      <w:r w:rsidRPr="00CB4DD9">
        <w:t xml:space="preserve">: </w:t>
      </w:r>
      <w:r w:rsidRPr="00CB4DD9">
        <w:br/>
      </w:r>
      <w:hyperlink r:id="rId15" w:history="1">
        <w:r w:rsidRPr="00CB4DD9">
          <w:rPr>
            <w:color w:val="0000FF"/>
            <w:u w:val="single"/>
          </w:rPr>
          <w:t>Inscríbase aquí</w:t>
        </w:r>
      </w:hyperlink>
      <w:r w:rsidRPr="00CB4DD9">
        <w:t xml:space="preserve"> hasta el 25 de abril de 2018</w:t>
      </w:r>
      <w:r w:rsidR="00CB4DD9" w:rsidRPr="00CB4DD9">
        <w:t>.</w:t>
      </w:r>
    </w:p>
    <w:p w:rsidR="00391379" w:rsidRPr="00CB4DD9" w:rsidRDefault="00391379" w:rsidP="00055D8E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rPr>
          <w:b/>
        </w:rPr>
      </w:pPr>
      <w:r w:rsidRPr="00CB4DD9">
        <w:rPr>
          <w:b/>
          <w:bCs/>
        </w:rPr>
        <w:t xml:space="preserve">Sesión sobre reducción de la disparidad en materia de normalización sobre la </w:t>
      </w:r>
      <w:proofErr w:type="spellStart"/>
      <w:r w:rsidRPr="00CB4DD9">
        <w:rPr>
          <w:b/>
          <w:bCs/>
        </w:rPr>
        <w:t>IoT</w:t>
      </w:r>
      <w:proofErr w:type="spellEnd"/>
      <w:r w:rsidRPr="00CB4DD9">
        <w:rPr>
          <w:b/>
          <w:bCs/>
        </w:rPr>
        <w:t xml:space="preserve"> (Formación sobre </w:t>
      </w:r>
      <w:proofErr w:type="spellStart"/>
      <w:r w:rsidRPr="00CB4DD9">
        <w:rPr>
          <w:b/>
          <w:bCs/>
        </w:rPr>
        <w:t>IoT</w:t>
      </w:r>
      <w:proofErr w:type="spellEnd"/>
      <w:r w:rsidRPr="00CB4DD9">
        <w:rPr>
          <w:b/>
          <w:bCs/>
        </w:rPr>
        <w:t>)</w:t>
      </w:r>
      <w:r w:rsidRPr="00CB4DD9">
        <w:rPr>
          <w:b/>
        </w:rPr>
        <w:t xml:space="preserve">: </w:t>
      </w:r>
      <w:hyperlink r:id="rId16" w:history="1">
        <w:r w:rsidRPr="00CB4DD9">
          <w:rPr>
            <w:color w:val="0000FF"/>
            <w:u w:val="single"/>
          </w:rPr>
          <w:t>Miembros del UIT-T</w:t>
        </w:r>
      </w:hyperlink>
      <w:r w:rsidR="00055D8E">
        <w:t>/</w:t>
      </w:r>
      <w:hyperlink r:id="rId17" w:history="1">
        <w:r w:rsidRPr="00CB4DD9">
          <w:rPr>
            <w:color w:val="0000FF"/>
            <w:u w:val="single"/>
          </w:rPr>
          <w:t>No miembros</w:t>
        </w:r>
      </w:hyperlink>
      <w:r w:rsidRPr="00CB4DD9">
        <w:rPr>
          <w:color w:val="0000FF"/>
          <w:u w:val="single"/>
        </w:rPr>
        <w:t xml:space="preserve"> </w:t>
      </w:r>
      <w:r w:rsidRPr="00CB4DD9">
        <w:t>hasta el 25 de abril de 2018</w:t>
      </w:r>
      <w:r w:rsidR="00CB4DD9" w:rsidRPr="00CB4DD9">
        <w:t>.</w:t>
      </w:r>
    </w:p>
    <w:p w:rsidR="00391379" w:rsidRPr="00A248EB" w:rsidRDefault="00391379" w:rsidP="00651D7B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</w:pPr>
      <w:r w:rsidRPr="00CB4DD9">
        <w:rPr>
          <w:b/>
        </w:rPr>
        <w:t xml:space="preserve">Rogamos tenga presente que la preinscripción de los participantes para esta serie de eventos es obligatoria y se efectuará exclusivamente </w:t>
      </w:r>
      <w:r w:rsidRPr="00CB4DD9">
        <w:rPr>
          <w:b/>
          <w:i/>
          <w:iCs/>
        </w:rPr>
        <w:t>en línea</w:t>
      </w:r>
      <w:r w:rsidRPr="00CB4DD9">
        <w:rPr>
          <w:b/>
        </w:rPr>
        <w:t>.</w:t>
      </w:r>
    </w:p>
    <w:p w:rsidR="00391379" w:rsidRPr="00CB4DD9" w:rsidRDefault="00391379" w:rsidP="004230C4">
      <w:r w:rsidRPr="00CB4DD9">
        <w:t>7</w:t>
      </w:r>
      <w:r w:rsidRPr="00CB4DD9">
        <w:tab/>
        <w:t>Obsérvese que esta serie de eventos se celebrará de manera coordinada con los siguientes eventos, que tendrán lugar en el mismo lugar de celebración</w:t>
      </w:r>
      <w:r w:rsidR="00CB4DD9" w:rsidRPr="00CB4DD9">
        <w:t>:</w:t>
      </w:r>
    </w:p>
    <w:p w:rsidR="00391379" w:rsidRPr="00CB4DD9" w:rsidRDefault="002E0CDE" w:rsidP="00174636">
      <w:pPr>
        <w:pStyle w:val="enumlev1"/>
      </w:pPr>
      <w:r w:rsidRPr="00CB4DD9">
        <w:t>•</w:t>
      </w:r>
      <w:r w:rsidRPr="00CB4DD9">
        <w:tab/>
      </w:r>
      <w:r w:rsidR="00391379" w:rsidRPr="00CB4DD9">
        <w:t xml:space="preserve">6-16 de mayo de 2018: reunión de la Comisión de Estudio 20 del UIT-T </w:t>
      </w:r>
      <w:r w:rsidR="00CB4DD9" w:rsidRPr="00CB4DD9">
        <w:t>"</w:t>
      </w:r>
      <w:r w:rsidR="00391379" w:rsidRPr="00CB4DD9">
        <w:t>Internet de las Cosas (</w:t>
      </w:r>
      <w:proofErr w:type="spellStart"/>
      <w:r w:rsidR="00391379" w:rsidRPr="00CB4DD9">
        <w:t>IoT</w:t>
      </w:r>
      <w:proofErr w:type="spellEnd"/>
      <w:r w:rsidR="00391379" w:rsidRPr="00CB4DD9">
        <w:t>) y ciudades y comunidades inteligentes (C+CI)</w:t>
      </w:r>
      <w:r w:rsidR="00CB4DD9" w:rsidRPr="00CB4DD9">
        <w:t>".</w:t>
      </w:r>
    </w:p>
    <w:p w:rsidR="00391379" w:rsidRPr="00CB4DD9" w:rsidRDefault="002E0CDE" w:rsidP="002E0CDE">
      <w:pPr>
        <w:pStyle w:val="enumlev1"/>
        <w:rPr>
          <w:bCs/>
        </w:rPr>
      </w:pPr>
      <w:r w:rsidRPr="00CB4DD9">
        <w:lastRenderedPageBreak/>
        <w:t>•</w:t>
      </w:r>
      <w:r w:rsidRPr="00CB4DD9">
        <w:tab/>
      </w:r>
      <w:r w:rsidR="00391379" w:rsidRPr="00CB4DD9">
        <w:t>10 de mayo de 2018: Actividad Conjunta de Coordinación sobre la Internet de las cosas y las ciudades y comunidades inteligentes (JCA-</w:t>
      </w:r>
      <w:proofErr w:type="spellStart"/>
      <w:r w:rsidR="00391379" w:rsidRPr="00CB4DD9">
        <w:t>IoT</w:t>
      </w:r>
      <w:proofErr w:type="spellEnd"/>
      <w:r w:rsidR="00391379" w:rsidRPr="00CB4DD9">
        <w:t xml:space="preserve"> y C+CI)</w:t>
      </w:r>
      <w:r w:rsidR="00CB4DD9" w:rsidRPr="00CB4DD9">
        <w:t>.</w:t>
      </w:r>
    </w:p>
    <w:p w:rsidR="00391379" w:rsidRPr="00CB4DD9" w:rsidRDefault="00391379" w:rsidP="004230C4">
      <w:r w:rsidRPr="00CB4DD9">
        <w:t xml:space="preserve">Puede encontrarse información adicional sobre los dos eventos citados en la </w:t>
      </w:r>
      <w:hyperlink r:id="rId18" w:history="1">
        <w:r w:rsidRPr="00CB4DD9">
          <w:rPr>
            <w:color w:val="0000FF"/>
            <w:u w:val="single"/>
          </w:rPr>
          <w:t>página web de la CE</w:t>
        </w:r>
        <w:r w:rsidR="002E0CDE" w:rsidRPr="00CB4DD9">
          <w:rPr>
            <w:color w:val="0000FF"/>
            <w:u w:val="single"/>
          </w:rPr>
          <w:t> </w:t>
        </w:r>
        <w:r w:rsidRPr="00CB4DD9">
          <w:rPr>
            <w:color w:val="0000FF"/>
            <w:u w:val="single"/>
          </w:rPr>
          <w:t>20 del UIT-T</w:t>
        </w:r>
      </w:hyperlink>
      <w:r w:rsidR="002E0CDE" w:rsidRPr="00CB4DD9">
        <w:t>.</w:t>
      </w:r>
    </w:p>
    <w:p w:rsidR="00391379" w:rsidRPr="00CB4DD9" w:rsidRDefault="00391379" w:rsidP="004230C4">
      <w:r w:rsidRPr="00CB4DD9">
        <w:t>8</w:t>
      </w:r>
      <w:r w:rsidRPr="00CB4DD9">
        <w:tab/>
        <w:t>De requerirse, los visados deben solicitarse lo antes posible en la Embajada o el Consulado que representa a Egipto en su país o, de no existir tal oficina en su país, en la más cercana al país de salida. Se facilitará más informaci</w:t>
      </w:r>
      <w:r w:rsidR="00CB4DD9" w:rsidRPr="00CB4DD9">
        <w:t>ón en la página web del evento.</w:t>
      </w:r>
    </w:p>
    <w:p w:rsidR="00391379" w:rsidRPr="00CB4DD9" w:rsidRDefault="00391379" w:rsidP="00A248EB">
      <w:r w:rsidRPr="00CB4DD9">
        <w:t>Atentamente</w:t>
      </w:r>
      <w:r w:rsidR="000353F8">
        <w:t>,</w:t>
      </w:r>
    </w:p>
    <w:p w:rsidR="00391379" w:rsidRPr="00CB4DD9" w:rsidRDefault="00391379" w:rsidP="00A248EB">
      <w:pPr>
        <w:tabs>
          <w:tab w:val="clear" w:pos="794"/>
          <w:tab w:val="clear" w:pos="1191"/>
          <w:tab w:val="clear" w:pos="1588"/>
          <w:tab w:val="clear" w:pos="1985"/>
        </w:tabs>
        <w:spacing w:before="600"/>
        <w:ind w:right="91"/>
        <w:rPr>
          <w:i/>
          <w:iCs/>
        </w:rPr>
      </w:pPr>
      <w:r w:rsidRPr="00CB4DD9">
        <w:rPr>
          <w:i/>
          <w:iCs/>
        </w:rPr>
        <w:t>(</w:t>
      </w:r>
      <w:proofErr w:type="gramStart"/>
      <w:r w:rsidRPr="00CB4DD9">
        <w:rPr>
          <w:i/>
          <w:iCs/>
        </w:rPr>
        <w:t>firmado</w:t>
      </w:r>
      <w:proofErr w:type="gramEnd"/>
      <w:r w:rsidRPr="00CB4DD9">
        <w:rPr>
          <w:i/>
          <w:iCs/>
        </w:rPr>
        <w:t>)</w:t>
      </w:r>
    </w:p>
    <w:p w:rsidR="00391379" w:rsidRPr="00CB4DD9" w:rsidRDefault="00391379" w:rsidP="009F3926">
      <w:pPr>
        <w:tabs>
          <w:tab w:val="clear" w:pos="794"/>
          <w:tab w:val="clear" w:pos="1191"/>
          <w:tab w:val="clear" w:pos="1588"/>
          <w:tab w:val="clear" w:pos="1985"/>
        </w:tabs>
        <w:spacing w:before="720"/>
        <w:ind w:right="91"/>
        <w:rPr>
          <w:rFonts w:eastAsia="MS Mincho"/>
        </w:rPr>
      </w:pPr>
      <w:proofErr w:type="spellStart"/>
      <w:r w:rsidRPr="00CB4DD9">
        <w:rPr>
          <w:szCs w:val="24"/>
        </w:rPr>
        <w:t>Chaesub</w:t>
      </w:r>
      <w:proofErr w:type="spellEnd"/>
      <w:r w:rsidRPr="00CB4DD9">
        <w:rPr>
          <w:szCs w:val="24"/>
        </w:rPr>
        <w:t xml:space="preserve"> Lee</w:t>
      </w:r>
      <w:r w:rsidRPr="00CB4DD9">
        <w:br/>
        <w:t xml:space="preserve">Director </w:t>
      </w:r>
      <w:bookmarkStart w:id="0" w:name="Duties"/>
      <w:bookmarkEnd w:id="0"/>
      <w:r w:rsidRPr="00CB4DD9">
        <w:t xml:space="preserve">de la Oficina de Normalización </w:t>
      </w:r>
      <w:r w:rsidR="00A248EB">
        <w:br/>
      </w:r>
      <w:r w:rsidRPr="00CB4DD9">
        <w:t>de las Telecomunicaciones</w:t>
      </w:r>
      <w:bookmarkStart w:id="1" w:name="_GoBack"/>
      <w:bookmarkEnd w:id="1"/>
    </w:p>
    <w:sectPr w:rsidR="00391379" w:rsidRPr="00CB4DD9" w:rsidSect="00B87E9E">
      <w:headerReference w:type="default" r:id="rId19"/>
      <w:footerReference w:type="first" r:id="rId20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F2D" w:rsidRDefault="00051F2D">
      <w:r>
        <w:separator/>
      </w:r>
    </w:p>
  </w:endnote>
  <w:endnote w:type="continuationSeparator" w:id="0">
    <w:p w:rsidR="00051F2D" w:rsidRDefault="00051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64D" w:rsidRPr="002E0CDE" w:rsidRDefault="0014464D" w:rsidP="00FC416A">
    <w:pPr>
      <w:pStyle w:val="FirstFooter"/>
      <w:ind w:left="-397" w:right="-397"/>
      <w:jc w:val="center"/>
      <w:rPr>
        <w:szCs w:val="18"/>
      </w:rPr>
    </w:pPr>
    <w:r w:rsidRPr="002E0CDE">
      <w:rPr>
        <w:szCs w:val="18"/>
      </w:rPr>
      <w:t xml:space="preserve">Unión Internacional de Telecomunicaciones • Place des </w:t>
    </w:r>
    <w:proofErr w:type="spellStart"/>
    <w:r w:rsidRPr="002E0CDE">
      <w:rPr>
        <w:szCs w:val="18"/>
      </w:rPr>
      <w:t>Nations</w:t>
    </w:r>
    <w:proofErr w:type="spellEnd"/>
    <w:r w:rsidRPr="002E0CDE">
      <w:rPr>
        <w:szCs w:val="18"/>
      </w:rPr>
      <w:t>, CH</w:t>
    </w:r>
    <w:r w:rsidRPr="002E0CDE">
      <w:rPr>
        <w:szCs w:val="18"/>
      </w:rPr>
      <w:noBreakHyphen/>
      <w:t xml:space="preserve">1211 Ginebra 20, Suiza </w:t>
    </w:r>
    <w:r w:rsidRPr="002E0CDE">
      <w:rPr>
        <w:szCs w:val="18"/>
      </w:rPr>
      <w:br/>
      <w:t>Tel</w:t>
    </w:r>
    <w:r w:rsidR="00CB4DD9">
      <w:rPr>
        <w:szCs w:val="18"/>
      </w:rPr>
      <w:t>.</w:t>
    </w:r>
    <w:r w:rsidRPr="002E0CDE">
      <w:rPr>
        <w:szCs w:val="18"/>
      </w:rPr>
      <w:t xml:space="preserve">: +41 22 730 5111 • Fax: +41 22 733 7256 • Correo-e: </w:t>
    </w:r>
    <w:hyperlink r:id="rId1" w:history="1">
      <w:r w:rsidRPr="002E0CDE">
        <w:rPr>
          <w:rStyle w:val="Hyperlink"/>
        </w:rPr>
        <w:t>itumail@itu.int</w:t>
      </w:r>
    </w:hyperlink>
    <w:r w:rsidRPr="002E0CDE">
      <w:rPr>
        <w:szCs w:val="18"/>
      </w:rPr>
      <w:t xml:space="preserve"> • </w:t>
    </w:r>
    <w:hyperlink r:id="rId2" w:history="1">
      <w:r w:rsidRPr="002E0CDE">
        <w:rPr>
          <w:rStyle w:val="Hyperlink"/>
        </w:rPr>
        <w:t>www.itu.int</w:t>
      </w:r>
    </w:hyperlink>
    <w:r w:rsidRPr="002E0CDE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F2D" w:rsidRDefault="00051F2D">
      <w:r>
        <w:t>____________________</w:t>
      </w:r>
    </w:p>
  </w:footnote>
  <w:footnote w:type="continuationSeparator" w:id="0">
    <w:p w:rsidR="00051F2D" w:rsidRDefault="00051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9B4" w:rsidRDefault="006969B4">
    <w:pPr>
      <w:pStyle w:val="Header"/>
      <w:rPr>
        <w:rStyle w:val="PageNumber"/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9F392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  <w:p w:rsidR="002E0CDE" w:rsidRPr="00303D62" w:rsidRDefault="002E0CDE" w:rsidP="002E0CDE">
    <w:pPr>
      <w:pStyle w:val="Header"/>
      <w:rPr>
        <w:sz w:val="18"/>
        <w:szCs w:val="18"/>
      </w:rPr>
    </w:pPr>
    <w:r>
      <w:rPr>
        <w:rStyle w:val="PageNumber"/>
        <w:sz w:val="18"/>
        <w:szCs w:val="18"/>
      </w:rPr>
      <w:t>Circular TSB 78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06835"/>
    <w:multiLevelType w:val="hybridMultilevel"/>
    <w:tmpl w:val="1DC8CF52"/>
    <w:lvl w:ilvl="0" w:tplc="89BC641A">
      <w:start w:val="1"/>
      <w:numFmt w:val="bullet"/>
      <w:lvlText w:val="‐"/>
      <w:lvlJc w:val="left"/>
      <w:pPr>
        <w:ind w:left="777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30864D38"/>
    <w:multiLevelType w:val="hybridMultilevel"/>
    <w:tmpl w:val="5FB64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5C8409F0"/>
    <w:multiLevelType w:val="hybridMultilevel"/>
    <w:tmpl w:val="D650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79"/>
    <w:rsid w:val="00002529"/>
    <w:rsid w:val="000353F8"/>
    <w:rsid w:val="00051F2D"/>
    <w:rsid w:val="00055D8E"/>
    <w:rsid w:val="00085662"/>
    <w:rsid w:val="000C382F"/>
    <w:rsid w:val="001173CC"/>
    <w:rsid w:val="0014464D"/>
    <w:rsid w:val="001658AE"/>
    <w:rsid w:val="00174636"/>
    <w:rsid w:val="001A54CC"/>
    <w:rsid w:val="00257FB4"/>
    <w:rsid w:val="002E0CDE"/>
    <w:rsid w:val="002E496E"/>
    <w:rsid w:val="00303D62"/>
    <w:rsid w:val="00325860"/>
    <w:rsid w:val="00335367"/>
    <w:rsid w:val="00370C2D"/>
    <w:rsid w:val="00391379"/>
    <w:rsid w:val="003D1E8D"/>
    <w:rsid w:val="003D2613"/>
    <w:rsid w:val="003D673B"/>
    <w:rsid w:val="003F2855"/>
    <w:rsid w:val="00401C20"/>
    <w:rsid w:val="00410F07"/>
    <w:rsid w:val="004230C4"/>
    <w:rsid w:val="004A7957"/>
    <w:rsid w:val="004C4144"/>
    <w:rsid w:val="00606A0E"/>
    <w:rsid w:val="006969B4"/>
    <w:rsid w:val="006E4F7B"/>
    <w:rsid w:val="00781E2A"/>
    <w:rsid w:val="007933A2"/>
    <w:rsid w:val="00814503"/>
    <w:rsid w:val="008258C2"/>
    <w:rsid w:val="008505BD"/>
    <w:rsid w:val="00850C78"/>
    <w:rsid w:val="00884D12"/>
    <w:rsid w:val="008C17AD"/>
    <w:rsid w:val="008D02CD"/>
    <w:rsid w:val="0091370C"/>
    <w:rsid w:val="0095172A"/>
    <w:rsid w:val="009A0BA0"/>
    <w:rsid w:val="009D6F71"/>
    <w:rsid w:val="009F3926"/>
    <w:rsid w:val="00A248EB"/>
    <w:rsid w:val="00A54E47"/>
    <w:rsid w:val="00AB6E3A"/>
    <w:rsid w:val="00AE7093"/>
    <w:rsid w:val="00B422BC"/>
    <w:rsid w:val="00B43F77"/>
    <w:rsid w:val="00B55A3E"/>
    <w:rsid w:val="00B87E9E"/>
    <w:rsid w:val="00B95F0A"/>
    <w:rsid w:val="00B96180"/>
    <w:rsid w:val="00BC7625"/>
    <w:rsid w:val="00C116FE"/>
    <w:rsid w:val="00C17AC0"/>
    <w:rsid w:val="00C34772"/>
    <w:rsid w:val="00C5465A"/>
    <w:rsid w:val="00CB4DD9"/>
    <w:rsid w:val="00CE3B22"/>
    <w:rsid w:val="00D54642"/>
    <w:rsid w:val="00DD77C9"/>
    <w:rsid w:val="00DF3538"/>
    <w:rsid w:val="00E839B0"/>
    <w:rsid w:val="00E92C09"/>
    <w:rsid w:val="00E957E4"/>
    <w:rsid w:val="00EC08E7"/>
    <w:rsid w:val="00F14380"/>
    <w:rsid w:val="00F6461F"/>
    <w:rsid w:val="00F727A8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2D2B98C4-56C2-42C4-AFE0-565FAC91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ListParagraph">
    <w:name w:val="List Paragraph"/>
    <w:basedOn w:val="Normal"/>
    <w:uiPriority w:val="99"/>
    <w:qFormat/>
    <w:rsid w:val="00391379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en/ITU-T/C-I/interop/Pages/IoT2018May.aspx" TargetMode="External"/><Relationship Id="rId18" Type="http://schemas.openxmlformats.org/officeDocument/2006/relationships/hyperlink" Target="https://www.itu.int/en/ITU-T/studygroups/2017-2020/20/Pages/default.asp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Workshops-and-Seminars/bsg/20180506/Pages/default.aspx" TargetMode="External"/><Relationship Id="rId17" Type="http://schemas.openxmlformats.org/officeDocument/2006/relationships/hyperlink" Target="https://www.itu.int/net4/CRM/xreg/web/registration.aspx?Event=C-0000445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net4/CRM/xreg/web/registration.aspx?Event=C-00004446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en/ITU-T/Workshops-and-Seminars/20180506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net4/CRM/xreg/web/registration.aspx?Event=C-00004557" TargetMode="External"/><Relationship Id="rId10" Type="http://schemas.openxmlformats.org/officeDocument/2006/relationships/hyperlink" Target="https://www.dusit.com/dusitthani/lakeviewcairo/?utm_source=affilired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ristina.bueti@itu.int" TargetMode="External"/><Relationship Id="rId14" Type="http://schemas.openxmlformats.org/officeDocument/2006/relationships/hyperlink" Target="mailto:interop@itu.int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dozas\AppData\Roaming\Microsoft\Templates\POOL%20S%20-%20ITU\PS_TSBCIRC1-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46DED-4259-4EE5-98DA-E7F97935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PS_TSBCIRC1-S.dotx</Template>
  <TotalTime>95</TotalTime>
  <Pages>3</Pages>
  <Words>1004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7192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Osvath, Alexandra</cp:lastModifiedBy>
  <cp:revision>19</cp:revision>
  <cp:lastPrinted>2018-04-18T09:06:00Z</cp:lastPrinted>
  <dcterms:created xsi:type="dcterms:W3CDTF">2018-04-04T06:39:00Z</dcterms:created>
  <dcterms:modified xsi:type="dcterms:W3CDTF">2018-04-18T09:06:00Z</dcterms:modified>
</cp:coreProperties>
</file>