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56338C">
            <w:pPr>
              <w:pStyle w:val="Tabletext"/>
              <w:spacing w:before="480" w:after="120"/>
            </w:pPr>
            <w:r>
              <w:t>Geneva</w:t>
            </w:r>
            <w:r w:rsidRPr="0056338C">
              <w:t xml:space="preserve">, </w:t>
            </w:r>
            <w:r w:rsidR="0056338C" w:rsidRPr="0056338C">
              <w:t>26</w:t>
            </w:r>
            <w:r w:rsidR="00B910C0" w:rsidRPr="0056338C">
              <w:t xml:space="preserve"> January</w:t>
            </w:r>
            <w:r w:rsidR="00B910C0" w:rsidRPr="00B910C0">
              <w:t xml:space="preserve"> 2018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56338C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56338C">
              <w:rPr>
                <w:b/>
              </w:rPr>
              <w:t>69</w:t>
            </w:r>
          </w:p>
          <w:p w:rsidR="00932E45" w:rsidRPr="00F36AC4" w:rsidRDefault="002F4914" w:rsidP="00B910C0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B32B08">
              <w:t>DA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B32B08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B910C0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D2B53">
              <w:t>5</w:t>
            </w:r>
            <w:r w:rsidR="00B32B08">
              <w:t>780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1F1582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B32B08" w:rsidP="00B32B08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val="en-US" w:eastAsia="ko-KR"/>
              </w:rPr>
              <w:t xml:space="preserve">Second ITU-T Study </w:t>
            </w:r>
            <w:r w:rsidRPr="00B32B08">
              <w:rPr>
                <w:rFonts w:eastAsia="Batang" w:cs="Calibri"/>
                <w:b/>
                <w:lang w:val="en-US" w:eastAsia="ko-KR"/>
              </w:rPr>
              <w:t>G</w:t>
            </w:r>
            <w:r>
              <w:rPr>
                <w:rFonts w:eastAsia="Batang" w:cs="Calibri"/>
                <w:b/>
                <w:lang w:val="en-US" w:eastAsia="ko-KR"/>
              </w:rPr>
              <w:t>roup</w:t>
            </w:r>
            <w:r w:rsidRPr="00B32B08">
              <w:rPr>
                <w:rFonts w:eastAsia="Batang" w:cs="Calibri"/>
                <w:b/>
                <w:lang w:val="en-US" w:eastAsia="ko-KR"/>
              </w:rPr>
              <w:t xml:space="preserve"> 11 Regional Workshop for Africa on </w:t>
            </w:r>
            <w:r>
              <w:rPr>
                <w:rFonts w:eastAsia="Batang" w:cs="Calibri"/>
                <w:b/>
                <w:lang w:val="en-US" w:eastAsia="ko-KR"/>
              </w:rPr>
              <w:t>“</w:t>
            </w:r>
            <w:r w:rsidRPr="00B32B08">
              <w:rPr>
                <w:rFonts w:eastAsia="Batang" w:cs="Calibri"/>
                <w:b/>
                <w:lang w:val="en-US" w:eastAsia="ko-KR"/>
              </w:rPr>
              <w:t>Counterfeit ICT Devices, Conformance and Interoperability Testing Challenges in Africa</w:t>
            </w:r>
            <w:r>
              <w:rPr>
                <w:rFonts w:eastAsia="Batang" w:cs="Calibri"/>
                <w:b/>
                <w:lang w:val="en-US" w:eastAsia="ko-KR"/>
              </w:rPr>
              <w:t>”</w:t>
            </w:r>
            <w:r w:rsidR="00B910C0">
              <w:rPr>
                <w:rFonts w:eastAsia="Batang" w:cs="Calibri"/>
                <w:b/>
                <w:lang w:val="en-US" w:eastAsia="ko-KR"/>
              </w:rPr>
              <w:t xml:space="preserve"> </w:t>
            </w:r>
            <w:r>
              <w:rPr>
                <w:rFonts w:eastAsia="Batang" w:cs="Calibri"/>
                <w:b/>
                <w:lang w:val="en-US" w:eastAsia="ko-KR"/>
              </w:rPr>
              <w:br/>
            </w:r>
            <w:r w:rsidR="00872BF7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Tunis</w:t>
            </w:r>
            <w:r w:rsidR="00B910C0" w:rsidRPr="00B910C0">
              <w:rPr>
                <w:b/>
                <w:bCs/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Tunisia,</w:t>
            </w:r>
            <w:r w:rsidR="00B910C0" w:rsidRPr="00B910C0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23 April</w:t>
            </w:r>
            <w:r w:rsidR="00B910C0" w:rsidRPr="00B910C0">
              <w:rPr>
                <w:b/>
                <w:bCs/>
                <w:lang w:val="en-US"/>
              </w:rPr>
              <w:t xml:space="preserve"> 2018</w:t>
            </w:r>
            <w:r w:rsidR="00872BF7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3824B7" w:rsidRPr="003824B7" w:rsidRDefault="0087300D" w:rsidP="00E61736">
      <w:pPr>
        <w:rPr>
          <w:bCs/>
          <w:lang w:val="en-US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B32B08">
        <w:rPr>
          <w:rFonts w:eastAsia="Batang" w:cs="Calibri"/>
          <w:b/>
          <w:lang w:val="en-US" w:eastAsia="ko-KR"/>
        </w:rPr>
        <w:t xml:space="preserve">Second ITU-T Study </w:t>
      </w:r>
      <w:r w:rsidR="00B32B08" w:rsidRPr="00B32B08">
        <w:rPr>
          <w:rFonts w:eastAsia="Batang" w:cs="Calibri"/>
          <w:b/>
          <w:lang w:val="en-US" w:eastAsia="ko-KR"/>
        </w:rPr>
        <w:t>G</w:t>
      </w:r>
      <w:r w:rsidR="00B32B08">
        <w:rPr>
          <w:rFonts w:eastAsia="Batang" w:cs="Calibri"/>
          <w:b/>
          <w:lang w:val="en-US" w:eastAsia="ko-KR"/>
        </w:rPr>
        <w:t>roup</w:t>
      </w:r>
      <w:r w:rsidR="00B32B08" w:rsidRPr="00B32B08">
        <w:rPr>
          <w:rFonts w:eastAsia="Batang" w:cs="Calibri"/>
          <w:b/>
          <w:lang w:val="en-US" w:eastAsia="ko-KR"/>
        </w:rPr>
        <w:t xml:space="preserve"> 11 Regional Workshop for Africa on </w:t>
      </w:r>
      <w:r w:rsidR="00B32B08">
        <w:rPr>
          <w:rFonts w:eastAsia="Batang" w:cs="Calibri"/>
          <w:b/>
          <w:lang w:val="en-US" w:eastAsia="ko-KR"/>
        </w:rPr>
        <w:t>“</w:t>
      </w:r>
      <w:r w:rsidR="00B32B08" w:rsidRPr="00B32B08">
        <w:rPr>
          <w:rFonts w:eastAsia="Batang" w:cs="Calibri"/>
          <w:b/>
          <w:lang w:val="en-US" w:eastAsia="ko-KR"/>
        </w:rPr>
        <w:t>Counterfeit ICT Devices, Conformance and Interoperability Testing Challenges in Africa</w:t>
      </w:r>
      <w:r w:rsidR="00B32B08">
        <w:rPr>
          <w:rFonts w:eastAsia="Batang" w:cs="Calibri"/>
          <w:b/>
          <w:lang w:val="en-US" w:eastAsia="ko-KR"/>
        </w:rPr>
        <w:t xml:space="preserve">” </w:t>
      </w:r>
      <w:r w:rsidR="003B6B61">
        <w:t>will be kindly hosted by</w:t>
      </w:r>
      <w:r w:rsidR="00A2576E">
        <w:t xml:space="preserve"> the</w:t>
      </w:r>
      <w:r w:rsidR="003B6B61">
        <w:t xml:space="preserve"> </w:t>
      </w:r>
      <w:r w:rsidR="00D71071">
        <w:t xml:space="preserve">Centre </w:t>
      </w:r>
      <w:proofErr w:type="spellStart"/>
      <w:r w:rsidR="00D71071">
        <w:t>d'É</w:t>
      </w:r>
      <w:r w:rsidR="00B72058" w:rsidRPr="00B72058">
        <w:t>tudes</w:t>
      </w:r>
      <w:proofErr w:type="spellEnd"/>
      <w:r w:rsidR="00B72058" w:rsidRPr="00B72058">
        <w:t xml:space="preserve"> et de </w:t>
      </w:r>
      <w:proofErr w:type="spellStart"/>
      <w:r w:rsidR="00B72058" w:rsidRPr="00B72058">
        <w:t>Recherche</w:t>
      </w:r>
      <w:proofErr w:type="spellEnd"/>
      <w:r w:rsidR="00B72058" w:rsidRPr="00B72058">
        <w:t xml:space="preserve"> des </w:t>
      </w:r>
      <w:proofErr w:type="spellStart"/>
      <w:r w:rsidR="00B72058" w:rsidRPr="00B72058">
        <w:t>Télécommunications</w:t>
      </w:r>
      <w:proofErr w:type="spellEnd"/>
      <w:r w:rsidR="00B72058" w:rsidRPr="00B72058">
        <w:t xml:space="preserve"> </w:t>
      </w:r>
      <w:r w:rsidR="00B72058">
        <w:t xml:space="preserve">(CERT) </w:t>
      </w:r>
      <w:r w:rsidR="003B6B61">
        <w:t xml:space="preserve">and </w:t>
      </w:r>
      <w:r w:rsidR="00BC1330">
        <w:t xml:space="preserve">will take place </w:t>
      </w:r>
      <w:r w:rsidR="00B72058">
        <w:t xml:space="preserve">at the hotel </w:t>
      </w:r>
      <w:proofErr w:type="spellStart"/>
      <w:r w:rsidR="00602986" w:rsidRPr="00602986">
        <w:t>Hotel</w:t>
      </w:r>
      <w:proofErr w:type="spellEnd"/>
      <w:r w:rsidR="00602986" w:rsidRPr="00602986">
        <w:t xml:space="preserve"> Ramada Plaza </w:t>
      </w:r>
      <w:proofErr w:type="spellStart"/>
      <w:r w:rsidR="00602986" w:rsidRPr="00602986">
        <w:t>Gammarth</w:t>
      </w:r>
      <w:proofErr w:type="spellEnd"/>
      <w:r w:rsidR="00602986" w:rsidRPr="00602986">
        <w:t xml:space="preserve"> (</w:t>
      </w:r>
      <w:hyperlink r:id="rId10" w:history="1">
        <w:r w:rsidR="00602986" w:rsidRPr="00381935">
          <w:rPr>
            <w:rStyle w:val="Hyperlink"/>
          </w:rPr>
          <w:t>http://www.ramadaplaza-tunis.com/</w:t>
        </w:r>
      </w:hyperlink>
      <w:r w:rsidR="00602986" w:rsidRPr="00381935">
        <w:t>)</w:t>
      </w:r>
      <w:r w:rsidR="00B72058" w:rsidRPr="00381935">
        <w:t>,</w:t>
      </w:r>
      <w:r w:rsidR="00E61736">
        <w:t xml:space="preserve"> Tunis, </w:t>
      </w:r>
      <w:r w:rsidR="00B72058" w:rsidRPr="00B72058">
        <w:t>Tunisia</w:t>
      </w:r>
      <w:r w:rsidR="00B910C0" w:rsidRPr="00B72058">
        <w:t xml:space="preserve"> </w:t>
      </w:r>
      <w:r w:rsidR="00B72058">
        <w:t>on 23</w:t>
      </w:r>
      <w:r w:rsidR="00B910C0">
        <w:t xml:space="preserve"> </w:t>
      </w:r>
      <w:r w:rsidR="00B72058">
        <w:t>April</w:t>
      </w:r>
      <w:r w:rsidR="00B910C0">
        <w:t xml:space="preserve"> 2018</w:t>
      </w:r>
      <w:r w:rsidR="00076775">
        <w:t>.</w:t>
      </w:r>
      <w:r w:rsidR="00602986">
        <w:br/>
      </w:r>
      <w:r w:rsidR="0018116D">
        <w:t>The</w:t>
      </w:r>
      <w:r w:rsidR="00B72058">
        <w:t xml:space="preserve"> workshop will be followed by the ITU-</w:t>
      </w:r>
      <w:r w:rsidR="00E61736">
        <w:t xml:space="preserve">T Study Group 11 Regional Group </w:t>
      </w:r>
      <w:r w:rsidR="00B72058">
        <w:t xml:space="preserve">for Africa </w:t>
      </w:r>
      <w:r w:rsidR="00E61736">
        <w:br/>
      </w:r>
      <w:r w:rsidR="00B72058">
        <w:t xml:space="preserve">(SG11RG-AFR) </w:t>
      </w:r>
      <w:r w:rsidR="00D71071">
        <w:t xml:space="preserve">meeting </w:t>
      </w:r>
      <w:r w:rsidR="00B72058">
        <w:t xml:space="preserve">taking place </w:t>
      </w:r>
      <w:r w:rsidR="00602986">
        <w:t xml:space="preserve">in the same venue </w:t>
      </w:r>
      <w:r w:rsidR="00B72058">
        <w:t>from 23 (afternoon) to 25 April 2018.</w:t>
      </w:r>
    </w:p>
    <w:p w:rsidR="0087300D" w:rsidRPr="009273EC" w:rsidRDefault="0087300D" w:rsidP="00BA4DAE">
      <w:r>
        <w:rPr>
          <w:bCs/>
        </w:rPr>
        <w:t>2</w:t>
      </w:r>
      <w:r>
        <w:tab/>
      </w:r>
      <w:r w:rsidR="00BA4DAE">
        <w:t>This workshop</w:t>
      </w:r>
      <w:r>
        <w:t xml:space="preserve"> will be held in </w:t>
      </w:r>
      <w:r w:rsidRPr="0014328B">
        <w:t>English only.</w:t>
      </w:r>
    </w:p>
    <w:p w:rsidR="0087300D" w:rsidRDefault="0087300D" w:rsidP="00F45EDA">
      <w:r>
        <w:t>3</w:t>
      </w:r>
      <w:r>
        <w:tab/>
      </w:r>
      <w:r w:rsidRPr="00AB1E2F">
        <w:t xml:space="preserve">Participation </w:t>
      </w:r>
      <w:r w:rsidR="00D71071">
        <w:t>in the w</w:t>
      </w:r>
      <w:r w:rsidR="00965932" w:rsidRPr="00AB1E2F">
        <w:t>orkshop</w:t>
      </w:r>
      <w:r w:rsidR="00965932">
        <w:t xml:space="preserve">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Pr="00CD63EC">
        <w:t xml:space="preserve"> </w:t>
      </w:r>
      <w:r w:rsidR="00F45EDA" w:rsidRPr="00CD63EC">
        <w:t>and</w:t>
      </w:r>
      <w:r w:rsidRPr="00CD63EC">
        <w:t xml:space="preserve"> no</w:t>
      </w:r>
      <w:r w:rsidRPr="008A61EA">
        <w:t xml:space="preserve"> fellowships will be granted.</w:t>
      </w:r>
    </w:p>
    <w:p w:rsidR="00602986" w:rsidRPr="00AB1E2F" w:rsidRDefault="0087300D" w:rsidP="00E32243">
      <w:r>
        <w:t>4</w:t>
      </w:r>
      <w:r>
        <w:tab/>
      </w:r>
      <w:r w:rsidR="0018116D" w:rsidRPr="00AB1E2F">
        <w:t>The</w:t>
      </w:r>
      <w:r w:rsidR="00B910C0" w:rsidRPr="00AB1E2F">
        <w:t xml:space="preserve"> workshop aims </w:t>
      </w:r>
      <w:r w:rsidR="00602986" w:rsidRPr="00AB1E2F">
        <w:t xml:space="preserve">to identify and discuss issues related to combating counterfeiting and Conformance and Interoperability (C&amp;I) with a focus </w:t>
      </w:r>
      <w:r w:rsidR="00E32243">
        <w:t>o</w:t>
      </w:r>
      <w:r w:rsidR="00602986" w:rsidRPr="00AB1E2F">
        <w:t xml:space="preserve">n the African region and activities going under ITU-T SG11 and </w:t>
      </w:r>
      <w:r w:rsidR="0015780B" w:rsidRPr="00AB1E2F">
        <w:t xml:space="preserve">ITU-T </w:t>
      </w:r>
      <w:r w:rsidR="00602986" w:rsidRPr="00AB1E2F">
        <w:t>SG11RG-AFR</w:t>
      </w:r>
      <w:r w:rsidR="00B37469" w:rsidRPr="00AB1E2F">
        <w:rPr>
          <w:lang w:val="en-US"/>
        </w:rPr>
        <w:t>.</w:t>
      </w:r>
      <w:r w:rsidR="00602986" w:rsidRPr="00AB1E2F">
        <w:rPr>
          <w:lang w:val="en-US"/>
        </w:rPr>
        <w:t xml:space="preserve"> </w:t>
      </w:r>
      <w:r w:rsidR="00602986" w:rsidRPr="00AB1E2F">
        <w:t>The discussion will focus on:</w:t>
      </w:r>
    </w:p>
    <w:p w:rsidR="00602986" w:rsidRPr="00AB1E2F" w:rsidRDefault="00602986" w:rsidP="00E32243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ind w:left="714" w:hanging="357"/>
        <w:textAlignment w:val="auto"/>
      </w:pPr>
      <w:r w:rsidRPr="00AB1E2F">
        <w:t xml:space="preserve">problems and </w:t>
      </w:r>
      <w:r w:rsidR="00E32243">
        <w:t xml:space="preserve">the </w:t>
      </w:r>
      <w:r w:rsidRPr="00AB1E2F">
        <w:t xml:space="preserve">impact of counterfeiting issues on </w:t>
      </w:r>
      <w:r w:rsidR="00E32243">
        <w:t xml:space="preserve">the </w:t>
      </w:r>
      <w:r w:rsidRPr="00AB1E2F">
        <w:t>ICT market, ranging fr</w:t>
      </w:r>
      <w:r w:rsidR="00E32243">
        <w:t>om lost taxes and other revenue to</w:t>
      </w:r>
      <w:r w:rsidRPr="00AB1E2F">
        <w:t xml:space="preserve"> erosion of brand value, network disruptions and interoperability challenges resulting in poor quality of service delivery; and risks to health, safety and environment;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lastRenderedPageBreak/>
        <w:t>new trends and mechanisms in ICT counterfeiting, tampering and/or duplication of unique device identifiers;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mechanisms to secure the supply chain management (from manufacturing, importation distribution and marketing) to ensure traceability, security, privacy and trust of people, products and networks;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technical solutions to combat counterfeit ICT devices;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 xml:space="preserve">Implementation of </w:t>
      </w:r>
      <w:r w:rsidR="00E32243">
        <w:t xml:space="preserve">the </w:t>
      </w:r>
      <w:r w:rsidRPr="00AB1E2F">
        <w:t>ITU C&amp;I Programme;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C&amp;I activities and testing laboratories in the Region;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MRAs and Harmonized Standards Development for the Region;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Joint ITU-T/IEC activities including CASC and joint certification schemes;</w:t>
      </w:r>
    </w:p>
    <w:p w:rsidR="00602986" w:rsidRPr="00AB1E2F" w:rsidRDefault="00602986" w:rsidP="00602986">
      <w:pPr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714" w:hanging="357"/>
        <w:textAlignment w:val="auto"/>
      </w:pPr>
      <w:r w:rsidRPr="00AB1E2F">
        <w:t>SG11 activities on C&amp;I and combating counterfeiting ICT devices.</w:t>
      </w:r>
    </w:p>
    <w:p w:rsidR="00965932" w:rsidRDefault="00BA4DAE" w:rsidP="0015780B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965932" w:rsidRPr="0015780B">
        <w:t>, including practical information</w:t>
      </w:r>
      <w:r w:rsidR="00E61736">
        <w:t xml:space="preserve"> and</w:t>
      </w:r>
      <w:r w:rsidR="00E32243">
        <w:t xml:space="preserve"> the</w:t>
      </w:r>
      <w:r w:rsidR="00E61736">
        <w:t xml:space="preserve"> programme of the event</w:t>
      </w:r>
      <w:r w:rsidR="00965932" w:rsidRPr="0015780B">
        <w:t>,</w:t>
      </w:r>
      <w:r w:rsidR="00B51487" w:rsidRPr="0015780B">
        <w:t xml:space="preserve"> will</w:t>
      </w:r>
      <w:r w:rsidR="00B51487" w:rsidRPr="002306CD">
        <w:t xml:space="preserve"> be available on the event w</w:t>
      </w:r>
      <w:r w:rsidR="00726BE3" w:rsidRPr="002306CD">
        <w:t>ebsite</w:t>
      </w:r>
      <w:r w:rsidR="002306CD" w:rsidRPr="002306CD">
        <w:t xml:space="preserve"> at:</w:t>
      </w:r>
      <w:r w:rsidR="002306CD">
        <w:t xml:space="preserve"> </w:t>
      </w:r>
      <w:hyperlink r:id="rId11" w:history="1">
        <w:r w:rsidR="0015780B" w:rsidRPr="00A247B0">
          <w:rPr>
            <w:rStyle w:val="Hyperlink"/>
          </w:rPr>
          <w:t>https://www.itu.int/en/ITU-T/Workshops-and-Seminars/20180423/Pages/default.aspx</w:t>
        </w:r>
      </w:hyperlink>
      <w:r w:rsidR="0015780B">
        <w:t xml:space="preserve">. </w:t>
      </w:r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 available.</w:t>
      </w:r>
      <w:r w:rsidR="00B51487">
        <w:t xml:space="preserve"> Participants are requested to check periodically for new updates.</w:t>
      </w:r>
    </w:p>
    <w:p w:rsidR="00B51487" w:rsidRDefault="00BA4DAE" w:rsidP="00076775">
      <w:r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:rsidR="00AD7192" w:rsidRPr="00CD63EC" w:rsidRDefault="00BA4DAE" w:rsidP="0015780B">
      <w:pPr>
        <w:rPr>
          <w:rFonts w:ascii="Calibri" w:hAnsi="Calibri"/>
          <w:color w:val="1F497D"/>
          <w:sz w:val="22"/>
          <w:lang w:val="en-US" w:eastAsia="en-GB"/>
        </w:rPr>
      </w:pPr>
      <w:r>
        <w:t>7</w:t>
      </w:r>
      <w:r w:rsidR="0087300D">
        <w:tab/>
      </w:r>
      <w:r w:rsidR="00076775">
        <w:t>Registration is mandatory for all participants planning to attend the workshop. You are invited to complete the online registration form available</w:t>
      </w:r>
      <w:r w:rsidR="0015780B">
        <w:t xml:space="preserve"> at:</w:t>
      </w:r>
      <w:r w:rsidR="00076775">
        <w:t xml:space="preserve"> </w:t>
      </w:r>
      <w:hyperlink r:id="rId12" w:history="1">
        <w:r w:rsidR="0015780B" w:rsidRPr="00A247B0">
          <w:rPr>
            <w:rStyle w:val="Hyperlink"/>
          </w:rPr>
          <w:t>https://www.itu.int/online/edrs/REGISTRATION/edrs.registration.form?_eventid=3001055</w:t>
        </w:r>
      </w:hyperlink>
      <w:r w:rsidR="0015780B">
        <w:t xml:space="preserve"> </w:t>
      </w:r>
      <w:r w:rsidR="00076775" w:rsidRPr="0038107A">
        <w:rPr>
          <w:rStyle w:val="Hyperlink"/>
          <w:color w:val="auto"/>
          <w:u w:val="none"/>
        </w:rPr>
        <w:t xml:space="preserve">by </w:t>
      </w:r>
      <w:r w:rsidR="00B37469">
        <w:rPr>
          <w:rStyle w:val="Hyperlink"/>
          <w:color w:val="auto"/>
          <w:u w:val="none"/>
        </w:rPr>
        <w:t>16</w:t>
      </w:r>
      <w:r w:rsidR="00B910C0">
        <w:rPr>
          <w:rStyle w:val="Hyperlink"/>
          <w:color w:val="auto"/>
          <w:u w:val="none"/>
        </w:rPr>
        <w:t xml:space="preserve"> </w:t>
      </w:r>
      <w:r w:rsidR="00B37469">
        <w:rPr>
          <w:rStyle w:val="Hyperlink"/>
          <w:color w:val="auto"/>
          <w:u w:val="none"/>
        </w:rPr>
        <w:t>April</w:t>
      </w:r>
      <w:r w:rsidR="005D2B53">
        <w:rPr>
          <w:rStyle w:val="Hyperlink"/>
          <w:color w:val="auto"/>
          <w:u w:val="none"/>
        </w:rPr>
        <w:t xml:space="preserve"> 2018</w:t>
      </w:r>
      <w:r w:rsidR="00076775" w:rsidRPr="00CD63EC">
        <w:rPr>
          <w:b/>
        </w:rPr>
        <w:t>.</w:t>
      </w:r>
      <w:r w:rsidR="00F45EDA" w:rsidRPr="00CD63EC">
        <w:rPr>
          <w:b/>
        </w:rPr>
        <w:t xml:space="preserve"> Please note that </w:t>
      </w:r>
      <w:r w:rsidR="00076775" w:rsidRPr="00CD63EC">
        <w:rPr>
          <w:b/>
          <w:bCs/>
        </w:rPr>
        <w:t xml:space="preserve">pre-registration of participants for this workshop is </w:t>
      </w:r>
      <w:r w:rsidR="00F45EDA" w:rsidRPr="00CD63EC">
        <w:rPr>
          <w:b/>
          <w:bCs/>
        </w:rPr>
        <w:t xml:space="preserve">mandatory and will be </w:t>
      </w:r>
      <w:r w:rsidR="00076775" w:rsidRPr="00CD63EC">
        <w:rPr>
          <w:b/>
          <w:bCs/>
        </w:rPr>
        <w:t xml:space="preserve">carried out exclusively </w:t>
      </w:r>
      <w:r w:rsidR="00076775" w:rsidRPr="00CD63EC">
        <w:rPr>
          <w:b/>
          <w:bCs/>
          <w:i/>
          <w:iCs/>
        </w:rPr>
        <w:t>online</w:t>
      </w:r>
      <w:r w:rsidR="00F45EDA" w:rsidRPr="00B910C0">
        <w:rPr>
          <w:b/>
          <w:bCs/>
        </w:rPr>
        <w:t>.</w:t>
      </w:r>
    </w:p>
    <w:p w:rsidR="00E34D68" w:rsidRPr="0015780B" w:rsidRDefault="00BA4DAE" w:rsidP="00BC3C27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B37469">
        <w:rPr>
          <w:szCs w:val="22"/>
        </w:rPr>
        <w:t>Tunisia</w:t>
      </w:r>
      <w:r w:rsidR="00B910C0">
        <w:rPr>
          <w:szCs w:val="22"/>
        </w:rPr>
        <w:t xml:space="preserve"> </w:t>
      </w:r>
      <w:r w:rsidR="00076775" w:rsidRPr="00576D0E">
        <w:rPr>
          <w:szCs w:val="22"/>
        </w:rPr>
        <w:t>in your country or, if there is no such office in your country, from the one that is closest to the country of departure.</w:t>
      </w:r>
      <w:r w:rsidR="0015780B">
        <w:rPr>
          <w:szCs w:val="22"/>
        </w:rPr>
        <w:t xml:space="preserve"> Additional visa informati</w:t>
      </w:r>
      <w:r w:rsidR="00BC3C27">
        <w:rPr>
          <w:szCs w:val="22"/>
        </w:rPr>
        <w:t>on will be made available on the event website</w:t>
      </w:r>
      <w:r w:rsidR="0015780B">
        <w:rPr>
          <w:szCs w:val="22"/>
        </w:rPr>
        <w:t>.</w:t>
      </w:r>
      <w:r w:rsidR="00B910C0">
        <w:rPr>
          <w:szCs w:val="22"/>
          <w:lang w:val="en-IN"/>
        </w:rPr>
        <w:t xml:space="preserve"> </w:t>
      </w:r>
    </w:p>
    <w:p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:rsid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1F1582" w:rsidRPr="001F1582" w:rsidRDefault="001F1582" w:rsidP="001F1582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1F1582">
        <w:rPr>
          <w:i/>
          <w:iCs/>
        </w:rPr>
        <w:t>(signed)</w:t>
      </w:r>
      <w:bookmarkStart w:id="5" w:name="_GoBack"/>
      <w:bookmarkEnd w:id="5"/>
    </w:p>
    <w:p w:rsidR="001F1582" w:rsidRDefault="001F15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D54" w:rsidRDefault="006B1D54">
      <w:r>
        <w:separator/>
      </w:r>
    </w:p>
  </w:endnote>
  <w:endnote w:type="continuationSeparator" w:id="0">
    <w:p w:rsidR="006B1D54" w:rsidRDefault="006B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0" w:usb1="00000000" w:usb2="00000000" w:usb3="00000000" w:csb0="000001F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D54" w:rsidRDefault="006B1D54">
      <w:r>
        <w:t>____________________</w:t>
      </w:r>
    </w:p>
  </w:footnote>
  <w:footnote w:type="continuationSeparator" w:id="0">
    <w:p w:rsidR="006B1D54" w:rsidRDefault="006B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Default="000A3261" w:rsidP="0056338C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5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56338C">
      <w:rPr>
        <w:rStyle w:val="PageNumber"/>
      </w:rPr>
      <w:t>69</w:t>
    </w:r>
  </w:p>
  <w:p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6205F"/>
    <w:rsid w:val="00076775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A7566"/>
    <w:rsid w:val="001C1DD9"/>
    <w:rsid w:val="001C3018"/>
    <w:rsid w:val="001C46B1"/>
    <w:rsid w:val="001C6B1D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A1FFE"/>
    <w:rsid w:val="002A7FE2"/>
    <w:rsid w:val="002E1B4F"/>
    <w:rsid w:val="002F2DCC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7FBE"/>
    <w:rsid w:val="003A271B"/>
    <w:rsid w:val="003B2789"/>
    <w:rsid w:val="003B6B61"/>
    <w:rsid w:val="003C13CE"/>
    <w:rsid w:val="003D38E3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D0DCE"/>
    <w:rsid w:val="004E202F"/>
    <w:rsid w:val="00501DCA"/>
    <w:rsid w:val="00512FA6"/>
    <w:rsid w:val="00513A47"/>
    <w:rsid w:val="00521349"/>
    <w:rsid w:val="005408DF"/>
    <w:rsid w:val="0056338C"/>
    <w:rsid w:val="00573344"/>
    <w:rsid w:val="00583F9B"/>
    <w:rsid w:val="005A3191"/>
    <w:rsid w:val="005B43C6"/>
    <w:rsid w:val="005D2B53"/>
    <w:rsid w:val="005E1223"/>
    <w:rsid w:val="005E480F"/>
    <w:rsid w:val="005E56AA"/>
    <w:rsid w:val="005E5C10"/>
    <w:rsid w:val="005F2C78"/>
    <w:rsid w:val="005F486F"/>
    <w:rsid w:val="00602986"/>
    <w:rsid w:val="006144E4"/>
    <w:rsid w:val="00615D69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A1D7C"/>
    <w:rsid w:val="006B0395"/>
    <w:rsid w:val="006B1D54"/>
    <w:rsid w:val="006E1B78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6C7C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C26B8"/>
    <w:rsid w:val="008F1CFE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43E2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A1944"/>
    <w:rsid w:val="00BA4DAE"/>
    <w:rsid w:val="00BB1D6D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57A91"/>
    <w:rsid w:val="00C62820"/>
    <w:rsid w:val="00C6344E"/>
    <w:rsid w:val="00C63FC0"/>
    <w:rsid w:val="00C71357"/>
    <w:rsid w:val="00C80706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46B"/>
    <w:rsid w:val="00D71071"/>
    <w:rsid w:val="00D72604"/>
    <w:rsid w:val="00D72B7F"/>
    <w:rsid w:val="00D76AE1"/>
    <w:rsid w:val="00D86DE3"/>
    <w:rsid w:val="00D9652D"/>
    <w:rsid w:val="00D97C31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7771A"/>
    <w:rsid w:val="00F91B8D"/>
    <w:rsid w:val="00FA124A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online/edrs/REGISTRATION/edrs.registration.form?_eventid=30010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423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madaplaza-tuni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626C0-90DE-4E6A-9DD2-C407DC76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136</TotalTime>
  <Pages>2</Pages>
  <Words>617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23</cp:revision>
  <cp:lastPrinted>2018-01-26T10:45:00Z</cp:lastPrinted>
  <dcterms:created xsi:type="dcterms:W3CDTF">2018-01-04T11:43:00Z</dcterms:created>
  <dcterms:modified xsi:type="dcterms:W3CDTF">2018-01-26T10:45:00Z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