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02291C" w:rsidTr="00D85A52">
        <w:trPr>
          <w:cantSplit/>
        </w:trPr>
        <w:tc>
          <w:tcPr>
            <w:tcW w:w="1418" w:type="dxa"/>
            <w:vAlign w:val="center"/>
          </w:tcPr>
          <w:p w:rsidR="00884D12" w:rsidRPr="0002291C" w:rsidRDefault="00884D12" w:rsidP="00D85A52">
            <w:pPr>
              <w:tabs>
                <w:tab w:val="right" w:pos="8732"/>
              </w:tabs>
              <w:spacing w:before="0"/>
              <w:rPr>
                <w:b/>
                <w:bCs/>
                <w:iCs/>
                <w:color w:val="FFFFFF"/>
                <w:sz w:val="30"/>
                <w:szCs w:val="30"/>
              </w:rPr>
            </w:pPr>
            <w:r w:rsidRPr="0002291C">
              <w:rPr>
                <w:noProof/>
                <w:lang w:val="en-US"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02291C" w:rsidRDefault="00884D12" w:rsidP="00884D12">
            <w:pPr>
              <w:spacing w:before="0"/>
              <w:rPr>
                <w:rFonts w:cs="Times New Roman Bold"/>
                <w:b/>
                <w:bCs/>
                <w:smallCaps/>
                <w:sz w:val="26"/>
                <w:szCs w:val="26"/>
              </w:rPr>
            </w:pPr>
            <w:r w:rsidRPr="0002291C">
              <w:rPr>
                <w:rFonts w:cs="Times New Roman Bold"/>
                <w:b/>
                <w:bCs/>
                <w:smallCaps/>
                <w:sz w:val="36"/>
                <w:szCs w:val="36"/>
              </w:rPr>
              <w:t>Unión Internacional de Telecomunicaciones</w:t>
            </w:r>
          </w:p>
          <w:p w:rsidR="00884D12" w:rsidRPr="0002291C" w:rsidRDefault="00884D12" w:rsidP="00884D12">
            <w:pPr>
              <w:tabs>
                <w:tab w:val="right" w:pos="8732"/>
              </w:tabs>
              <w:spacing w:before="0"/>
              <w:rPr>
                <w:b/>
                <w:bCs/>
                <w:iCs/>
                <w:color w:val="FFFFFF"/>
                <w:sz w:val="30"/>
                <w:szCs w:val="30"/>
              </w:rPr>
            </w:pPr>
            <w:r w:rsidRPr="0002291C">
              <w:rPr>
                <w:rFonts w:cs="Times New Roman Bold"/>
                <w:b/>
                <w:bCs/>
                <w:iCs/>
                <w:smallCaps/>
                <w:sz w:val="28"/>
                <w:szCs w:val="28"/>
              </w:rPr>
              <w:t>Oficina de Normalización de las Telecomunicaciones</w:t>
            </w:r>
          </w:p>
        </w:tc>
        <w:tc>
          <w:tcPr>
            <w:tcW w:w="1984" w:type="dxa"/>
            <w:vAlign w:val="center"/>
          </w:tcPr>
          <w:p w:rsidR="00884D12" w:rsidRPr="0002291C" w:rsidRDefault="00884D12" w:rsidP="00D85A52">
            <w:pPr>
              <w:spacing w:before="0"/>
              <w:jc w:val="right"/>
              <w:rPr>
                <w:color w:val="FFFFFF"/>
                <w:sz w:val="26"/>
                <w:szCs w:val="26"/>
              </w:rPr>
            </w:pPr>
          </w:p>
        </w:tc>
      </w:tr>
    </w:tbl>
    <w:p w:rsidR="00C34772" w:rsidRPr="0002291C" w:rsidRDefault="00C34772" w:rsidP="00303D62">
      <w:pPr>
        <w:tabs>
          <w:tab w:val="clear" w:pos="794"/>
          <w:tab w:val="clear" w:pos="1191"/>
          <w:tab w:val="clear" w:pos="1588"/>
          <w:tab w:val="clear" w:pos="1985"/>
          <w:tab w:val="left" w:pos="4962"/>
        </w:tabs>
      </w:pPr>
    </w:p>
    <w:p w:rsidR="00C34772" w:rsidRPr="0002291C" w:rsidRDefault="00C34772" w:rsidP="00BE7A3B">
      <w:pPr>
        <w:tabs>
          <w:tab w:val="clear" w:pos="794"/>
          <w:tab w:val="clear" w:pos="1191"/>
          <w:tab w:val="clear" w:pos="1588"/>
          <w:tab w:val="clear" w:pos="1985"/>
          <w:tab w:val="left" w:pos="4962"/>
        </w:tabs>
      </w:pPr>
      <w:r w:rsidRPr="0002291C">
        <w:tab/>
        <w:t xml:space="preserve">Ginebra, </w:t>
      </w:r>
      <w:r w:rsidR="00BE7A3B">
        <w:t>19 de diciembre</w:t>
      </w:r>
      <w:r w:rsidR="00D85A52" w:rsidRPr="0002291C">
        <w:t xml:space="preserve"> </w:t>
      </w:r>
      <w:r w:rsidR="00BF4DEF" w:rsidRPr="0002291C">
        <w:t>de 2017</w:t>
      </w:r>
    </w:p>
    <w:p w:rsidR="00C34772" w:rsidRPr="0002291C"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1294"/>
        <w:gridCol w:w="3583"/>
        <w:gridCol w:w="5329"/>
      </w:tblGrid>
      <w:tr w:rsidR="00DC6F95" w:rsidRPr="0002291C" w:rsidTr="00DC6F95">
        <w:trPr>
          <w:cantSplit/>
          <w:trHeight w:val="383"/>
        </w:trPr>
        <w:tc>
          <w:tcPr>
            <w:tcW w:w="1294" w:type="dxa"/>
          </w:tcPr>
          <w:p w:rsidR="00DC6F95" w:rsidRPr="0002291C" w:rsidRDefault="00DC6F95" w:rsidP="00DC6F95">
            <w:pPr>
              <w:tabs>
                <w:tab w:val="left" w:pos="4111"/>
              </w:tabs>
              <w:spacing w:before="40" w:after="40"/>
              <w:ind w:left="57"/>
              <w:rPr>
                <w:szCs w:val="24"/>
              </w:rPr>
            </w:pPr>
            <w:r w:rsidRPr="0002291C">
              <w:rPr>
                <w:szCs w:val="24"/>
              </w:rPr>
              <w:t>Ref.:</w:t>
            </w:r>
          </w:p>
        </w:tc>
        <w:tc>
          <w:tcPr>
            <w:tcW w:w="3583" w:type="dxa"/>
          </w:tcPr>
          <w:p w:rsidR="00DC6F95" w:rsidRPr="0002291C" w:rsidRDefault="00DC6F95" w:rsidP="00DC6F95">
            <w:pPr>
              <w:tabs>
                <w:tab w:val="left" w:pos="4111"/>
              </w:tabs>
              <w:spacing w:before="40" w:after="40"/>
              <w:ind w:left="57"/>
              <w:rPr>
                <w:b/>
              </w:rPr>
            </w:pPr>
            <w:r w:rsidRPr="0002291C">
              <w:rPr>
                <w:b/>
              </w:rPr>
              <w:t>Circular TSB 6</w:t>
            </w:r>
            <w:r>
              <w:rPr>
                <w:b/>
              </w:rPr>
              <w:t>6</w:t>
            </w:r>
          </w:p>
          <w:p w:rsidR="00DC6F95" w:rsidRPr="00DC6F95" w:rsidRDefault="00DC6F95" w:rsidP="00DC6F95">
            <w:pPr>
              <w:tabs>
                <w:tab w:val="left" w:pos="4111"/>
              </w:tabs>
              <w:spacing w:before="40" w:after="40"/>
              <w:ind w:left="57"/>
              <w:rPr>
                <w:b/>
              </w:rPr>
            </w:pPr>
            <w:r w:rsidRPr="0002291C">
              <w:rPr>
                <w:szCs w:val="24"/>
              </w:rPr>
              <w:t>TSB Events/</w:t>
            </w:r>
            <w:r>
              <w:rPr>
                <w:szCs w:val="24"/>
              </w:rPr>
              <w:t>DA</w:t>
            </w:r>
          </w:p>
        </w:tc>
        <w:tc>
          <w:tcPr>
            <w:tcW w:w="5329" w:type="dxa"/>
            <w:vMerge w:val="restart"/>
          </w:tcPr>
          <w:p w:rsidR="00DC6F95" w:rsidRPr="0002291C" w:rsidRDefault="00DC6F95" w:rsidP="00DC6F95">
            <w:pPr>
              <w:tabs>
                <w:tab w:val="clear" w:pos="794"/>
                <w:tab w:val="clear" w:pos="1191"/>
                <w:tab w:val="clear" w:pos="1588"/>
                <w:tab w:val="clear" w:pos="1985"/>
                <w:tab w:val="left" w:pos="226"/>
              </w:tabs>
              <w:spacing w:before="40" w:after="40"/>
              <w:ind w:left="283" w:hanging="226"/>
              <w:rPr>
                <w:b/>
                <w:bCs/>
              </w:rPr>
            </w:pPr>
            <w:bookmarkStart w:id="0" w:name="Addressee_S"/>
            <w:bookmarkEnd w:id="0"/>
            <w:r w:rsidRPr="0002291C">
              <w:rPr>
                <w:b/>
                <w:bCs/>
              </w:rPr>
              <w:t>A:</w:t>
            </w:r>
          </w:p>
          <w:p w:rsidR="00DC6F95" w:rsidRPr="0002291C" w:rsidRDefault="00DC6F95" w:rsidP="00DC6F95">
            <w:pPr>
              <w:tabs>
                <w:tab w:val="clear" w:pos="794"/>
                <w:tab w:val="clear" w:pos="1191"/>
                <w:tab w:val="clear" w:pos="1588"/>
                <w:tab w:val="clear" w:pos="1985"/>
              </w:tabs>
              <w:spacing w:before="40" w:after="40"/>
              <w:ind w:left="275" w:hanging="218"/>
            </w:pPr>
            <w:r w:rsidRPr="0002291C">
              <w:t>–</w:t>
            </w:r>
            <w:r w:rsidRPr="0002291C">
              <w:tab/>
              <w:t>las Administraciones de los Estados Miembros</w:t>
            </w:r>
            <w:r w:rsidRPr="0002291C">
              <w:br/>
              <w:t>de la Unión;</w:t>
            </w:r>
          </w:p>
          <w:p w:rsidR="00DC6F95" w:rsidRPr="0002291C" w:rsidRDefault="00DC6F95" w:rsidP="00DC6F95">
            <w:pPr>
              <w:tabs>
                <w:tab w:val="clear" w:pos="794"/>
                <w:tab w:val="clear" w:pos="1191"/>
                <w:tab w:val="clear" w:pos="1588"/>
                <w:tab w:val="clear" w:pos="1985"/>
              </w:tabs>
              <w:spacing w:before="40" w:after="40"/>
              <w:ind w:left="275" w:hanging="218"/>
            </w:pPr>
            <w:r w:rsidRPr="0002291C">
              <w:t>–</w:t>
            </w:r>
            <w:r w:rsidRPr="0002291C">
              <w:tab/>
              <w:t>los Miembros de Sector UIT-T;</w:t>
            </w:r>
          </w:p>
          <w:p w:rsidR="00DC6F95" w:rsidRPr="0002291C" w:rsidRDefault="00DC6F95" w:rsidP="00DC6F95">
            <w:pPr>
              <w:tabs>
                <w:tab w:val="clear" w:pos="794"/>
                <w:tab w:val="clear" w:pos="1191"/>
                <w:tab w:val="clear" w:pos="1588"/>
                <w:tab w:val="clear" w:pos="1985"/>
              </w:tabs>
              <w:spacing w:before="40" w:after="40"/>
              <w:ind w:left="275" w:hanging="218"/>
            </w:pPr>
            <w:r w:rsidRPr="0002291C">
              <w:t>–</w:t>
            </w:r>
            <w:r w:rsidRPr="0002291C">
              <w:tab/>
              <w:t>los Asociados del UIT</w:t>
            </w:r>
            <w:r w:rsidRPr="0002291C">
              <w:noBreakHyphen/>
              <w:t>T;</w:t>
            </w:r>
          </w:p>
          <w:p w:rsidR="00DC6F95" w:rsidRPr="0002291C" w:rsidRDefault="00DC6F95" w:rsidP="00DC6F95">
            <w:pPr>
              <w:tabs>
                <w:tab w:val="clear" w:pos="794"/>
                <w:tab w:val="clear" w:pos="1191"/>
                <w:tab w:val="clear" w:pos="1588"/>
                <w:tab w:val="clear" w:pos="1985"/>
              </w:tabs>
              <w:spacing w:before="40" w:after="40"/>
              <w:ind w:left="275" w:hanging="218"/>
            </w:pPr>
            <w:r w:rsidRPr="0002291C">
              <w:t>–</w:t>
            </w:r>
            <w:r w:rsidRPr="0002291C">
              <w:tab/>
              <w:t>las Instituciones Académicas de la UIT</w:t>
            </w:r>
          </w:p>
        </w:tc>
      </w:tr>
      <w:tr w:rsidR="00DC6F95" w:rsidRPr="0002291C" w:rsidTr="00A95866">
        <w:trPr>
          <w:cantSplit/>
          <w:trHeight w:val="383"/>
        </w:trPr>
        <w:tc>
          <w:tcPr>
            <w:tcW w:w="1294" w:type="dxa"/>
          </w:tcPr>
          <w:p w:rsidR="00DC6F95" w:rsidRPr="0002291C" w:rsidRDefault="00DC6F95" w:rsidP="00DC6F95">
            <w:pPr>
              <w:tabs>
                <w:tab w:val="left" w:pos="4111"/>
              </w:tabs>
              <w:spacing w:before="40" w:after="40"/>
              <w:ind w:left="57"/>
              <w:rPr>
                <w:szCs w:val="24"/>
              </w:rPr>
            </w:pPr>
            <w:r w:rsidRPr="0002291C">
              <w:rPr>
                <w:szCs w:val="24"/>
              </w:rPr>
              <w:t>Contacto:</w:t>
            </w:r>
          </w:p>
        </w:tc>
        <w:tc>
          <w:tcPr>
            <w:tcW w:w="3583" w:type="dxa"/>
          </w:tcPr>
          <w:p w:rsidR="00DC6F95" w:rsidRPr="00DC6F95" w:rsidRDefault="00DC6F95" w:rsidP="00DC6F95">
            <w:pPr>
              <w:tabs>
                <w:tab w:val="left" w:pos="4111"/>
              </w:tabs>
              <w:spacing w:before="40" w:after="40"/>
              <w:ind w:left="57"/>
              <w:rPr>
                <w:bCs/>
              </w:rPr>
            </w:pPr>
            <w:r>
              <w:rPr>
                <w:b/>
                <w:bCs/>
              </w:rPr>
              <w:t>Denis ANDREEV</w:t>
            </w:r>
          </w:p>
        </w:tc>
        <w:tc>
          <w:tcPr>
            <w:tcW w:w="5329" w:type="dxa"/>
            <w:vMerge/>
          </w:tcPr>
          <w:p w:rsidR="00DC6F95" w:rsidRPr="0002291C" w:rsidRDefault="00DC6F95" w:rsidP="00DC6F95">
            <w:pPr>
              <w:tabs>
                <w:tab w:val="clear" w:pos="794"/>
                <w:tab w:val="clear" w:pos="1191"/>
                <w:tab w:val="clear" w:pos="1588"/>
                <w:tab w:val="clear" w:pos="1985"/>
                <w:tab w:val="left" w:pos="226"/>
              </w:tabs>
              <w:spacing w:before="40" w:after="40"/>
              <w:ind w:left="283" w:hanging="226"/>
              <w:rPr>
                <w:b/>
                <w:bCs/>
              </w:rPr>
            </w:pPr>
          </w:p>
        </w:tc>
      </w:tr>
      <w:tr w:rsidR="00DC6F95" w:rsidRPr="0002291C" w:rsidTr="00A95866">
        <w:trPr>
          <w:cantSplit/>
          <w:trHeight w:val="383"/>
        </w:trPr>
        <w:tc>
          <w:tcPr>
            <w:tcW w:w="1294" w:type="dxa"/>
          </w:tcPr>
          <w:p w:rsidR="00DC6F95" w:rsidRPr="0002291C" w:rsidRDefault="00DC6F95" w:rsidP="00DC6F95">
            <w:pPr>
              <w:tabs>
                <w:tab w:val="left" w:pos="4111"/>
              </w:tabs>
              <w:spacing w:before="40" w:after="40"/>
              <w:ind w:left="57"/>
              <w:rPr>
                <w:szCs w:val="24"/>
              </w:rPr>
            </w:pPr>
            <w:r w:rsidRPr="0002291C">
              <w:rPr>
                <w:szCs w:val="24"/>
              </w:rPr>
              <w:t>Tel.:</w:t>
            </w:r>
          </w:p>
        </w:tc>
        <w:tc>
          <w:tcPr>
            <w:tcW w:w="3583" w:type="dxa"/>
          </w:tcPr>
          <w:p w:rsidR="00DC6F95" w:rsidRPr="00DC6F95" w:rsidRDefault="00DC6F95" w:rsidP="00DC6F95">
            <w:pPr>
              <w:tabs>
                <w:tab w:val="left" w:pos="4111"/>
              </w:tabs>
              <w:spacing w:before="40" w:after="40"/>
              <w:ind w:left="57"/>
              <w:rPr>
                <w:bCs/>
              </w:rPr>
            </w:pPr>
            <w:r w:rsidRPr="0002291C">
              <w:t xml:space="preserve">+41 22 730 </w:t>
            </w:r>
            <w:r>
              <w:t>5780</w:t>
            </w:r>
          </w:p>
        </w:tc>
        <w:tc>
          <w:tcPr>
            <w:tcW w:w="5329" w:type="dxa"/>
            <w:vMerge/>
          </w:tcPr>
          <w:p w:rsidR="00DC6F95" w:rsidRPr="0002291C" w:rsidRDefault="00DC6F95" w:rsidP="00DC6F95">
            <w:pPr>
              <w:tabs>
                <w:tab w:val="clear" w:pos="794"/>
                <w:tab w:val="clear" w:pos="1191"/>
                <w:tab w:val="clear" w:pos="1588"/>
                <w:tab w:val="clear" w:pos="1985"/>
                <w:tab w:val="left" w:pos="226"/>
              </w:tabs>
              <w:spacing w:before="40" w:after="40"/>
              <w:ind w:left="283" w:hanging="226"/>
              <w:rPr>
                <w:b/>
                <w:bCs/>
              </w:rPr>
            </w:pPr>
          </w:p>
        </w:tc>
      </w:tr>
      <w:tr w:rsidR="00DC6F95" w:rsidRPr="0002291C" w:rsidTr="00A95866">
        <w:trPr>
          <w:cantSplit/>
          <w:trHeight w:val="383"/>
        </w:trPr>
        <w:tc>
          <w:tcPr>
            <w:tcW w:w="1294" w:type="dxa"/>
          </w:tcPr>
          <w:p w:rsidR="00DC6F95" w:rsidRPr="0002291C" w:rsidRDefault="00DC6F95" w:rsidP="00DC6F95">
            <w:pPr>
              <w:tabs>
                <w:tab w:val="left" w:pos="4111"/>
              </w:tabs>
              <w:spacing w:before="40" w:after="40"/>
              <w:ind w:left="57"/>
              <w:rPr>
                <w:szCs w:val="24"/>
              </w:rPr>
            </w:pPr>
            <w:r w:rsidRPr="0002291C">
              <w:rPr>
                <w:szCs w:val="24"/>
              </w:rPr>
              <w:t>Fax:</w:t>
            </w:r>
          </w:p>
        </w:tc>
        <w:tc>
          <w:tcPr>
            <w:tcW w:w="3583" w:type="dxa"/>
          </w:tcPr>
          <w:p w:rsidR="00DC6F95" w:rsidRPr="00DC6F95" w:rsidRDefault="00DC6F95" w:rsidP="00DC6F95">
            <w:pPr>
              <w:tabs>
                <w:tab w:val="left" w:pos="4111"/>
              </w:tabs>
              <w:spacing w:before="40" w:after="40"/>
              <w:ind w:left="57"/>
              <w:rPr>
                <w:bCs/>
              </w:rPr>
            </w:pPr>
            <w:r w:rsidRPr="0002291C">
              <w:t>+41 22 730 5853</w:t>
            </w:r>
          </w:p>
        </w:tc>
        <w:tc>
          <w:tcPr>
            <w:tcW w:w="5329" w:type="dxa"/>
            <w:vMerge/>
          </w:tcPr>
          <w:p w:rsidR="00DC6F95" w:rsidRPr="0002291C" w:rsidRDefault="00DC6F95" w:rsidP="00DC6F95">
            <w:pPr>
              <w:tabs>
                <w:tab w:val="clear" w:pos="794"/>
                <w:tab w:val="clear" w:pos="1191"/>
                <w:tab w:val="clear" w:pos="1588"/>
                <w:tab w:val="clear" w:pos="1985"/>
                <w:tab w:val="left" w:pos="226"/>
              </w:tabs>
              <w:spacing w:before="40" w:after="40"/>
              <w:ind w:left="283" w:hanging="226"/>
              <w:rPr>
                <w:b/>
                <w:bCs/>
              </w:rPr>
            </w:pPr>
          </w:p>
        </w:tc>
      </w:tr>
      <w:tr w:rsidR="00C34772" w:rsidRPr="0002291C" w:rsidTr="00A95866">
        <w:trPr>
          <w:cantSplit/>
        </w:trPr>
        <w:tc>
          <w:tcPr>
            <w:tcW w:w="1294" w:type="dxa"/>
          </w:tcPr>
          <w:p w:rsidR="00C34772" w:rsidRPr="0002291C" w:rsidRDefault="00C34772" w:rsidP="00DC6F95">
            <w:pPr>
              <w:tabs>
                <w:tab w:val="left" w:pos="4111"/>
              </w:tabs>
              <w:spacing w:before="40" w:after="40"/>
              <w:ind w:left="57"/>
              <w:rPr>
                <w:szCs w:val="24"/>
              </w:rPr>
            </w:pPr>
            <w:r w:rsidRPr="0002291C">
              <w:rPr>
                <w:szCs w:val="24"/>
              </w:rPr>
              <w:t>Correo-e:</w:t>
            </w:r>
          </w:p>
        </w:tc>
        <w:tc>
          <w:tcPr>
            <w:tcW w:w="3583" w:type="dxa"/>
          </w:tcPr>
          <w:p w:rsidR="00C34772" w:rsidRPr="0002291C" w:rsidRDefault="005651C1" w:rsidP="00DC6F95">
            <w:pPr>
              <w:tabs>
                <w:tab w:val="left" w:pos="4111"/>
              </w:tabs>
              <w:spacing w:before="40" w:after="40"/>
              <w:ind w:left="57"/>
            </w:pPr>
            <w:hyperlink r:id="rId9" w:history="1">
              <w:r w:rsidR="00BF4DEF" w:rsidRPr="0002291C">
                <w:rPr>
                  <w:rStyle w:val="Hyperlink"/>
                </w:rPr>
                <w:t>tsbevents@itu.int</w:t>
              </w:r>
            </w:hyperlink>
          </w:p>
        </w:tc>
        <w:tc>
          <w:tcPr>
            <w:tcW w:w="5329" w:type="dxa"/>
          </w:tcPr>
          <w:p w:rsidR="00C34772" w:rsidRPr="0002291C" w:rsidRDefault="00C34772" w:rsidP="00DC6F95">
            <w:pPr>
              <w:tabs>
                <w:tab w:val="left" w:pos="4111"/>
              </w:tabs>
              <w:spacing w:before="40" w:after="40"/>
              <w:ind w:left="57"/>
            </w:pPr>
            <w:r w:rsidRPr="0002291C">
              <w:rPr>
                <w:b/>
              </w:rPr>
              <w:t>Copia</w:t>
            </w:r>
            <w:r w:rsidRPr="0002291C">
              <w:t>:</w:t>
            </w:r>
          </w:p>
          <w:p w:rsidR="00B66599" w:rsidRPr="0002291C" w:rsidRDefault="00B66599" w:rsidP="005651C1">
            <w:pPr>
              <w:tabs>
                <w:tab w:val="clear" w:pos="794"/>
                <w:tab w:val="clear" w:pos="1191"/>
                <w:tab w:val="clear" w:pos="1588"/>
                <w:tab w:val="clear" w:pos="1985"/>
              </w:tabs>
              <w:spacing w:before="40" w:after="40"/>
              <w:ind w:left="275" w:hanging="218"/>
            </w:pPr>
            <w:r w:rsidRPr="0002291C">
              <w:t>–</w:t>
            </w:r>
            <w:r w:rsidRPr="0002291C">
              <w:tab/>
            </w:r>
            <w:r w:rsidR="005651C1">
              <w:t>a</w:t>
            </w:r>
            <w:r w:rsidR="005651C1" w:rsidRPr="00E541FB">
              <w:t xml:space="preserve"> los Presidentes y</w:t>
            </w:r>
            <w:r w:rsidRPr="0002291C">
              <w:rPr>
                <w:szCs w:val="24"/>
              </w:rPr>
              <w:t xml:space="preserve"> Vicepresidentes </w:t>
            </w:r>
            <w:r w:rsidRPr="0002291C">
              <w:t>de las Comisiones de Estudio del UIT-T;</w:t>
            </w:r>
          </w:p>
          <w:p w:rsidR="00B66599" w:rsidRPr="0002291C" w:rsidRDefault="00B66599" w:rsidP="00DC6F95">
            <w:pPr>
              <w:tabs>
                <w:tab w:val="clear" w:pos="794"/>
                <w:tab w:val="clear" w:pos="1191"/>
                <w:tab w:val="clear" w:pos="1588"/>
                <w:tab w:val="clear" w:pos="1985"/>
              </w:tabs>
              <w:spacing w:before="40" w:after="40"/>
              <w:ind w:left="275" w:hanging="218"/>
            </w:pPr>
            <w:r w:rsidRPr="0002291C">
              <w:t>–</w:t>
            </w:r>
            <w:r w:rsidRPr="0002291C">
              <w:tab/>
              <w:t>al Director de la Oficina de Desarrollo de las Telecomunicaciones;</w:t>
            </w:r>
          </w:p>
          <w:p w:rsidR="00C34772" w:rsidRPr="0002291C" w:rsidRDefault="00B66599" w:rsidP="00DC6F95">
            <w:pPr>
              <w:tabs>
                <w:tab w:val="clear" w:pos="794"/>
                <w:tab w:val="clear" w:pos="1191"/>
                <w:tab w:val="clear" w:pos="1588"/>
                <w:tab w:val="clear" w:pos="1985"/>
              </w:tabs>
              <w:spacing w:before="40" w:after="40"/>
              <w:ind w:left="275" w:hanging="218"/>
            </w:pPr>
            <w:r w:rsidRPr="0002291C">
              <w:t>–</w:t>
            </w:r>
            <w:r w:rsidRPr="0002291C">
              <w:tab/>
              <w:t>al Director de la Oficina de Radiocomunicaciones</w:t>
            </w:r>
          </w:p>
        </w:tc>
      </w:tr>
      <w:tr w:rsidR="00DC6F95" w:rsidRPr="0002291C" w:rsidTr="00E23AC4">
        <w:trPr>
          <w:cantSplit/>
        </w:trPr>
        <w:tc>
          <w:tcPr>
            <w:tcW w:w="1294" w:type="dxa"/>
          </w:tcPr>
          <w:p w:rsidR="00DC6F95" w:rsidRPr="0002291C" w:rsidRDefault="00DC6F95" w:rsidP="00DC6F95">
            <w:pPr>
              <w:tabs>
                <w:tab w:val="left" w:pos="4111"/>
              </w:tabs>
              <w:spacing w:before="40" w:after="40"/>
              <w:ind w:left="57"/>
              <w:rPr>
                <w:szCs w:val="24"/>
              </w:rPr>
            </w:pPr>
            <w:r w:rsidRPr="0002291C">
              <w:rPr>
                <w:szCs w:val="24"/>
              </w:rPr>
              <w:t>Asunto:</w:t>
            </w:r>
          </w:p>
        </w:tc>
        <w:tc>
          <w:tcPr>
            <w:tcW w:w="8912" w:type="dxa"/>
            <w:gridSpan w:val="2"/>
          </w:tcPr>
          <w:p w:rsidR="00DC6F95" w:rsidRPr="0002291C" w:rsidRDefault="00DC6F95" w:rsidP="00DC6F95">
            <w:pPr>
              <w:tabs>
                <w:tab w:val="left" w:pos="4111"/>
              </w:tabs>
              <w:spacing w:before="40" w:after="40"/>
              <w:ind w:left="57"/>
              <w:rPr>
                <w:b/>
              </w:rPr>
            </w:pPr>
            <w:r>
              <w:rPr>
                <w:b/>
                <w:bCs/>
              </w:rPr>
              <w:t>1</w:t>
            </w:r>
            <w:r w:rsidRPr="00DC6F95">
              <w:rPr>
                <w:b/>
                <w:bCs/>
                <w:vertAlign w:val="superscript"/>
              </w:rPr>
              <w:t>er</w:t>
            </w:r>
            <w:r>
              <w:rPr>
                <w:b/>
                <w:bCs/>
              </w:rPr>
              <w:t xml:space="preserve"> </w:t>
            </w:r>
            <w:r w:rsidRPr="0002291C">
              <w:rPr>
                <w:b/>
                <w:bCs/>
              </w:rPr>
              <w:t xml:space="preserve">Taller de la UIT sobre </w:t>
            </w:r>
            <w:r>
              <w:rPr>
                <w:b/>
                <w:bCs/>
              </w:rPr>
              <w:t>Procesamiento y gestión de datos para la IoT y las ciudades y comunidades inteligentes (Bruselas, Bélgica, 19 de febrero de 2018</w:t>
            </w:r>
            <w:r w:rsidRPr="0002291C">
              <w:rPr>
                <w:b/>
                <w:bCs/>
              </w:rPr>
              <w:t>)</w:t>
            </w:r>
          </w:p>
        </w:tc>
      </w:tr>
    </w:tbl>
    <w:p w:rsidR="00C34772" w:rsidRPr="0002291C" w:rsidRDefault="00C34772" w:rsidP="004771DD">
      <w:pPr>
        <w:pStyle w:val="Normalaftertitle0"/>
      </w:pPr>
      <w:bookmarkStart w:id="1" w:name="StartTyping_S"/>
      <w:bookmarkStart w:id="2" w:name="suitetext"/>
      <w:bookmarkStart w:id="3" w:name="text"/>
      <w:bookmarkEnd w:id="1"/>
      <w:bookmarkEnd w:id="2"/>
      <w:bookmarkEnd w:id="3"/>
      <w:r w:rsidRPr="0002291C">
        <w:t>Muy Señora mía/Muy Señor mío</w:t>
      </w:r>
      <w:r w:rsidR="004D4132" w:rsidRPr="0002291C">
        <w:t>:</w:t>
      </w:r>
    </w:p>
    <w:p w:rsidR="00B66599" w:rsidRPr="0002291C" w:rsidRDefault="00B66599" w:rsidP="00BE7A3B">
      <w:r w:rsidRPr="0002291C">
        <w:t>1</w:t>
      </w:r>
      <w:r w:rsidRPr="0002291C">
        <w:tab/>
        <w:t xml:space="preserve">Deseo informarle de la celebración del </w:t>
      </w:r>
      <w:r w:rsidR="00BE7A3B">
        <w:rPr>
          <w:b/>
          <w:bCs/>
        </w:rPr>
        <w:t>1</w:t>
      </w:r>
      <w:r w:rsidR="00BE7A3B" w:rsidRPr="00DC6F95">
        <w:rPr>
          <w:b/>
          <w:bCs/>
          <w:vertAlign w:val="superscript"/>
        </w:rPr>
        <w:t>er</w:t>
      </w:r>
      <w:r w:rsidR="00BE7A3B">
        <w:rPr>
          <w:b/>
          <w:bCs/>
        </w:rPr>
        <w:t xml:space="preserve"> </w:t>
      </w:r>
      <w:r w:rsidRPr="0002291C">
        <w:rPr>
          <w:b/>
          <w:bCs/>
        </w:rPr>
        <w:t xml:space="preserve">Taller </w:t>
      </w:r>
      <w:r w:rsidR="00D85A52" w:rsidRPr="0002291C">
        <w:rPr>
          <w:b/>
          <w:bCs/>
        </w:rPr>
        <w:t xml:space="preserve">de la UIT sobre </w:t>
      </w:r>
      <w:r w:rsidR="00BE7A3B">
        <w:rPr>
          <w:b/>
          <w:bCs/>
        </w:rPr>
        <w:t>Procesamiento y gestión de datos para la IoT y las ciudades y comunidades inteligentes</w:t>
      </w:r>
      <w:r w:rsidR="00D85A52" w:rsidRPr="0002291C">
        <w:t xml:space="preserve">, </w:t>
      </w:r>
      <w:r w:rsidR="00BE7A3B">
        <w:t>co</w:t>
      </w:r>
      <w:r w:rsidR="00D85A52" w:rsidRPr="0002291C">
        <w:t xml:space="preserve">organizado por </w:t>
      </w:r>
      <w:r w:rsidR="00BE7A3B">
        <w:t>la Comisión Europea (Bruselas, Bélgica) y Open &amp; Agile Smart Cities (OASC), que tendrá lugar en la Comisión Europea (Avenue de Beaulieu 25, 1160 Auderghem, Bruselas, Bélgica) el 19 de febrero de 2018</w:t>
      </w:r>
      <w:r w:rsidRPr="0002291C">
        <w:t>.</w:t>
      </w:r>
    </w:p>
    <w:p w:rsidR="00B66599" w:rsidRPr="0002291C" w:rsidRDefault="00B66599" w:rsidP="00B66599">
      <w:r w:rsidRPr="0002291C">
        <w:t>2</w:t>
      </w:r>
      <w:r w:rsidRPr="0002291C">
        <w:tab/>
        <w:t>El Taller se celebrará únicamente en inglés.</w:t>
      </w:r>
    </w:p>
    <w:p w:rsidR="00B66599" w:rsidRPr="0002291C" w:rsidRDefault="00B66599" w:rsidP="00B66599">
      <w:r w:rsidRPr="0002291C">
        <w:t>3</w:t>
      </w:r>
      <w:r w:rsidRPr="0002291C">
        <w:tab/>
        <w:t xml:space="preserve">La participación en el Taller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 La participación en el Taller es gratuita, pero </w:t>
      </w:r>
      <w:r w:rsidR="00BE7A3B">
        <w:t xml:space="preserve">el aforo es limitado y </w:t>
      </w:r>
      <w:r w:rsidRPr="0002291C">
        <w:t>no se otorgarán becas.</w:t>
      </w:r>
    </w:p>
    <w:p w:rsidR="00D85A52" w:rsidRPr="0002291C" w:rsidRDefault="00D85A52" w:rsidP="00BE7A3B">
      <w:r w:rsidRPr="0002291C">
        <w:t>4</w:t>
      </w:r>
      <w:r w:rsidRPr="0002291C">
        <w:tab/>
      </w:r>
      <w:r w:rsidR="009D42F6" w:rsidRPr="0002291C">
        <w:t xml:space="preserve">El </w:t>
      </w:r>
      <w:r w:rsidR="00F77E60" w:rsidRPr="0002291C">
        <w:t xml:space="preserve">Taller </w:t>
      </w:r>
      <w:r w:rsidR="009D42F6" w:rsidRPr="0002291C">
        <w:t xml:space="preserve">se celebrará en un día y en él </w:t>
      </w:r>
      <w:r w:rsidRPr="0002291C">
        <w:t xml:space="preserve">se ofrecerá una visión general </w:t>
      </w:r>
      <w:r w:rsidR="00BE7A3B">
        <w:t>de las últimas novedades y la convergencia en el marco del procesamiento y la gestión de datos en pro de la IoT y las ciudades y comunidades inteligentes, aunando aportaciones de todo el mundo. Entre los temas que se tratarán se cuentan la comprensión de los requisitos, las ciudades como clientes, los nuevos mecanismos de interoperabilidad mínima, las arquitecturas y modelos de datos y la creación de mercados</w:t>
      </w:r>
      <w:r w:rsidR="0043450C" w:rsidRPr="0002291C">
        <w:t>.</w:t>
      </w:r>
    </w:p>
    <w:p w:rsidR="00B66599" w:rsidRPr="0002291C" w:rsidRDefault="00B66599" w:rsidP="00BE7A3B">
      <w:r w:rsidRPr="0002291C">
        <w:t>5</w:t>
      </w:r>
      <w:r w:rsidRPr="0002291C">
        <w:tab/>
        <w:t>La información relativa a este Taller estará disponible en el</w:t>
      </w:r>
      <w:r w:rsidR="00BE7A3B">
        <w:t xml:space="preserve"> sitio web</w:t>
      </w:r>
      <w:r w:rsidRPr="0002291C">
        <w:t xml:space="preserve"> del evento</w:t>
      </w:r>
      <w:r w:rsidR="00BE7A3B">
        <w:t xml:space="preserve">, </w:t>
      </w:r>
      <w:hyperlink r:id="rId10" w:history="1">
        <w:r w:rsidR="00BE7A3B" w:rsidRPr="00BE7A3B">
          <w:rPr>
            <w:rStyle w:val="Hyperlink"/>
          </w:rPr>
          <w:t>https://www.itu.int/en/ITU-T/Workshops-and-Seminars/20180219/Pages/default.aspx</w:t>
        </w:r>
      </w:hyperlink>
      <w:r w:rsidRPr="0002291C">
        <w:t>. Este sitio web se actualizará periódicamente a medida que se disponga de información nueva o modificada. Se ruega a los participantes que consulten regularmente el sitio web.</w:t>
      </w:r>
    </w:p>
    <w:p w:rsidR="00B66599" w:rsidRPr="0002291C" w:rsidRDefault="0043450C" w:rsidP="00D14850">
      <w:r w:rsidRPr="0002291C">
        <w:lastRenderedPageBreak/>
        <w:t>6</w:t>
      </w:r>
      <w:r w:rsidR="00B66599" w:rsidRPr="0002291C">
        <w:tab/>
        <w:t>Se dispondrá de instalaciones de red de área local inalámbrica en el lugar de celebración del Taller.</w:t>
      </w:r>
    </w:p>
    <w:p w:rsidR="00B66599" w:rsidRPr="00FF28D5" w:rsidRDefault="0043450C" w:rsidP="00FF28D5">
      <w:bookmarkStart w:id="4" w:name="lt_pId075"/>
      <w:r w:rsidRPr="0002291C">
        <w:t>7</w:t>
      </w:r>
      <w:r w:rsidR="00B66599" w:rsidRPr="0002291C">
        <w:tab/>
        <w:t>Todos los participantes que deseen participar en el Taller deberán inscribirse previamente.</w:t>
      </w:r>
      <w:bookmarkEnd w:id="4"/>
      <w:r w:rsidR="00B66599" w:rsidRPr="0002291C">
        <w:t xml:space="preserve"> </w:t>
      </w:r>
      <w:bookmarkStart w:id="5" w:name="lt_pId076"/>
      <w:r w:rsidR="00B66599" w:rsidRPr="0002291C">
        <w:t xml:space="preserve">Le invitamos a cumplimentar en línea el formulario de inscripción </w:t>
      </w:r>
      <w:r w:rsidR="00BE7A3B">
        <w:t xml:space="preserve">en la dirección </w:t>
      </w:r>
      <w:hyperlink r:id="rId11" w:history="1">
        <w:r w:rsidR="00BE7A3B" w:rsidRPr="00BE7A3B">
          <w:rPr>
            <w:rStyle w:val="Hyperlink"/>
          </w:rPr>
          <w:t>http://itu.int/reg/tmisc/3001048</w:t>
        </w:r>
      </w:hyperlink>
      <w:r w:rsidR="00B66599" w:rsidRPr="0002291C">
        <w:t xml:space="preserve">, a más tardar el </w:t>
      </w:r>
      <w:r w:rsidR="00BE7A3B">
        <w:t>13 de febrero de 2018</w:t>
      </w:r>
      <w:r w:rsidR="00B66599" w:rsidRPr="0002291C">
        <w:t>.</w:t>
      </w:r>
      <w:bookmarkEnd w:id="5"/>
      <w:r w:rsidR="00B66599" w:rsidRPr="0002291C">
        <w:t xml:space="preserve"> </w:t>
      </w:r>
      <w:r w:rsidR="00B66599" w:rsidRPr="0002291C">
        <w:rPr>
          <w:b/>
          <w:bCs/>
        </w:rPr>
        <w:t>Le ruego que tenga presente que la preinscripción de los participantes en los talleres es obligatoria y que se lleva a cabo</w:t>
      </w:r>
      <w:r w:rsidR="00B66599" w:rsidRPr="0002291C">
        <w:t xml:space="preserve"> </w:t>
      </w:r>
      <w:r w:rsidR="00B66599" w:rsidRPr="0002291C">
        <w:rPr>
          <w:b/>
          <w:bCs/>
        </w:rPr>
        <w:t xml:space="preserve">exclusivamente </w:t>
      </w:r>
      <w:r w:rsidR="00B66599" w:rsidRPr="0002291C">
        <w:rPr>
          <w:b/>
          <w:bCs/>
          <w:i/>
          <w:iCs/>
        </w:rPr>
        <w:t>en línea</w:t>
      </w:r>
      <w:r w:rsidR="00B66599" w:rsidRPr="0002291C">
        <w:t>.</w:t>
      </w:r>
      <w:r w:rsidR="00BE7A3B">
        <w:t xml:space="preserve"> </w:t>
      </w:r>
      <w:r w:rsidR="00BE7A3B" w:rsidRPr="00FD777C">
        <w:rPr>
          <w:rFonts w:cstheme="majorBidi"/>
          <w:szCs w:val="24"/>
        </w:rPr>
        <w:t xml:space="preserve">Debido a la gran demanda para este evento, le recomendamos encarecidamente que se inscriba con anticipación, teniendo en cuenta que las solicitudes se examinarán por orden de llegada, dándose prioridad a los </w:t>
      </w:r>
      <w:r w:rsidR="00FF28D5">
        <w:rPr>
          <w:rFonts w:cstheme="majorBidi"/>
          <w:szCs w:val="24"/>
        </w:rPr>
        <w:t>m</w:t>
      </w:r>
      <w:r w:rsidR="00FF28D5" w:rsidRPr="00FD777C">
        <w:rPr>
          <w:rFonts w:cstheme="majorBidi"/>
          <w:szCs w:val="24"/>
        </w:rPr>
        <w:t xml:space="preserve">iembros </w:t>
      </w:r>
      <w:r w:rsidR="00BE7A3B" w:rsidRPr="00FD777C">
        <w:rPr>
          <w:rFonts w:cstheme="majorBidi"/>
          <w:szCs w:val="24"/>
        </w:rPr>
        <w:t>de la UIT, los expertos invitados y los invitados especiales de las organizaciones asociadas</w:t>
      </w:r>
      <w:r w:rsidR="00BE7A3B">
        <w:rPr>
          <w:rFonts w:cstheme="majorBidi"/>
          <w:szCs w:val="24"/>
        </w:rPr>
        <w:t>.</w:t>
      </w:r>
    </w:p>
    <w:p w:rsidR="008F51F7" w:rsidRDefault="0043450C" w:rsidP="008F51F7">
      <w:r w:rsidRPr="0002291C">
        <w:t>8</w:t>
      </w:r>
      <w:r w:rsidR="00B66599" w:rsidRPr="0002291C">
        <w:rPr>
          <w:b/>
          <w:bCs/>
        </w:rPr>
        <w:tab/>
      </w:r>
      <w:r w:rsidR="00B66599" w:rsidRPr="0002291C">
        <w:t>En su caso, los visados deben solicitarse</w:t>
      </w:r>
      <w:r w:rsidR="008F51F7">
        <w:t xml:space="preserve"> lo antes posible</w:t>
      </w:r>
      <w:r w:rsidRPr="0002291C">
        <w:rPr>
          <w:b/>
        </w:rPr>
        <w:t xml:space="preserve"> </w:t>
      </w:r>
      <w:r w:rsidR="00B66599" w:rsidRPr="0002291C">
        <w:t xml:space="preserve">en la embajada o el consulado que representa a </w:t>
      </w:r>
      <w:r w:rsidR="008F51F7">
        <w:t>Bélgica</w:t>
      </w:r>
      <w:r w:rsidRPr="0002291C">
        <w:t xml:space="preserve"> </w:t>
      </w:r>
      <w:r w:rsidR="00B66599" w:rsidRPr="0002291C">
        <w:t>en su país o, en su defecto, en la má</w:t>
      </w:r>
      <w:r w:rsidR="00FF28D5">
        <w:t>s próxima a su país de partida.</w:t>
      </w:r>
    </w:p>
    <w:p w:rsidR="00B66599" w:rsidRPr="008F51F7" w:rsidRDefault="00B66599" w:rsidP="00FF28D5">
      <w:r w:rsidRPr="0002291C">
        <w:rPr>
          <w:rFonts w:cs="Arial"/>
          <w:szCs w:val="24"/>
        </w:rPr>
        <w:t xml:space="preserve">Los delegados que necesiten una carta de invitación personal para solicitar un visado deben </w:t>
      </w:r>
      <w:r w:rsidR="008F51F7">
        <w:rPr>
          <w:rFonts w:cs="Arial"/>
          <w:szCs w:val="24"/>
        </w:rPr>
        <w:t>ponerse en contacto con el Dr. Davor Meersman por correo-e (</w:t>
      </w:r>
      <w:hyperlink r:id="rId12" w:history="1">
        <w:r w:rsidR="008F51F7" w:rsidRPr="00664ED1">
          <w:rPr>
            <w:rStyle w:val="Hyperlink"/>
            <w:rFonts w:cs="Arial"/>
            <w:szCs w:val="24"/>
          </w:rPr>
          <w:t>info@oascities.org</w:t>
        </w:r>
      </w:hyperlink>
      <w:r w:rsidR="008F51F7">
        <w:rPr>
          <w:rFonts w:cs="Arial"/>
          <w:szCs w:val="24"/>
        </w:rPr>
        <w:t>) con copia a la</w:t>
      </w:r>
      <w:r w:rsidR="00FF28D5">
        <w:rPr>
          <w:rFonts w:cs="Arial"/>
          <w:szCs w:val="24"/>
        </w:rPr>
        <w:t> </w:t>
      </w:r>
      <w:r w:rsidR="008F51F7">
        <w:rPr>
          <w:rFonts w:cs="Arial"/>
          <w:szCs w:val="24"/>
        </w:rPr>
        <w:t>UIT (</w:t>
      </w:r>
      <w:hyperlink r:id="rId13" w:history="1">
        <w:r w:rsidR="008F51F7" w:rsidRPr="00664ED1">
          <w:rPr>
            <w:rStyle w:val="Hyperlink"/>
            <w:rFonts w:cs="Arial"/>
            <w:szCs w:val="24"/>
          </w:rPr>
          <w:t>tsbfgdpm@itu.int</w:t>
        </w:r>
      </w:hyperlink>
      <w:r w:rsidR="008F51F7">
        <w:rPr>
          <w:rFonts w:cs="Arial"/>
          <w:szCs w:val="24"/>
        </w:rPr>
        <w:t xml:space="preserve">), indicando en el asunto </w:t>
      </w:r>
      <w:r w:rsidR="00DC6F95">
        <w:rPr>
          <w:rFonts w:cs="Arial"/>
          <w:b/>
          <w:bCs/>
          <w:szCs w:val="24"/>
        </w:rPr>
        <w:t>"</w:t>
      </w:r>
      <w:r w:rsidR="008F51F7">
        <w:rPr>
          <w:rFonts w:cs="Arial"/>
          <w:b/>
          <w:bCs/>
          <w:szCs w:val="24"/>
        </w:rPr>
        <w:t>Carta para la solicitud de visado</w:t>
      </w:r>
      <w:r w:rsidR="00DC6F95">
        <w:rPr>
          <w:rFonts w:cs="Arial"/>
          <w:b/>
          <w:bCs/>
          <w:szCs w:val="24"/>
        </w:rPr>
        <w:t>"</w:t>
      </w:r>
      <w:r w:rsidR="008F51F7">
        <w:rPr>
          <w:rFonts w:cs="Arial"/>
          <w:szCs w:val="24"/>
        </w:rPr>
        <w:t xml:space="preserve">, antes del </w:t>
      </w:r>
      <w:r w:rsidR="008F51F7">
        <w:rPr>
          <w:rFonts w:cs="Arial"/>
          <w:b/>
          <w:bCs/>
          <w:szCs w:val="24"/>
          <w:u w:val="single"/>
        </w:rPr>
        <w:t>20</w:t>
      </w:r>
      <w:r w:rsidR="00FF28D5">
        <w:rPr>
          <w:rFonts w:cs="Arial"/>
          <w:b/>
          <w:bCs/>
          <w:szCs w:val="24"/>
          <w:u w:val="single"/>
        </w:rPr>
        <w:t> </w:t>
      </w:r>
      <w:r w:rsidR="008F51F7">
        <w:rPr>
          <w:rFonts w:cs="Arial"/>
          <w:b/>
          <w:bCs/>
          <w:szCs w:val="24"/>
          <w:u w:val="single"/>
        </w:rPr>
        <w:t>de enero de 2018</w:t>
      </w:r>
      <w:r w:rsidR="008F51F7">
        <w:rPr>
          <w:rFonts w:cs="Arial"/>
          <w:szCs w:val="24"/>
        </w:rPr>
        <w:t xml:space="preserve">. Puede encontrarse una carta de invitación para la solicitud de visados en el sitio web del taller, </w:t>
      </w:r>
      <w:hyperlink r:id="rId14" w:history="1">
        <w:r w:rsidR="008F51F7" w:rsidRPr="00E679B5">
          <w:rPr>
            <w:rStyle w:val="Hyperlink"/>
          </w:rPr>
          <w:t>https://www.itu.int/en/ITU-T/Workshops-and-Seminars/20180219/Pages/default.aspx</w:t>
        </w:r>
      </w:hyperlink>
      <w:r w:rsidR="008F51F7">
        <w:t>.</w:t>
      </w:r>
    </w:p>
    <w:p w:rsidR="00C34772" w:rsidRPr="0002291C" w:rsidRDefault="00B66599" w:rsidP="00035C1E">
      <w:r w:rsidRPr="0002291C">
        <w:t>Atentamente</w:t>
      </w:r>
      <w:r w:rsidR="00035C1E" w:rsidRPr="0002291C">
        <w:t>,</w:t>
      </w:r>
    </w:p>
    <w:p w:rsidR="002630A3" w:rsidRPr="0002291C" w:rsidRDefault="002630A3" w:rsidP="002630A3">
      <w:pPr>
        <w:spacing w:before="720"/>
        <w:rPr>
          <w:i/>
          <w:iCs/>
        </w:rPr>
      </w:pPr>
      <w:r w:rsidRPr="0002291C">
        <w:rPr>
          <w:i/>
          <w:iCs/>
        </w:rPr>
        <w:t>(</w:t>
      </w:r>
      <w:proofErr w:type="gramStart"/>
      <w:r w:rsidRPr="0002291C">
        <w:rPr>
          <w:i/>
          <w:iCs/>
        </w:rPr>
        <w:t>firmado</w:t>
      </w:r>
      <w:proofErr w:type="gramEnd"/>
      <w:r w:rsidRPr="0002291C">
        <w:rPr>
          <w:i/>
          <w:iCs/>
        </w:rPr>
        <w:t>)</w:t>
      </w:r>
    </w:p>
    <w:p w:rsidR="00401C20" w:rsidRPr="0002291C" w:rsidRDefault="002E496E" w:rsidP="002630A3">
      <w:pPr>
        <w:spacing w:before="960"/>
        <w:ind w:right="91"/>
      </w:pPr>
      <w:proofErr w:type="spellStart"/>
      <w:r w:rsidRPr="0002291C">
        <w:t>Chaesub</w:t>
      </w:r>
      <w:proofErr w:type="spellEnd"/>
      <w:r w:rsidRPr="0002291C">
        <w:t xml:space="preserve"> Lee</w:t>
      </w:r>
      <w:bookmarkStart w:id="6" w:name="_GoBack"/>
      <w:bookmarkEnd w:id="6"/>
      <w:r w:rsidR="00C34772" w:rsidRPr="0002291C">
        <w:br/>
        <w:t>Director de la Oficina de</w:t>
      </w:r>
      <w:r w:rsidR="00C34772" w:rsidRPr="0002291C">
        <w:br/>
        <w:t>Normalización de las Telecomunicaciones</w:t>
      </w:r>
    </w:p>
    <w:sectPr w:rsidR="00401C20" w:rsidRPr="0002291C" w:rsidSect="00B87E9E">
      <w:headerReference w:type="default" r:id="rId15"/>
      <w:footerReference w:type="first" r:id="rId16"/>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6F7" w:rsidRDefault="001146F7">
      <w:r>
        <w:separator/>
      </w:r>
    </w:p>
  </w:endnote>
  <w:endnote w:type="continuationSeparator" w:id="0">
    <w:p w:rsidR="001146F7" w:rsidRDefault="0011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00" w:usb1="00000000" w:usb2="00000000" w:usb3="00000000" w:csb0="000001F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3B" w:rsidRPr="00B66599" w:rsidRDefault="00BE7A3B" w:rsidP="00FC416A">
    <w:pPr>
      <w:pStyle w:val="FirstFooter"/>
      <w:ind w:left="-397" w:right="-397"/>
      <w:jc w:val="center"/>
      <w:rPr>
        <w:szCs w:val="18"/>
      </w:rPr>
    </w:pPr>
    <w:r w:rsidRPr="00B66599">
      <w:rPr>
        <w:szCs w:val="18"/>
      </w:rPr>
      <w:t>Unión Internacional de Telecomunicaciones • Place des Nations, CH</w:t>
    </w:r>
    <w:r w:rsidRPr="00B66599">
      <w:rPr>
        <w:szCs w:val="18"/>
      </w:rPr>
      <w:noBreakHyphen/>
      <w:t xml:space="preserve">1211 Ginebra 20, Suiza </w:t>
    </w:r>
    <w:r w:rsidRPr="00B66599">
      <w:rPr>
        <w:szCs w:val="18"/>
      </w:rPr>
      <w:br/>
      <w:t>Tel</w:t>
    </w:r>
    <w:r>
      <w:rPr>
        <w:szCs w:val="18"/>
      </w:rPr>
      <w:t>.</w:t>
    </w:r>
    <w:r w:rsidRPr="00B66599">
      <w:rPr>
        <w:szCs w:val="18"/>
      </w:rPr>
      <w:t xml:space="preserve">: +41 22 730 5111 • Fax: +41 22 733 7256 • Correo-e: </w:t>
    </w:r>
    <w:hyperlink r:id="rId1" w:history="1">
      <w:r w:rsidRPr="00B66599">
        <w:rPr>
          <w:rStyle w:val="Hyperlink"/>
        </w:rPr>
        <w:t>itumail@itu.int</w:t>
      </w:r>
    </w:hyperlink>
    <w:r w:rsidRPr="00B66599">
      <w:rPr>
        <w:szCs w:val="18"/>
      </w:rPr>
      <w:t xml:space="preserve"> • </w:t>
    </w:r>
    <w:hyperlink r:id="rId2" w:history="1">
      <w:r w:rsidRPr="00B66599">
        <w:rPr>
          <w:rStyle w:val="Hyperlink"/>
        </w:rPr>
        <w:t>www.itu.int</w:t>
      </w:r>
    </w:hyperlink>
    <w:r w:rsidRPr="00B66599">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6F7" w:rsidRDefault="001146F7">
      <w:r>
        <w:t>____________________</w:t>
      </w:r>
    </w:p>
  </w:footnote>
  <w:footnote w:type="continuationSeparator" w:id="0">
    <w:p w:rsidR="001146F7" w:rsidRDefault="00114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3B" w:rsidRPr="00BF4565" w:rsidRDefault="00BE7A3B" w:rsidP="00DC6F95">
    <w:pPr>
      <w:spacing w:before="0"/>
      <w:jc w:val="center"/>
      <w:rPr>
        <w:rFonts w:ascii="Calibri" w:hAnsi="Calibri"/>
        <w:sz w:val="18"/>
        <w:lang w:val="en-US"/>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5651C1">
      <w:rPr>
        <w:rStyle w:val="PageNumber"/>
        <w:noProof/>
        <w:sz w:val="18"/>
        <w:szCs w:val="18"/>
      </w:rPr>
      <w:t>2</w:t>
    </w:r>
    <w:r w:rsidRPr="00303D62">
      <w:rPr>
        <w:rStyle w:val="PageNumber"/>
        <w:sz w:val="18"/>
        <w:szCs w:val="18"/>
      </w:rPr>
      <w:fldChar w:fldCharType="end"/>
    </w:r>
    <w:r w:rsidRPr="00303D62">
      <w:rPr>
        <w:rStyle w:val="PageNumber"/>
        <w:sz w:val="18"/>
        <w:szCs w:val="18"/>
      </w:rPr>
      <w:t xml:space="preserve"> -</w:t>
    </w:r>
    <w:r>
      <w:rPr>
        <w:rStyle w:val="PageNumber"/>
        <w:sz w:val="18"/>
        <w:szCs w:val="18"/>
      </w:rPr>
      <w:br/>
    </w:r>
    <w:r w:rsidRPr="004C58BA">
      <w:rPr>
        <w:rFonts w:ascii="Calibri" w:hAnsi="Calibri"/>
        <w:noProof/>
        <w:sz w:val="18"/>
        <w:lang w:val="en-GB"/>
      </w:rPr>
      <w:t xml:space="preserve">Circular TSB </w:t>
    </w:r>
    <w:r>
      <w:rPr>
        <w:rFonts w:ascii="Calibri" w:hAnsi="Calibri"/>
        <w:noProof/>
        <w:sz w:val="18"/>
        <w:lang w:val="en-GB"/>
      </w:rPr>
      <w:t>6</w:t>
    </w:r>
    <w:r w:rsidR="00DC6F95">
      <w:rPr>
        <w:rFonts w:ascii="Calibri" w:hAnsi="Calibri"/>
        <w:noProof/>
        <w:sz w:val="18"/>
        <w:lang w:val="en-GB"/>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02BE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1E78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EEED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00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68CB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8BA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2A82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90C5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CA31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C57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12617"/>
    <w:multiLevelType w:val="hybridMultilevel"/>
    <w:tmpl w:val="3F7E26BA"/>
    <w:lvl w:ilvl="0" w:tplc="3C18BA22">
      <w:numFmt w:val="bullet"/>
      <w:lvlText w:val="•"/>
      <w:lvlJc w:val="left"/>
      <w:pPr>
        <w:ind w:left="1500" w:hanging="1140"/>
      </w:pPr>
      <w:rPr>
        <w:rFonts w:ascii="Calibri" w:eastAsia="Times New Roman" w:hAnsi="Calibri" w:cs="Times New Roman" w:hint="default"/>
      </w:rPr>
    </w:lvl>
    <w:lvl w:ilvl="1" w:tplc="576ADBB0" w:tentative="1">
      <w:start w:val="1"/>
      <w:numFmt w:val="bullet"/>
      <w:lvlText w:val="o"/>
      <w:lvlJc w:val="left"/>
      <w:pPr>
        <w:ind w:left="1440" w:hanging="360"/>
      </w:pPr>
      <w:rPr>
        <w:rFonts w:ascii="Courier New" w:hAnsi="Courier New" w:cs="Courier New" w:hint="default"/>
      </w:rPr>
    </w:lvl>
    <w:lvl w:ilvl="2" w:tplc="969EA0EE" w:tentative="1">
      <w:start w:val="1"/>
      <w:numFmt w:val="bullet"/>
      <w:lvlText w:val=""/>
      <w:lvlJc w:val="left"/>
      <w:pPr>
        <w:ind w:left="2160" w:hanging="360"/>
      </w:pPr>
      <w:rPr>
        <w:rFonts w:ascii="Wingdings" w:hAnsi="Wingdings" w:hint="default"/>
      </w:rPr>
    </w:lvl>
    <w:lvl w:ilvl="3" w:tplc="46DCBCAA" w:tentative="1">
      <w:start w:val="1"/>
      <w:numFmt w:val="bullet"/>
      <w:lvlText w:val=""/>
      <w:lvlJc w:val="left"/>
      <w:pPr>
        <w:ind w:left="2880" w:hanging="360"/>
      </w:pPr>
      <w:rPr>
        <w:rFonts w:ascii="Symbol" w:hAnsi="Symbol" w:hint="default"/>
      </w:rPr>
    </w:lvl>
    <w:lvl w:ilvl="4" w:tplc="35380A8E" w:tentative="1">
      <w:start w:val="1"/>
      <w:numFmt w:val="bullet"/>
      <w:lvlText w:val="o"/>
      <w:lvlJc w:val="left"/>
      <w:pPr>
        <w:ind w:left="3600" w:hanging="360"/>
      </w:pPr>
      <w:rPr>
        <w:rFonts w:ascii="Courier New" w:hAnsi="Courier New" w:cs="Courier New" w:hint="default"/>
      </w:rPr>
    </w:lvl>
    <w:lvl w:ilvl="5" w:tplc="3FF27A94" w:tentative="1">
      <w:start w:val="1"/>
      <w:numFmt w:val="bullet"/>
      <w:lvlText w:val=""/>
      <w:lvlJc w:val="left"/>
      <w:pPr>
        <w:ind w:left="4320" w:hanging="360"/>
      </w:pPr>
      <w:rPr>
        <w:rFonts w:ascii="Wingdings" w:hAnsi="Wingdings" w:hint="default"/>
      </w:rPr>
    </w:lvl>
    <w:lvl w:ilvl="6" w:tplc="11041AF2" w:tentative="1">
      <w:start w:val="1"/>
      <w:numFmt w:val="bullet"/>
      <w:lvlText w:val=""/>
      <w:lvlJc w:val="left"/>
      <w:pPr>
        <w:ind w:left="5040" w:hanging="360"/>
      </w:pPr>
      <w:rPr>
        <w:rFonts w:ascii="Symbol" w:hAnsi="Symbol" w:hint="default"/>
      </w:rPr>
    </w:lvl>
    <w:lvl w:ilvl="7" w:tplc="08284B46" w:tentative="1">
      <w:start w:val="1"/>
      <w:numFmt w:val="bullet"/>
      <w:lvlText w:val="o"/>
      <w:lvlJc w:val="left"/>
      <w:pPr>
        <w:ind w:left="5760" w:hanging="360"/>
      </w:pPr>
      <w:rPr>
        <w:rFonts w:ascii="Courier New" w:hAnsi="Courier New" w:cs="Courier New" w:hint="default"/>
      </w:rPr>
    </w:lvl>
    <w:lvl w:ilvl="8" w:tplc="37D8AB4E" w:tentative="1">
      <w:start w:val="1"/>
      <w:numFmt w:val="bullet"/>
      <w:lvlText w:val=""/>
      <w:lvlJc w:val="left"/>
      <w:pPr>
        <w:ind w:left="6480" w:hanging="360"/>
      </w:pPr>
      <w:rPr>
        <w:rFonts w:ascii="Wingdings" w:hAnsi="Wingdings" w:hint="default"/>
      </w:rPr>
    </w:lvl>
  </w:abstractNum>
  <w:abstractNum w:abstractNumId="1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1"/>
  </w:num>
  <w:num w:numId="2">
    <w:abstractNumId w:val="14"/>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99"/>
    <w:rsid w:val="00002529"/>
    <w:rsid w:val="0002291C"/>
    <w:rsid w:val="00035C1E"/>
    <w:rsid w:val="00085662"/>
    <w:rsid w:val="000C382F"/>
    <w:rsid w:val="001146F7"/>
    <w:rsid w:val="001173CC"/>
    <w:rsid w:val="00135B69"/>
    <w:rsid w:val="0014464D"/>
    <w:rsid w:val="001A54CC"/>
    <w:rsid w:val="001D19D4"/>
    <w:rsid w:val="001E47A4"/>
    <w:rsid w:val="00257FB4"/>
    <w:rsid w:val="002630A3"/>
    <w:rsid w:val="002E496E"/>
    <w:rsid w:val="00303D62"/>
    <w:rsid w:val="00335367"/>
    <w:rsid w:val="00370C2D"/>
    <w:rsid w:val="003D1E8D"/>
    <w:rsid w:val="003D673B"/>
    <w:rsid w:val="003F2855"/>
    <w:rsid w:val="00401C20"/>
    <w:rsid w:val="0043450C"/>
    <w:rsid w:val="004771DD"/>
    <w:rsid w:val="004A7957"/>
    <w:rsid w:val="004B2E33"/>
    <w:rsid w:val="004C4144"/>
    <w:rsid w:val="004D4132"/>
    <w:rsid w:val="005651C1"/>
    <w:rsid w:val="006969B4"/>
    <w:rsid w:val="006E4F7B"/>
    <w:rsid w:val="00781E2A"/>
    <w:rsid w:val="007933A2"/>
    <w:rsid w:val="00814503"/>
    <w:rsid w:val="008258C2"/>
    <w:rsid w:val="00840CE3"/>
    <w:rsid w:val="008505BD"/>
    <w:rsid w:val="00850C78"/>
    <w:rsid w:val="00870C82"/>
    <w:rsid w:val="00884D12"/>
    <w:rsid w:val="008A2545"/>
    <w:rsid w:val="008C17AD"/>
    <w:rsid w:val="008D02CD"/>
    <w:rsid w:val="008F51F7"/>
    <w:rsid w:val="0091370C"/>
    <w:rsid w:val="0095172A"/>
    <w:rsid w:val="00972C38"/>
    <w:rsid w:val="009A0BA0"/>
    <w:rsid w:val="009D42F6"/>
    <w:rsid w:val="00A06142"/>
    <w:rsid w:val="00A54E47"/>
    <w:rsid w:val="00A95866"/>
    <w:rsid w:val="00AB6E3A"/>
    <w:rsid w:val="00AE7093"/>
    <w:rsid w:val="00B422BC"/>
    <w:rsid w:val="00B43F77"/>
    <w:rsid w:val="00B55A3E"/>
    <w:rsid w:val="00B66599"/>
    <w:rsid w:val="00B87E9E"/>
    <w:rsid w:val="00B95F0A"/>
    <w:rsid w:val="00B96180"/>
    <w:rsid w:val="00BC7909"/>
    <w:rsid w:val="00BE7A3B"/>
    <w:rsid w:val="00BF4565"/>
    <w:rsid w:val="00BF4DEF"/>
    <w:rsid w:val="00C116FE"/>
    <w:rsid w:val="00C17AC0"/>
    <w:rsid w:val="00C34772"/>
    <w:rsid w:val="00C4717B"/>
    <w:rsid w:val="00C5465A"/>
    <w:rsid w:val="00C639FD"/>
    <w:rsid w:val="00C87AB0"/>
    <w:rsid w:val="00CD6B62"/>
    <w:rsid w:val="00D14850"/>
    <w:rsid w:val="00D54642"/>
    <w:rsid w:val="00D85A52"/>
    <w:rsid w:val="00DC6F95"/>
    <w:rsid w:val="00DD77C9"/>
    <w:rsid w:val="00DF3538"/>
    <w:rsid w:val="00E839B0"/>
    <w:rsid w:val="00E92C09"/>
    <w:rsid w:val="00EA1E7C"/>
    <w:rsid w:val="00F0248F"/>
    <w:rsid w:val="00F0409A"/>
    <w:rsid w:val="00F07178"/>
    <w:rsid w:val="00F14380"/>
    <w:rsid w:val="00F6461F"/>
    <w:rsid w:val="00F77E60"/>
    <w:rsid w:val="00FC416A"/>
    <w:rsid w:val="00FD2B2D"/>
    <w:rsid w:val="00FF28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F4900D-4B21-4473-8AFE-DC0AD932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B66599"/>
    <w:pPr>
      <w:tabs>
        <w:tab w:val="clear" w:pos="794"/>
        <w:tab w:val="clear" w:pos="1191"/>
        <w:tab w:val="clear" w:pos="1588"/>
        <w:tab w:val="clear" w:pos="1985"/>
        <w:tab w:val="left" w:pos="1134"/>
        <w:tab w:val="left" w:pos="1871"/>
        <w:tab w:val="left" w:pos="2268"/>
      </w:tabs>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dpm@itu.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oascitie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reg/tmisc/300104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en/ITU-T/Workshops-and-Seminars/20180219/Pages/default.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www.itu.int/en/ITU-T/Workshops-and-Seminars/20180219/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7C860-0E91-4B42-BD68-EB6215C0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23</TotalTime>
  <Pages>2</Pages>
  <Words>643</Words>
  <Characters>3846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4481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Osvath, Alexandra</cp:lastModifiedBy>
  <cp:revision>5</cp:revision>
  <cp:lastPrinted>2018-01-09T13:59:00Z</cp:lastPrinted>
  <dcterms:created xsi:type="dcterms:W3CDTF">2018-01-08T11:08:00Z</dcterms:created>
  <dcterms:modified xsi:type="dcterms:W3CDTF">2018-01-09T14:00:00Z</dcterms:modified>
</cp:coreProperties>
</file>