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DB0155">
        <w:trPr>
          <w:cantSplit/>
        </w:trPr>
        <w:tc>
          <w:tcPr>
            <w:tcW w:w="1418" w:type="dxa"/>
            <w:vAlign w:val="center"/>
          </w:tcPr>
          <w:p w:rsidR="00590119" w:rsidRPr="00B73F4D" w:rsidRDefault="00590119" w:rsidP="00DB0155">
            <w:pPr>
              <w:tabs>
                <w:tab w:val="right" w:pos="8732"/>
              </w:tabs>
              <w:spacing w:before="0"/>
              <w:rPr>
                <w:rFonts w:ascii="SimSun" w:hAnsi="SimSun"/>
                <w:b/>
                <w:bCs/>
                <w:iCs/>
                <w:color w:val="FFFFFF"/>
                <w:sz w:val="26"/>
                <w:szCs w:val="26"/>
              </w:rPr>
            </w:pPr>
            <w:r>
              <w:rPr>
                <w:noProof/>
                <w:lang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DB0155">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DB0155">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DB0155">
            <w:pPr>
              <w:spacing w:before="0"/>
              <w:jc w:val="right"/>
              <w:rPr>
                <w:rFonts w:ascii="Verdana" w:hAnsi="Verdana"/>
                <w:color w:val="FFFFFF"/>
                <w:sz w:val="26"/>
                <w:szCs w:val="26"/>
                <w:lang w:eastAsia="zh-CN"/>
              </w:rPr>
            </w:pPr>
            <w:bookmarkStart w:id="0" w:name="ditulogo"/>
            <w:bookmarkEnd w:id="0"/>
          </w:p>
        </w:tc>
      </w:tr>
      <w:tr w:rsidR="00F346AB" w:rsidRPr="00F50108" w:rsidTr="00DB0155">
        <w:trPr>
          <w:cantSplit/>
        </w:trPr>
        <w:tc>
          <w:tcPr>
            <w:tcW w:w="6237" w:type="dxa"/>
            <w:gridSpan w:val="2"/>
            <w:vAlign w:val="center"/>
          </w:tcPr>
          <w:p w:rsidR="00F346AB" w:rsidRPr="00F50108" w:rsidRDefault="00F346AB" w:rsidP="00DB0155">
            <w:pPr>
              <w:tabs>
                <w:tab w:val="right" w:pos="8732"/>
              </w:tabs>
              <w:spacing w:before="0"/>
              <w:rPr>
                <w:rFonts w:ascii="Verdana" w:hAnsi="Verdana"/>
                <w:b/>
                <w:bCs/>
                <w:iCs/>
                <w:sz w:val="18"/>
                <w:szCs w:val="18"/>
                <w:lang w:eastAsia="zh-CN"/>
              </w:rPr>
            </w:pPr>
          </w:p>
        </w:tc>
        <w:tc>
          <w:tcPr>
            <w:tcW w:w="3261" w:type="dxa"/>
            <w:gridSpan w:val="2"/>
            <w:vAlign w:val="center"/>
          </w:tcPr>
          <w:p w:rsidR="00F346AB" w:rsidRPr="00F50108" w:rsidRDefault="00F346AB" w:rsidP="00DB0155">
            <w:pPr>
              <w:spacing w:before="0"/>
              <w:ind w:left="993" w:hanging="993"/>
              <w:jc w:val="right"/>
              <w:rPr>
                <w:rFonts w:ascii="Verdana" w:hAnsi="Verdana"/>
                <w:sz w:val="18"/>
                <w:szCs w:val="18"/>
                <w:lang w:val="en-US" w:eastAsia="zh-CN"/>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5C3A55">
      <w:pPr>
        <w:pStyle w:val="Index1"/>
        <w:tabs>
          <w:tab w:val="clear" w:pos="794"/>
          <w:tab w:val="clear" w:pos="1191"/>
          <w:tab w:val="clear" w:pos="1588"/>
          <w:tab w:val="clear" w:pos="1985"/>
          <w:tab w:val="left" w:pos="5387"/>
        </w:tabs>
        <w:rPr>
          <w:lang w:eastAsia="zh-CN"/>
        </w:rPr>
      </w:pPr>
      <w:r>
        <w:rPr>
          <w:lang w:eastAsia="zh-CN"/>
        </w:rPr>
        <w:tab/>
      </w:r>
      <w:r w:rsidR="00E93708">
        <w:rPr>
          <w:rFonts w:hint="eastAsia"/>
          <w:lang w:eastAsia="zh-CN"/>
        </w:rPr>
        <w:t>201</w:t>
      </w:r>
      <w:r w:rsidR="005C3A55">
        <w:rPr>
          <w:rFonts w:hint="eastAsia"/>
          <w:lang w:eastAsia="zh-CN"/>
        </w:rPr>
        <w:t>7</w:t>
      </w:r>
      <w:r w:rsidR="00E93708" w:rsidRPr="00C4074C">
        <w:rPr>
          <w:rFonts w:hint="eastAsia"/>
        </w:rPr>
        <w:t>年</w:t>
      </w:r>
      <w:r w:rsidR="005C3A55">
        <w:rPr>
          <w:rFonts w:hint="eastAsia"/>
          <w:lang w:eastAsia="zh-CN"/>
        </w:rPr>
        <w:t>12</w:t>
      </w:r>
      <w:r w:rsidR="00E93708" w:rsidRPr="00C4074C">
        <w:rPr>
          <w:rFonts w:hint="eastAsia"/>
        </w:rPr>
        <w:t>月</w:t>
      </w:r>
      <w:r w:rsidR="00E93708">
        <w:rPr>
          <w:rFonts w:hint="eastAsia"/>
          <w:lang w:eastAsia="zh-CN"/>
        </w:rPr>
        <w:t>1</w:t>
      </w:r>
      <w:r w:rsidR="005C3A55">
        <w:rPr>
          <w:rFonts w:hint="eastAsia"/>
          <w:lang w:eastAsia="zh-CN"/>
        </w:rPr>
        <w:t>8</w:t>
      </w:r>
      <w:proofErr w:type="spellStart"/>
      <w:r w:rsidR="00E93708" w:rsidRPr="00C4074C">
        <w:rPr>
          <w:rFonts w:hint="eastAsia"/>
        </w:rPr>
        <w:t>日，日内瓦</w:t>
      </w:r>
      <w:proofErr w:type="spellEnd"/>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67444D">
            <w:pPr>
              <w:tabs>
                <w:tab w:val="left" w:pos="4111"/>
              </w:tabs>
              <w:spacing w:before="0"/>
              <w:rPr>
                <w:szCs w:val="24"/>
                <w:lang w:eastAsia="zh-CN"/>
              </w:rPr>
            </w:pPr>
            <w:r w:rsidRPr="00841612">
              <w:rPr>
                <w:rFonts w:hint="eastAsia"/>
                <w:szCs w:val="24"/>
                <w:lang w:eastAsia="zh-CN"/>
              </w:rPr>
              <w:t>文号：</w:t>
            </w:r>
          </w:p>
          <w:p w:rsidR="0063445E" w:rsidRPr="00841612" w:rsidRDefault="0063445E" w:rsidP="0067444D">
            <w:pPr>
              <w:tabs>
                <w:tab w:val="left" w:pos="4111"/>
              </w:tabs>
              <w:spacing w:before="0"/>
              <w:rPr>
                <w:szCs w:val="24"/>
              </w:rPr>
            </w:pPr>
          </w:p>
          <w:p w:rsidR="00E93708" w:rsidRDefault="00E93708" w:rsidP="0067444D">
            <w:pPr>
              <w:tabs>
                <w:tab w:val="left" w:pos="4111"/>
              </w:tabs>
              <w:spacing w:before="0"/>
              <w:rPr>
                <w:szCs w:val="24"/>
                <w:lang w:eastAsia="zh-CN"/>
              </w:rPr>
            </w:pPr>
          </w:p>
          <w:p w:rsidR="0063445E" w:rsidRPr="00841612" w:rsidRDefault="0063445E" w:rsidP="0067444D">
            <w:pPr>
              <w:tabs>
                <w:tab w:val="left" w:pos="4111"/>
              </w:tabs>
              <w:spacing w:before="0"/>
              <w:rPr>
                <w:szCs w:val="24"/>
                <w:lang w:eastAsia="zh-CN"/>
              </w:rPr>
            </w:pPr>
            <w:r w:rsidRPr="00841612">
              <w:rPr>
                <w:rFonts w:hint="eastAsia"/>
                <w:szCs w:val="24"/>
                <w:lang w:eastAsia="zh-CN"/>
              </w:rPr>
              <w:t>电话：</w:t>
            </w:r>
          </w:p>
          <w:p w:rsidR="0063445E" w:rsidRPr="00841612" w:rsidRDefault="0063445E" w:rsidP="0067444D">
            <w:pPr>
              <w:tabs>
                <w:tab w:val="left" w:pos="4111"/>
              </w:tabs>
              <w:spacing w:before="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5C3A55">
            <w:pPr>
              <w:tabs>
                <w:tab w:val="left" w:pos="4111"/>
              </w:tabs>
              <w:spacing w:before="0"/>
              <w:rPr>
                <w:b/>
                <w:szCs w:val="24"/>
                <w:lang w:eastAsia="zh-CN"/>
              </w:rPr>
            </w:pPr>
            <w:r w:rsidRPr="00841612">
              <w:rPr>
                <w:rFonts w:hint="eastAsia"/>
                <w:b/>
                <w:szCs w:val="24"/>
                <w:lang w:eastAsia="zh-CN"/>
              </w:rPr>
              <w:t>电信标准化局第</w:t>
            </w:r>
            <w:r w:rsidR="005C3A55">
              <w:rPr>
                <w:rFonts w:hint="eastAsia"/>
                <w:b/>
                <w:szCs w:val="24"/>
                <w:lang w:eastAsia="zh-CN"/>
              </w:rPr>
              <w:t>6</w:t>
            </w:r>
            <w:r w:rsidR="00E93708">
              <w:rPr>
                <w:b/>
                <w:szCs w:val="24"/>
                <w:lang w:eastAsia="zh-CN"/>
              </w:rPr>
              <w:t>5</w:t>
            </w:r>
            <w:r w:rsidRPr="00841612">
              <w:rPr>
                <w:rFonts w:hint="eastAsia"/>
                <w:b/>
                <w:szCs w:val="24"/>
                <w:lang w:eastAsia="zh-CN"/>
              </w:rPr>
              <w:t>号通函</w:t>
            </w:r>
          </w:p>
          <w:p w:rsidR="00E93708" w:rsidRPr="009471BB" w:rsidRDefault="005C3A55" w:rsidP="005C3A55">
            <w:pPr>
              <w:tabs>
                <w:tab w:val="left" w:pos="4111"/>
              </w:tabs>
              <w:spacing w:before="0"/>
              <w:ind w:left="57"/>
              <w:rPr>
                <w:b/>
                <w:lang w:eastAsia="zh-CN"/>
              </w:rPr>
            </w:pPr>
            <w:r>
              <w:rPr>
                <w:rFonts w:hint="eastAsia"/>
                <w:lang w:val="fr-CH" w:eastAsia="zh-CN"/>
              </w:rPr>
              <w:t>SG2</w:t>
            </w:r>
            <w:r w:rsidR="00E93708">
              <w:rPr>
                <w:lang w:val="fr-CH" w:eastAsia="zh-CN"/>
              </w:rPr>
              <w:t>/</w:t>
            </w:r>
            <w:r>
              <w:rPr>
                <w:rFonts w:hint="eastAsia"/>
                <w:lang w:val="fr-CH" w:eastAsia="zh-CN"/>
              </w:rPr>
              <w:t>JZ</w:t>
            </w:r>
          </w:p>
          <w:p w:rsidR="00E93708" w:rsidRDefault="00E93708" w:rsidP="0067444D">
            <w:pPr>
              <w:tabs>
                <w:tab w:val="left" w:pos="4111"/>
              </w:tabs>
              <w:spacing w:before="40"/>
              <w:rPr>
                <w:lang w:eastAsia="zh-CN"/>
              </w:rPr>
            </w:pPr>
          </w:p>
          <w:p w:rsidR="0063445E" w:rsidRPr="00841612" w:rsidRDefault="00E93708" w:rsidP="005C3A55">
            <w:pPr>
              <w:tabs>
                <w:tab w:val="left" w:pos="4111"/>
              </w:tabs>
              <w:spacing w:before="0"/>
              <w:rPr>
                <w:szCs w:val="24"/>
                <w:lang w:eastAsia="zh-CN"/>
              </w:rPr>
            </w:pPr>
            <w:r w:rsidRPr="00697BC1">
              <w:rPr>
                <w:lang w:eastAsia="zh-CN"/>
              </w:rPr>
              <w:t xml:space="preserve">+41 22 730 </w:t>
            </w:r>
            <w:r>
              <w:rPr>
                <w:lang w:eastAsia="zh-CN"/>
              </w:rPr>
              <w:t>58</w:t>
            </w:r>
            <w:r w:rsidR="005C3A55">
              <w:rPr>
                <w:rFonts w:hint="eastAsia"/>
                <w:lang w:eastAsia="zh-CN"/>
              </w:rPr>
              <w:t>55</w:t>
            </w:r>
            <w:r w:rsidRPr="00697BC1">
              <w:rPr>
                <w:lang w:eastAsia="zh-CN"/>
              </w:rPr>
              <w:br/>
              <w:t>+41 22 730 5853</w:t>
            </w:r>
            <w:r w:rsidRPr="00697BC1">
              <w:rPr>
                <w:lang w:eastAsia="zh-CN"/>
              </w:rPr>
              <w:br/>
            </w:r>
          </w:p>
        </w:tc>
        <w:tc>
          <w:tcPr>
            <w:tcW w:w="4436" w:type="dxa"/>
          </w:tcPr>
          <w:p w:rsidR="006A49AE" w:rsidRPr="00D36C19" w:rsidRDefault="006A49AE" w:rsidP="006A49AE">
            <w:pPr>
              <w:pStyle w:val="Tabletext"/>
              <w:ind w:left="283" w:hanging="283"/>
              <w:rPr>
                <w:b/>
                <w:bCs/>
                <w:lang w:eastAsia="zh-CN"/>
              </w:rPr>
            </w:pPr>
            <w:bookmarkStart w:id="1" w:name="Addressee_E"/>
            <w:bookmarkEnd w:id="1"/>
            <w:r w:rsidRPr="00D36C19">
              <w:rPr>
                <w:rFonts w:hint="eastAsia"/>
                <w:b/>
                <w:bCs/>
                <w:lang w:eastAsia="zh-CN"/>
              </w:rPr>
              <w:t>致：</w:t>
            </w:r>
          </w:p>
          <w:p w:rsidR="006A49AE" w:rsidRPr="00D36C19" w:rsidRDefault="006A49AE" w:rsidP="006A49AE">
            <w:pPr>
              <w:pStyle w:val="Tabletext"/>
              <w:ind w:left="283" w:hanging="283"/>
              <w:rPr>
                <w:lang w:eastAsia="zh-CN"/>
              </w:rPr>
            </w:pPr>
            <w:r w:rsidRPr="00D36C19">
              <w:rPr>
                <w:rFonts w:hint="eastAsia"/>
                <w:lang w:eastAsia="zh-CN"/>
              </w:rPr>
              <w:t>-</w:t>
            </w:r>
            <w:r w:rsidRPr="00D36C19">
              <w:rPr>
                <w:rFonts w:hint="eastAsia"/>
                <w:lang w:eastAsia="zh-CN"/>
              </w:rPr>
              <w:tab/>
            </w:r>
            <w:r w:rsidRPr="00D36C19">
              <w:rPr>
                <w:rFonts w:hint="eastAsia"/>
                <w:lang w:eastAsia="zh-CN"/>
              </w:rPr>
              <w:t>国际电联各成员国主管部门；</w:t>
            </w:r>
          </w:p>
          <w:p w:rsidR="006A49AE" w:rsidRPr="00D36C19" w:rsidRDefault="006A49AE" w:rsidP="006A49AE">
            <w:pPr>
              <w:pStyle w:val="Tabletext"/>
              <w:ind w:left="283" w:hanging="283"/>
              <w:rPr>
                <w:lang w:eastAsia="zh-CN"/>
              </w:rPr>
            </w:pPr>
            <w:r w:rsidRPr="00D36C19">
              <w:rPr>
                <w:rFonts w:hint="eastAsia"/>
                <w:lang w:eastAsia="zh-CN"/>
              </w:rPr>
              <w:t>-</w:t>
            </w:r>
            <w:r w:rsidRPr="00D36C19">
              <w:rPr>
                <w:rFonts w:hint="eastAsia"/>
                <w:lang w:eastAsia="zh-CN"/>
              </w:rPr>
              <w:tab/>
              <w:t>ITU-T</w:t>
            </w:r>
            <w:r w:rsidRPr="00D36C19">
              <w:rPr>
                <w:rFonts w:hint="eastAsia"/>
                <w:lang w:eastAsia="zh-CN"/>
              </w:rPr>
              <w:t>部门成员；</w:t>
            </w:r>
          </w:p>
          <w:p w:rsidR="006A49AE" w:rsidRPr="00D36C19" w:rsidRDefault="006A49AE" w:rsidP="006A49AE">
            <w:pPr>
              <w:pStyle w:val="Tabletext"/>
              <w:ind w:left="283" w:hanging="283"/>
              <w:rPr>
                <w:lang w:eastAsia="zh-CN"/>
              </w:rPr>
            </w:pPr>
            <w:r w:rsidRPr="00D36C19">
              <w:rPr>
                <w:rFonts w:hint="eastAsia"/>
                <w:lang w:eastAsia="zh-CN"/>
              </w:rPr>
              <w:t>-</w:t>
            </w:r>
            <w:r w:rsidRPr="00D36C19">
              <w:rPr>
                <w:rFonts w:hint="eastAsia"/>
                <w:lang w:eastAsia="zh-CN"/>
              </w:rPr>
              <w:tab/>
              <w:t>ITU-T</w:t>
            </w:r>
            <w:r w:rsidRPr="00D36C19">
              <w:rPr>
                <w:rFonts w:hint="eastAsia"/>
                <w:lang w:eastAsia="zh-CN"/>
              </w:rPr>
              <w:t>部门准成员；</w:t>
            </w:r>
          </w:p>
          <w:p w:rsidR="0063445E" w:rsidRDefault="006A49AE" w:rsidP="006A49AE">
            <w:pPr>
              <w:tabs>
                <w:tab w:val="clear" w:pos="794"/>
                <w:tab w:val="clear" w:pos="1191"/>
                <w:tab w:val="clear" w:pos="1588"/>
                <w:tab w:val="clear" w:pos="1985"/>
                <w:tab w:val="left" w:pos="284"/>
              </w:tabs>
              <w:spacing w:before="0"/>
              <w:ind w:left="284" w:hanging="284"/>
              <w:rPr>
                <w:lang w:eastAsia="zh-CN"/>
              </w:rPr>
            </w:pPr>
            <w:r w:rsidRPr="00D36C19">
              <w:rPr>
                <w:rFonts w:hint="eastAsia"/>
              </w:rPr>
              <w:t>-</w:t>
            </w:r>
            <w:r w:rsidRPr="00D36C19">
              <w:rPr>
                <w:rFonts w:hint="eastAsia"/>
              </w:rPr>
              <w:tab/>
            </w:r>
            <w:proofErr w:type="spellStart"/>
            <w:r w:rsidRPr="00D36C19">
              <w:rPr>
                <w:rFonts w:hint="eastAsia"/>
              </w:rPr>
              <w:t>国际电联学术成员</w:t>
            </w:r>
            <w:proofErr w:type="spellEnd"/>
          </w:p>
        </w:tc>
      </w:tr>
      <w:tr w:rsidR="0063445E">
        <w:trPr>
          <w:cantSplit/>
        </w:trPr>
        <w:tc>
          <w:tcPr>
            <w:tcW w:w="993" w:type="dxa"/>
          </w:tcPr>
          <w:p w:rsidR="0063445E" w:rsidRPr="00841612" w:rsidRDefault="0063445E" w:rsidP="0067444D">
            <w:pPr>
              <w:spacing w:before="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67444D" w:rsidRDefault="0067444D" w:rsidP="0067444D">
            <w:pPr>
              <w:tabs>
                <w:tab w:val="left" w:pos="4111"/>
              </w:tabs>
              <w:spacing w:before="40"/>
            </w:pPr>
          </w:p>
          <w:p w:rsidR="00160A43" w:rsidRPr="00E93708" w:rsidRDefault="000B44B5" w:rsidP="0067444D">
            <w:pPr>
              <w:tabs>
                <w:tab w:val="left" w:pos="4111"/>
              </w:tabs>
              <w:spacing w:before="0"/>
              <w:rPr>
                <w:lang w:val="en-US" w:eastAsia="zh-CN"/>
              </w:rPr>
            </w:pPr>
            <w:hyperlink r:id="rId8" w:history="1">
              <w:r w:rsidR="005C3A55">
                <w:rPr>
                  <w:rStyle w:val="Hyperlink"/>
                </w:rPr>
                <w:t>tsbsg2@itu.int</w:t>
              </w:r>
            </w:hyperlink>
          </w:p>
          <w:p w:rsidR="007568DA" w:rsidRPr="00841612" w:rsidRDefault="007568DA" w:rsidP="0067444D">
            <w:pPr>
              <w:tabs>
                <w:tab w:val="left" w:pos="4111"/>
              </w:tabs>
              <w:spacing w:before="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E93708" w:rsidRDefault="00E93708" w:rsidP="00E93708">
            <w:pPr>
              <w:pStyle w:val="Tabletext"/>
              <w:ind w:left="283" w:hanging="283"/>
              <w:rPr>
                <w:lang w:eastAsia="zh-CN"/>
              </w:rPr>
            </w:pPr>
            <w:r>
              <w:rPr>
                <w:lang w:eastAsia="zh-CN"/>
              </w:rPr>
              <w:t>-</w:t>
            </w:r>
            <w:r>
              <w:rPr>
                <w:lang w:eastAsia="zh-CN"/>
              </w:rPr>
              <w:tab/>
            </w:r>
            <w:r>
              <w:rPr>
                <w:rFonts w:hint="eastAsia"/>
                <w:lang w:eastAsia="zh-CN"/>
              </w:rPr>
              <w:t>非洲电信联盟（</w:t>
            </w:r>
            <w:r>
              <w:rPr>
                <w:rFonts w:hint="eastAsia"/>
                <w:lang w:eastAsia="zh-CN"/>
              </w:rPr>
              <w:t>ATU</w:t>
            </w:r>
            <w:r>
              <w:rPr>
                <w:rFonts w:hint="eastAsia"/>
                <w:lang w:eastAsia="zh-CN"/>
              </w:rPr>
              <w:t>）；</w:t>
            </w:r>
          </w:p>
          <w:p w:rsidR="00E93708" w:rsidRDefault="00E93708" w:rsidP="00E93708">
            <w:pPr>
              <w:pStyle w:val="Tabletext"/>
              <w:ind w:left="283" w:hanging="283"/>
              <w:rPr>
                <w:lang w:eastAsia="zh-CN"/>
              </w:rPr>
            </w:pPr>
            <w:r>
              <w:rPr>
                <w:lang w:eastAsia="zh-CN"/>
              </w:rPr>
              <w:t>-</w:t>
            </w:r>
            <w:r>
              <w:rPr>
                <w:lang w:eastAsia="zh-CN"/>
              </w:rPr>
              <w:tab/>
            </w:r>
            <w:r w:rsidRPr="00C4074C">
              <w:rPr>
                <w:rFonts w:hint="eastAsia"/>
                <w:lang w:eastAsia="zh-CN"/>
              </w:rPr>
              <w:t>非洲</w:t>
            </w:r>
            <w:r w:rsidRPr="00C4074C">
              <w:rPr>
                <w:rFonts w:hint="eastAsia"/>
                <w:lang w:eastAsia="zh-CN"/>
              </w:rPr>
              <w:t>ICT</w:t>
            </w:r>
            <w:r w:rsidRPr="00C4074C">
              <w:rPr>
                <w:rFonts w:hint="eastAsia"/>
                <w:lang w:eastAsia="zh-CN"/>
              </w:rPr>
              <w:t>消费者网络（</w:t>
            </w:r>
            <w:r w:rsidRPr="00C4074C">
              <w:rPr>
                <w:rFonts w:hint="eastAsia"/>
                <w:lang w:eastAsia="zh-CN"/>
              </w:rPr>
              <w:t>AICN</w:t>
            </w:r>
            <w:r w:rsidRPr="00C4074C">
              <w:rPr>
                <w:rFonts w:hint="eastAsia"/>
                <w:lang w:eastAsia="zh-CN"/>
              </w:rPr>
              <w:t>）</w:t>
            </w:r>
            <w:r>
              <w:rPr>
                <w:rFonts w:hint="eastAsia"/>
                <w:lang w:eastAsia="zh-CN"/>
              </w:rPr>
              <w:t>；</w:t>
            </w:r>
          </w:p>
          <w:p w:rsidR="00E93708" w:rsidRDefault="00E93708" w:rsidP="00E93708">
            <w:pPr>
              <w:pStyle w:val="Tabletext"/>
              <w:ind w:left="283" w:hanging="283"/>
              <w:rPr>
                <w:lang w:eastAsia="zh-CN"/>
              </w:rPr>
            </w:pPr>
            <w:r>
              <w:rPr>
                <w:lang w:eastAsia="zh-CN"/>
              </w:rPr>
              <w:t>-</w:t>
            </w:r>
            <w:r>
              <w:rPr>
                <w:lang w:eastAsia="zh-CN"/>
              </w:rPr>
              <w:tab/>
            </w:r>
            <w:r w:rsidRPr="00C4074C">
              <w:rPr>
                <w:rFonts w:hint="eastAsia"/>
                <w:lang w:eastAsia="zh-CN"/>
              </w:rPr>
              <w:t>西非国家经济共同体（</w:t>
            </w:r>
            <w:r w:rsidRPr="00C4074C">
              <w:rPr>
                <w:rFonts w:hint="eastAsia"/>
                <w:lang w:eastAsia="zh-CN"/>
              </w:rPr>
              <w:t>ECOWAS</w:t>
            </w:r>
            <w:r w:rsidRPr="00C4074C">
              <w:rPr>
                <w:rFonts w:hint="eastAsia"/>
                <w:lang w:eastAsia="zh-CN"/>
              </w:rPr>
              <w:t>）</w:t>
            </w:r>
            <w:r>
              <w:rPr>
                <w:rFonts w:hint="eastAsia"/>
                <w:lang w:eastAsia="zh-CN"/>
              </w:rPr>
              <w:t>；</w:t>
            </w:r>
          </w:p>
          <w:p w:rsidR="00E93708" w:rsidRDefault="00E93708" w:rsidP="00E93708">
            <w:pPr>
              <w:pStyle w:val="Tabletext"/>
              <w:ind w:left="283" w:hanging="283"/>
              <w:rPr>
                <w:lang w:eastAsia="zh-CN"/>
              </w:rPr>
            </w:pPr>
            <w:r>
              <w:rPr>
                <w:lang w:eastAsia="zh-CN"/>
              </w:rPr>
              <w:t>-</w:t>
            </w:r>
            <w:r>
              <w:rPr>
                <w:lang w:eastAsia="zh-CN"/>
              </w:rPr>
              <w:tab/>
            </w:r>
            <w:r w:rsidRPr="00C4074C">
              <w:rPr>
                <w:rFonts w:hint="eastAsia"/>
                <w:lang w:eastAsia="zh-CN"/>
              </w:rPr>
              <w:t>东非通信组织（</w:t>
            </w:r>
            <w:r w:rsidRPr="00C4074C">
              <w:rPr>
                <w:rFonts w:hint="eastAsia"/>
                <w:lang w:eastAsia="zh-CN"/>
              </w:rPr>
              <w:t>EACO</w:t>
            </w:r>
            <w:r w:rsidRPr="00C4074C">
              <w:rPr>
                <w:rFonts w:hint="eastAsia"/>
                <w:lang w:eastAsia="zh-CN"/>
              </w:rPr>
              <w:t>）</w:t>
            </w:r>
            <w:r>
              <w:rPr>
                <w:rFonts w:hint="eastAsia"/>
                <w:lang w:eastAsia="zh-CN"/>
              </w:rPr>
              <w:t>；</w:t>
            </w:r>
          </w:p>
          <w:p w:rsidR="00E93708" w:rsidRDefault="00E93708" w:rsidP="00E93708">
            <w:pPr>
              <w:pStyle w:val="Tabletext"/>
              <w:ind w:left="283" w:hanging="283"/>
              <w:rPr>
                <w:lang w:eastAsia="zh-CN"/>
              </w:rPr>
            </w:pPr>
            <w:r>
              <w:rPr>
                <w:lang w:eastAsia="zh-CN"/>
              </w:rPr>
              <w:t>-</w:t>
            </w:r>
            <w:r>
              <w:rPr>
                <w:lang w:eastAsia="zh-CN"/>
              </w:rPr>
              <w:tab/>
            </w:r>
            <w:r>
              <w:rPr>
                <w:rFonts w:hint="eastAsia"/>
                <w:lang w:eastAsia="zh-CN"/>
              </w:rPr>
              <w:t>阿拉伯国家联盟；</w:t>
            </w:r>
          </w:p>
          <w:p w:rsidR="00E93708" w:rsidRDefault="00E93708" w:rsidP="006A49AE">
            <w:pPr>
              <w:pStyle w:val="Tabletext"/>
              <w:ind w:left="283" w:hanging="283"/>
              <w:rPr>
                <w:lang w:eastAsia="zh-CN"/>
              </w:rPr>
            </w:pPr>
            <w:r>
              <w:rPr>
                <w:lang w:eastAsia="zh-CN"/>
              </w:rPr>
              <w:t>-</w:t>
            </w:r>
            <w:r>
              <w:rPr>
                <w:lang w:eastAsia="zh-CN"/>
              </w:rPr>
              <w:tab/>
            </w:r>
            <w:r>
              <w:rPr>
                <w:rFonts w:hint="eastAsia"/>
                <w:lang w:eastAsia="zh-CN"/>
              </w:rPr>
              <w:t>国际电联非洲区域代表处；</w:t>
            </w:r>
          </w:p>
          <w:p w:rsidR="00E93708" w:rsidRDefault="00E93708" w:rsidP="005C3A55">
            <w:pPr>
              <w:pStyle w:val="Tabletext"/>
              <w:ind w:left="283" w:hanging="283"/>
              <w:rPr>
                <w:lang w:eastAsia="zh-CN"/>
              </w:rPr>
            </w:pPr>
            <w:r>
              <w:rPr>
                <w:lang w:eastAsia="zh-CN"/>
              </w:rPr>
              <w:t>-</w:t>
            </w:r>
            <w:r>
              <w:rPr>
                <w:lang w:eastAsia="zh-CN"/>
              </w:rPr>
              <w:tab/>
            </w:r>
            <w:r>
              <w:rPr>
                <w:rFonts w:hint="eastAsia"/>
                <w:lang w:eastAsia="zh-CN"/>
              </w:rPr>
              <w:t>国际电联非洲</w:t>
            </w:r>
            <w:r w:rsidR="005C3A55">
              <w:rPr>
                <w:rFonts w:hint="eastAsia"/>
                <w:lang w:eastAsia="zh-CN"/>
              </w:rPr>
              <w:t>各地区</w:t>
            </w:r>
            <w:r>
              <w:rPr>
                <w:rFonts w:hint="eastAsia"/>
                <w:lang w:eastAsia="zh-CN"/>
              </w:rPr>
              <w:t>办事处；</w:t>
            </w:r>
          </w:p>
          <w:p w:rsidR="00E93708" w:rsidRDefault="00E93708" w:rsidP="005C3A55">
            <w:pPr>
              <w:pStyle w:val="Tabletext"/>
              <w:tabs>
                <w:tab w:val="clear" w:pos="284"/>
                <w:tab w:val="left" w:pos="283"/>
              </w:tabs>
              <w:ind w:left="283" w:hanging="283"/>
              <w:rPr>
                <w:lang w:eastAsia="zh-CN"/>
              </w:rPr>
            </w:pPr>
            <w:r>
              <w:rPr>
                <w:lang w:eastAsia="zh-CN"/>
              </w:rPr>
              <w:t>-</w:t>
            </w:r>
            <w:r>
              <w:rPr>
                <w:lang w:eastAsia="zh-CN"/>
              </w:rPr>
              <w:tab/>
            </w:r>
            <w:r w:rsidRPr="00C4074C">
              <w:rPr>
                <w:rFonts w:hint="eastAsia"/>
                <w:lang w:eastAsia="zh-CN"/>
              </w:rPr>
              <w:t>第</w:t>
            </w:r>
            <w:r w:rsidR="005C3A55">
              <w:rPr>
                <w:rFonts w:hint="eastAsia"/>
                <w:lang w:eastAsia="zh-CN"/>
              </w:rPr>
              <w:t>2</w:t>
            </w:r>
            <w:r w:rsidRPr="00C4074C">
              <w:rPr>
                <w:rFonts w:hint="eastAsia"/>
                <w:lang w:eastAsia="zh-CN"/>
              </w:rPr>
              <w:t>研究组正副主席；</w:t>
            </w:r>
          </w:p>
          <w:p w:rsidR="00E93708" w:rsidRDefault="00E93708" w:rsidP="005C3A55">
            <w:pPr>
              <w:pStyle w:val="Tabletext"/>
              <w:tabs>
                <w:tab w:val="clear" w:pos="284"/>
                <w:tab w:val="left" w:pos="283"/>
              </w:tabs>
              <w:ind w:left="283" w:hanging="283"/>
              <w:rPr>
                <w:lang w:eastAsia="zh-CN"/>
              </w:rPr>
            </w:pPr>
            <w:r>
              <w:rPr>
                <w:lang w:eastAsia="zh-CN"/>
              </w:rPr>
              <w:t>-</w:t>
            </w:r>
            <w:r>
              <w:rPr>
                <w:lang w:eastAsia="zh-CN"/>
              </w:rPr>
              <w:tab/>
            </w:r>
            <w:r w:rsidRPr="00C4074C">
              <w:rPr>
                <w:rFonts w:hint="eastAsia"/>
                <w:lang w:eastAsia="zh-CN"/>
              </w:rPr>
              <w:t>第</w:t>
            </w:r>
            <w:r w:rsidR="005C3A55">
              <w:rPr>
                <w:rFonts w:hint="eastAsia"/>
                <w:lang w:eastAsia="zh-CN"/>
              </w:rPr>
              <w:t>2</w:t>
            </w:r>
            <w:r w:rsidRPr="00C4074C">
              <w:rPr>
                <w:rFonts w:hint="eastAsia"/>
                <w:lang w:eastAsia="zh-CN"/>
              </w:rPr>
              <w:t>研究组</w:t>
            </w:r>
            <w:r w:rsidR="005C3A55">
              <w:rPr>
                <w:rFonts w:hint="eastAsia"/>
                <w:lang w:eastAsia="zh-CN"/>
              </w:rPr>
              <w:t>东非</w:t>
            </w:r>
            <w:r>
              <w:rPr>
                <w:rFonts w:hint="eastAsia"/>
                <w:lang w:eastAsia="zh-CN"/>
              </w:rPr>
              <w:t>区域组</w:t>
            </w:r>
            <w:r w:rsidRPr="00C4074C">
              <w:rPr>
                <w:rFonts w:hint="eastAsia"/>
                <w:lang w:eastAsia="zh-CN"/>
              </w:rPr>
              <w:t>正副主席；</w:t>
            </w:r>
          </w:p>
          <w:p w:rsidR="00E93708" w:rsidRDefault="00E93708" w:rsidP="00E93708">
            <w:pPr>
              <w:pStyle w:val="Tabletext"/>
              <w:tabs>
                <w:tab w:val="clear" w:pos="284"/>
                <w:tab w:val="left" w:pos="283"/>
              </w:tabs>
              <w:ind w:left="283" w:hanging="283"/>
              <w:rPr>
                <w:lang w:eastAsia="zh-CN"/>
              </w:rPr>
            </w:pPr>
            <w:r>
              <w:rPr>
                <w:lang w:eastAsia="zh-CN"/>
              </w:rPr>
              <w:t>-</w:t>
            </w:r>
            <w:r>
              <w:rPr>
                <w:lang w:eastAsia="zh-CN"/>
              </w:rPr>
              <w:tab/>
            </w:r>
            <w:r>
              <w:rPr>
                <w:rFonts w:hint="eastAsia"/>
                <w:lang w:eastAsia="zh-CN"/>
              </w:rPr>
              <w:t>电信发展局主任；</w:t>
            </w:r>
          </w:p>
          <w:p w:rsidR="0063445E" w:rsidRDefault="00E93708" w:rsidP="00E93708">
            <w:pPr>
              <w:pStyle w:val="Tabletext"/>
              <w:ind w:left="283" w:hanging="283"/>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Pr="006A49AE" w:rsidRDefault="0063445E" w:rsidP="00956D38">
            <w:pPr>
              <w:tabs>
                <w:tab w:val="left" w:pos="4111"/>
              </w:tabs>
              <w:spacing w:before="10"/>
              <w:ind w:left="57"/>
              <w:rPr>
                <w:b/>
                <w:bCs/>
                <w:sz w:val="22"/>
                <w:lang w:eastAsia="zh-CN"/>
              </w:rPr>
            </w:pPr>
            <w:r w:rsidRPr="006A49AE">
              <w:rPr>
                <w:rFonts w:hint="eastAsia"/>
                <w:b/>
                <w:bCs/>
                <w:sz w:val="22"/>
                <w:lang w:eastAsia="zh-CN"/>
              </w:rPr>
              <w:t>事由：</w:t>
            </w:r>
          </w:p>
        </w:tc>
        <w:tc>
          <w:tcPr>
            <w:tcW w:w="7087" w:type="dxa"/>
          </w:tcPr>
          <w:p w:rsidR="0063445E" w:rsidRDefault="00E93708" w:rsidP="005C3A55">
            <w:pPr>
              <w:tabs>
                <w:tab w:val="left" w:pos="4111"/>
              </w:tabs>
              <w:spacing w:before="0"/>
              <w:ind w:left="57" w:right="28"/>
              <w:rPr>
                <w:lang w:eastAsia="zh-CN"/>
              </w:rPr>
            </w:pPr>
            <w:r>
              <w:rPr>
                <w:rFonts w:hint="eastAsia"/>
                <w:b/>
                <w:bCs/>
                <w:lang w:eastAsia="zh-CN"/>
              </w:rPr>
              <w:t>创建</w:t>
            </w:r>
            <w:r>
              <w:rPr>
                <w:b/>
                <w:bCs/>
                <w:lang w:eastAsia="zh-CN"/>
              </w:rPr>
              <w:t>ITU-T</w:t>
            </w:r>
            <w:r>
              <w:rPr>
                <w:b/>
                <w:bCs/>
                <w:lang w:eastAsia="zh-CN"/>
              </w:rPr>
              <w:t>第</w:t>
            </w:r>
            <w:r w:rsidR="005C3A55">
              <w:rPr>
                <w:rFonts w:hint="eastAsia"/>
                <w:b/>
                <w:bCs/>
                <w:lang w:eastAsia="zh-CN"/>
              </w:rPr>
              <w:t>2</w:t>
            </w:r>
            <w:r>
              <w:rPr>
                <w:b/>
                <w:bCs/>
                <w:lang w:eastAsia="zh-CN"/>
              </w:rPr>
              <w:t>研究组非洲区域组</w:t>
            </w:r>
            <w:r>
              <w:rPr>
                <w:rFonts w:hint="eastAsia"/>
                <w:b/>
                <w:bCs/>
                <w:lang w:eastAsia="zh-CN"/>
              </w:rPr>
              <w:t>（</w:t>
            </w:r>
            <w:r>
              <w:rPr>
                <w:b/>
                <w:bCs/>
                <w:lang w:eastAsia="zh-CN"/>
              </w:rPr>
              <w:t>SG</w:t>
            </w:r>
            <w:r w:rsidR="005C3A55">
              <w:rPr>
                <w:rFonts w:hint="eastAsia"/>
                <w:b/>
                <w:bCs/>
                <w:lang w:eastAsia="zh-CN"/>
              </w:rPr>
              <w:t>2</w:t>
            </w:r>
            <w:r>
              <w:rPr>
                <w:b/>
                <w:bCs/>
                <w:lang w:eastAsia="zh-CN"/>
              </w:rPr>
              <w:t xml:space="preserve"> </w:t>
            </w:r>
            <w:r w:rsidRPr="00E305CF">
              <w:rPr>
                <w:b/>
                <w:bCs/>
                <w:lang w:eastAsia="zh-CN"/>
              </w:rPr>
              <w:t>RG-AFR</w:t>
            </w:r>
            <w:r>
              <w:rPr>
                <w:rFonts w:hint="eastAsia"/>
                <w:b/>
                <w:bCs/>
                <w:lang w:eastAsia="zh-CN"/>
              </w:rPr>
              <w:t>）</w:t>
            </w:r>
          </w:p>
        </w:tc>
      </w:tr>
    </w:tbl>
    <w:p w:rsidR="0063445E" w:rsidRDefault="0063445E" w:rsidP="0063445E">
      <w:pPr>
        <w:rPr>
          <w:lang w:eastAsia="zh-CN"/>
        </w:rPr>
      </w:pPr>
      <w:bookmarkStart w:id="2" w:name="StartTyping_E"/>
      <w:bookmarkEnd w:id="2"/>
    </w:p>
    <w:p w:rsidR="00E93708" w:rsidRDefault="00E93708" w:rsidP="00E93708">
      <w:pPr>
        <w:spacing w:before="480"/>
        <w:rPr>
          <w:lang w:eastAsia="zh-CN"/>
        </w:rPr>
      </w:pPr>
      <w:r>
        <w:rPr>
          <w:rFonts w:hint="eastAsia"/>
          <w:lang w:eastAsia="zh-CN"/>
        </w:rPr>
        <w:t>尊敬</w:t>
      </w:r>
      <w:r>
        <w:rPr>
          <w:lang w:eastAsia="zh-CN"/>
        </w:rPr>
        <w:t>的</w:t>
      </w:r>
      <w:r>
        <w:rPr>
          <w:rFonts w:hint="eastAsia"/>
          <w:lang w:eastAsia="zh-CN"/>
        </w:rPr>
        <w:t>先生</w:t>
      </w:r>
      <w:r>
        <w:rPr>
          <w:rFonts w:hint="eastAsia"/>
          <w:lang w:eastAsia="zh-CN"/>
        </w:rPr>
        <w:t>/</w:t>
      </w:r>
      <w:r>
        <w:rPr>
          <w:rFonts w:hint="eastAsia"/>
          <w:lang w:eastAsia="zh-CN"/>
        </w:rPr>
        <w:t>女士，</w:t>
      </w:r>
    </w:p>
    <w:p w:rsidR="00E93708" w:rsidRDefault="00E93708" w:rsidP="00954C90">
      <w:pPr>
        <w:spacing w:before="360"/>
        <w:ind w:firstLineChars="200" w:firstLine="480"/>
        <w:rPr>
          <w:lang w:eastAsia="zh-CN"/>
        </w:rPr>
      </w:pPr>
      <w:r>
        <w:rPr>
          <w:rFonts w:hint="eastAsia"/>
          <w:lang w:eastAsia="zh-CN"/>
        </w:rPr>
        <w:t>我谨在此通知您，负责研究“</w:t>
      </w:r>
      <w:r w:rsidR="00AD4929" w:rsidRPr="00AD4929">
        <w:rPr>
          <w:rFonts w:ascii="KaiTi" w:eastAsia="KaiTi" w:hAnsi="KaiTi"/>
          <w:lang w:eastAsia="zh-CN"/>
        </w:rPr>
        <w:t>业务提供和电信管理的运营方面</w:t>
      </w:r>
      <w:r>
        <w:rPr>
          <w:rFonts w:hint="eastAsia"/>
          <w:lang w:eastAsia="zh-CN"/>
        </w:rPr>
        <w:t>”的</w:t>
      </w:r>
      <w:r>
        <w:rPr>
          <w:lang w:eastAsia="zh-CN"/>
        </w:rPr>
        <w:t>ITU-T</w:t>
      </w:r>
      <w:r>
        <w:rPr>
          <w:lang w:eastAsia="zh-CN"/>
        </w:rPr>
        <w:t>第</w:t>
      </w:r>
      <w:r w:rsidR="00AD4929">
        <w:rPr>
          <w:rFonts w:hint="eastAsia"/>
          <w:lang w:eastAsia="zh-CN"/>
        </w:rPr>
        <w:t>2</w:t>
      </w:r>
      <w:r>
        <w:rPr>
          <w:lang w:eastAsia="zh-CN"/>
        </w:rPr>
        <w:t>研究组</w:t>
      </w:r>
      <w:r>
        <w:rPr>
          <w:rFonts w:hint="eastAsia"/>
          <w:lang w:eastAsia="zh-CN"/>
        </w:rPr>
        <w:t>在</w:t>
      </w:r>
      <w:r>
        <w:rPr>
          <w:rFonts w:hint="eastAsia"/>
          <w:lang w:eastAsia="zh-CN"/>
        </w:rPr>
        <w:t>201</w:t>
      </w:r>
      <w:r w:rsidR="00AD4929">
        <w:rPr>
          <w:rFonts w:hint="eastAsia"/>
          <w:lang w:eastAsia="zh-CN"/>
        </w:rPr>
        <w:t>7</w:t>
      </w:r>
      <w:r>
        <w:rPr>
          <w:rFonts w:hint="eastAsia"/>
          <w:lang w:eastAsia="zh-CN"/>
        </w:rPr>
        <w:t>年</w:t>
      </w:r>
      <w:r w:rsidR="00AD4929">
        <w:rPr>
          <w:rFonts w:hint="eastAsia"/>
          <w:lang w:eastAsia="zh-CN"/>
        </w:rPr>
        <w:t>12</w:t>
      </w:r>
      <w:r>
        <w:rPr>
          <w:rFonts w:hint="eastAsia"/>
          <w:lang w:eastAsia="zh-CN"/>
        </w:rPr>
        <w:t>月</w:t>
      </w:r>
      <w:r>
        <w:rPr>
          <w:rFonts w:hint="eastAsia"/>
          <w:lang w:eastAsia="zh-CN"/>
        </w:rPr>
        <w:t>1</w:t>
      </w:r>
      <w:r>
        <w:rPr>
          <w:rFonts w:hint="eastAsia"/>
          <w:lang w:eastAsia="zh-CN"/>
        </w:rPr>
        <w:t>日的闭幕全体会议上决定应</w:t>
      </w:r>
      <w:r w:rsidRPr="00F27F8E">
        <w:rPr>
          <w:rFonts w:cstheme="majorBidi"/>
          <w:szCs w:val="24"/>
          <w:lang w:eastAsia="zh-CN"/>
        </w:rPr>
        <w:t>WTSA-1</w:t>
      </w:r>
      <w:r w:rsidR="00AD4929">
        <w:rPr>
          <w:rFonts w:cstheme="majorBidi" w:hint="eastAsia"/>
          <w:szCs w:val="24"/>
          <w:lang w:eastAsia="zh-CN"/>
        </w:rPr>
        <w:t>6</w:t>
      </w:r>
      <w:r>
        <w:rPr>
          <w:rFonts w:cstheme="majorBidi" w:hint="eastAsia"/>
          <w:szCs w:val="24"/>
          <w:lang w:eastAsia="zh-CN"/>
        </w:rPr>
        <w:t>第</w:t>
      </w:r>
      <w:r>
        <w:rPr>
          <w:rFonts w:cstheme="majorBidi" w:hint="eastAsia"/>
          <w:szCs w:val="24"/>
          <w:lang w:eastAsia="zh-CN"/>
        </w:rPr>
        <w:t>54</w:t>
      </w:r>
      <w:r>
        <w:rPr>
          <w:rFonts w:cstheme="majorBidi" w:hint="eastAsia"/>
          <w:szCs w:val="24"/>
          <w:lang w:eastAsia="zh-CN"/>
        </w:rPr>
        <w:t>号决议的要求，</w:t>
      </w:r>
      <w:r>
        <w:rPr>
          <w:rFonts w:hint="eastAsia"/>
          <w:lang w:eastAsia="zh-CN"/>
        </w:rPr>
        <w:t>创建</w:t>
      </w:r>
      <w:r>
        <w:rPr>
          <w:lang w:eastAsia="zh-CN"/>
        </w:rPr>
        <w:t>ITU-T</w:t>
      </w:r>
      <w:r>
        <w:rPr>
          <w:lang w:eastAsia="zh-CN"/>
        </w:rPr>
        <w:t>第</w:t>
      </w:r>
      <w:r w:rsidR="00AD4929">
        <w:rPr>
          <w:rFonts w:hint="eastAsia"/>
          <w:lang w:eastAsia="zh-CN"/>
        </w:rPr>
        <w:t>2</w:t>
      </w:r>
      <w:r>
        <w:rPr>
          <w:lang w:eastAsia="zh-CN"/>
        </w:rPr>
        <w:t>研究组非洲区域组</w:t>
      </w:r>
      <w:r>
        <w:rPr>
          <w:rFonts w:hint="eastAsia"/>
          <w:lang w:eastAsia="zh-CN"/>
        </w:rPr>
        <w:t>（</w:t>
      </w:r>
      <w:r>
        <w:rPr>
          <w:lang w:eastAsia="zh-CN"/>
        </w:rPr>
        <w:t>SG</w:t>
      </w:r>
      <w:r w:rsidR="00AD4929">
        <w:rPr>
          <w:rFonts w:hint="eastAsia"/>
          <w:lang w:eastAsia="zh-CN"/>
        </w:rPr>
        <w:t>2</w:t>
      </w:r>
      <w:r>
        <w:rPr>
          <w:lang w:eastAsia="zh-CN"/>
        </w:rPr>
        <w:t xml:space="preserve"> </w:t>
      </w:r>
      <w:r w:rsidRPr="008B2093">
        <w:rPr>
          <w:lang w:eastAsia="zh-CN"/>
        </w:rPr>
        <w:t>RG-AFR</w:t>
      </w:r>
      <w:r>
        <w:rPr>
          <w:rFonts w:hint="eastAsia"/>
          <w:lang w:eastAsia="zh-CN"/>
        </w:rPr>
        <w:t>）。</w:t>
      </w:r>
    </w:p>
    <w:p w:rsidR="00AD4929" w:rsidRDefault="00AD4929" w:rsidP="00AD4929">
      <w:pPr>
        <w:ind w:firstLineChars="200" w:firstLine="480"/>
        <w:rPr>
          <w:lang w:eastAsia="zh-CN"/>
        </w:rPr>
      </w:pPr>
      <w:r>
        <w:rPr>
          <w:rFonts w:hint="eastAsia"/>
          <w:lang w:eastAsia="zh-CN"/>
        </w:rPr>
        <w:t>因资源有限，部分非洲利益攸关方在参加主要在日内瓦举行的第</w:t>
      </w:r>
      <w:r>
        <w:rPr>
          <w:rFonts w:hint="eastAsia"/>
          <w:lang w:eastAsia="zh-CN"/>
        </w:rPr>
        <w:t>2</w:t>
      </w:r>
      <w:r>
        <w:rPr>
          <w:rFonts w:hint="eastAsia"/>
          <w:lang w:eastAsia="zh-CN"/>
        </w:rPr>
        <w:t>研究组会议方面面临诸多局限性。设立第</w:t>
      </w:r>
      <w:r>
        <w:rPr>
          <w:rFonts w:hint="eastAsia"/>
          <w:lang w:eastAsia="zh-CN"/>
        </w:rPr>
        <w:t>2</w:t>
      </w:r>
      <w:r>
        <w:rPr>
          <w:rFonts w:hint="eastAsia"/>
          <w:lang w:eastAsia="zh-CN"/>
        </w:rPr>
        <w:t>研究组非洲区域组将有助于讨论、润色和推动非洲提交第</w:t>
      </w:r>
      <w:r>
        <w:rPr>
          <w:rFonts w:hint="eastAsia"/>
          <w:lang w:eastAsia="zh-CN"/>
        </w:rPr>
        <w:t>2</w:t>
      </w:r>
      <w:r>
        <w:rPr>
          <w:rFonts w:hint="eastAsia"/>
          <w:lang w:eastAsia="zh-CN"/>
        </w:rPr>
        <w:t>研究组的文稿，让第</w:t>
      </w:r>
      <w:r>
        <w:rPr>
          <w:rFonts w:hint="eastAsia"/>
          <w:lang w:eastAsia="zh-CN"/>
        </w:rPr>
        <w:t>2</w:t>
      </w:r>
      <w:r>
        <w:rPr>
          <w:rFonts w:hint="eastAsia"/>
          <w:lang w:eastAsia="zh-CN"/>
        </w:rPr>
        <w:t>研究组成员倾听非洲的声音。</w:t>
      </w:r>
    </w:p>
    <w:p w:rsidR="00954C90" w:rsidRDefault="00954C90" w:rsidP="0093758D">
      <w:pPr>
        <w:overflowPunct/>
        <w:autoSpaceDE/>
        <w:autoSpaceDN/>
        <w:adjustRightInd/>
        <w:ind w:firstLineChars="200" w:firstLine="480"/>
        <w:textAlignment w:val="auto"/>
        <w:rPr>
          <w:lang w:eastAsia="zh-CN"/>
        </w:rPr>
      </w:pPr>
      <w:r>
        <w:rPr>
          <w:lang w:eastAsia="zh-CN"/>
        </w:rPr>
        <w:t>第</w:t>
      </w:r>
      <w:r>
        <w:rPr>
          <w:rFonts w:hint="eastAsia"/>
          <w:lang w:eastAsia="zh-CN"/>
        </w:rPr>
        <w:t>2</w:t>
      </w:r>
      <w:r>
        <w:rPr>
          <w:lang w:eastAsia="zh-CN"/>
        </w:rPr>
        <w:t>研究组</w:t>
      </w:r>
      <w:r>
        <w:rPr>
          <w:rFonts w:hint="eastAsia"/>
          <w:lang w:eastAsia="zh-CN"/>
        </w:rPr>
        <w:t>在</w:t>
      </w:r>
      <w:r>
        <w:rPr>
          <w:rFonts w:hint="eastAsia"/>
          <w:lang w:eastAsia="zh-CN"/>
        </w:rPr>
        <w:t>2017</w:t>
      </w:r>
      <w:r>
        <w:rPr>
          <w:rFonts w:hint="eastAsia"/>
          <w:lang w:eastAsia="zh-CN"/>
        </w:rPr>
        <w:t>年</w:t>
      </w:r>
      <w:r>
        <w:rPr>
          <w:rFonts w:hint="eastAsia"/>
          <w:lang w:eastAsia="zh-CN"/>
        </w:rPr>
        <w:t>12</w:t>
      </w:r>
      <w:r>
        <w:rPr>
          <w:rFonts w:hint="eastAsia"/>
          <w:lang w:eastAsia="zh-CN"/>
        </w:rPr>
        <w:t>月</w:t>
      </w:r>
      <w:r>
        <w:rPr>
          <w:rFonts w:hint="eastAsia"/>
          <w:lang w:eastAsia="zh-CN"/>
        </w:rPr>
        <w:t>1</w:t>
      </w:r>
      <w:r>
        <w:rPr>
          <w:rFonts w:hint="eastAsia"/>
          <w:lang w:eastAsia="zh-CN"/>
        </w:rPr>
        <w:t>日的闭幕全体会议上</w:t>
      </w:r>
      <w:r>
        <w:rPr>
          <w:rFonts w:hint="eastAsia"/>
          <w:lang w:val="en-US" w:eastAsia="zh-CN"/>
        </w:rPr>
        <w:t>请</w:t>
      </w:r>
      <w:r>
        <w:rPr>
          <w:rFonts w:hint="eastAsia"/>
          <w:lang w:eastAsia="zh-CN"/>
        </w:rPr>
        <w:t>尼日利亚的</w:t>
      </w:r>
      <w:r>
        <w:rPr>
          <w:lang w:eastAsia="zh-CN"/>
        </w:rPr>
        <w:t xml:space="preserve">Anthony </w:t>
      </w:r>
      <w:proofErr w:type="spellStart"/>
      <w:r>
        <w:rPr>
          <w:lang w:eastAsia="zh-CN"/>
        </w:rPr>
        <w:t>Ikemefuna</w:t>
      </w:r>
      <w:proofErr w:type="spellEnd"/>
      <w:r w:rsidR="00E93708">
        <w:rPr>
          <w:rFonts w:hint="eastAsia"/>
          <w:lang w:eastAsia="zh-CN"/>
        </w:rPr>
        <w:t>先生</w:t>
      </w:r>
      <w:r>
        <w:rPr>
          <w:rFonts w:hint="eastAsia"/>
          <w:lang w:eastAsia="zh-CN"/>
        </w:rPr>
        <w:t>和乌干达的</w:t>
      </w:r>
      <w:r>
        <w:rPr>
          <w:lang w:eastAsia="zh-CN"/>
        </w:rPr>
        <w:t xml:space="preserve">Susan </w:t>
      </w:r>
      <w:proofErr w:type="spellStart"/>
      <w:r>
        <w:rPr>
          <w:lang w:eastAsia="zh-CN"/>
        </w:rPr>
        <w:t>Nakanwagi</w:t>
      </w:r>
      <w:proofErr w:type="spellEnd"/>
      <w:r>
        <w:rPr>
          <w:rFonts w:hint="eastAsia"/>
          <w:lang w:eastAsia="zh-CN"/>
        </w:rPr>
        <w:t>女生召集</w:t>
      </w:r>
      <w:r w:rsidR="00E93708">
        <w:rPr>
          <w:lang w:eastAsia="zh-CN"/>
        </w:rPr>
        <w:t>第</w:t>
      </w:r>
      <w:r>
        <w:rPr>
          <w:rFonts w:hint="eastAsia"/>
          <w:lang w:eastAsia="zh-CN"/>
        </w:rPr>
        <w:t>2</w:t>
      </w:r>
      <w:r w:rsidR="00E93708">
        <w:rPr>
          <w:lang w:eastAsia="zh-CN"/>
        </w:rPr>
        <w:t>研究组非洲区域组</w:t>
      </w:r>
      <w:r>
        <w:rPr>
          <w:rFonts w:hint="eastAsia"/>
          <w:lang w:eastAsia="zh-CN"/>
        </w:rPr>
        <w:t>的第一次会议。</w:t>
      </w:r>
      <w:bookmarkStart w:id="3" w:name="lt_pId071"/>
      <w:r>
        <w:rPr>
          <w:rFonts w:hint="eastAsia"/>
          <w:lang w:eastAsia="zh-CN"/>
        </w:rPr>
        <w:t>会议进一步</w:t>
      </w:r>
      <w:r>
        <w:rPr>
          <w:rFonts w:hint="eastAsia"/>
          <w:lang w:eastAsia="zh-CN"/>
        </w:rPr>
        <w:lastRenderedPageBreak/>
        <w:t>指出，在第</w:t>
      </w:r>
      <w:r>
        <w:rPr>
          <w:rFonts w:hint="eastAsia"/>
          <w:lang w:eastAsia="zh-CN"/>
        </w:rPr>
        <w:t>2</w:t>
      </w:r>
      <w:r>
        <w:rPr>
          <w:rFonts w:hint="eastAsia"/>
          <w:lang w:eastAsia="zh-CN"/>
        </w:rPr>
        <w:t>研究组新的非洲区域组的领导班子和管理团队成立后，第</w:t>
      </w:r>
      <w:r>
        <w:rPr>
          <w:rFonts w:hint="eastAsia"/>
          <w:lang w:eastAsia="zh-CN"/>
        </w:rPr>
        <w:t>2</w:t>
      </w:r>
      <w:r>
        <w:rPr>
          <w:rFonts w:hint="eastAsia"/>
          <w:lang w:eastAsia="zh-CN"/>
        </w:rPr>
        <w:t>研究组东非区域组（</w:t>
      </w:r>
      <w:r>
        <w:rPr>
          <w:lang w:eastAsia="zh-CN"/>
        </w:rPr>
        <w:t>SG2RG-EA</w:t>
      </w:r>
      <w:r>
        <w:rPr>
          <w:rFonts w:hint="eastAsia"/>
          <w:lang w:eastAsia="zh-CN"/>
        </w:rPr>
        <w:t>）将</w:t>
      </w:r>
      <w:r w:rsidR="0093758D">
        <w:rPr>
          <w:rFonts w:hint="eastAsia"/>
          <w:lang w:eastAsia="zh-CN"/>
        </w:rPr>
        <w:t>停止活动</w:t>
      </w:r>
      <w:r>
        <w:rPr>
          <w:rFonts w:hint="eastAsia"/>
          <w:lang w:eastAsia="zh-CN"/>
        </w:rPr>
        <w:t>。</w:t>
      </w:r>
      <w:bookmarkEnd w:id="3"/>
    </w:p>
    <w:p w:rsidR="00F90767" w:rsidRDefault="0093758D" w:rsidP="00F90767">
      <w:pPr>
        <w:overflowPunct/>
        <w:autoSpaceDE/>
        <w:autoSpaceDN/>
        <w:adjustRightInd/>
        <w:ind w:firstLineChars="200" w:firstLine="480"/>
        <w:textAlignment w:val="auto"/>
        <w:rPr>
          <w:lang w:eastAsia="zh-CN"/>
        </w:rPr>
      </w:pPr>
      <w:bookmarkStart w:id="4" w:name="lt_pId072"/>
      <w:r>
        <w:rPr>
          <w:rFonts w:hint="eastAsia"/>
          <w:lang w:eastAsia="zh-CN"/>
        </w:rPr>
        <w:t>该区域组的主要目标是鼓励非洲国家的监管机构和运营商开展合作，更好地实施与第</w:t>
      </w:r>
      <w:r>
        <w:rPr>
          <w:rFonts w:hint="eastAsia"/>
          <w:lang w:eastAsia="zh-CN"/>
        </w:rPr>
        <w:t>2</w:t>
      </w:r>
      <w:r>
        <w:rPr>
          <w:rFonts w:hint="eastAsia"/>
          <w:lang w:eastAsia="zh-CN"/>
        </w:rPr>
        <w:t>研究组有关的</w:t>
      </w:r>
      <w:r>
        <w:rPr>
          <w:rFonts w:hint="eastAsia"/>
          <w:lang w:eastAsia="zh-CN"/>
        </w:rPr>
        <w:t>ITU-T</w:t>
      </w:r>
      <w:r>
        <w:rPr>
          <w:rFonts w:hint="eastAsia"/>
          <w:lang w:eastAsia="zh-CN"/>
        </w:rPr>
        <w:t>建议书</w:t>
      </w:r>
      <w:r w:rsidR="00F90767">
        <w:rPr>
          <w:rFonts w:hint="eastAsia"/>
          <w:lang w:eastAsia="zh-CN"/>
        </w:rPr>
        <w:t>并促进这些实体及普遍意义上的非洲区域专家们更多地参与第</w:t>
      </w:r>
      <w:r w:rsidR="00F90767">
        <w:rPr>
          <w:rFonts w:hint="eastAsia"/>
          <w:lang w:eastAsia="zh-CN"/>
        </w:rPr>
        <w:t>2</w:t>
      </w:r>
      <w:r w:rsidR="00F90767">
        <w:rPr>
          <w:rFonts w:hint="eastAsia"/>
          <w:lang w:eastAsia="zh-CN"/>
        </w:rPr>
        <w:t>研究组的活动，为第</w:t>
      </w:r>
      <w:r w:rsidR="00F90767">
        <w:rPr>
          <w:rFonts w:hint="eastAsia"/>
          <w:lang w:eastAsia="zh-CN"/>
        </w:rPr>
        <w:t>2</w:t>
      </w:r>
      <w:r w:rsidR="00F90767">
        <w:rPr>
          <w:rFonts w:hint="eastAsia"/>
          <w:lang w:eastAsia="zh-CN"/>
        </w:rPr>
        <w:t>研究组的活动做出有效贡献。</w:t>
      </w:r>
      <w:bookmarkStart w:id="5" w:name="lt_pId073"/>
      <w:bookmarkEnd w:id="4"/>
    </w:p>
    <w:p w:rsidR="00E93708" w:rsidRPr="003108B9" w:rsidRDefault="00F90767" w:rsidP="00F90767">
      <w:pPr>
        <w:overflowPunct/>
        <w:autoSpaceDE/>
        <w:autoSpaceDN/>
        <w:adjustRightInd/>
        <w:ind w:firstLineChars="200" w:firstLine="480"/>
        <w:textAlignment w:val="auto"/>
        <w:rPr>
          <w:lang w:eastAsia="zh-CN"/>
        </w:rPr>
      </w:pPr>
      <w:r>
        <w:rPr>
          <w:lang w:eastAsia="zh-CN"/>
        </w:rPr>
        <w:t>ITU-T</w:t>
      </w:r>
      <w:r>
        <w:rPr>
          <w:lang w:eastAsia="zh-CN"/>
        </w:rPr>
        <w:t>第</w:t>
      </w:r>
      <w:r>
        <w:rPr>
          <w:rFonts w:hint="eastAsia"/>
          <w:lang w:eastAsia="zh-CN"/>
        </w:rPr>
        <w:t>2</w:t>
      </w:r>
      <w:r>
        <w:rPr>
          <w:lang w:eastAsia="zh-CN"/>
        </w:rPr>
        <w:t>研究组非洲区域组</w:t>
      </w:r>
      <w:r>
        <w:rPr>
          <w:rFonts w:hint="eastAsia"/>
          <w:lang w:eastAsia="zh-CN"/>
        </w:rPr>
        <w:t>（</w:t>
      </w:r>
      <w:r>
        <w:rPr>
          <w:lang w:eastAsia="zh-CN"/>
        </w:rPr>
        <w:t>SG</w:t>
      </w:r>
      <w:r>
        <w:rPr>
          <w:rFonts w:hint="eastAsia"/>
          <w:lang w:eastAsia="zh-CN"/>
        </w:rPr>
        <w:t>2</w:t>
      </w:r>
      <w:r>
        <w:rPr>
          <w:lang w:eastAsia="zh-CN"/>
        </w:rPr>
        <w:t xml:space="preserve"> </w:t>
      </w:r>
      <w:r w:rsidRPr="008B2093">
        <w:rPr>
          <w:lang w:eastAsia="zh-CN"/>
        </w:rPr>
        <w:t>RG-AFR</w:t>
      </w:r>
      <w:r>
        <w:rPr>
          <w:rFonts w:hint="eastAsia"/>
          <w:lang w:eastAsia="zh-CN"/>
        </w:rPr>
        <w:t>）的职责范围和工作方法已获第</w:t>
      </w:r>
      <w:r>
        <w:rPr>
          <w:rFonts w:hint="eastAsia"/>
          <w:lang w:eastAsia="zh-CN"/>
        </w:rPr>
        <w:t>2</w:t>
      </w:r>
      <w:r>
        <w:rPr>
          <w:rFonts w:hint="eastAsia"/>
          <w:lang w:eastAsia="zh-CN"/>
        </w:rPr>
        <w:t>研究组批准，详见</w:t>
      </w:r>
      <w:r w:rsidRPr="00F90767">
        <w:rPr>
          <w:rFonts w:hint="eastAsia"/>
          <w:b/>
          <w:bCs/>
          <w:lang w:eastAsia="zh-CN"/>
        </w:rPr>
        <w:t>附件</w:t>
      </w:r>
      <w:r w:rsidRPr="00F90767">
        <w:rPr>
          <w:rFonts w:hint="eastAsia"/>
          <w:b/>
          <w:bCs/>
          <w:lang w:eastAsia="zh-CN"/>
        </w:rPr>
        <w:t>1</w:t>
      </w:r>
      <w:r>
        <w:rPr>
          <w:rFonts w:hint="eastAsia"/>
          <w:lang w:eastAsia="zh-CN"/>
        </w:rPr>
        <w:t>。</w:t>
      </w:r>
      <w:bookmarkEnd w:id="5"/>
    </w:p>
    <w:p w:rsidR="00F90767" w:rsidRDefault="00F90767" w:rsidP="00E93708">
      <w:pPr>
        <w:tabs>
          <w:tab w:val="left" w:pos="1418"/>
          <w:tab w:val="left" w:pos="1702"/>
          <w:tab w:val="left" w:pos="2160"/>
        </w:tabs>
        <w:spacing w:before="240" w:after="20"/>
        <w:ind w:right="91"/>
        <w:rPr>
          <w:lang w:eastAsia="zh-CN"/>
        </w:rPr>
      </w:pPr>
    </w:p>
    <w:p w:rsidR="006A49AE" w:rsidRPr="007B2FBB" w:rsidRDefault="006A49AE" w:rsidP="006A49AE">
      <w:pPr>
        <w:tabs>
          <w:tab w:val="left" w:pos="1418"/>
          <w:tab w:val="left" w:pos="1702"/>
          <w:tab w:val="left" w:pos="2160"/>
        </w:tabs>
        <w:spacing w:before="600"/>
        <w:rPr>
          <w:lang w:eastAsia="zh-CN"/>
        </w:rPr>
      </w:pPr>
      <w:r>
        <w:rPr>
          <w:rFonts w:hint="eastAsia"/>
          <w:lang w:eastAsia="zh-CN"/>
        </w:rPr>
        <w:t>顺致敬意！</w:t>
      </w:r>
    </w:p>
    <w:p w:rsidR="006A49AE" w:rsidRPr="00C0371A" w:rsidRDefault="006A49AE" w:rsidP="006A49AE">
      <w:pPr>
        <w:tabs>
          <w:tab w:val="left" w:pos="1418"/>
          <w:tab w:val="left" w:pos="1702"/>
          <w:tab w:val="left" w:pos="2160"/>
        </w:tabs>
        <w:spacing w:before="600" w:after="20"/>
        <w:ind w:right="91"/>
        <w:rPr>
          <w:rFonts w:ascii="KaiTi" w:eastAsia="STKaiti" w:hAnsi="KaiTi"/>
          <w:szCs w:val="24"/>
          <w:lang w:eastAsia="zh-CN"/>
        </w:rPr>
      </w:pPr>
      <w:r w:rsidRPr="00C0371A">
        <w:rPr>
          <w:rFonts w:ascii="KaiTi" w:eastAsia="STKaiti" w:hAnsi="KaiTi" w:hint="eastAsia"/>
          <w:szCs w:val="24"/>
          <w:lang w:eastAsia="zh-CN"/>
        </w:rPr>
        <w:t>（原件已签）</w:t>
      </w:r>
    </w:p>
    <w:p w:rsidR="006A49AE" w:rsidRDefault="006A49AE" w:rsidP="006A49AE">
      <w:pPr>
        <w:tabs>
          <w:tab w:val="left" w:pos="1418"/>
          <w:tab w:val="left" w:pos="1702"/>
          <w:tab w:val="left" w:pos="2160"/>
        </w:tabs>
        <w:spacing w:after="20"/>
        <w:ind w:right="91"/>
        <w:rPr>
          <w:lang w:eastAsia="zh-CN"/>
        </w:rPr>
      </w:pPr>
      <w:r>
        <w:rPr>
          <w:rFonts w:hint="eastAsia"/>
          <w:lang w:eastAsia="zh-CN"/>
        </w:rPr>
        <w:t>电信标准化局主任</w:t>
      </w:r>
    </w:p>
    <w:p w:rsidR="006A49AE" w:rsidRDefault="006A49AE" w:rsidP="006A49AE">
      <w:pPr>
        <w:overflowPunct/>
        <w:autoSpaceDE/>
        <w:autoSpaceDN/>
        <w:adjustRightInd/>
        <w:spacing w:before="0"/>
        <w:textAlignment w:val="auto"/>
        <w:rPr>
          <w:rFonts w:eastAsia="MS Mincho"/>
          <w:lang w:eastAsia="zh-CN"/>
        </w:rPr>
      </w:pPr>
      <w:r>
        <w:rPr>
          <w:rFonts w:ascii="SimSun" w:hAnsi="SimSun" w:hint="eastAsia"/>
          <w:lang w:eastAsia="zh-CN"/>
        </w:rPr>
        <w:t>李在摄</w:t>
      </w:r>
    </w:p>
    <w:p w:rsidR="00E93708" w:rsidRPr="0005218B" w:rsidRDefault="00E93708" w:rsidP="00E93708">
      <w:pPr>
        <w:spacing w:before="1560"/>
        <w:rPr>
          <w:szCs w:val="22"/>
          <w:lang w:eastAsia="zh-CN"/>
        </w:rPr>
      </w:pPr>
    </w:p>
    <w:p w:rsidR="00237051" w:rsidRDefault="00237051" w:rsidP="00237051">
      <w:pPr>
        <w:spacing w:before="1440"/>
        <w:rPr>
          <w:b/>
          <w:bCs/>
          <w:lang w:eastAsia="zh-CN"/>
        </w:rPr>
      </w:pPr>
    </w:p>
    <w:p w:rsidR="00E93708" w:rsidRDefault="00E93708" w:rsidP="00237051">
      <w:pPr>
        <w:spacing w:before="1440"/>
        <w:rPr>
          <w:lang w:eastAsia="zh-CN"/>
        </w:rPr>
      </w:pPr>
      <w:r>
        <w:rPr>
          <w:rFonts w:hint="eastAsia"/>
          <w:b/>
          <w:bCs/>
          <w:lang w:eastAsia="zh-CN"/>
        </w:rPr>
        <w:t>附件：</w:t>
      </w:r>
      <w:r>
        <w:rPr>
          <w:lang w:eastAsia="zh-CN"/>
        </w:rPr>
        <w:t>1</w:t>
      </w:r>
      <w:r>
        <w:rPr>
          <w:rFonts w:hint="eastAsia"/>
          <w:lang w:eastAsia="zh-CN"/>
        </w:rPr>
        <w:t>件</w:t>
      </w:r>
    </w:p>
    <w:p w:rsidR="00E93708" w:rsidRDefault="00E93708" w:rsidP="00E93708">
      <w:pPr>
        <w:tabs>
          <w:tab w:val="clear" w:pos="794"/>
          <w:tab w:val="clear" w:pos="1191"/>
          <w:tab w:val="clear" w:pos="1588"/>
          <w:tab w:val="clear" w:pos="1985"/>
        </w:tabs>
        <w:overflowPunct/>
        <w:autoSpaceDE/>
        <w:autoSpaceDN/>
        <w:adjustRightInd/>
        <w:spacing w:before="0"/>
        <w:textAlignment w:val="auto"/>
        <w:rPr>
          <w:lang w:eastAsia="zh-CN"/>
        </w:rPr>
      </w:pPr>
      <w:bookmarkStart w:id="6" w:name="_GoBack"/>
      <w:bookmarkEnd w:id="6"/>
      <w:r>
        <w:rPr>
          <w:lang w:eastAsia="zh-CN"/>
        </w:rPr>
        <w:br w:type="page"/>
      </w:r>
    </w:p>
    <w:p w:rsidR="00E93708" w:rsidRPr="00237051" w:rsidRDefault="00E93708" w:rsidP="00F90767">
      <w:pPr>
        <w:pStyle w:val="Annex"/>
        <w:rPr>
          <w:rFonts w:asciiTheme="minorHAnsi" w:eastAsiaTheme="minorEastAsia" w:hAnsiTheme="minorHAnsi"/>
          <w:b/>
          <w:bCs/>
          <w:sz w:val="28"/>
          <w:szCs w:val="28"/>
          <w:lang w:eastAsia="zh-CN"/>
        </w:rPr>
      </w:pPr>
      <w:r w:rsidRPr="00237051">
        <w:rPr>
          <w:rFonts w:asciiTheme="minorHAnsi" w:eastAsiaTheme="minorEastAsia" w:hAnsiTheme="minorHAnsi" w:cs="Microsoft YaHei"/>
          <w:b/>
          <w:bCs/>
          <w:caps w:val="0"/>
          <w:lang w:eastAsia="zh-CN"/>
        </w:rPr>
        <w:lastRenderedPageBreak/>
        <w:t>附件</w:t>
      </w:r>
      <w:r w:rsidR="00F90767">
        <w:rPr>
          <w:rFonts w:asciiTheme="minorHAnsi" w:eastAsiaTheme="minorEastAsia" w:hAnsiTheme="minorHAnsi" w:cs="Microsoft YaHei" w:hint="eastAsia"/>
          <w:b/>
          <w:bCs/>
          <w:caps w:val="0"/>
          <w:lang w:eastAsia="zh-CN"/>
        </w:rPr>
        <w:t>1</w:t>
      </w:r>
    </w:p>
    <w:p w:rsidR="00E93708" w:rsidRPr="006A49AE" w:rsidRDefault="001E2289" w:rsidP="006A49AE">
      <w:pPr>
        <w:pStyle w:val="AnnexTitle"/>
        <w:rPr>
          <w:rFonts w:asciiTheme="minorHAnsi" w:eastAsiaTheme="minorEastAsia" w:hAnsiTheme="minorHAnsi"/>
          <w:lang w:eastAsia="zh-CN"/>
        </w:rPr>
      </w:pPr>
      <w:r w:rsidRPr="006A49AE">
        <w:rPr>
          <w:rFonts w:asciiTheme="minorHAnsi" w:hAnsiTheme="minorHAnsi"/>
          <w:lang w:eastAsia="zh-CN"/>
        </w:rPr>
        <w:t>ITU-T</w:t>
      </w:r>
      <w:r w:rsidRPr="006A49AE">
        <w:rPr>
          <w:rFonts w:asciiTheme="minorHAnsi" w:eastAsia="SimSun" w:hAnsiTheme="minorHAnsi"/>
          <w:lang w:eastAsia="zh-CN"/>
        </w:rPr>
        <w:t>第</w:t>
      </w:r>
      <w:r w:rsidRPr="006A49AE">
        <w:rPr>
          <w:rFonts w:asciiTheme="minorHAnsi" w:hAnsiTheme="minorHAnsi"/>
          <w:lang w:eastAsia="zh-CN"/>
        </w:rPr>
        <w:t>2</w:t>
      </w:r>
      <w:r w:rsidRPr="006A49AE">
        <w:rPr>
          <w:rFonts w:asciiTheme="minorHAnsi" w:eastAsia="SimSun" w:hAnsiTheme="minorHAnsi"/>
          <w:lang w:eastAsia="zh-CN"/>
        </w:rPr>
        <w:t>研究组非洲区域组（</w:t>
      </w:r>
      <w:r w:rsidRPr="006A49AE">
        <w:rPr>
          <w:rFonts w:asciiTheme="minorHAnsi" w:hAnsiTheme="minorHAnsi"/>
          <w:lang w:eastAsia="zh-CN"/>
        </w:rPr>
        <w:t>SG2 RG-AFR</w:t>
      </w:r>
      <w:r w:rsidRPr="006A49AE">
        <w:rPr>
          <w:rFonts w:asciiTheme="minorHAnsi" w:eastAsia="SimSun" w:hAnsiTheme="minorHAnsi"/>
          <w:lang w:eastAsia="zh-CN"/>
        </w:rPr>
        <w:t>）的职责范围</w:t>
      </w:r>
    </w:p>
    <w:p w:rsidR="001E2289" w:rsidRPr="006A49AE" w:rsidRDefault="006A49AE" w:rsidP="006A49AE">
      <w:pPr>
        <w:rPr>
          <w:lang w:eastAsia="zh-CN"/>
        </w:rPr>
      </w:pPr>
      <w:bookmarkStart w:id="7" w:name="lt_pId083"/>
      <w:r>
        <w:rPr>
          <w:rFonts w:hint="eastAsia"/>
          <w:lang w:eastAsia="zh-CN"/>
        </w:rPr>
        <w:t>a)</w:t>
      </w:r>
      <w:r>
        <w:rPr>
          <w:rFonts w:hint="eastAsia"/>
          <w:lang w:eastAsia="zh-CN"/>
        </w:rPr>
        <w:tab/>
      </w:r>
      <w:r w:rsidR="001E2289" w:rsidRPr="006A49AE">
        <w:rPr>
          <w:rFonts w:hint="eastAsia"/>
          <w:lang w:eastAsia="zh-CN"/>
        </w:rPr>
        <w:t>鼓励非洲区域成员国、部门成员、各国监管机构和运营商积极参与第</w:t>
      </w:r>
      <w:r w:rsidR="001E2289" w:rsidRPr="006A49AE">
        <w:rPr>
          <w:rFonts w:hint="eastAsia"/>
          <w:lang w:eastAsia="zh-CN"/>
        </w:rPr>
        <w:t>2</w:t>
      </w:r>
      <w:r w:rsidR="001E2289" w:rsidRPr="006A49AE">
        <w:rPr>
          <w:rFonts w:hint="eastAsia"/>
          <w:lang w:eastAsia="zh-CN"/>
        </w:rPr>
        <w:t>研究组的工作、讲习班和其他相关活动。</w:t>
      </w:r>
      <w:bookmarkEnd w:id="7"/>
    </w:p>
    <w:p w:rsidR="001E2289" w:rsidRPr="006A49AE" w:rsidRDefault="006A49AE" w:rsidP="006A49AE">
      <w:pPr>
        <w:rPr>
          <w:lang w:eastAsia="zh-CN"/>
        </w:rPr>
      </w:pPr>
      <w:bookmarkStart w:id="8" w:name="lt_pId084"/>
      <w:r>
        <w:rPr>
          <w:rFonts w:hint="eastAsia"/>
          <w:lang w:eastAsia="zh-CN"/>
        </w:rPr>
        <w:t>b)</w:t>
      </w:r>
      <w:r>
        <w:rPr>
          <w:rFonts w:hint="eastAsia"/>
          <w:lang w:eastAsia="zh-CN"/>
        </w:rPr>
        <w:tab/>
      </w:r>
      <w:r w:rsidR="001E2289" w:rsidRPr="006A49AE">
        <w:rPr>
          <w:rFonts w:hint="eastAsia"/>
          <w:lang w:eastAsia="zh-CN"/>
        </w:rPr>
        <w:t>敦促并鼓励非洲国家参与</w:t>
      </w:r>
      <w:r w:rsidR="001E2289" w:rsidRPr="006A49AE">
        <w:rPr>
          <w:lang w:eastAsia="zh-CN"/>
        </w:rPr>
        <w:t>ITU-T</w:t>
      </w:r>
      <w:r w:rsidR="001E2289" w:rsidRPr="006A49AE">
        <w:rPr>
          <w:rFonts w:hint="eastAsia"/>
          <w:lang w:eastAsia="zh-CN"/>
        </w:rPr>
        <w:t>第</w:t>
      </w:r>
      <w:r w:rsidR="001E2289" w:rsidRPr="006A49AE">
        <w:rPr>
          <w:lang w:eastAsia="zh-CN"/>
        </w:rPr>
        <w:t>2</w:t>
      </w:r>
      <w:r w:rsidR="001E2289" w:rsidRPr="006A49AE">
        <w:rPr>
          <w:rFonts w:hint="eastAsia"/>
          <w:lang w:eastAsia="zh-CN"/>
        </w:rPr>
        <w:t>研究组的工作并做出贡献，尤其是在</w:t>
      </w:r>
      <w:r w:rsidR="001E2289" w:rsidRPr="006A49AE">
        <w:rPr>
          <w:lang w:eastAsia="zh-CN"/>
        </w:rPr>
        <w:t>ITU-T</w:t>
      </w:r>
      <w:r w:rsidR="001E2289" w:rsidRPr="006A49AE">
        <w:rPr>
          <w:rFonts w:hint="eastAsia"/>
          <w:lang w:eastAsia="zh-CN"/>
        </w:rPr>
        <w:t>第</w:t>
      </w:r>
      <w:r w:rsidR="001E2289" w:rsidRPr="006A49AE">
        <w:rPr>
          <w:lang w:eastAsia="zh-CN"/>
        </w:rPr>
        <w:t>2</w:t>
      </w:r>
      <w:r w:rsidR="001E2289" w:rsidRPr="006A49AE">
        <w:rPr>
          <w:rFonts w:hint="eastAsia"/>
          <w:lang w:eastAsia="zh-CN"/>
        </w:rPr>
        <w:t>研究组制定的新建议书</w:t>
      </w:r>
      <w:r w:rsidR="001E2289" w:rsidRPr="006A49AE">
        <w:rPr>
          <w:rFonts w:hint="eastAsia"/>
          <w:lang w:eastAsia="zh-CN"/>
        </w:rPr>
        <w:t>/</w:t>
      </w:r>
      <w:r w:rsidR="001E2289" w:rsidRPr="006A49AE">
        <w:rPr>
          <w:rFonts w:hint="eastAsia"/>
          <w:lang w:eastAsia="zh-CN"/>
        </w:rPr>
        <w:t>修订建议书方面。这可能包括提交</w:t>
      </w:r>
      <w:r w:rsidR="00FB5877" w:rsidRPr="006A49AE">
        <w:rPr>
          <w:rFonts w:hint="eastAsia"/>
          <w:lang w:eastAsia="zh-CN"/>
        </w:rPr>
        <w:t>本区域的合并文稿。</w:t>
      </w:r>
      <w:bookmarkEnd w:id="8"/>
    </w:p>
    <w:p w:rsidR="001E2289" w:rsidRPr="006A49AE" w:rsidRDefault="006A49AE" w:rsidP="006A49AE">
      <w:pPr>
        <w:rPr>
          <w:lang w:eastAsia="zh-CN"/>
        </w:rPr>
      </w:pPr>
      <w:bookmarkStart w:id="9" w:name="lt_pId086"/>
      <w:r>
        <w:rPr>
          <w:rFonts w:hint="eastAsia"/>
          <w:lang w:eastAsia="zh-CN"/>
        </w:rPr>
        <w:t>c)</w:t>
      </w:r>
      <w:r>
        <w:rPr>
          <w:rFonts w:hint="eastAsia"/>
          <w:lang w:eastAsia="zh-CN"/>
        </w:rPr>
        <w:tab/>
      </w:r>
      <w:r w:rsidR="005E760F" w:rsidRPr="006A49AE">
        <w:rPr>
          <w:rFonts w:hint="eastAsia"/>
          <w:lang w:eastAsia="zh-CN"/>
        </w:rPr>
        <w:t>根据本地区设定的工作重点确定并鼓励开展有关</w:t>
      </w:r>
      <w:r w:rsidR="005E760F" w:rsidRPr="006A49AE">
        <w:rPr>
          <w:lang w:eastAsia="zh-CN"/>
        </w:rPr>
        <w:t>ITU-T</w:t>
      </w:r>
      <w:r w:rsidR="005E760F" w:rsidRPr="006A49AE">
        <w:rPr>
          <w:lang w:eastAsia="zh-CN"/>
        </w:rPr>
        <w:t>第</w:t>
      </w:r>
      <w:r w:rsidR="005E760F" w:rsidRPr="006A49AE">
        <w:rPr>
          <w:lang w:eastAsia="zh-CN"/>
        </w:rPr>
        <w:t>2</w:t>
      </w:r>
      <w:r w:rsidR="005E760F" w:rsidRPr="006A49AE">
        <w:rPr>
          <w:lang w:eastAsia="zh-CN"/>
        </w:rPr>
        <w:t>研究组</w:t>
      </w:r>
      <w:r w:rsidR="005E760F" w:rsidRPr="006A49AE">
        <w:rPr>
          <w:rFonts w:hint="eastAsia"/>
          <w:lang w:eastAsia="zh-CN"/>
        </w:rPr>
        <w:t>的研究议题</w:t>
      </w:r>
      <w:r w:rsidR="008C1755" w:rsidRPr="006A49AE">
        <w:rPr>
          <w:rFonts w:hint="eastAsia"/>
          <w:lang w:eastAsia="zh-CN"/>
        </w:rPr>
        <w:t>。</w:t>
      </w:r>
      <w:bookmarkStart w:id="10" w:name="lt_pId087"/>
      <w:bookmarkEnd w:id="9"/>
      <w:r w:rsidR="008C1755" w:rsidRPr="006A49AE">
        <w:rPr>
          <w:rFonts w:hint="eastAsia"/>
          <w:lang w:eastAsia="zh-CN"/>
        </w:rPr>
        <w:t>这可能包括但不限于：固定和移动号码、识别码和代码；全球共享代码；</w:t>
      </w:r>
      <w:bookmarkStart w:id="11" w:name="lt_pId090"/>
      <w:bookmarkEnd w:id="10"/>
      <w:r w:rsidR="001E2289" w:rsidRPr="006A49AE">
        <w:rPr>
          <w:lang w:eastAsia="zh-CN"/>
        </w:rPr>
        <w:t>M2M</w:t>
      </w:r>
      <w:r w:rsidR="008C1755" w:rsidRPr="006A49AE">
        <w:rPr>
          <w:rFonts w:hint="eastAsia"/>
          <w:lang w:eastAsia="zh-CN"/>
        </w:rPr>
        <w:t>；物联网；各国和国际码号资源、</w:t>
      </w:r>
      <w:r w:rsidR="008C1755" w:rsidRPr="006A49AE">
        <w:rPr>
          <w:lang w:eastAsia="zh-CN"/>
        </w:rPr>
        <w:t>主叫方号码传送</w:t>
      </w:r>
      <w:r w:rsidR="008C1755" w:rsidRPr="006A49AE">
        <w:rPr>
          <w:rFonts w:hint="eastAsia"/>
          <w:lang w:eastAsia="zh-CN"/>
        </w:rPr>
        <w:t>、</w:t>
      </w:r>
      <w:r w:rsidR="008C1755" w:rsidRPr="006A49AE">
        <w:rPr>
          <w:lang w:eastAsia="zh-CN"/>
        </w:rPr>
        <w:t>迂回呼叫程序</w:t>
      </w:r>
      <w:r w:rsidR="008C1755" w:rsidRPr="006A49AE">
        <w:rPr>
          <w:rFonts w:hint="eastAsia"/>
          <w:lang w:eastAsia="zh-CN"/>
        </w:rPr>
        <w:t>的滥用；</w:t>
      </w:r>
      <w:bookmarkStart w:id="12" w:name="lt_pId092"/>
      <w:bookmarkEnd w:id="11"/>
      <w:r w:rsidR="008C1755" w:rsidRPr="006A49AE">
        <w:rPr>
          <w:rFonts w:hint="eastAsia"/>
          <w:lang w:eastAsia="zh-CN"/>
        </w:rPr>
        <w:t>OTT</w:t>
      </w:r>
      <w:r w:rsidR="008C1755" w:rsidRPr="006A49AE">
        <w:rPr>
          <w:rFonts w:hint="eastAsia"/>
          <w:lang w:eastAsia="zh-CN"/>
        </w:rPr>
        <w:t>等互联网和业务融合及</w:t>
      </w:r>
      <w:r w:rsidR="008C1755" w:rsidRPr="006A49AE">
        <w:rPr>
          <w:rFonts w:hint="eastAsia"/>
          <w:lang w:eastAsia="zh-CN"/>
        </w:rPr>
        <w:t>/</w:t>
      </w:r>
      <w:r w:rsidR="008C1755" w:rsidRPr="006A49AE">
        <w:rPr>
          <w:rFonts w:hint="eastAsia"/>
          <w:lang w:eastAsia="zh-CN"/>
        </w:rPr>
        <w:t>或基础设施对区域电信网络和业务的影响；</w:t>
      </w:r>
      <w:bookmarkEnd w:id="12"/>
      <w:r w:rsidR="008C1755" w:rsidRPr="006A49AE">
        <w:rPr>
          <w:rFonts w:hint="eastAsia"/>
          <w:lang w:eastAsia="zh-CN"/>
        </w:rPr>
        <w:t>数字金融服务和电信金融等。</w:t>
      </w:r>
    </w:p>
    <w:p w:rsidR="001E2289" w:rsidRPr="006A49AE" w:rsidRDefault="006A49AE" w:rsidP="006A49AE">
      <w:pPr>
        <w:rPr>
          <w:lang w:eastAsia="zh-CN"/>
        </w:rPr>
      </w:pPr>
      <w:bookmarkStart w:id="13" w:name="lt_pId095"/>
      <w:r>
        <w:rPr>
          <w:rFonts w:hint="eastAsia"/>
          <w:lang w:eastAsia="zh-CN"/>
        </w:rPr>
        <w:t>d)</w:t>
      </w:r>
      <w:r>
        <w:rPr>
          <w:rFonts w:hint="eastAsia"/>
          <w:lang w:eastAsia="zh-CN"/>
        </w:rPr>
        <w:tab/>
      </w:r>
      <w:r w:rsidR="008C1755" w:rsidRPr="006A49AE">
        <w:rPr>
          <w:rFonts w:hint="eastAsia"/>
          <w:lang w:eastAsia="zh-CN"/>
        </w:rPr>
        <w:t>在非洲地区传播并共享</w:t>
      </w:r>
      <w:r w:rsidR="008C1755" w:rsidRPr="006A49AE">
        <w:rPr>
          <w:lang w:eastAsia="zh-CN"/>
        </w:rPr>
        <w:t>ITU-T</w:t>
      </w:r>
      <w:r w:rsidR="008C1755" w:rsidRPr="006A49AE">
        <w:rPr>
          <w:lang w:eastAsia="zh-CN"/>
        </w:rPr>
        <w:t>第</w:t>
      </w:r>
      <w:r w:rsidR="008C1755" w:rsidRPr="006A49AE">
        <w:rPr>
          <w:lang w:eastAsia="zh-CN"/>
        </w:rPr>
        <w:t>2</w:t>
      </w:r>
      <w:r w:rsidR="008C1755" w:rsidRPr="006A49AE">
        <w:rPr>
          <w:lang w:eastAsia="zh-CN"/>
        </w:rPr>
        <w:t>研究组</w:t>
      </w:r>
      <w:r w:rsidR="008C1755" w:rsidRPr="006A49AE">
        <w:rPr>
          <w:rFonts w:hint="eastAsia"/>
          <w:lang w:eastAsia="zh-CN"/>
        </w:rPr>
        <w:t>、其工作组及相关标准化和技术机构提供的涉及“</w:t>
      </w:r>
      <w:r w:rsidR="008C1755" w:rsidRPr="006A49AE">
        <w:rPr>
          <w:lang w:eastAsia="zh-CN"/>
        </w:rPr>
        <w:t>业务提供和电信管理的运营方面</w:t>
      </w:r>
      <w:r w:rsidR="008C1755" w:rsidRPr="006A49AE">
        <w:rPr>
          <w:rFonts w:hint="eastAsia"/>
          <w:lang w:eastAsia="zh-CN"/>
        </w:rPr>
        <w:t>”的相关信息。</w:t>
      </w:r>
      <w:bookmarkEnd w:id="13"/>
    </w:p>
    <w:p w:rsidR="001E2289" w:rsidRPr="006A49AE" w:rsidRDefault="006A49AE" w:rsidP="006A49AE">
      <w:pPr>
        <w:rPr>
          <w:lang w:eastAsia="zh-CN"/>
        </w:rPr>
      </w:pPr>
      <w:bookmarkStart w:id="14" w:name="lt_pId096"/>
      <w:r>
        <w:rPr>
          <w:rFonts w:hint="eastAsia"/>
          <w:lang w:eastAsia="zh-CN"/>
        </w:rPr>
        <w:t>e)</w:t>
      </w:r>
      <w:r>
        <w:rPr>
          <w:rFonts w:hint="eastAsia"/>
          <w:lang w:eastAsia="zh-CN"/>
        </w:rPr>
        <w:tab/>
      </w:r>
      <w:r w:rsidR="00F2003A" w:rsidRPr="006A49AE">
        <w:rPr>
          <w:rFonts w:hint="eastAsia"/>
          <w:lang w:eastAsia="zh-CN"/>
        </w:rPr>
        <w:t>促进向非洲专家宣传有关第</w:t>
      </w:r>
      <w:r w:rsidR="00F2003A" w:rsidRPr="006A49AE">
        <w:rPr>
          <w:rFonts w:hint="eastAsia"/>
          <w:lang w:eastAsia="zh-CN"/>
        </w:rPr>
        <w:t>2</w:t>
      </w:r>
      <w:r w:rsidR="00F2003A" w:rsidRPr="006A49AE">
        <w:rPr>
          <w:rFonts w:hint="eastAsia"/>
          <w:lang w:eastAsia="zh-CN"/>
        </w:rPr>
        <w:t>研究组或其工作组内现有的重要和新兴议题的信息，通过电子邮件通信录和</w:t>
      </w:r>
      <w:r w:rsidR="00F2003A" w:rsidRPr="006A49AE">
        <w:rPr>
          <w:rFonts w:hint="eastAsia"/>
          <w:lang w:eastAsia="zh-CN"/>
        </w:rPr>
        <w:t>/</w:t>
      </w:r>
      <w:r w:rsidR="00F2003A" w:rsidRPr="006A49AE">
        <w:rPr>
          <w:rFonts w:hint="eastAsia"/>
          <w:lang w:eastAsia="zh-CN"/>
        </w:rPr>
        <w:t>或实际参会的方式使专家们了解这些问题并为他们参与第</w:t>
      </w:r>
      <w:r w:rsidR="00F2003A" w:rsidRPr="006A49AE">
        <w:rPr>
          <w:rFonts w:hint="eastAsia"/>
          <w:lang w:eastAsia="zh-CN"/>
        </w:rPr>
        <w:t>2</w:t>
      </w:r>
      <w:r w:rsidR="00F2003A" w:rsidRPr="006A49AE">
        <w:rPr>
          <w:rFonts w:hint="eastAsia"/>
          <w:lang w:eastAsia="zh-CN"/>
        </w:rPr>
        <w:t>研究组的活动提供支持，为他们起草提交第</w:t>
      </w:r>
      <w:r w:rsidR="00F2003A" w:rsidRPr="006A49AE">
        <w:rPr>
          <w:rFonts w:hint="eastAsia"/>
          <w:lang w:eastAsia="zh-CN"/>
        </w:rPr>
        <w:t>2</w:t>
      </w:r>
      <w:r w:rsidR="00F2003A" w:rsidRPr="006A49AE">
        <w:rPr>
          <w:rFonts w:hint="eastAsia"/>
          <w:lang w:eastAsia="zh-CN"/>
        </w:rPr>
        <w:t>研究组的文稿提供能力支持。</w:t>
      </w:r>
      <w:bookmarkEnd w:id="14"/>
    </w:p>
    <w:p w:rsidR="001E2289" w:rsidRPr="006A49AE" w:rsidRDefault="006A49AE" w:rsidP="006A49AE">
      <w:pPr>
        <w:rPr>
          <w:lang w:eastAsia="zh-CN"/>
        </w:rPr>
      </w:pPr>
      <w:bookmarkStart w:id="15" w:name="lt_pId097"/>
      <w:r>
        <w:rPr>
          <w:rFonts w:hint="eastAsia"/>
          <w:lang w:eastAsia="zh-CN"/>
        </w:rPr>
        <w:t>f)</w:t>
      </w:r>
      <w:r>
        <w:rPr>
          <w:rFonts w:hint="eastAsia"/>
          <w:lang w:eastAsia="zh-CN"/>
        </w:rPr>
        <w:tab/>
      </w:r>
      <w:r w:rsidR="00E417F6" w:rsidRPr="006A49AE">
        <w:rPr>
          <w:rFonts w:hint="eastAsia"/>
          <w:lang w:eastAsia="zh-CN"/>
        </w:rPr>
        <w:t>为有志参加电子邮件通信录非正式讨论的潜在非洲专家们提供帮助，增加非洲专家对课题相关工作的参与。</w:t>
      </w:r>
      <w:bookmarkEnd w:id="15"/>
    </w:p>
    <w:p w:rsidR="001E2289" w:rsidRPr="006A49AE" w:rsidRDefault="006A49AE" w:rsidP="006A49AE">
      <w:pPr>
        <w:rPr>
          <w:lang w:eastAsia="zh-CN"/>
        </w:rPr>
      </w:pPr>
      <w:bookmarkStart w:id="16" w:name="lt_pId098"/>
      <w:r>
        <w:rPr>
          <w:rFonts w:hint="eastAsia"/>
          <w:lang w:eastAsia="zh-CN"/>
        </w:rPr>
        <w:t>g)</w:t>
      </w:r>
      <w:r>
        <w:rPr>
          <w:rFonts w:hint="eastAsia"/>
          <w:lang w:eastAsia="zh-CN"/>
        </w:rPr>
        <w:tab/>
      </w:r>
      <w:r w:rsidR="00EE0574" w:rsidRPr="006A49AE">
        <w:rPr>
          <w:rFonts w:hint="eastAsia"/>
          <w:lang w:eastAsia="zh-CN"/>
        </w:rPr>
        <w:t>确定非洲运营商和各国监管机构有关</w:t>
      </w:r>
      <w:r w:rsidR="00EE0574" w:rsidRPr="006A49AE">
        <w:rPr>
          <w:lang w:eastAsia="zh-CN"/>
        </w:rPr>
        <w:t>ITU-T</w:t>
      </w:r>
      <w:r w:rsidR="00EE0574" w:rsidRPr="006A49AE">
        <w:rPr>
          <w:lang w:eastAsia="zh-CN"/>
        </w:rPr>
        <w:t>第</w:t>
      </w:r>
      <w:r w:rsidR="00EE0574" w:rsidRPr="006A49AE">
        <w:rPr>
          <w:lang w:eastAsia="zh-CN"/>
        </w:rPr>
        <w:t>2</w:t>
      </w:r>
      <w:r w:rsidR="00EE0574" w:rsidRPr="006A49AE">
        <w:rPr>
          <w:lang w:eastAsia="zh-CN"/>
        </w:rPr>
        <w:t>研究组</w:t>
      </w:r>
      <w:r w:rsidR="00EE0574" w:rsidRPr="006A49AE">
        <w:rPr>
          <w:rFonts w:hint="eastAsia"/>
          <w:lang w:eastAsia="zh-CN"/>
        </w:rPr>
        <w:t>的具体培训需求并与</w:t>
      </w:r>
      <w:r w:rsidR="00EE0574" w:rsidRPr="006A49AE">
        <w:rPr>
          <w:lang w:eastAsia="zh-CN"/>
        </w:rPr>
        <w:t>ITU-T</w:t>
      </w:r>
      <w:r w:rsidR="00EE0574" w:rsidRPr="006A49AE">
        <w:rPr>
          <w:lang w:eastAsia="zh-CN"/>
        </w:rPr>
        <w:t>第</w:t>
      </w:r>
      <w:r w:rsidR="00EE0574" w:rsidRPr="006A49AE">
        <w:rPr>
          <w:lang w:eastAsia="zh-CN"/>
        </w:rPr>
        <w:t>2</w:t>
      </w:r>
      <w:r w:rsidR="00EE0574" w:rsidRPr="006A49AE">
        <w:rPr>
          <w:lang w:eastAsia="zh-CN"/>
        </w:rPr>
        <w:t>研究组</w:t>
      </w:r>
      <w:r w:rsidR="00EE0574" w:rsidRPr="006A49AE">
        <w:rPr>
          <w:rFonts w:hint="eastAsia"/>
          <w:lang w:eastAsia="zh-CN"/>
        </w:rPr>
        <w:t>联合，协调在本地区举行有关此类议题的深度辅导。</w:t>
      </w:r>
      <w:bookmarkEnd w:id="16"/>
      <w:r w:rsidR="001E2289" w:rsidRPr="006A49AE">
        <w:rPr>
          <w:lang w:eastAsia="zh-CN"/>
        </w:rPr>
        <w:t xml:space="preserve"> </w:t>
      </w:r>
    </w:p>
    <w:p w:rsidR="001E2289" w:rsidRPr="006A49AE" w:rsidRDefault="006A49AE" w:rsidP="006A49AE">
      <w:pPr>
        <w:rPr>
          <w:lang w:eastAsia="zh-CN"/>
        </w:rPr>
      </w:pPr>
      <w:bookmarkStart w:id="17" w:name="lt_pId100"/>
      <w:r>
        <w:rPr>
          <w:rFonts w:hint="eastAsia"/>
          <w:lang w:eastAsia="zh-CN"/>
        </w:rPr>
        <w:t>h)</w:t>
      </w:r>
      <w:r>
        <w:rPr>
          <w:rFonts w:hint="eastAsia"/>
          <w:lang w:eastAsia="zh-CN"/>
        </w:rPr>
        <w:tab/>
      </w:r>
      <w:r w:rsidR="008C0C12" w:rsidRPr="006A49AE">
        <w:rPr>
          <w:rFonts w:hint="eastAsia"/>
          <w:lang w:eastAsia="zh-CN"/>
        </w:rPr>
        <w:t>作为非洲电信运营商、监管部门、区域标准化组织与</w:t>
      </w:r>
      <w:r w:rsidR="005E760F" w:rsidRPr="006A49AE">
        <w:rPr>
          <w:lang w:eastAsia="zh-CN"/>
        </w:rPr>
        <w:t>ITU-T</w:t>
      </w:r>
      <w:r w:rsidR="005E760F" w:rsidRPr="006A49AE">
        <w:rPr>
          <w:lang w:eastAsia="zh-CN"/>
        </w:rPr>
        <w:t>第</w:t>
      </w:r>
      <w:r w:rsidR="005E760F" w:rsidRPr="006A49AE">
        <w:rPr>
          <w:lang w:eastAsia="zh-CN"/>
        </w:rPr>
        <w:t>2</w:t>
      </w:r>
      <w:r w:rsidR="005E760F" w:rsidRPr="006A49AE">
        <w:rPr>
          <w:lang w:eastAsia="zh-CN"/>
        </w:rPr>
        <w:t>研究组</w:t>
      </w:r>
      <w:r w:rsidR="008C0C12" w:rsidRPr="006A49AE">
        <w:rPr>
          <w:rFonts w:hint="eastAsia"/>
          <w:lang w:eastAsia="zh-CN"/>
        </w:rPr>
        <w:t>之间的桥梁，确保</w:t>
      </w:r>
      <w:r w:rsidR="005E760F" w:rsidRPr="006A49AE">
        <w:rPr>
          <w:lang w:eastAsia="zh-CN"/>
        </w:rPr>
        <w:t>ITU-T</w:t>
      </w:r>
      <w:r w:rsidR="005E760F" w:rsidRPr="006A49AE">
        <w:rPr>
          <w:lang w:eastAsia="zh-CN"/>
        </w:rPr>
        <w:t>第</w:t>
      </w:r>
      <w:r w:rsidR="005E760F" w:rsidRPr="006A49AE">
        <w:rPr>
          <w:lang w:eastAsia="zh-CN"/>
        </w:rPr>
        <w:t>2</w:t>
      </w:r>
      <w:r w:rsidR="005E760F" w:rsidRPr="006A49AE">
        <w:rPr>
          <w:lang w:eastAsia="zh-CN"/>
        </w:rPr>
        <w:t>研究组</w:t>
      </w:r>
      <w:r w:rsidR="008C0C12" w:rsidRPr="006A49AE">
        <w:rPr>
          <w:rFonts w:hint="eastAsia"/>
          <w:lang w:eastAsia="zh-CN"/>
        </w:rPr>
        <w:t>充分利用适用于非洲电信网络和业务的相关监管信息，其中也包括在制定建议书时可考虑在内的具体问题。</w:t>
      </w:r>
      <w:bookmarkEnd w:id="17"/>
    </w:p>
    <w:p w:rsidR="001E2289" w:rsidRPr="006A49AE" w:rsidRDefault="006A49AE" w:rsidP="006A49AE">
      <w:pPr>
        <w:rPr>
          <w:lang w:eastAsia="zh-CN"/>
        </w:rPr>
      </w:pPr>
      <w:bookmarkStart w:id="18" w:name="lt_pId101"/>
      <w:proofErr w:type="spellStart"/>
      <w:r>
        <w:rPr>
          <w:rFonts w:hint="eastAsia"/>
          <w:lang w:eastAsia="zh-CN"/>
        </w:rPr>
        <w:t>i</w:t>
      </w:r>
      <w:proofErr w:type="spellEnd"/>
      <w:r>
        <w:rPr>
          <w:rFonts w:hint="eastAsia"/>
          <w:lang w:eastAsia="zh-CN"/>
        </w:rPr>
        <w:t>)</w:t>
      </w:r>
      <w:r>
        <w:rPr>
          <w:rFonts w:hint="eastAsia"/>
          <w:lang w:eastAsia="zh-CN"/>
        </w:rPr>
        <w:tab/>
      </w:r>
      <w:r w:rsidR="008C0C12" w:rsidRPr="006A49AE">
        <w:rPr>
          <w:rFonts w:hint="eastAsia"/>
          <w:lang w:eastAsia="zh-CN"/>
        </w:rPr>
        <w:t>协助非洲主管部门、各国监管机构和运营商</w:t>
      </w:r>
      <w:r w:rsidR="009D7623" w:rsidRPr="006A49AE">
        <w:rPr>
          <w:rFonts w:hint="eastAsia"/>
          <w:lang w:eastAsia="zh-CN"/>
        </w:rPr>
        <w:t>在本地区实施</w:t>
      </w:r>
      <w:r w:rsidR="005E760F" w:rsidRPr="006A49AE">
        <w:rPr>
          <w:lang w:eastAsia="zh-CN"/>
        </w:rPr>
        <w:t>ITU-T</w:t>
      </w:r>
      <w:r w:rsidR="005E760F" w:rsidRPr="006A49AE">
        <w:rPr>
          <w:lang w:eastAsia="zh-CN"/>
        </w:rPr>
        <w:t>第</w:t>
      </w:r>
      <w:r w:rsidR="005E760F" w:rsidRPr="006A49AE">
        <w:rPr>
          <w:lang w:eastAsia="zh-CN"/>
        </w:rPr>
        <w:t>2</w:t>
      </w:r>
      <w:r w:rsidR="005E760F" w:rsidRPr="006A49AE">
        <w:rPr>
          <w:lang w:eastAsia="zh-CN"/>
        </w:rPr>
        <w:t>研究组</w:t>
      </w:r>
      <w:r w:rsidR="009D7623" w:rsidRPr="006A49AE">
        <w:rPr>
          <w:rFonts w:hint="eastAsia"/>
          <w:lang w:eastAsia="zh-CN"/>
        </w:rPr>
        <w:t>建议书。</w:t>
      </w:r>
      <w:bookmarkEnd w:id="18"/>
    </w:p>
    <w:p w:rsidR="001E2289" w:rsidRPr="006A49AE" w:rsidRDefault="006A49AE" w:rsidP="006A49AE">
      <w:pPr>
        <w:rPr>
          <w:lang w:eastAsia="zh-CN"/>
        </w:rPr>
      </w:pPr>
      <w:bookmarkStart w:id="19" w:name="lt_pId102"/>
      <w:r>
        <w:rPr>
          <w:rFonts w:hint="eastAsia"/>
          <w:lang w:eastAsia="zh-CN"/>
        </w:rPr>
        <w:t>j)</w:t>
      </w:r>
      <w:r>
        <w:rPr>
          <w:rFonts w:hint="eastAsia"/>
          <w:lang w:eastAsia="zh-CN"/>
        </w:rPr>
        <w:tab/>
      </w:r>
      <w:r w:rsidR="009D7623" w:rsidRPr="006A49AE">
        <w:rPr>
          <w:lang w:eastAsia="zh-CN"/>
        </w:rPr>
        <w:t>与相关区域性组织、标准化机构和国际电联区域代表处合作</w:t>
      </w:r>
      <w:r w:rsidR="009D7623" w:rsidRPr="006A49AE">
        <w:rPr>
          <w:rFonts w:hint="eastAsia"/>
          <w:lang w:eastAsia="zh-CN"/>
        </w:rPr>
        <w:t>。</w:t>
      </w:r>
      <w:bookmarkEnd w:id="19"/>
      <w:r w:rsidR="001E2289" w:rsidRPr="006A49AE">
        <w:rPr>
          <w:lang w:eastAsia="zh-CN"/>
        </w:rPr>
        <w:t xml:space="preserve"> </w:t>
      </w:r>
    </w:p>
    <w:p w:rsidR="001E2289" w:rsidRPr="006A49AE" w:rsidRDefault="006A49AE" w:rsidP="006A49AE">
      <w:pPr>
        <w:rPr>
          <w:lang w:eastAsia="zh-CN"/>
        </w:rPr>
      </w:pPr>
      <w:bookmarkStart w:id="20" w:name="lt_pId103"/>
      <w:r>
        <w:rPr>
          <w:rFonts w:hint="eastAsia"/>
          <w:lang w:eastAsia="zh-CN"/>
        </w:rPr>
        <w:t>k)</w:t>
      </w:r>
      <w:r>
        <w:rPr>
          <w:rFonts w:hint="eastAsia"/>
          <w:lang w:eastAsia="zh-CN"/>
        </w:rPr>
        <w:tab/>
      </w:r>
      <w:r w:rsidR="009D7623" w:rsidRPr="006A49AE">
        <w:rPr>
          <w:rFonts w:hint="eastAsia"/>
          <w:lang w:eastAsia="zh-CN"/>
        </w:rPr>
        <w:t>推动本地区电信</w:t>
      </w:r>
      <w:r w:rsidR="009D7623" w:rsidRPr="006A49AE">
        <w:rPr>
          <w:lang w:eastAsia="zh-CN"/>
        </w:rPr>
        <w:t>NNAI</w:t>
      </w:r>
      <w:r w:rsidR="009D7623" w:rsidRPr="006A49AE">
        <w:rPr>
          <w:rFonts w:hint="eastAsia"/>
          <w:lang w:eastAsia="zh-CN"/>
        </w:rPr>
        <w:t>资源划分、使用和管理的讨论与研究并研究非洲运营商和监管部门在这些资源的必要性、其指配、使用和</w:t>
      </w:r>
      <w:r w:rsidR="009D7623" w:rsidRPr="006A49AE">
        <w:rPr>
          <w:rFonts w:hint="eastAsia"/>
          <w:lang w:eastAsia="zh-CN"/>
        </w:rPr>
        <w:t>/</w:t>
      </w:r>
      <w:r w:rsidR="009D7623" w:rsidRPr="006A49AE">
        <w:rPr>
          <w:rFonts w:hint="eastAsia"/>
          <w:lang w:eastAsia="zh-CN"/>
        </w:rPr>
        <w:t>或滥用方面所遇到的问题，并就</w:t>
      </w:r>
      <w:r w:rsidR="00AA4FBA" w:rsidRPr="006A49AE">
        <w:rPr>
          <w:rFonts w:hint="eastAsia"/>
          <w:lang w:eastAsia="zh-CN"/>
        </w:rPr>
        <w:t>优化使用</w:t>
      </w:r>
      <w:r w:rsidR="009D7623" w:rsidRPr="006A49AE">
        <w:rPr>
          <w:rFonts w:hint="eastAsia"/>
          <w:lang w:eastAsia="zh-CN"/>
        </w:rPr>
        <w:t>这些资源</w:t>
      </w:r>
      <w:r w:rsidR="00AA4FBA" w:rsidRPr="006A49AE">
        <w:rPr>
          <w:rFonts w:hint="eastAsia"/>
          <w:lang w:eastAsia="zh-CN"/>
        </w:rPr>
        <w:t>，以便在非洲大陆有效提供通信业务的战略方面提出建议。</w:t>
      </w:r>
      <w:bookmarkEnd w:id="20"/>
    </w:p>
    <w:p w:rsidR="00AA4FBA" w:rsidRDefault="006A49AE" w:rsidP="006A49AE">
      <w:pPr>
        <w:rPr>
          <w:rFonts w:cstheme="majorBidi"/>
          <w:lang w:eastAsia="zh-CN"/>
        </w:rPr>
      </w:pPr>
      <w:bookmarkStart w:id="21" w:name="lt_pId106"/>
      <w:r>
        <w:rPr>
          <w:rFonts w:hint="eastAsia"/>
          <w:lang w:eastAsia="zh-CN"/>
        </w:rPr>
        <w:t>l)</w:t>
      </w:r>
      <w:r>
        <w:rPr>
          <w:rFonts w:hint="eastAsia"/>
          <w:lang w:eastAsia="zh-CN"/>
        </w:rPr>
        <w:tab/>
      </w:r>
      <w:r w:rsidR="00AA4FBA" w:rsidRPr="006A49AE">
        <w:rPr>
          <w:rFonts w:hint="eastAsia"/>
          <w:lang w:eastAsia="zh-CN"/>
        </w:rPr>
        <w:t>向其上级第</w:t>
      </w:r>
      <w:r w:rsidR="00AA4FBA" w:rsidRPr="006A49AE">
        <w:rPr>
          <w:rFonts w:hint="eastAsia"/>
          <w:lang w:eastAsia="zh-CN"/>
        </w:rPr>
        <w:t>2</w:t>
      </w:r>
      <w:r w:rsidR="00AA4FBA" w:rsidRPr="006A49AE">
        <w:rPr>
          <w:rFonts w:hint="eastAsia"/>
          <w:lang w:eastAsia="zh-CN"/>
        </w:rPr>
        <w:t>研究组的全体会议报告其工作。</w:t>
      </w:r>
      <w:bookmarkEnd w:id="21"/>
    </w:p>
    <w:p w:rsidR="00E244E1" w:rsidRPr="00E244E1" w:rsidRDefault="00E244E1" w:rsidP="0072617E">
      <w:pPr>
        <w:pStyle w:val="headingb"/>
        <w:rPr>
          <w:color w:val="800000"/>
          <w:sz w:val="22"/>
          <w:lang w:eastAsia="zh-CN"/>
        </w:rPr>
      </w:pPr>
      <w:bookmarkStart w:id="22" w:name="lt_pId107"/>
      <w:r>
        <w:rPr>
          <w:rFonts w:ascii="SimSun" w:eastAsia="SimSun" w:hAnsi="SimSun" w:cs="SimSun" w:hint="eastAsia"/>
          <w:lang w:eastAsia="zh-CN"/>
        </w:rPr>
        <w:t>工作方法</w:t>
      </w:r>
      <w:bookmarkEnd w:id="22"/>
    </w:p>
    <w:p w:rsidR="00E93708" w:rsidRPr="00E244E1" w:rsidRDefault="00E244E1" w:rsidP="0072617E">
      <w:pPr>
        <w:spacing w:before="240"/>
        <w:ind w:right="-193" w:firstLineChars="200" w:firstLine="480"/>
        <w:rPr>
          <w:rFonts w:cstheme="majorBidi"/>
          <w:szCs w:val="24"/>
          <w:lang w:eastAsia="zh-CN"/>
        </w:rPr>
      </w:pPr>
      <w:bookmarkStart w:id="23" w:name="lt_pId108"/>
      <w:r w:rsidRPr="006A49AE">
        <w:rPr>
          <w:lang w:eastAsia="zh-CN"/>
        </w:rPr>
        <w:t>ITU-T</w:t>
      </w:r>
      <w:r w:rsidRPr="006A49AE">
        <w:rPr>
          <w:lang w:eastAsia="zh-CN"/>
        </w:rPr>
        <w:t>第</w:t>
      </w:r>
      <w:r w:rsidRPr="006A49AE">
        <w:rPr>
          <w:lang w:eastAsia="zh-CN"/>
        </w:rPr>
        <w:t>2</w:t>
      </w:r>
      <w:r w:rsidRPr="006A49AE">
        <w:rPr>
          <w:lang w:eastAsia="zh-CN"/>
        </w:rPr>
        <w:t>研究组非洲区域组</w:t>
      </w:r>
      <w:r w:rsidRPr="00E244E1">
        <w:rPr>
          <w:lang w:eastAsia="zh-CN"/>
        </w:rPr>
        <w:t>主要采用电子工作方法并通过指定的联系人发送信函，在可能的情况下也会考虑召开面对面会议</w:t>
      </w:r>
      <w:r>
        <w:rPr>
          <w:rFonts w:hint="eastAsia"/>
          <w:lang w:eastAsia="zh-CN"/>
        </w:rPr>
        <w:t>。</w:t>
      </w:r>
      <w:bookmarkEnd w:id="23"/>
    </w:p>
    <w:p w:rsidR="00667175" w:rsidRPr="00E244E1" w:rsidRDefault="00667175" w:rsidP="00E93708">
      <w:pPr>
        <w:spacing w:before="240"/>
        <w:ind w:right="-193"/>
        <w:rPr>
          <w:rFonts w:cstheme="majorBidi"/>
          <w:szCs w:val="24"/>
          <w:lang w:eastAsia="zh-CN"/>
        </w:rPr>
      </w:pPr>
    </w:p>
    <w:p w:rsidR="00E93708" w:rsidRPr="006C0CC4" w:rsidRDefault="00E93708" w:rsidP="00E93708">
      <w:pPr>
        <w:overflowPunct/>
        <w:autoSpaceDE/>
        <w:autoSpaceDN/>
        <w:adjustRightInd/>
        <w:spacing w:before="0"/>
        <w:jc w:val="center"/>
        <w:textAlignment w:val="auto"/>
      </w:pPr>
      <w:r w:rsidRPr="00E244E1">
        <w:t>_____________</w:t>
      </w:r>
    </w:p>
    <w:sectPr w:rsidR="00E93708" w:rsidRPr="006C0CC4">
      <w:headerReference w:type="default" r:id="rId9"/>
      <w:footerReference w:type="first" r:id="rId10"/>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91" w:rsidRDefault="00FB4991">
      <w:r>
        <w:separator/>
      </w:r>
    </w:p>
  </w:endnote>
  <w:endnote w:type="continuationSeparator" w:id="0">
    <w:p w:rsidR="00FB4991" w:rsidRDefault="00FB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AE" w:rsidRPr="005A3191" w:rsidRDefault="006A49AE" w:rsidP="006A49AE">
    <w:pPr>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p w:rsidR="00E41E39" w:rsidRPr="006A49AE" w:rsidRDefault="00E41E39" w:rsidP="006A4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91" w:rsidRDefault="00FB4991">
      <w:r>
        <w:separator/>
      </w:r>
    </w:p>
  </w:footnote>
  <w:footnote w:type="continuationSeparator" w:id="0">
    <w:p w:rsidR="00FB4991" w:rsidRDefault="00FB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Default="006A49AE" w:rsidP="006A49AE">
    <w:pPr>
      <w:pStyle w:val="Header"/>
      <w:spacing w:after="240"/>
    </w:pPr>
    <w:r w:rsidRPr="006A49AE">
      <w:rPr>
        <w:sz w:val="18"/>
        <w:szCs w:val="18"/>
        <w:lang w:val="en-US"/>
      </w:rPr>
      <w:t xml:space="preserve">- </w:t>
    </w:r>
    <w:r w:rsidRPr="006A49AE">
      <w:rPr>
        <w:rStyle w:val="PageNumber"/>
        <w:sz w:val="18"/>
        <w:szCs w:val="18"/>
      </w:rPr>
      <w:fldChar w:fldCharType="begin"/>
    </w:r>
    <w:r w:rsidRPr="006A49AE">
      <w:rPr>
        <w:rStyle w:val="PageNumber"/>
        <w:sz w:val="18"/>
        <w:szCs w:val="18"/>
      </w:rPr>
      <w:instrText xml:space="preserve"> PAGE </w:instrText>
    </w:r>
    <w:r w:rsidRPr="006A49AE">
      <w:rPr>
        <w:rStyle w:val="PageNumber"/>
        <w:sz w:val="18"/>
        <w:szCs w:val="18"/>
      </w:rPr>
      <w:fldChar w:fldCharType="separate"/>
    </w:r>
    <w:r w:rsidR="000B44B5">
      <w:rPr>
        <w:rStyle w:val="PageNumber"/>
        <w:noProof/>
        <w:sz w:val="18"/>
        <w:szCs w:val="18"/>
      </w:rPr>
      <w:t>3</w:t>
    </w:r>
    <w:r w:rsidRPr="006A49AE">
      <w:rPr>
        <w:rStyle w:val="PageNumber"/>
        <w:sz w:val="18"/>
        <w:szCs w:val="18"/>
      </w:rPr>
      <w:fldChar w:fldCharType="end"/>
    </w:r>
    <w:r w:rsidRPr="006A49AE">
      <w:rPr>
        <w:rStyle w:val="PageNumber"/>
        <w:sz w:val="18"/>
        <w:szCs w:val="18"/>
        <w:lang w:eastAsia="zh-CN"/>
      </w:rPr>
      <w:t xml:space="preserve"> -</w:t>
    </w:r>
    <w:r>
      <w:rPr>
        <w:rStyle w:val="PageNumber"/>
        <w:sz w:val="18"/>
        <w:szCs w:val="18"/>
        <w:lang w:eastAsia="zh-CN"/>
      </w:rPr>
      <w:br/>
    </w:r>
    <w:r w:rsidRPr="006A49AE">
      <w:rPr>
        <w:rStyle w:val="PageNumber"/>
        <w:rFonts w:hint="eastAsia"/>
        <w:sz w:val="18"/>
        <w:szCs w:val="18"/>
        <w:lang w:eastAsia="zh-CN"/>
      </w:rPr>
      <w:t>电信标准化局第</w:t>
    </w:r>
    <w:r w:rsidRPr="006A49AE">
      <w:rPr>
        <w:rStyle w:val="PageNumber"/>
        <w:rFonts w:hint="eastAsia"/>
        <w:sz w:val="18"/>
        <w:szCs w:val="18"/>
        <w:lang w:eastAsia="zh-CN"/>
      </w:rPr>
      <w:t>6</w:t>
    </w:r>
    <w:r w:rsidRPr="006A49AE">
      <w:rPr>
        <w:rStyle w:val="PageNumber"/>
        <w:sz w:val="18"/>
        <w:szCs w:val="18"/>
        <w:lang w:eastAsia="zh-CN"/>
      </w:rPr>
      <w:t>5</w:t>
    </w:r>
    <w:r w:rsidRPr="006A49AE">
      <w:rPr>
        <w:rStyle w:val="PageNumber"/>
        <w:rFonts w:hint="eastAsia"/>
        <w:sz w:val="18"/>
        <w:szCs w:val="18"/>
        <w:lang w:eastAsia="zh-CN"/>
      </w:rPr>
      <w:t>号通函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C47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242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C04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62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CCC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A1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E5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C6B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63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84F0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81A9D"/>
    <w:multiLevelType w:val="hybridMultilevel"/>
    <w:tmpl w:val="6E182C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1D28"/>
    <w:multiLevelType w:val="hybridMultilevel"/>
    <w:tmpl w:val="7EFE6A5A"/>
    <w:lvl w:ilvl="0" w:tplc="1C007382">
      <w:start w:val="1"/>
      <w:numFmt w:val="lowerLetter"/>
      <w:lvlText w:val="%1)"/>
      <w:lvlJc w:val="left"/>
      <w:pPr>
        <w:ind w:left="720" w:hanging="360"/>
      </w:pPr>
    </w:lvl>
    <w:lvl w:ilvl="1" w:tplc="B8A4DD04">
      <w:start w:val="1"/>
      <w:numFmt w:val="lowerLetter"/>
      <w:lvlText w:val="%2."/>
      <w:lvlJc w:val="left"/>
      <w:pPr>
        <w:ind w:left="1440" w:hanging="360"/>
      </w:pPr>
    </w:lvl>
    <w:lvl w:ilvl="2" w:tplc="6F987DFE">
      <w:start w:val="1"/>
      <w:numFmt w:val="lowerRoman"/>
      <w:lvlText w:val="%3."/>
      <w:lvlJc w:val="right"/>
      <w:pPr>
        <w:ind w:left="2160" w:hanging="180"/>
      </w:pPr>
    </w:lvl>
    <w:lvl w:ilvl="3" w:tplc="10F2837E">
      <w:start w:val="1"/>
      <w:numFmt w:val="decimal"/>
      <w:lvlText w:val="%4."/>
      <w:lvlJc w:val="left"/>
      <w:pPr>
        <w:ind w:left="2880" w:hanging="360"/>
      </w:pPr>
    </w:lvl>
    <w:lvl w:ilvl="4" w:tplc="21225694">
      <w:start w:val="1"/>
      <w:numFmt w:val="lowerLetter"/>
      <w:lvlText w:val="%5."/>
      <w:lvlJc w:val="left"/>
      <w:pPr>
        <w:ind w:left="3600" w:hanging="360"/>
      </w:pPr>
    </w:lvl>
    <w:lvl w:ilvl="5" w:tplc="CC86A6E8">
      <w:start w:val="1"/>
      <w:numFmt w:val="lowerRoman"/>
      <w:lvlText w:val="%6."/>
      <w:lvlJc w:val="right"/>
      <w:pPr>
        <w:ind w:left="4320" w:hanging="180"/>
      </w:pPr>
    </w:lvl>
    <w:lvl w:ilvl="6" w:tplc="8A6CCCF6">
      <w:start w:val="1"/>
      <w:numFmt w:val="decimal"/>
      <w:lvlText w:val="%7."/>
      <w:lvlJc w:val="left"/>
      <w:pPr>
        <w:ind w:left="5040" w:hanging="360"/>
      </w:pPr>
    </w:lvl>
    <w:lvl w:ilvl="7" w:tplc="A8EAB3A6">
      <w:start w:val="1"/>
      <w:numFmt w:val="lowerLetter"/>
      <w:lvlText w:val="%8."/>
      <w:lvlJc w:val="left"/>
      <w:pPr>
        <w:ind w:left="5760" w:hanging="360"/>
      </w:pPr>
    </w:lvl>
    <w:lvl w:ilvl="8" w:tplc="60D64F24">
      <w:start w:val="1"/>
      <w:numFmt w:val="lowerRoman"/>
      <w:lvlText w:val="%9."/>
      <w:lvlJc w:val="right"/>
      <w:pPr>
        <w:ind w:left="6480" w:hanging="180"/>
      </w:pPr>
    </w:lvl>
  </w:abstractNum>
  <w:abstractNum w:abstractNumId="12" w15:restartNumberingAfterBreak="0">
    <w:nsid w:val="67ED32B6"/>
    <w:multiLevelType w:val="hybridMultilevel"/>
    <w:tmpl w:val="5DF0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91"/>
    <w:rsid w:val="00027EE3"/>
    <w:rsid w:val="00081BA5"/>
    <w:rsid w:val="00090E72"/>
    <w:rsid w:val="00094C0B"/>
    <w:rsid w:val="000A2484"/>
    <w:rsid w:val="000B44B5"/>
    <w:rsid w:val="00117471"/>
    <w:rsid w:val="00160A43"/>
    <w:rsid w:val="001D6E70"/>
    <w:rsid w:val="001E2289"/>
    <w:rsid w:val="00234A9B"/>
    <w:rsid w:val="00237051"/>
    <w:rsid w:val="00282732"/>
    <w:rsid w:val="00284869"/>
    <w:rsid w:val="002E05E3"/>
    <w:rsid w:val="00303A2A"/>
    <w:rsid w:val="003064AD"/>
    <w:rsid w:val="00334A24"/>
    <w:rsid w:val="0035674D"/>
    <w:rsid w:val="003C55F4"/>
    <w:rsid w:val="003F1CCA"/>
    <w:rsid w:val="00464015"/>
    <w:rsid w:val="00486359"/>
    <w:rsid w:val="00590119"/>
    <w:rsid w:val="005C26FD"/>
    <w:rsid w:val="005C3A55"/>
    <w:rsid w:val="005E760F"/>
    <w:rsid w:val="00627AE8"/>
    <w:rsid w:val="0063445E"/>
    <w:rsid w:val="00667175"/>
    <w:rsid w:val="0067444D"/>
    <w:rsid w:val="006A49AE"/>
    <w:rsid w:val="006B463C"/>
    <w:rsid w:val="006D22B1"/>
    <w:rsid w:val="006D42C6"/>
    <w:rsid w:val="0072617E"/>
    <w:rsid w:val="007568DA"/>
    <w:rsid w:val="00841612"/>
    <w:rsid w:val="0084436D"/>
    <w:rsid w:val="008B2BDA"/>
    <w:rsid w:val="008C0C12"/>
    <w:rsid w:val="008C1755"/>
    <w:rsid w:val="009128F1"/>
    <w:rsid w:val="0093758D"/>
    <w:rsid w:val="009424FC"/>
    <w:rsid w:val="00954C90"/>
    <w:rsid w:val="00956D38"/>
    <w:rsid w:val="009727EA"/>
    <w:rsid w:val="00974486"/>
    <w:rsid w:val="009C2FF6"/>
    <w:rsid w:val="009D7623"/>
    <w:rsid w:val="00A1090D"/>
    <w:rsid w:val="00A16AB0"/>
    <w:rsid w:val="00A55D76"/>
    <w:rsid w:val="00AA4FBA"/>
    <w:rsid w:val="00AD4929"/>
    <w:rsid w:val="00B01F79"/>
    <w:rsid w:val="00B56B75"/>
    <w:rsid w:val="00BB5392"/>
    <w:rsid w:val="00BC7AEE"/>
    <w:rsid w:val="00BE339D"/>
    <w:rsid w:val="00C03E87"/>
    <w:rsid w:val="00C6016A"/>
    <w:rsid w:val="00C7008A"/>
    <w:rsid w:val="00C916ED"/>
    <w:rsid w:val="00CA1026"/>
    <w:rsid w:val="00D15E2B"/>
    <w:rsid w:val="00D16F47"/>
    <w:rsid w:val="00D34F86"/>
    <w:rsid w:val="00DB0155"/>
    <w:rsid w:val="00DB2F19"/>
    <w:rsid w:val="00E244E1"/>
    <w:rsid w:val="00E35907"/>
    <w:rsid w:val="00E417F6"/>
    <w:rsid w:val="00E41E39"/>
    <w:rsid w:val="00E47AFF"/>
    <w:rsid w:val="00E811B4"/>
    <w:rsid w:val="00E93708"/>
    <w:rsid w:val="00EE0574"/>
    <w:rsid w:val="00F07A3C"/>
    <w:rsid w:val="00F2003A"/>
    <w:rsid w:val="00F346AB"/>
    <w:rsid w:val="00F90767"/>
    <w:rsid w:val="00F9383A"/>
    <w:rsid w:val="00FB4991"/>
    <w:rsid w:val="00FB58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BD1BD2E-87EF-4580-A373-DBBBC50C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05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E24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23705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E9370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heme="minorEastAsia"/>
    </w:rPr>
  </w:style>
  <w:style w:type="paragraph" w:styleId="ListParagraph">
    <w:name w:val="List Paragraph"/>
    <w:basedOn w:val="Normal"/>
    <w:uiPriority w:val="34"/>
    <w:qFormat/>
    <w:rsid w:val="00E93708"/>
    <w:pPr>
      <w:overflowPunct/>
      <w:autoSpaceDE/>
      <w:autoSpaceDN/>
      <w:adjustRightInd/>
      <w:ind w:left="720"/>
      <w:contextualSpacing/>
      <w:textAlignment w:val="auto"/>
    </w:pPr>
    <w:rPr>
      <w:rFonts w:ascii="Times New Roman" w:eastAsiaTheme="minorEastAsia" w:hAnsi="Times New Roman"/>
    </w:rPr>
  </w:style>
  <w:style w:type="character" w:customStyle="1" w:styleId="FooterChar">
    <w:name w:val="Footer Char"/>
    <w:basedOn w:val="DefaultParagraphFont"/>
    <w:link w:val="Footer"/>
    <w:rsid w:val="00237051"/>
    <w:rPr>
      <w:rFonts w:asciiTheme="minorHAnsi" w:hAnsiTheme="minorHAnsi"/>
      <w:caps/>
      <w:sz w:val="18"/>
      <w:lang w:val="en-GB" w:eastAsia="en-US"/>
    </w:rPr>
  </w:style>
  <w:style w:type="paragraph" w:customStyle="1" w:styleId="enumlev1">
    <w:name w:val="enumlev1"/>
    <w:basedOn w:val="Normal"/>
    <w:link w:val="enumlev1Char"/>
    <w:rsid w:val="00237051"/>
    <w:pPr>
      <w:spacing w:before="80"/>
      <w:ind w:left="794" w:hanging="794"/>
    </w:pPr>
    <w:rPr>
      <w:rFonts w:ascii="Times New Roman" w:eastAsia="Times New Roman" w:hAnsi="Times New Roman"/>
      <w:lang w:val="fr-FR"/>
    </w:rPr>
  </w:style>
  <w:style w:type="character" w:customStyle="1" w:styleId="BodyTextChar">
    <w:name w:val="Body Text Char"/>
    <w:basedOn w:val="DefaultParagraphFont"/>
    <w:link w:val="BodyText"/>
    <w:rsid w:val="00237051"/>
    <w:rPr>
      <w:rFonts w:ascii="Futura Lt BT" w:hAnsi="Futura Lt BT"/>
      <w:sz w:val="18"/>
      <w:lang w:val="fr-FR" w:eastAsia="en-US"/>
    </w:rPr>
  </w:style>
  <w:style w:type="character" w:customStyle="1" w:styleId="enumlev1Char">
    <w:name w:val="enumlev1 Char"/>
    <w:link w:val="enumlev1"/>
    <w:rsid w:val="00237051"/>
    <w:rPr>
      <w:rFonts w:eastAsia="Times New Roman"/>
      <w:sz w:val="24"/>
      <w:lang w:val="fr-FR" w:eastAsia="en-US"/>
    </w:rPr>
  </w:style>
  <w:style w:type="paragraph" w:customStyle="1" w:styleId="AnnexTitle">
    <w:name w:val="Annex_Title"/>
    <w:basedOn w:val="Normal"/>
    <w:next w:val="Normal"/>
    <w:rsid w:val="00237051"/>
    <w:pPr>
      <w:keepNext/>
      <w:keepLines/>
      <w:spacing w:before="240" w:after="280"/>
      <w:jc w:val="center"/>
    </w:pPr>
    <w:rPr>
      <w:rFonts w:ascii="Times New Roman" w:eastAsia="Times New Roman" w:hAnsi="Times New Roman"/>
      <w:b/>
      <w:lang w:val="fr-FR"/>
    </w:rPr>
  </w:style>
  <w:style w:type="paragraph" w:customStyle="1" w:styleId="Annex">
    <w:name w:val="Annex_#"/>
    <w:basedOn w:val="Normal"/>
    <w:next w:val="Normal"/>
    <w:rsid w:val="00237051"/>
    <w:pPr>
      <w:keepNext/>
      <w:keepLines/>
      <w:spacing w:before="480" w:after="80"/>
      <w:jc w:val="center"/>
    </w:pPr>
    <w:rPr>
      <w:rFonts w:ascii="Times New Roman" w:eastAsia="Times New Roman" w:hAnsi="Times New Roman"/>
      <w:caps/>
      <w:lang w:val="fr-FR"/>
    </w:rPr>
  </w:style>
  <w:style w:type="paragraph" w:customStyle="1" w:styleId="headingb">
    <w:name w:val="heading_b"/>
    <w:basedOn w:val="Heading3"/>
    <w:next w:val="Normal"/>
    <w:rsid w:val="00237051"/>
    <w:pPr>
      <w:tabs>
        <w:tab w:val="clear" w:pos="1191"/>
        <w:tab w:val="clear" w:pos="1588"/>
        <w:tab w:val="clear" w:pos="1985"/>
        <w:tab w:val="left" w:pos="2127"/>
        <w:tab w:val="left" w:pos="2410"/>
        <w:tab w:val="left" w:pos="2921"/>
        <w:tab w:val="left" w:pos="3261"/>
      </w:tabs>
      <w:spacing w:before="160"/>
      <w:outlineLvl w:val="9"/>
    </w:pPr>
    <w:rPr>
      <w:rFonts w:ascii="Times New Roman" w:eastAsia="Times New Roman" w:hAnsi="Times New Roman" w:cs="Times New Roman"/>
      <w:b/>
      <w:color w:val="auto"/>
      <w:szCs w:val="20"/>
      <w:lang w:val="fr-FR"/>
    </w:rPr>
  </w:style>
  <w:style w:type="character" w:customStyle="1" w:styleId="Heading3Char">
    <w:name w:val="Heading 3 Char"/>
    <w:basedOn w:val="DefaultParagraphFont"/>
    <w:link w:val="Heading3"/>
    <w:semiHidden/>
    <w:rsid w:val="00237051"/>
    <w:rPr>
      <w:rFonts w:asciiTheme="majorHAnsi" w:eastAsiaTheme="majorEastAsia" w:hAnsiTheme="majorHAnsi" w:cstheme="majorBidi"/>
      <w:color w:val="243F60" w:themeColor="accent1" w:themeShade="7F"/>
      <w:sz w:val="24"/>
      <w:szCs w:val="24"/>
      <w:lang w:val="en-GB" w:eastAsia="en-US"/>
    </w:rPr>
  </w:style>
  <w:style w:type="character" w:styleId="PageNumber">
    <w:name w:val="page number"/>
    <w:basedOn w:val="DefaultParagraphFont"/>
    <w:rsid w:val="006A49AE"/>
  </w:style>
  <w:style w:type="character" w:customStyle="1" w:styleId="Heading1Char">
    <w:name w:val="Heading 1 Char"/>
    <w:basedOn w:val="DefaultParagraphFont"/>
    <w:link w:val="Heading1"/>
    <w:rsid w:val="00E244E1"/>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865647">
      <w:bodyDiv w:val="1"/>
      <w:marLeft w:val="0"/>
      <w:marRight w:val="0"/>
      <w:marTop w:val="0"/>
      <w:marBottom w:val="0"/>
      <w:divBdr>
        <w:top w:val="none" w:sz="0" w:space="0" w:color="auto"/>
        <w:left w:val="none" w:sz="0" w:space="0" w:color="auto"/>
        <w:bottom w:val="none" w:sz="0" w:space="0" w:color="auto"/>
        <w:right w:val="none" w:sz="0" w:space="0" w:color="auto"/>
      </w:divBdr>
    </w:div>
    <w:div w:id="883103855">
      <w:bodyDiv w:val="1"/>
      <w:marLeft w:val="0"/>
      <w:marRight w:val="0"/>
      <w:marTop w:val="0"/>
      <w:marBottom w:val="0"/>
      <w:divBdr>
        <w:top w:val="none" w:sz="0" w:space="0" w:color="auto"/>
        <w:left w:val="none" w:sz="0" w:space="0" w:color="auto"/>
        <w:bottom w:val="none" w:sz="0" w:space="0" w:color="auto"/>
        <w:right w:val="none" w:sz="0" w:space="0" w:color="auto"/>
      </w:divBdr>
    </w:div>
    <w:div w:id="1009256146">
      <w:bodyDiv w:val="1"/>
      <w:marLeft w:val="0"/>
      <w:marRight w:val="0"/>
      <w:marTop w:val="0"/>
      <w:marBottom w:val="0"/>
      <w:divBdr>
        <w:top w:val="none" w:sz="0" w:space="0" w:color="auto"/>
        <w:left w:val="none" w:sz="0" w:space="0" w:color="auto"/>
        <w:bottom w:val="none" w:sz="0" w:space="0" w:color="auto"/>
        <w:right w:val="none" w:sz="0" w:space="0" w:color="auto"/>
      </w:divBdr>
    </w:div>
    <w:div w:id="14979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TotalTime>
  <Pages>3</Pages>
  <Words>1617</Words>
  <Characters>406</Characters>
  <Application>Microsoft Office Word</Application>
  <DocSecurity>0</DocSecurity>
  <Lines>18</Lines>
  <Paragraphs>53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1970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151C.DOCX  For: _x000d_Document date: _x000d_Saved by ITU51006837 at 11:28:49 on 21/05/15</dc:description>
  <cp:lastModifiedBy>Scott, Sarah</cp:lastModifiedBy>
  <cp:revision>2</cp:revision>
  <cp:lastPrinted>2015-05-21T11:49:00Z</cp:lastPrinted>
  <dcterms:created xsi:type="dcterms:W3CDTF">2018-01-18T17:29:00Z</dcterms:created>
  <dcterms:modified xsi:type="dcterms:W3CDTF">2018-01-18T17:29:00Z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151C.DOCX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