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1151D3">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033CCE"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8"/>
          <w:szCs w:val="16"/>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49555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40" w:lineRule="exact"/>
              <w:jc w:val="left"/>
              <w:rPr>
                <w:rFonts w:eastAsiaTheme="minorEastAsia"/>
                <w:rtl/>
                <w:lang w:eastAsia="zh-CN"/>
              </w:rPr>
            </w:pPr>
            <w:r w:rsidRPr="00425492">
              <w:rPr>
                <w:rFonts w:eastAsiaTheme="minorEastAsia" w:hint="cs"/>
                <w:rtl/>
                <w:lang w:eastAsia="zh-CN"/>
              </w:rPr>
              <w:t xml:space="preserve">جنيف، </w:t>
            </w:r>
            <w:r w:rsidR="00495553">
              <w:rPr>
                <w:rFonts w:eastAsiaTheme="minorEastAsia"/>
                <w:lang w:eastAsia="zh-CN"/>
              </w:rPr>
              <w:t>18</w:t>
            </w:r>
            <w:r w:rsidRPr="00425492">
              <w:rPr>
                <w:rFonts w:eastAsiaTheme="minorEastAsia" w:hint="cs"/>
                <w:rtl/>
                <w:lang w:eastAsia="zh-CN" w:bidi="ar-EG"/>
              </w:rPr>
              <w:t xml:space="preserve"> </w:t>
            </w:r>
            <w:r w:rsidR="00495553">
              <w:rPr>
                <w:rFonts w:eastAsiaTheme="minorEastAsia" w:hint="cs"/>
                <w:rtl/>
                <w:lang w:eastAsia="zh-CN" w:bidi="ar-EG"/>
              </w:rPr>
              <w:t>ديسمبر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B43E15"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bCs/>
                <w:lang w:eastAsia="zh-CN" w:bidi="ar-SY"/>
              </w:rPr>
            </w:pPr>
            <w:r w:rsidRPr="00B43E15">
              <w:rPr>
                <w:rFonts w:eastAsiaTheme="minorEastAsia"/>
                <w:b/>
                <w:bCs/>
                <w:lang w:val="en-GB" w:eastAsia="zh-CN" w:bidi="ar-SY"/>
              </w:rPr>
              <w:t>TSB</w:t>
            </w:r>
            <w:r w:rsidR="004A7CDF">
              <w:rPr>
                <w:rFonts w:eastAsiaTheme="minorEastAsia"/>
                <w:b/>
                <w:bCs/>
                <w:lang w:val="en-GB" w:eastAsia="zh-CN" w:bidi="ar-SY"/>
              </w:rPr>
              <w:t> </w:t>
            </w:r>
            <w:r w:rsidRPr="00B43E15">
              <w:rPr>
                <w:rFonts w:eastAsiaTheme="minorEastAsia"/>
                <w:b/>
                <w:bCs/>
                <w:lang w:val="en-GB" w:eastAsia="zh-CN" w:bidi="ar-SY"/>
              </w:rPr>
              <w:t>Circular</w:t>
            </w:r>
            <w:r w:rsidR="004A7CDF">
              <w:rPr>
                <w:rFonts w:eastAsiaTheme="minorEastAsia"/>
                <w:b/>
                <w:bCs/>
                <w:lang w:val="en-GB" w:eastAsia="zh-CN" w:bidi="ar-SY"/>
              </w:rPr>
              <w:t> </w:t>
            </w:r>
            <w:r w:rsidR="00495553">
              <w:rPr>
                <w:rFonts w:eastAsiaTheme="minorEastAsia"/>
                <w:b/>
                <w:bCs/>
                <w:lang w:val="en-GB" w:eastAsia="zh-CN" w:bidi="ar-SY"/>
              </w:rPr>
              <w:t>64</w:t>
            </w:r>
            <w:r>
              <w:rPr>
                <w:rFonts w:eastAsiaTheme="minorEastAsia"/>
                <w:b/>
                <w:bCs/>
                <w:rtl/>
                <w:lang w:val="en-GB" w:eastAsia="zh-CN" w:bidi="ar-SY"/>
              </w:rPr>
              <w:br/>
            </w:r>
            <w:r>
              <w:t>SG2/JZ</w:t>
            </w:r>
          </w:p>
        </w:tc>
        <w:tc>
          <w:tcPr>
            <w:tcW w:w="2470" w:type="pct"/>
            <w:vMerge w:val="restart"/>
          </w:tcPr>
          <w:p w:rsidR="00A15845" w:rsidRDefault="00425492" w:rsidP="006E6F7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794" w:hanging="794"/>
              <w:jc w:val="left"/>
              <w:rPr>
                <w:b/>
                <w:bCs/>
              </w:rPr>
            </w:pPr>
            <w:r w:rsidRPr="00BD6508">
              <w:rPr>
                <w:rFonts w:hint="cs"/>
                <w:b/>
                <w:bCs/>
                <w:rtl/>
              </w:rPr>
              <w:t>إلى:</w:t>
            </w:r>
          </w:p>
          <w:p w:rsidR="00425492" w:rsidRPr="00425492" w:rsidRDefault="00425492" w:rsidP="00495553">
            <w:pPr>
              <w:tabs>
                <w:tab w:val="left" w:pos="284"/>
                <w:tab w:val="left" w:pos="4111"/>
              </w:tabs>
              <w:spacing w:after="20" w:line="280" w:lineRule="exact"/>
              <w:ind w:left="284" w:hanging="284"/>
              <w:rPr>
                <w:lang w:bidi="ar-EG"/>
              </w:rPr>
            </w:pPr>
            <w:r w:rsidRPr="0060203A">
              <w:rPr>
                <w:rFonts w:hint="cs"/>
                <w:rtl/>
              </w:rPr>
              <w:t>-</w:t>
            </w:r>
            <w:r w:rsidRPr="0060203A">
              <w:rPr>
                <w:rtl/>
              </w:rPr>
              <w:tab/>
            </w:r>
            <w:r w:rsidRPr="001132C8">
              <w:rPr>
                <w:rFonts w:hint="cs"/>
                <w:rtl/>
              </w:rPr>
              <w:t>إدارات الدول الأعضاء في الاتحاد</w:t>
            </w:r>
          </w:p>
        </w:tc>
      </w:tr>
      <w:tr w:rsidR="00A15845" w:rsidRPr="00A15845" w:rsidTr="00425492">
        <w:trPr>
          <w:cantSplit/>
          <w:trHeight w:val="340"/>
        </w:trPr>
        <w:tc>
          <w:tcPr>
            <w:tcW w:w="796" w:type="pct"/>
          </w:tcPr>
          <w:p w:rsidR="00A15845" w:rsidRPr="00A15845" w:rsidRDefault="00A15845"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8D0241"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b/>
                <w:lang w:eastAsia="zh-CN" w:bidi="ar-SY"/>
              </w:rPr>
            </w:pPr>
            <w:r w:rsidRPr="008D0241">
              <w:rPr>
                <w:rFonts w:eastAsiaTheme="minorEastAsia"/>
                <w:lang w:eastAsia="zh-CN" w:bidi="ar-SY"/>
              </w:rPr>
              <w:t>+41</w:t>
            </w:r>
            <w:r w:rsidR="004A7CDF">
              <w:rPr>
                <w:rFonts w:eastAsiaTheme="minorEastAsia"/>
                <w:lang w:eastAsia="zh-CN" w:bidi="ar-SY"/>
              </w:rPr>
              <w:t> </w:t>
            </w:r>
            <w:r w:rsidRPr="008D0241">
              <w:rPr>
                <w:rFonts w:eastAsiaTheme="minorEastAsia"/>
                <w:lang w:eastAsia="zh-CN" w:bidi="ar-SY"/>
              </w:rPr>
              <w:t>22</w:t>
            </w:r>
            <w:r w:rsidR="004A7CDF">
              <w:rPr>
                <w:rFonts w:eastAsiaTheme="minorEastAsia"/>
                <w:lang w:eastAsia="zh-CN" w:bidi="ar-SY"/>
              </w:rPr>
              <w:t> </w:t>
            </w:r>
            <w:r w:rsidRPr="008D0241">
              <w:rPr>
                <w:rFonts w:eastAsiaTheme="minorEastAsia"/>
                <w:lang w:eastAsia="zh-CN" w:bidi="ar-SY"/>
              </w:rPr>
              <w:t>730</w:t>
            </w:r>
            <w:r w:rsidR="004A7CDF">
              <w:rPr>
                <w:rFonts w:eastAsiaTheme="minorEastAsia"/>
                <w:lang w:eastAsia="zh-CN" w:bidi="ar-SY"/>
              </w:rPr>
              <w:t> </w:t>
            </w:r>
            <w:r w:rsidRPr="008D0241">
              <w:rPr>
                <w:rFonts w:eastAsiaTheme="minorEastAsia"/>
                <w:lang w:eastAsia="zh-CN" w:bidi="ar-SY"/>
              </w:rPr>
              <w:t>5855</w:t>
            </w:r>
          </w:p>
        </w:tc>
        <w:tc>
          <w:tcPr>
            <w:tcW w:w="2470" w:type="pct"/>
            <w:vMerge/>
          </w:tcPr>
          <w:p w:rsidR="00A15845" w:rsidRPr="00A15845" w:rsidRDefault="00A15845" w:rsidP="006E6F73">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8D0241"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b/>
                <w:lang w:eastAsia="zh-CN" w:bidi="ar-SY"/>
              </w:rPr>
            </w:pPr>
            <w:r w:rsidRPr="008D0241">
              <w:rPr>
                <w:rFonts w:eastAsiaTheme="minorEastAsia"/>
                <w:lang w:val="en-GB" w:eastAsia="zh-CN" w:bidi="ar-SY"/>
              </w:rPr>
              <w:t>+41</w:t>
            </w:r>
            <w:r w:rsidR="004A7CDF">
              <w:rPr>
                <w:rFonts w:eastAsiaTheme="minorEastAsia"/>
                <w:lang w:val="en-GB" w:eastAsia="zh-CN" w:bidi="ar-SY"/>
              </w:rPr>
              <w:t> </w:t>
            </w:r>
            <w:r w:rsidRPr="008D0241">
              <w:rPr>
                <w:rFonts w:eastAsiaTheme="minorEastAsia"/>
                <w:lang w:val="en-GB" w:eastAsia="zh-CN" w:bidi="ar-SY"/>
              </w:rPr>
              <w:t>22</w:t>
            </w:r>
            <w:r w:rsidR="004A7CDF">
              <w:rPr>
                <w:rFonts w:eastAsiaTheme="minorEastAsia"/>
                <w:lang w:val="en-GB" w:eastAsia="zh-CN" w:bidi="ar-SY"/>
              </w:rPr>
              <w:t> </w:t>
            </w:r>
            <w:r w:rsidRPr="008D0241">
              <w:rPr>
                <w:rFonts w:eastAsiaTheme="minorEastAsia"/>
                <w:lang w:val="en-GB" w:eastAsia="zh-CN" w:bidi="ar-SY"/>
              </w:rPr>
              <w:t>730</w:t>
            </w:r>
            <w:r w:rsidR="004A7CDF">
              <w:rPr>
                <w:rFonts w:eastAsiaTheme="minorEastAsia"/>
                <w:lang w:val="en-GB" w:eastAsia="zh-CN" w:bidi="ar-SY"/>
              </w:rPr>
              <w:t> </w:t>
            </w:r>
            <w:r w:rsidRPr="008D0241">
              <w:rPr>
                <w:rFonts w:eastAsiaTheme="minorEastAsia"/>
                <w:lang w:val="en-GB" w:eastAsia="zh-CN" w:bidi="ar-SY"/>
              </w:rPr>
              <w:t>5853</w:t>
            </w:r>
          </w:p>
        </w:tc>
        <w:tc>
          <w:tcPr>
            <w:tcW w:w="2470" w:type="pct"/>
            <w:vMerge/>
          </w:tcPr>
          <w:p w:rsidR="00A15845" w:rsidRPr="00A15845" w:rsidRDefault="00A15845" w:rsidP="006E6F73">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DB24C9" w:rsidP="00C01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hyperlink r:id="rId11" w:history="1">
              <w:r w:rsidR="008D0241" w:rsidRPr="008D0241">
                <w:rPr>
                  <w:rStyle w:val="Hyperlink"/>
                  <w:lang w:val="en-GB"/>
                </w:rPr>
                <w:t>tsbsg2@itu.int</w:t>
              </w:r>
            </w:hyperlink>
          </w:p>
        </w:tc>
        <w:tc>
          <w:tcPr>
            <w:tcW w:w="2470" w:type="pct"/>
          </w:tcPr>
          <w:p w:rsidR="00425492" w:rsidRPr="001132C8" w:rsidRDefault="00425492" w:rsidP="006E6F73">
            <w:pPr>
              <w:tabs>
                <w:tab w:val="left" w:pos="284"/>
                <w:tab w:val="left" w:pos="4111"/>
              </w:tabs>
              <w:spacing w:before="60" w:after="60" w:line="300" w:lineRule="exact"/>
              <w:ind w:left="57"/>
              <w:rPr>
                <w:b/>
                <w:bCs/>
                <w:rtl/>
              </w:rPr>
            </w:pPr>
            <w:r w:rsidRPr="001132C8">
              <w:rPr>
                <w:rFonts w:hint="cs"/>
                <w:b/>
                <w:bCs/>
                <w:rtl/>
              </w:rPr>
              <w:t>نسخة إلى:</w:t>
            </w:r>
          </w:p>
          <w:p w:rsidR="00B43E15" w:rsidRPr="00B43E15" w:rsidRDefault="00B43E15" w:rsidP="00C01EF0">
            <w:pPr>
              <w:tabs>
                <w:tab w:val="left" w:pos="284"/>
                <w:tab w:val="left" w:pos="4111"/>
              </w:tabs>
              <w:spacing w:before="60" w:after="60" w:line="300" w:lineRule="exact"/>
              <w:ind w:left="284" w:hanging="284"/>
              <w:rPr>
                <w:rtl/>
              </w:rPr>
            </w:pPr>
            <w:r w:rsidRPr="00B43E15">
              <w:rPr>
                <w:rFonts w:hint="cs"/>
                <w:rtl/>
                <w:lang w:bidi="ar-EG"/>
              </w:rPr>
              <w:t>-</w:t>
            </w:r>
            <w:r w:rsidRPr="00B43E15">
              <w:rPr>
                <w:rtl/>
                <w:lang w:bidi="ar-EG"/>
              </w:rPr>
              <w:tab/>
            </w:r>
            <w:r w:rsidRPr="00B43E15">
              <w:rPr>
                <w:rFonts w:hint="cs"/>
                <w:rtl/>
                <w:lang w:bidi="ar-EG"/>
              </w:rPr>
              <w:t>أعضاء قطاع تقييس الاتصالات في الاتحاد؛</w:t>
            </w:r>
          </w:p>
          <w:p w:rsidR="00B43E15" w:rsidRPr="00B43E15" w:rsidRDefault="00B43E15" w:rsidP="00C01EF0">
            <w:pPr>
              <w:tabs>
                <w:tab w:val="left" w:pos="284"/>
                <w:tab w:val="left" w:pos="4111"/>
              </w:tabs>
              <w:spacing w:before="60" w:after="60" w:line="300" w:lineRule="exact"/>
              <w:ind w:left="284" w:hanging="284"/>
              <w:rPr>
                <w:rtl/>
              </w:rPr>
            </w:pPr>
            <w:r w:rsidRPr="00B43E15">
              <w:rPr>
                <w:rFonts w:hint="cs"/>
                <w:rtl/>
              </w:rPr>
              <w:t>-</w:t>
            </w:r>
            <w:r w:rsidRPr="00B43E15">
              <w:rPr>
                <w:rtl/>
              </w:rPr>
              <w:tab/>
            </w:r>
            <w:r w:rsidR="00495553">
              <w:rPr>
                <w:rFonts w:hint="cs"/>
                <w:rtl/>
              </w:rPr>
              <w:t>المنتسبين</w:t>
            </w:r>
            <w:r>
              <w:rPr>
                <w:rFonts w:hint="cs"/>
                <w:rtl/>
              </w:rPr>
              <w:t xml:space="preserve"> إلى</w:t>
            </w:r>
            <w:r w:rsidRPr="00B43E15">
              <w:rPr>
                <w:rFonts w:hint="cs"/>
                <w:rtl/>
              </w:rPr>
              <w:t xml:space="preserve"> </w:t>
            </w:r>
            <w:r w:rsidR="00495553">
              <w:rPr>
                <w:rFonts w:hint="cs"/>
                <w:rtl/>
              </w:rPr>
              <w:t>لجنة</w:t>
            </w:r>
            <w:r w:rsidRPr="00B43E15">
              <w:rPr>
                <w:rFonts w:hint="cs"/>
                <w:rtl/>
              </w:rPr>
              <w:t xml:space="preserve"> الدراسات </w:t>
            </w:r>
            <w:r w:rsidRPr="00B43E15">
              <w:t>2</w:t>
            </w:r>
            <w:r w:rsidRPr="00B43E15">
              <w:rPr>
                <w:rFonts w:hint="cs"/>
                <w:rtl/>
                <w:lang w:bidi="ar-EG"/>
              </w:rPr>
              <w:t xml:space="preserve"> لقطاع </w:t>
            </w:r>
            <w:r w:rsidRPr="00B43E15">
              <w:rPr>
                <w:rFonts w:hint="cs"/>
                <w:rtl/>
              </w:rPr>
              <w:t>تقييس الاتصالات؛</w:t>
            </w:r>
          </w:p>
          <w:p w:rsidR="00B43E15" w:rsidRPr="00B43E15" w:rsidRDefault="00B43E15" w:rsidP="00C01EF0">
            <w:pPr>
              <w:tabs>
                <w:tab w:val="left" w:pos="284"/>
                <w:tab w:val="left" w:pos="4111"/>
              </w:tabs>
              <w:spacing w:before="60" w:after="60" w:line="300" w:lineRule="exact"/>
              <w:ind w:left="284" w:hanging="284"/>
              <w:rPr>
                <w:rtl/>
              </w:rPr>
            </w:pPr>
            <w:r w:rsidRPr="00B43E15">
              <w:rPr>
                <w:rFonts w:hint="cs"/>
                <w:rtl/>
              </w:rPr>
              <w:t>-</w:t>
            </w:r>
            <w:r w:rsidRPr="00B43E15">
              <w:rPr>
                <w:rtl/>
              </w:rPr>
              <w:tab/>
            </w:r>
            <w:r w:rsidRPr="00B43E15">
              <w:rPr>
                <w:rFonts w:hint="cs"/>
                <w:rtl/>
              </w:rPr>
              <w:t xml:space="preserve">الهيئات </w:t>
            </w:r>
            <w:r w:rsidR="00495553">
              <w:rPr>
                <w:rFonts w:hint="cs"/>
                <w:rtl/>
              </w:rPr>
              <w:t>الأكاديمية المنضمة</w:t>
            </w:r>
            <w:r w:rsidRPr="00B43E15">
              <w:rPr>
                <w:rFonts w:hint="cs"/>
                <w:rtl/>
              </w:rPr>
              <w:t xml:space="preserve"> إلى </w:t>
            </w:r>
            <w:r w:rsidRPr="00B43E15">
              <w:rPr>
                <w:rFonts w:hint="cs"/>
                <w:rtl/>
                <w:lang w:bidi="ar-EG"/>
              </w:rPr>
              <w:t>الاتحاد</w:t>
            </w:r>
            <w:r w:rsidRPr="00B43E15">
              <w:rPr>
                <w:rFonts w:hint="cs"/>
                <w:rtl/>
              </w:rPr>
              <w:t>؛</w:t>
            </w:r>
          </w:p>
          <w:p w:rsidR="00B43E15" w:rsidRPr="00B43E15" w:rsidRDefault="00B43E15" w:rsidP="00C01EF0">
            <w:pPr>
              <w:tabs>
                <w:tab w:val="left" w:pos="284"/>
                <w:tab w:val="left" w:pos="4111"/>
              </w:tabs>
              <w:spacing w:before="60" w:after="60" w:line="300" w:lineRule="exact"/>
              <w:ind w:left="284" w:hanging="284"/>
              <w:rPr>
                <w:rtl/>
                <w:lang w:bidi="ar-EG"/>
              </w:rPr>
            </w:pPr>
            <w:r w:rsidRPr="00B43E15">
              <w:rPr>
                <w:rFonts w:hint="cs"/>
                <w:rtl/>
              </w:rPr>
              <w:t>-</w:t>
            </w:r>
            <w:r w:rsidRPr="00B43E15">
              <w:rPr>
                <w:rtl/>
              </w:rPr>
              <w:tab/>
            </w:r>
            <w:r w:rsidRPr="00B43E15">
              <w:rPr>
                <w:rFonts w:hint="cs"/>
                <w:rtl/>
              </w:rPr>
              <w:t xml:space="preserve">رئيس </w:t>
            </w:r>
            <w:r w:rsidR="00495553">
              <w:rPr>
                <w:rFonts w:hint="cs"/>
                <w:rtl/>
              </w:rPr>
              <w:t>لجنة</w:t>
            </w:r>
            <w:r w:rsidRPr="00B43E15">
              <w:rPr>
                <w:rFonts w:hint="cs"/>
                <w:rtl/>
              </w:rPr>
              <w:t xml:space="preserve"> الدراسات </w:t>
            </w:r>
            <w:r w:rsidRPr="00B43E15">
              <w:t>2</w:t>
            </w:r>
            <w:r w:rsidRPr="00B43E15">
              <w:rPr>
                <w:rFonts w:hint="cs"/>
                <w:rtl/>
                <w:lang w:bidi="ar-EG"/>
              </w:rPr>
              <w:t xml:space="preserve"> لقطاع تقييس الاتصالات ونوابه؛</w:t>
            </w:r>
          </w:p>
          <w:p w:rsidR="00B43E15" w:rsidRPr="00B43E15" w:rsidRDefault="00B43E15" w:rsidP="00C01EF0">
            <w:pPr>
              <w:tabs>
                <w:tab w:val="left" w:pos="284"/>
                <w:tab w:val="left" w:pos="4111"/>
              </w:tabs>
              <w:spacing w:before="60" w:after="60" w:line="300" w:lineRule="exact"/>
              <w:ind w:left="284" w:hanging="284"/>
              <w:rPr>
                <w:rtl/>
              </w:rPr>
            </w:pPr>
            <w:r w:rsidRPr="00B43E15">
              <w:rPr>
                <w:rFonts w:hint="cs"/>
                <w:rtl/>
              </w:rPr>
              <w:t>-</w:t>
            </w:r>
            <w:r w:rsidRPr="00B43E15">
              <w:rPr>
                <w:rtl/>
              </w:rPr>
              <w:tab/>
              <w:t xml:space="preserve">مدير مكتب </w:t>
            </w:r>
            <w:r w:rsidR="00495553">
              <w:rPr>
                <w:rFonts w:hint="cs"/>
                <w:rtl/>
              </w:rPr>
              <w:t>تنمية</w:t>
            </w:r>
            <w:r w:rsidRPr="00B43E15">
              <w:rPr>
                <w:rtl/>
              </w:rPr>
              <w:t xml:space="preserve"> الاتصالات</w:t>
            </w:r>
            <w:r w:rsidRPr="00B43E15">
              <w:rPr>
                <w:rFonts w:hint="cs"/>
                <w:rtl/>
              </w:rPr>
              <w:t>؛</w:t>
            </w:r>
          </w:p>
          <w:p w:rsidR="00A15845" w:rsidRPr="00A15845" w:rsidRDefault="00B43E15" w:rsidP="00C01EF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284" w:hanging="284"/>
              <w:jc w:val="left"/>
              <w:rPr>
                <w:rFonts w:eastAsiaTheme="minorEastAsia"/>
                <w:rtl/>
                <w:lang w:eastAsia="zh-CN"/>
              </w:rPr>
            </w:pPr>
            <w:r w:rsidRPr="00B43E15">
              <w:rPr>
                <w:rFonts w:hint="cs"/>
                <w:rtl/>
              </w:rPr>
              <w:t>-</w:t>
            </w:r>
            <w:r w:rsidRPr="00B43E15">
              <w:rPr>
                <w:rtl/>
              </w:rPr>
              <w:tab/>
              <w:t>مدير مكتب الاتصالات الراديوية</w:t>
            </w:r>
          </w:p>
        </w:tc>
      </w:tr>
      <w:tr w:rsidR="00A15845" w:rsidRPr="00A15845" w:rsidTr="00425492">
        <w:trPr>
          <w:cantSplit/>
        </w:trPr>
        <w:tc>
          <w:tcPr>
            <w:tcW w:w="796" w:type="pct"/>
          </w:tcPr>
          <w:p w:rsidR="00A15845" w:rsidRPr="00A15845" w:rsidRDefault="00A15845" w:rsidP="00D00B56">
            <w:pPr>
              <w:rPr>
                <w:rFonts w:eastAsiaTheme="minorEastAsia"/>
                <w:rtl/>
                <w:lang w:eastAsia="zh-CN" w:bidi="ar-SY"/>
              </w:rPr>
            </w:pPr>
          </w:p>
        </w:tc>
        <w:tc>
          <w:tcPr>
            <w:tcW w:w="1734" w:type="pct"/>
          </w:tcPr>
          <w:p w:rsidR="00A15845" w:rsidRPr="00A15845" w:rsidRDefault="00A15845" w:rsidP="00D00B56">
            <w:pPr>
              <w:rPr>
                <w:rFonts w:eastAsiaTheme="minorEastAsia"/>
                <w:lang w:eastAsia="zh-CN" w:bidi="ar-SY"/>
              </w:rPr>
            </w:pPr>
          </w:p>
        </w:tc>
        <w:tc>
          <w:tcPr>
            <w:tcW w:w="2470" w:type="pct"/>
          </w:tcPr>
          <w:p w:rsidR="00A15845" w:rsidRPr="00A15845" w:rsidRDefault="00A15845" w:rsidP="00D00B56">
            <w:pPr>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636F0" w:rsidP="000B5E3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jc w:val="left"/>
              <w:rPr>
                <w:rFonts w:eastAsiaTheme="minorEastAsia"/>
                <w:b/>
                <w:bCs/>
                <w:rtl/>
                <w:lang w:eastAsia="zh-CN" w:bidi="ar-EG"/>
              </w:rPr>
            </w:pPr>
            <w:r>
              <w:rPr>
                <w:rFonts w:eastAsiaTheme="minorEastAsia" w:hint="cs"/>
                <w:b/>
                <w:bCs/>
                <w:rtl/>
                <w:lang w:eastAsia="zh-CN" w:bidi="ar-EG"/>
              </w:rPr>
              <w:t xml:space="preserve">استبيان تحضيري من أجل مراجعة الإضافة </w:t>
            </w:r>
            <w:r>
              <w:rPr>
                <w:rFonts w:eastAsiaTheme="minorEastAsia"/>
                <w:b/>
                <w:bCs/>
                <w:lang w:eastAsia="zh-CN" w:bidi="ar-EG"/>
              </w:rPr>
              <w:t>2</w:t>
            </w:r>
            <w:r>
              <w:rPr>
                <w:rFonts w:eastAsiaTheme="minorEastAsia" w:hint="cs"/>
                <w:b/>
                <w:bCs/>
                <w:rtl/>
                <w:lang w:eastAsia="zh-CN" w:bidi="ar-EG"/>
              </w:rPr>
              <w:t xml:space="preserve"> للتوصية </w:t>
            </w:r>
            <w:r w:rsidR="00FC0402" w:rsidRPr="00FC0402">
              <w:rPr>
                <w:rFonts w:eastAsiaTheme="minorEastAsia"/>
                <w:b/>
                <w:bCs/>
                <w:lang w:eastAsia="zh-CN" w:bidi="ar-EG"/>
              </w:rPr>
              <w:t>ITU-T</w:t>
            </w:r>
            <w:r w:rsidR="000B5E32">
              <w:rPr>
                <w:rFonts w:eastAsiaTheme="minorEastAsia"/>
                <w:b/>
                <w:bCs/>
                <w:lang w:eastAsia="zh-CN" w:bidi="ar-EG"/>
              </w:rPr>
              <w:t> </w:t>
            </w:r>
            <w:r w:rsidR="00FC0402" w:rsidRPr="00FC0402">
              <w:rPr>
                <w:rFonts w:eastAsiaTheme="minorEastAsia"/>
                <w:b/>
                <w:bCs/>
                <w:lang w:eastAsia="zh-CN" w:bidi="ar-EG"/>
              </w:rPr>
              <w:t>E.164</w:t>
            </w:r>
            <w:r w:rsidR="00526025">
              <w:rPr>
                <w:rFonts w:eastAsiaTheme="minorEastAsia" w:hint="cs"/>
                <w:b/>
                <w:bCs/>
                <w:rtl/>
                <w:lang w:eastAsia="zh-CN" w:bidi="ar-EG"/>
              </w:rPr>
              <w:t xml:space="preserve"> </w:t>
            </w:r>
            <w:r>
              <w:rPr>
                <w:rFonts w:eastAsiaTheme="minorEastAsia" w:hint="cs"/>
                <w:b/>
                <w:bCs/>
                <w:rtl/>
                <w:lang w:eastAsia="zh-CN" w:bidi="ar-EG"/>
              </w:rPr>
              <w:t>بشأن قابلية نقل الأرقام</w:t>
            </w:r>
          </w:p>
        </w:tc>
      </w:tr>
    </w:tbl>
    <w:p w:rsidR="00A15845" w:rsidRPr="00A15845" w:rsidRDefault="00A15845" w:rsidP="00033CC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636F0" w:rsidRPr="00D00B56" w:rsidRDefault="00425492" w:rsidP="00D00B56">
      <w:pPr>
        <w:rPr>
          <w:rFonts w:eastAsiaTheme="minorEastAsia"/>
          <w:spacing w:val="6"/>
          <w:rtl/>
          <w:lang w:eastAsia="zh-CN" w:bidi="ar-EG"/>
        </w:rPr>
      </w:pPr>
      <w:r w:rsidRPr="00D00B56">
        <w:rPr>
          <w:rFonts w:eastAsiaTheme="minorEastAsia"/>
          <w:spacing w:val="6"/>
          <w:lang w:eastAsia="zh-CN" w:bidi="ar-SY"/>
        </w:rPr>
        <w:t>1</w:t>
      </w:r>
      <w:r w:rsidRPr="00D00B56">
        <w:rPr>
          <w:rFonts w:eastAsiaTheme="minorEastAsia" w:hint="cs"/>
          <w:spacing w:val="6"/>
          <w:rtl/>
          <w:lang w:eastAsia="zh-CN" w:bidi="ar-EG"/>
        </w:rPr>
        <w:tab/>
      </w:r>
      <w:r w:rsidR="000636F0" w:rsidRPr="00D00B56">
        <w:rPr>
          <w:rFonts w:eastAsiaTheme="minorEastAsia" w:hint="cs"/>
          <w:spacing w:val="6"/>
          <w:rtl/>
        </w:rPr>
        <w:t xml:space="preserve">طبقاً لأعمال لجنة الدراسات </w:t>
      </w:r>
      <w:r w:rsidR="000636F0" w:rsidRPr="00D00B56">
        <w:rPr>
          <w:rFonts w:eastAsiaTheme="minorEastAsia"/>
          <w:spacing w:val="6"/>
        </w:rPr>
        <w:t>2</w:t>
      </w:r>
      <w:r w:rsidR="000636F0" w:rsidRPr="00D00B56">
        <w:rPr>
          <w:rFonts w:eastAsiaTheme="minorEastAsia" w:hint="cs"/>
          <w:spacing w:val="6"/>
          <w:rtl/>
        </w:rPr>
        <w:t xml:space="preserve"> لقطاع تقييس الاتصالات وعزمها على مراجعة </w:t>
      </w:r>
      <w:r w:rsidR="003456EE" w:rsidRPr="00D00B56">
        <w:rPr>
          <w:rFonts w:eastAsiaTheme="minorEastAsia" w:hint="cs"/>
          <w:spacing w:val="6"/>
          <w:rtl/>
          <w:lang w:eastAsia="zh-CN" w:bidi="ar-EG"/>
        </w:rPr>
        <w:t>الإضافة</w:t>
      </w:r>
      <w:r w:rsidR="00E460FC" w:rsidRPr="00D00B56">
        <w:rPr>
          <w:rFonts w:eastAsiaTheme="minorEastAsia" w:hint="eastAsia"/>
          <w:spacing w:val="6"/>
          <w:rtl/>
          <w:lang w:eastAsia="zh-CN" w:bidi="ar-EG"/>
        </w:rPr>
        <w:t> </w:t>
      </w:r>
      <w:r w:rsidR="003456EE" w:rsidRPr="00D00B56">
        <w:rPr>
          <w:rFonts w:eastAsiaTheme="minorEastAsia"/>
          <w:spacing w:val="6"/>
          <w:lang w:eastAsia="zh-CN" w:bidi="ar-EG"/>
        </w:rPr>
        <w:t>2</w:t>
      </w:r>
      <w:r w:rsidR="003456EE" w:rsidRPr="00D00B56">
        <w:rPr>
          <w:rFonts w:eastAsiaTheme="minorEastAsia" w:hint="cs"/>
          <w:spacing w:val="6"/>
          <w:rtl/>
          <w:lang w:eastAsia="zh-CN" w:bidi="ar-EG"/>
        </w:rPr>
        <w:t xml:space="preserve"> للتوصية</w:t>
      </w:r>
      <w:r w:rsidR="00FC0402" w:rsidRPr="00D00B56">
        <w:rPr>
          <w:rFonts w:eastAsiaTheme="minorEastAsia" w:hint="eastAsia"/>
          <w:spacing w:val="6"/>
          <w:rtl/>
          <w:lang w:eastAsia="zh-CN" w:bidi="ar-EG"/>
        </w:rPr>
        <w:t> </w:t>
      </w:r>
      <w:r w:rsidR="00FC0402" w:rsidRPr="00D00B56">
        <w:rPr>
          <w:spacing w:val="6"/>
        </w:rPr>
        <w:t>ITU</w:t>
      </w:r>
      <w:r w:rsidR="00CE76E0" w:rsidRPr="00D00B56">
        <w:rPr>
          <w:spacing w:val="6"/>
        </w:rPr>
        <w:noBreakHyphen/>
      </w:r>
      <w:r w:rsidR="00FC0402" w:rsidRPr="00D00B56">
        <w:rPr>
          <w:spacing w:val="6"/>
        </w:rPr>
        <w:t>T</w:t>
      </w:r>
      <w:r w:rsidR="00E460FC" w:rsidRPr="00D00B56">
        <w:rPr>
          <w:spacing w:val="6"/>
        </w:rPr>
        <w:t> </w:t>
      </w:r>
      <w:r w:rsidR="00FC0402" w:rsidRPr="00D00B56">
        <w:rPr>
          <w:spacing w:val="6"/>
        </w:rPr>
        <w:t>E.164</w:t>
      </w:r>
      <w:r w:rsidR="00FC0402" w:rsidRPr="00D00B56">
        <w:rPr>
          <w:rFonts w:hint="cs"/>
          <w:spacing w:val="6"/>
          <w:rtl/>
        </w:rPr>
        <w:t xml:space="preserve"> </w:t>
      </w:r>
      <w:r w:rsidR="000636F0" w:rsidRPr="00D00B56">
        <w:rPr>
          <w:rFonts w:eastAsiaTheme="minorEastAsia" w:hint="cs"/>
          <w:spacing w:val="6"/>
          <w:rtl/>
        </w:rPr>
        <w:t>"</w:t>
      </w:r>
      <w:r w:rsidR="003456EE" w:rsidRPr="00D00B56">
        <w:rPr>
          <w:rFonts w:eastAsiaTheme="minorEastAsia" w:hint="cs"/>
          <w:spacing w:val="6"/>
          <w:rtl/>
          <w:lang w:eastAsia="zh-CN" w:bidi="ar-EG"/>
        </w:rPr>
        <w:t>قابلية نقل الأرقام</w:t>
      </w:r>
      <w:r w:rsidR="000636F0" w:rsidRPr="00D00B56">
        <w:rPr>
          <w:rFonts w:eastAsiaTheme="minorEastAsia" w:hint="cs"/>
          <w:spacing w:val="6"/>
          <w:rtl/>
        </w:rPr>
        <w:t xml:space="preserve">"، </w:t>
      </w:r>
      <w:r w:rsidR="00F011A3" w:rsidRPr="00D00B56">
        <w:rPr>
          <w:rFonts w:eastAsiaTheme="minorEastAsia" w:hint="cs"/>
          <w:spacing w:val="6"/>
          <w:rtl/>
          <w:lang w:bidi="ar-EG"/>
        </w:rPr>
        <w:t xml:space="preserve">أرسل في </w:t>
      </w:r>
      <w:r w:rsidR="00F011A3" w:rsidRPr="00D00B56">
        <w:rPr>
          <w:rFonts w:eastAsiaTheme="minorEastAsia"/>
          <w:spacing w:val="6"/>
          <w:lang w:bidi="ar-EG"/>
        </w:rPr>
        <w:t>28</w:t>
      </w:r>
      <w:r w:rsidR="00F011A3" w:rsidRPr="00D00B56">
        <w:rPr>
          <w:rFonts w:eastAsiaTheme="minorEastAsia" w:hint="cs"/>
          <w:spacing w:val="6"/>
          <w:rtl/>
          <w:lang w:bidi="ar-EG"/>
        </w:rPr>
        <w:t xml:space="preserve"> أبريل</w:t>
      </w:r>
      <w:r w:rsidR="00CE76E0" w:rsidRPr="00D00B56">
        <w:rPr>
          <w:rFonts w:eastAsiaTheme="minorEastAsia" w:hint="cs"/>
          <w:spacing w:val="6"/>
          <w:rtl/>
          <w:lang w:bidi="ar-EG"/>
        </w:rPr>
        <w:t xml:space="preserve"> </w:t>
      </w:r>
      <w:r w:rsidR="00CE76E0" w:rsidRPr="00D00B56">
        <w:rPr>
          <w:rFonts w:eastAsiaTheme="minorEastAsia"/>
          <w:spacing w:val="6"/>
          <w:lang w:bidi="ar-EG"/>
        </w:rPr>
        <w:t>2017</w:t>
      </w:r>
      <w:r w:rsidR="00F011A3" w:rsidRPr="00D00B56">
        <w:rPr>
          <w:rFonts w:eastAsiaTheme="minorEastAsia" w:hint="cs"/>
          <w:spacing w:val="6"/>
          <w:rtl/>
          <w:lang w:bidi="ar-EG"/>
        </w:rPr>
        <w:t xml:space="preserve"> في الرسالة المعممة </w:t>
      </w:r>
      <w:r w:rsidR="00F011A3" w:rsidRPr="00D00B56">
        <w:rPr>
          <w:rFonts w:eastAsiaTheme="minorEastAsia"/>
          <w:spacing w:val="6"/>
          <w:lang w:bidi="ar-EG"/>
        </w:rPr>
        <w:t>22</w:t>
      </w:r>
      <w:r w:rsidR="00F011A3" w:rsidRPr="00D00B56">
        <w:rPr>
          <w:rFonts w:eastAsiaTheme="minorEastAsia" w:hint="cs"/>
          <w:spacing w:val="6"/>
          <w:rtl/>
          <w:lang w:bidi="ar-EG"/>
        </w:rPr>
        <w:t xml:space="preserve"> استبيان تحضيري بشأن قابلية نقل الأرقام. وقد وردت ستة ردود. و</w:t>
      </w:r>
      <w:r w:rsidR="00F011A3" w:rsidRPr="00D00B56">
        <w:rPr>
          <w:rFonts w:eastAsiaTheme="minorEastAsia" w:hint="cs"/>
          <w:spacing w:val="6"/>
          <w:rtl/>
        </w:rPr>
        <w:t>أدعو من لم يقم بالرد إلى التفضل</w:t>
      </w:r>
      <w:r w:rsidR="000636F0" w:rsidRPr="00D00B56">
        <w:rPr>
          <w:rFonts w:eastAsiaTheme="minorEastAsia" w:hint="cs"/>
          <w:spacing w:val="6"/>
          <w:rtl/>
        </w:rPr>
        <w:t xml:space="preserve"> </w:t>
      </w:r>
      <w:r w:rsidR="00F011A3" w:rsidRPr="00D00B56">
        <w:rPr>
          <w:rFonts w:eastAsiaTheme="minorEastAsia" w:hint="cs"/>
          <w:spacing w:val="6"/>
          <w:rtl/>
        </w:rPr>
        <w:t>ب</w:t>
      </w:r>
      <w:r w:rsidR="000636F0" w:rsidRPr="00D00B56">
        <w:rPr>
          <w:rFonts w:eastAsiaTheme="minorEastAsia" w:hint="cs"/>
          <w:spacing w:val="6"/>
          <w:rtl/>
        </w:rPr>
        <w:t>استكمال الاستب</w:t>
      </w:r>
      <w:r w:rsidR="003456EE" w:rsidRPr="00D00B56">
        <w:rPr>
          <w:rFonts w:eastAsiaTheme="minorEastAsia" w:hint="cs"/>
          <w:spacing w:val="6"/>
          <w:rtl/>
        </w:rPr>
        <w:t>ي</w:t>
      </w:r>
      <w:r w:rsidR="000636F0" w:rsidRPr="00D00B56">
        <w:rPr>
          <w:rFonts w:eastAsiaTheme="minorEastAsia" w:hint="cs"/>
          <w:spacing w:val="6"/>
          <w:rtl/>
        </w:rPr>
        <w:t>ان التحضيري</w:t>
      </w:r>
      <w:r w:rsidR="00F011A3" w:rsidRPr="00D00B56">
        <w:rPr>
          <w:rFonts w:eastAsiaTheme="minorEastAsia" w:hint="cs"/>
          <w:spacing w:val="6"/>
          <w:rtl/>
        </w:rPr>
        <w:t xml:space="preserve"> الوارد في</w:t>
      </w:r>
      <w:r w:rsidR="00D00B56" w:rsidRPr="00D00B56">
        <w:rPr>
          <w:rFonts w:eastAsiaTheme="minorEastAsia" w:hint="eastAsia"/>
          <w:spacing w:val="6"/>
          <w:rtl/>
        </w:rPr>
        <w:t> </w:t>
      </w:r>
      <w:r w:rsidR="00F011A3" w:rsidRPr="00D00B56">
        <w:rPr>
          <w:rFonts w:eastAsiaTheme="minorEastAsia" w:hint="cs"/>
          <w:spacing w:val="6"/>
          <w:rtl/>
        </w:rPr>
        <w:t xml:space="preserve">الرسالة المعممة </w:t>
      </w:r>
      <w:r w:rsidR="00F011A3" w:rsidRPr="00D00B56">
        <w:rPr>
          <w:rFonts w:eastAsiaTheme="minorEastAsia"/>
          <w:spacing w:val="6"/>
        </w:rPr>
        <w:t>22</w:t>
      </w:r>
      <w:r w:rsidR="000636F0" w:rsidRPr="00D00B56">
        <w:rPr>
          <w:rFonts w:eastAsiaTheme="minorEastAsia" w:hint="cs"/>
          <w:spacing w:val="6"/>
          <w:rtl/>
        </w:rPr>
        <w:t xml:space="preserve"> (المنسوخ في</w:t>
      </w:r>
      <w:r w:rsidR="00D00B56" w:rsidRPr="00D00B56">
        <w:rPr>
          <w:rFonts w:eastAsiaTheme="minorEastAsia" w:hint="eastAsia"/>
          <w:spacing w:val="6"/>
          <w:rtl/>
        </w:rPr>
        <w:t> </w:t>
      </w:r>
      <w:r w:rsidR="000636F0" w:rsidRPr="00D00B56">
        <w:rPr>
          <w:rFonts w:eastAsiaTheme="minorEastAsia" w:hint="cs"/>
          <w:spacing w:val="6"/>
          <w:rtl/>
        </w:rPr>
        <w:t xml:space="preserve">الملحق </w:t>
      </w:r>
      <w:r w:rsidR="000636F0" w:rsidRPr="00D00B56">
        <w:rPr>
          <w:rFonts w:eastAsiaTheme="minorEastAsia"/>
          <w:spacing w:val="6"/>
        </w:rPr>
        <w:t>1</w:t>
      </w:r>
      <w:r w:rsidR="00F011A3" w:rsidRPr="00D00B56">
        <w:rPr>
          <w:rFonts w:eastAsiaTheme="minorEastAsia" w:hint="cs"/>
          <w:spacing w:val="6"/>
          <w:rtl/>
        </w:rPr>
        <w:t xml:space="preserve"> بهذه الرسالة</w:t>
      </w:r>
      <w:r w:rsidR="000636F0" w:rsidRPr="00D00B56">
        <w:rPr>
          <w:rFonts w:eastAsiaTheme="minorEastAsia" w:hint="cs"/>
          <w:spacing w:val="6"/>
          <w:rtl/>
        </w:rPr>
        <w:t xml:space="preserve">) على الموقع الإلكتروني التالي: </w:t>
      </w:r>
      <w:hyperlink r:id="rId12" w:history="1">
        <w:r w:rsidR="00C47895" w:rsidRPr="00D00B56">
          <w:rPr>
            <w:rStyle w:val="Hyperlink"/>
            <w:spacing w:val="6"/>
          </w:rPr>
          <w:t>https://www.itu.int/en/ITU-T/studygroups/2017-2020/02/Pages/Questionnaires/E164supp2.aspx</w:t>
        </w:r>
      </w:hyperlink>
      <w:r w:rsidR="00441F40" w:rsidRPr="00D00B56">
        <w:rPr>
          <w:rStyle w:val="Hyperlink"/>
          <w:rFonts w:hint="cs"/>
          <w:color w:val="auto"/>
          <w:spacing w:val="6"/>
          <w:u w:val="none"/>
          <w:rtl/>
        </w:rPr>
        <w:t>.</w:t>
      </w:r>
      <w:r w:rsidR="000772CA" w:rsidRPr="00D00B56">
        <w:rPr>
          <w:rFonts w:eastAsiaTheme="minorEastAsia" w:hint="cs"/>
          <w:spacing w:val="6"/>
          <w:rtl/>
          <w:lang w:eastAsia="zh-CN" w:bidi="ar-EG"/>
        </w:rPr>
        <w:t xml:space="preserve"> </w:t>
      </w:r>
      <w:r w:rsidR="000636F0" w:rsidRPr="00D00B56">
        <w:rPr>
          <w:rFonts w:eastAsiaTheme="minorEastAsia" w:hint="cs"/>
          <w:spacing w:val="6"/>
          <w:rtl/>
          <w:lang w:eastAsia="zh-CN" w:bidi="ar-EG"/>
        </w:rPr>
        <w:t>وسأكون ممتناً لو</w:t>
      </w:r>
      <w:r w:rsidR="003456EE" w:rsidRPr="00D00B56">
        <w:rPr>
          <w:rFonts w:eastAsiaTheme="minorEastAsia" w:hint="cs"/>
          <w:spacing w:val="6"/>
          <w:rtl/>
          <w:lang w:eastAsia="zh-CN" w:bidi="ar-EG"/>
        </w:rPr>
        <w:t xml:space="preserve"> </w:t>
      </w:r>
      <w:r w:rsidR="000636F0" w:rsidRPr="00D00B56">
        <w:rPr>
          <w:rFonts w:eastAsiaTheme="minorEastAsia" w:hint="cs"/>
          <w:spacing w:val="6"/>
          <w:rtl/>
          <w:lang w:eastAsia="zh-CN" w:bidi="ar-EG"/>
        </w:rPr>
        <w:t xml:space="preserve">قمتم باستكمال هذه </w:t>
      </w:r>
      <w:r w:rsidR="00DC656C" w:rsidRPr="00D00B56">
        <w:rPr>
          <w:rFonts w:eastAsiaTheme="minorEastAsia" w:hint="cs"/>
          <w:spacing w:val="6"/>
          <w:rtl/>
          <w:lang w:eastAsia="zh-CN" w:bidi="ar-EG"/>
        </w:rPr>
        <w:t>الاستبيان</w:t>
      </w:r>
      <w:r w:rsidR="000636F0" w:rsidRPr="00D00B56">
        <w:rPr>
          <w:rFonts w:eastAsiaTheme="minorEastAsia" w:hint="cs"/>
          <w:spacing w:val="6"/>
          <w:rtl/>
          <w:lang w:eastAsia="zh-CN" w:bidi="ar-EG"/>
        </w:rPr>
        <w:t xml:space="preserve"> على الخط في</w:t>
      </w:r>
      <w:r w:rsidR="00D00B56" w:rsidRPr="00D00B56">
        <w:rPr>
          <w:rFonts w:eastAsiaTheme="minorEastAsia" w:hint="eastAsia"/>
          <w:spacing w:val="6"/>
          <w:rtl/>
          <w:lang w:eastAsia="zh-CN" w:bidi="ar-EG"/>
        </w:rPr>
        <w:t> </w:t>
      </w:r>
      <w:r w:rsidR="000636F0" w:rsidRPr="00D00B56">
        <w:rPr>
          <w:rFonts w:eastAsiaTheme="minorEastAsia" w:hint="cs"/>
          <w:spacing w:val="6"/>
          <w:rtl/>
          <w:lang w:eastAsia="zh-CN" w:bidi="ar-EG"/>
        </w:rPr>
        <w:t xml:space="preserve">موعد أقصاه </w:t>
      </w:r>
      <w:r w:rsidR="000636F0" w:rsidRPr="00D00B56">
        <w:rPr>
          <w:rFonts w:eastAsiaTheme="minorEastAsia"/>
          <w:b/>
          <w:bCs/>
          <w:spacing w:val="6"/>
          <w:lang w:eastAsia="zh-CN" w:bidi="ar-EG"/>
        </w:rPr>
        <w:t>31</w:t>
      </w:r>
      <w:r w:rsidR="000636F0" w:rsidRPr="00D00B56">
        <w:rPr>
          <w:rFonts w:eastAsiaTheme="minorEastAsia" w:hint="cs"/>
          <w:b/>
          <w:bCs/>
          <w:spacing w:val="6"/>
          <w:rtl/>
          <w:lang w:eastAsia="zh-CN" w:bidi="ar-EG"/>
        </w:rPr>
        <w:t xml:space="preserve"> </w:t>
      </w:r>
      <w:r w:rsidR="00DA7E2C" w:rsidRPr="00D00B56">
        <w:rPr>
          <w:rFonts w:eastAsiaTheme="minorEastAsia" w:hint="cs"/>
          <w:b/>
          <w:bCs/>
          <w:spacing w:val="6"/>
          <w:rtl/>
          <w:lang w:eastAsia="zh-CN" w:bidi="ar-EG"/>
        </w:rPr>
        <w:t>مايو</w:t>
      </w:r>
      <w:r w:rsidR="000636F0" w:rsidRPr="00D00B56">
        <w:rPr>
          <w:rFonts w:eastAsiaTheme="minorEastAsia" w:hint="cs"/>
          <w:b/>
          <w:bCs/>
          <w:spacing w:val="6"/>
          <w:rtl/>
          <w:lang w:eastAsia="zh-CN" w:bidi="ar-EG"/>
        </w:rPr>
        <w:t xml:space="preserve"> </w:t>
      </w:r>
      <w:r w:rsidR="000636F0" w:rsidRPr="00D00B56">
        <w:rPr>
          <w:rFonts w:eastAsiaTheme="minorEastAsia"/>
          <w:b/>
          <w:bCs/>
          <w:spacing w:val="6"/>
          <w:lang w:eastAsia="zh-CN" w:bidi="ar-EG"/>
        </w:rPr>
        <w:t>201</w:t>
      </w:r>
      <w:r w:rsidR="00D00B56" w:rsidRPr="00D00B56">
        <w:rPr>
          <w:rFonts w:eastAsiaTheme="minorEastAsia"/>
          <w:b/>
          <w:bCs/>
          <w:spacing w:val="6"/>
          <w:lang w:eastAsia="zh-CN" w:bidi="ar-EG"/>
        </w:rPr>
        <w:t>8</w:t>
      </w:r>
      <w:r w:rsidR="000636F0" w:rsidRPr="00D00B56">
        <w:rPr>
          <w:rFonts w:eastAsiaTheme="minorEastAsia" w:hint="cs"/>
          <w:spacing w:val="6"/>
          <w:rtl/>
          <w:lang w:eastAsia="zh-CN" w:bidi="ar-EG"/>
        </w:rPr>
        <w:t>.</w:t>
      </w:r>
    </w:p>
    <w:p w:rsidR="00425492" w:rsidRPr="00425492" w:rsidRDefault="00425492" w:rsidP="00EB76A2">
      <w:pPr>
        <w:rPr>
          <w:rFonts w:eastAsiaTheme="minorEastAsia"/>
          <w:rtl/>
          <w:lang w:eastAsia="zh-CN" w:bidi="ar-EG"/>
        </w:rPr>
      </w:pPr>
      <w:r w:rsidRPr="00425492">
        <w:rPr>
          <w:rFonts w:eastAsiaTheme="minorEastAsia"/>
          <w:lang w:eastAsia="zh-CN" w:bidi="ar-SY"/>
        </w:rPr>
        <w:t>2</w:t>
      </w:r>
      <w:r w:rsidRPr="00425492">
        <w:rPr>
          <w:rFonts w:eastAsiaTheme="minorEastAsia" w:hint="cs"/>
          <w:rtl/>
          <w:lang w:eastAsia="zh-CN" w:bidi="ar-EG"/>
        </w:rPr>
        <w:tab/>
      </w:r>
      <w:r w:rsidR="000636F0">
        <w:rPr>
          <w:rFonts w:eastAsiaTheme="minorEastAsia" w:hint="cs"/>
          <w:rtl/>
          <w:lang w:eastAsia="zh-CN" w:bidi="ar-EG"/>
        </w:rPr>
        <w:t>وترد التوجيهات في الاستبيان وهناك مثال لاست</w:t>
      </w:r>
      <w:r w:rsidR="003456EE">
        <w:rPr>
          <w:rFonts w:eastAsiaTheme="minorEastAsia" w:hint="cs"/>
          <w:rtl/>
          <w:lang w:eastAsia="zh-CN" w:bidi="ar-EG"/>
        </w:rPr>
        <w:t>بي</w:t>
      </w:r>
      <w:r w:rsidR="000636F0">
        <w:rPr>
          <w:rFonts w:eastAsiaTheme="minorEastAsia" w:hint="cs"/>
          <w:rtl/>
          <w:lang w:eastAsia="zh-CN" w:bidi="ar-EG"/>
        </w:rPr>
        <w:t xml:space="preserve">ان مستكمل </w:t>
      </w:r>
      <w:r w:rsidR="00EB76A2">
        <w:rPr>
          <w:rFonts w:eastAsiaTheme="minorEastAsia" w:hint="cs"/>
          <w:rtl/>
          <w:lang w:eastAsia="zh-CN" w:bidi="ar-EG"/>
        </w:rPr>
        <w:t>لليابان</w:t>
      </w:r>
      <w:r w:rsidR="000636F0">
        <w:rPr>
          <w:rFonts w:eastAsiaTheme="minorEastAsia" w:hint="cs"/>
          <w:rtl/>
          <w:lang w:eastAsia="zh-CN" w:bidi="ar-EG"/>
        </w:rPr>
        <w:t xml:space="preserve"> في الموقع الإلكتروني التالي:</w:t>
      </w:r>
      <w:r w:rsidR="0073504D">
        <w:rPr>
          <w:rFonts w:eastAsiaTheme="minorEastAsia"/>
          <w:rtl/>
          <w:lang w:eastAsia="zh-CN" w:bidi="ar-EG"/>
        </w:rPr>
        <w:tab/>
      </w:r>
      <w:r w:rsidR="0073504D">
        <w:rPr>
          <w:rFonts w:eastAsiaTheme="minorEastAsia"/>
          <w:rtl/>
          <w:lang w:eastAsia="zh-CN" w:bidi="ar-EG"/>
        </w:rPr>
        <w:br/>
      </w:r>
      <w:hyperlink r:id="rId13" w:history="1">
        <w:r w:rsidR="008B7626" w:rsidRPr="00A45394">
          <w:rPr>
            <w:rStyle w:val="Hyperlink"/>
          </w:rPr>
          <w:t>https://www.itu.int/en/ITU-T/studygroups/2017-2020/02/Documents/Questionnaire/Attachment-1v2.pdf</w:t>
        </w:r>
      </w:hyperlink>
      <w:r w:rsidR="0048319F" w:rsidRPr="00D00B56">
        <w:rPr>
          <w:rFonts w:hint="cs"/>
          <w:rtl/>
        </w:rPr>
        <w:t>.</w:t>
      </w:r>
    </w:p>
    <w:p w:rsidR="00425492" w:rsidRPr="00425492" w:rsidRDefault="000636F0" w:rsidP="00D00B56">
      <w:pPr>
        <w:pageBreakBefore/>
        <w:rPr>
          <w:rFonts w:eastAsiaTheme="minorEastAsia"/>
          <w:rtl/>
          <w:lang w:eastAsia="zh-CN" w:bidi="ar-EG"/>
        </w:rPr>
      </w:pPr>
      <w:r>
        <w:rPr>
          <w:rFonts w:eastAsiaTheme="minorEastAsia"/>
          <w:lang w:eastAsia="zh-CN" w:bidi="ar-EG"/>
        </w:rPr>
        <w:lastRenderedPageBreak/>
        <w:t>3</w:t>
      </w:r>
      <w:r>
        <w:rPr>
          <w:rFonts w:eastAsiaTheme="minorEastAsia"/>
          <w:rtl/>
          <w:lang w:eastAsia="zh-CN" w:bidi="ar-EG"/>
        </w:rPr>
        <w:tab/>
      </w:r>
      <w:r>
        <w:rPr>
          <w:rFonts w:eastAsiaTheme="minorEastAsia" w:hint="cs"/>
          <w:rtl/>
          <w:lang w:eastAsia="zh-CN" w:bidi="ar-EG"/>
        </w:rPr>
        <w:t>وستوفر الردود على الاستب</w:t>
      </w:r>
      <w:r w:rsidR="00460717">
        <w:rPr>
          <w:rFonts w:eastAsiaTheme="minorEastAsia" w:hint="cs"/>
          <w:rtl/>
          <w:lang w:eastAsia="zh-CN" w:bidi="ar-EG"/>
        </w:rPr>
        <w:t>يان</w:t>
      </w:r>
      <w:r>
        <w:rPr>
          <w:rFonts w:eastAsiaTheme="minorEastAsia" w:hint="cs"/>
          <w:rtl/>
          <w:lang w:eastAsia="zh-CN" w:bidi="ar-EG"/>
        </w:rPr>
        <w:t xml:space="preserve"> للجنة الدراسات </w:t>
      </w:r>
      <w:r>
        <w:rPr>
          <w:rFonts w:eastAsiaTheme="minorEastAsia"/>
          <w:lang w:eastAsia="zh-CN" w:bidi="ar-EG"/>
        </w:rPr>
        <w:t>2</w:t>
      </w:r>
      <w:r>
        <w:rPr>
          <w:rFonts w:eastAsiaTheme="minorEastAsia" w:hint="cs"/>
          <w:rtl/>
          <w:lang w:eastAsia="zh-CN" w:bidi="ar-EG"/>
        </w:rPr>
        <w:t xml:space="preserve"> لقطاع تقييس الاتصالات المدخلات اللازمة لمراجعة </w:t>
      </w:r>
      <w:r w:rsidR="0073504D" w:rsidRPr="00FC0402">
        <w:rPr>
          <w:rFonts w:eastAsiaTheme="minorEastAsia" w:hint="cs"/>
          <w:spacing w:val="4"/>
          <w:rtl/>
          <w:lang w:eastAsia="zh-CN" w:bidi="ar-EG"/>
        </w:rPr>
        <w:t>الإضافة</w:t>
      </w:r>
      <w:r w:rsidR="0073504D">
        <w:rPr>
          <w:rFonts w:eastAsiaTheme="minorEastAsia" w:hint="eastAsia"/>
          <w:spacing w:val="4"/>
          <w:rtl/>
          <w:lang w:eastAsia="zh-CN" w:bidi="ar-EG"/>
        </w:rPr>
        <w:t> </w:t>
      </w:r>
      <w:r w:rsidR="0073504D" w:rsidRPr="00FC0402">
        <w:rPr>
          <w:rFonts w:eastAsiaTheme="minorEastAsia"/>
          <w:spacing w:val="4"/>
          <w:lang w:eastAsia="zh-CN" w:bidi="ar-EG"/>
        </w:rPr>
        <w:t>2</w:t>
      </w:r>
      <w:r w:rsidR="0073504D" w:rsidRPr="00FC0402">
        <w:rPr>
          <w:rFonts w:eastAsiaTheme="minorEastAsia" w:hint="cs"/>
          <w:spacing w:val="4"/>
          <w:rtl/>
          <w:lang w:eastAsia="zh-CN" w:bidi="ar-EG"/>
        </w:rPr>
        <w:t xml:space="preserve"> للتوصية</w:t>
      </w:r>
      <w:r w:rsidR="0073504D">
        <w:rPr>
          <w:rFonts w:eastAsiaTheme="minorEastAsia" w:hint="eastAsia"/>
          <w:spacing w:val="4"/>
          <w:rtl/>
          <w:lang w:eastAsia="zh-CN" w:bidi="ar-EG"/>
        </w:rPr>
        <w:t> </w:t>
      </w:r>
      <w:r w:rsidR="0073504D" w:rsidRPr="00FC0402">
        <w:rPr>
          <w:spacing w:val="4"/>
        </w:rPr>
        <w:t>ITU-T</w:t>
      </w:r>
      <w:r w:rsidR="00565BCD">
        <w:rPr>
          <w:spacing w:val="4"/>
        </w:rPr>
        <w:t> </w:t>
      </w:r>
      <w:r w:rsidR="0073504D" w:rsidRPr="00FC0402">
        <w:rPr>
          <w:spacing w:val="4"/>
        </w:rPr>
        <w:t>E.164</w:t>
      </w:r>
      <w:r w:rsidR="0073504D">
        <w:rPr>
          <w:rFonts w:hint="cs"/>
          <w:spacing w:val="4"/>
          <w:rtl/>
        </w:rPr>
        <w:t>.</w:t>
      </w:r>
    </w:p>
    <w:p w:rsid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033CCE" w:rsidRPr="00033CCE" w:rsidRDefault="00033CCE" w:rsidP="00DB24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480"/>
        <w:rPr>
          <w:rFonts w:eastAsiaTheme="minorEastAsia"/>
          <w:i/>
          <w:iCs/>
          <w:rtl/>
          <w:lang w:eastAsia="zh-CN" w:bidi="ar-EG"/>
        </w:rPr>
      </w:pPr>
      <w:r w:rsidRPr="00033CCE">
        <w:rPr>
          <w:rFonts w:eastAsiaTheme="minorEastAsia" w:hint="cs"/>
          <w:i/>
          <w:iCs/>
          <w:rtl/>
          <w:lang w:eastAsia="zh-CN" w:bidi="ar-EG"/>
        </w:rPr>
        <w:t>(توقيع)</w:t>
      </w:r>
    </w:p>
    <w:p w:rsidR="008B5B5D" w:rsidRDefault="00A15845" w:rsidP="00033CC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14200F" w:rsidRDefault="0033092D" w:rsidP="00BD1C8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20"/>
        <w:jc w:val="left"/>
        <w:rPr>
          <w:rFonts w:eastAsiaTheme="minorEastAsia"/>
          <w:rtl/>
          <w:lang w:eastAsia="zh-CN" w:bidi="ar-EG"/>
        </w:rPr>
      </w:pPr>
      <w:r w:rsidRPr="0033092D">
        <w:rPr>
          <w:rFonts w:eastAsiaTheme="minorEastAsia" w:hint="cs"/>
          <w:b/>
          <w:bCs/>
          <w:rtl/>
          <w:lang w:eastAsia="zh-CN" w:bidi="ar-SY"/>
        </w:rPr>
        <w:t>الملحق</w:t>
      </w:r>
      <w:r w:rsidRPr="0033092D">
        <w:rPr>
          <w:rFonts w:eastAsiaTheme="minorEastAsia" w:hint="cs"/>
          <w:b/>
          <w:bCs/>
          <w:rtl/>
          <w:lang w:eastAsia="zh-CN" w:bidi="ar-EG"/>
        </w:rPr>
        <w:t>ات:</w:t>
      </w:r>
      <w:r>
        <w:rPr>
          <w:rFonts w:eastAsiaTheme="minorEastAsia" w:hint="cs"/>
          <w:rtl/>
          <w:lang w:eastAsia="zh-CN" w:bidi="ar-EG"/>
        </w:rPr>
        <w:t xml:space="preserve"> </w:t>
      </w:r>
      <w:r>
        <w:rPr>
          <w:rFonts w:eastAsiaTheme="minorEastAsia"/>
          <w:lang w:eastAsia="zh-CN" w:bidi="ar-EG"/>
        </w:rPr>
        <w:t>1</w:t>
      </w:r>
    </w:p>
    <w:p w:rsidR="00D00B56" w:rsidRDefault="00D00B56" w:rsidP="00D00B56">
      <w:pPr>
        <w:rPr>
          <w:rFonts w:eastAsiaTheme="minorEastAsia"/>
          <w:rtl/>
          <w:lang w:eastAsia="zh-CN" w:bidi="ar-EG"/>
        </w:rPr>
      </w:pPr>
    </w:p>
    <w:p w:rsidR="00D00B56" w:rsidRPr="0014200F" w:rsidRDefault="00D00B56" w:rsidP="00D00B56">
      <w:pPr>
        <w:rPr>
          <w:rFonts w:eastAsiaTheme="minorEastAsia"/>
          <w:rtl/>
          <w:lang w:eastAsia="zh-CN" w:bidi="ar-EG"/>
        </w:rPr>
        <w:sectPr w:rsidR="00D00B56" w:rsidRPr="0014200F" w:rsidSect="008B5B5D">
          <w:headerReference w:type="default" r:id="rId14"/>
          <w:footerReference w:type="first" r:id="rId15"/>
          <w:type w:val="oddPage"/>
          <w:pgSz w:w="11907" w:h="16840" w:code="9"/>
          <w:pgMar w:top="1418" w:right="1134" w:bottom="1134" w:left="1134" w:header="709" w:footer="709" w:gutter="0"/>
          <w:cols w:space="708"/>
          <w:titlePg/>
          <w:docGrid w:linePitch="360"/>
        </w:sectPr>
      </w:pPr>
      <w:bookmarkStart w:id="0" w:name="_GoBack"/>
      <w:bookmarkEnd w:id="0"/>
    </w:p>
    <w:p w:rsidR="004B006B" w:rsidRPr="004B006B" w:rsidRDefault="004B006B" w:rsidP="004B006B">
      <w:pPr>
        <w:tabs>
          <w:tab w:val="left" w:pos="1191"/>
          <w:tab w:val="left" w:pos="1588"/>
          <w:tab w:val="left" w:pos="1985"/>
        </w:tabs>
        <w:overflowPunct w:val="0"/>
        <w:autoSpaceDE w:val="0"/>
        <w:autoSpaceDN w:val="0"/>
        <w:bidi w:val="0"/>
        <w:adjustRightInd w:val="0"/>
        <w:spacing w:before="240" w:line="240" w:lineRule="auto"/>
        <w:jc w:val="center"/>
        <w:textAlignment w:val="baseline"/>
        <w:rPr>
          <w:rFonts w:cs="Times New Roman"/>
          <w:sz w:val="24"/>
          <w:szCs w:val="20"/>
          <w:lang w:val="en-GB"/>
        </w:rPr>
      </w:pPr>
      <w:r w:rsidRPr="004B006B">
        <w:rPr>
          <w:rFonts w:cs="Times New Roman"/>
          <w:b/>
          <w:sz w:val="28"/>
          <w:szCs w:val="22"/>
          <w:lang w:val="en-GB"/>
        </w:rPr>
        <w:lastRenderedPageBreak/>
        <w:t>ANNEX 1</w:t>
      </w:r>
      <w:r w:rsidRPr="004B006B">
        <w:rPr>
          <w:rFonts w:cs="Times New Roman"/>
          <w:b/>
          <w:sz w:val="28"/>
          <w:szCs w:val="22"/>
          <w:lang w:val="en-GB"/>
        </w:rPr>
        <w:br/>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cs="Times New Roman"/>
          <w:noProof/>
          <w:sz w:val="24"/>
          <w:szCs w:val="20"/>
          <w:lang w:eastAsia="zh-CN"/>
        </w:rPr>
        <w:drawing>
          <wp:inline distT="0" distB="0" distL="0" distR="0" wp14:anchorId="271936B3" wp14:editId="0D5440AE">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r w:rsidRPr="004B006B">
        <w:rPr>
          <w:rFonts w:cs="Times New Roman"/>
          <w:noProof/>
          <w:sz w:val="24"/>
          <w:szCs w:val="20"/>
          <w:lang w:eastAsia="zh-CN"/>
        </w:rPr>
        <mc:AlternateContent>
          <mc:Choice Requires="wps">
            <w:drawing>
              <wp:anchor distT="0" distB="0" distL="114300" distR="114300" simplePos="0" relativeHeight="251659264" behindDoc="0" locked="0" layoutInCell="0" allowOverlap="1" wp14:anchorId="744209E8" wp14:editId="2482FA0D">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98785F" w:rsidRPr="0098785F" w:rsidRDefault="0098785F" w:rsidP="0098785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i/>
                                <w:iCs/>
                                <w:sz w:val="24"/>
                                <w:szCs w:val="20"/>
                                <w:lang w:val="en-GB"/>
                              </w:rPr>
                            </w:pPr>
                            <w:r w:rsidRPr="0098785F">
                              <w:rPr>
                                <w:rFonts w:ascii="Segoe UI" w:eastAsiaTheme="majorEastAsia" w:hAnsi="Segoe UI" w:cs="Segoe UI"/>
                                <w:i/>
                                <w:iCs/>
                                <w:sz w:val="24"/>
                                <w:szCs w:val="20"/>
                                <w:lang w:val="en-GB"/>
                              </w:rPr>
                              <w:t xml:space="preserve">The </w:t>
                            </w:r>
                            <w:r w:rsidRPr="0098785F">
                              <w:rPr>
                                <w:rFonts w:ascii="Segoe UI" w:eastAsiaTheme="majorEastAsia" w:hAnsi="Segoe UI" w:cs="Segoe UI" w:hint="eastAsia"/>
                                <w:i/>
                                <w:iCs/>
                                <w:sz w:val="24"/>
                                <w:szCs w:val="20"/>
                                <w:lang w:val="en-GB"/>
                              </w:rPr>
                              <w:t>objective</w:t>
                            </w:r>
                            <w:r w:rsidRPr="0098785F">
                              <w:rPr>
                                <w:rFonts w:ascii="Segoe UI" w:eastAsiaTheme="majorEastAsia" w:hAnsi="Segoe UI" w:cs="Segoe UI"/>
                                <w:i/>
                                <w:iCs/>
                                <w:sz w:val="24"/>
                                <w:szCs w:val="20"/>
                                <w:lang w:val="en-GB"/>
                              </w:rPr>
                              <w:t xml:space="preserve"> of this “Preparatory Questionnaire” is to find out to what extent it will be </w:t>
                            </w:r>
                            <w:r w:rsidRPr="0098785F">
                              <w:rPr>
                                <w:rFonts w:ascii="Segoe UI" w:eastAsiaTheme="majorEastAsia" w:hAnsi="Segoe UI" w:cs="Segoe UI" w:hint="eastAsia"/>
                                <w:i/>
                                <w:iCs/>
                                <w:sz w:val="24"/>
                                <w:szCs w:val="20"/>
                                <w:lang w:val="en-GB"/>
                              </w:rPr>
                              <w:t>possible</w:t>
                            </w:r>
                            <w:r w:rsidRPr="0098785F">
                              <w:rPr>
                                <w:rFonts w:ascii="Segoe UI" w:eastAsiaTheme="majorEastAsia" w:hAnsi="Segoe UI" w:cs="Segoe UI"/>
                                <w:i/>
                                <w:iCs/>
                                <w:sz w:val="24"/>
                                <w:szCs w:val="20"/>
                                <w:lang w:val="en-GB"/>
                              </w:rPr>
                              <w:t xml:space="preserve"> to collect actual examples of number portability toward establishing an all-IP infrastructure.</w:t>
                            </w:r>
                          </w:p>
                          <w:p w:rsidR="004B006B" w:rsidRPr="0098785F" w:rsidRDefault="004B006B" w:rsidP="004B006B">
                            <w:pPr>
                              <w:rPr>
                                <w:rFonts w:ascii="Segoe UI" w:hAnsi="Segoe UI" w:cs="Segoe UI"/>
                                <w:i/>
                                <w:iCs/>
                                <w:lang w:val="en-GB" w:bidi="ar-EG"/>
                              </w:rPr>
                            </w:pPr>
                          </w:p>
                          <w:p w:rsidR="004B006B" w:rsidRPr="00404D38" w:rsidRDefault="004B006B" w:rsidP="004B006B">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44209E8"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98785F" w:rsidRPr="0098785F" w:rsidRDefault="0098785F" w:rsidP="0098785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i/>
                          <w:iCs/>
                          <w:sz w:val="24"/>
                          <w:szCs w:val="20"/>
                          <w:lang w:val="en-GB"/>
                        </w:rPr>
                      </w:pPr>
                      <w:r w:rsidRPr="0098785F">
                        <w:rPr>
                          <w:rFonts w:ascii="Segoe UI" w:eastAsiaTheme="majorEastAsia" w:hAnsi="Segoe UI" w:cs="Segoe UI"/>
                          <w:i/>
                          <w:iCs/>
                          <w:sz w:val="24"/>
                          <w:szCs w:val="20"/>
                          <w:lang w:val="en-GB"/>
                        </w:rPr>
                        <w:t xml:space="preserve">The </w:t>
                      </w:r>
                      <w:r w:rsidRPr="0098785F">
                        <w:rPr>
                          <w:rFonts w:ascii="Segoe UI" w:eastAsiaTheme="majorEastAsia" w:hAnsi="Segoe UI" w:cs="Segoe UI" w:hint="eastAsia"/>
                          <w:i/>
                          <w:iCs/>
                          <w:sz w:val="24"/>
                          <w:szCs w:val="20"/>
                          <w:lang w:val="en-GB"/>
                        </w:rPr>
                        <w:t>objective</w:t>
                      </w:r>
                      <w:r w:rsidRPr="0098785F">
                        <w:rPr>
                          <w:rFonts w:ascii="Segoe UI" w:eastAsiaTheme="majorEastAsia" w:hAnsi="Segoe UI" w:cs="Segoe UI"/>
                          <w:i/>
                          <w:iCs/>
                          <w:sz w:val="24"/>
                          <w:szCs w:val="20"/>
                          <w:lang w:val="en-GB"/>
                        </w:rPr>
                        <w:t xml:space="preserve"> of this “Preparatory Questionnaire” is to find out to what extent it will be </w:t>
                      </w:r>
                      <w:r w:rsidRPr="0098785F">
                        <w:rPr>
                          <w:rFonts w:ascii="Segoe UI" w:eastAsiaTheme="majorEastAsia" w:hAnsi="Segoe UI" w:cs="Segoe UI" w:hint="eastAsia"/>
                          <w:i/>
                          <w:iCs/>
                          <w:sz w:val="24"/>
                          <w:szCs w:val="20"/>
                          <w:lang w:val="en-GB"/>
                        </w:rPr>
                        <w:t>possible</w:t>
                      </w:r>
                      <w:r w:rsidRPr="0098785F">
                        <w:rPr>
                          <w:rFonts w:ascii="Segoe UI" w:eastAsiaTheme="majorEastAsia" w:hAnsi="Segoe UI" w:cs="Segoe UI"/>
                          <w:i/>
                          <w:iCs/>
                          <w:sz w:val="24"/>
                          <w:szCs w:val="20"/>
                          <w:lang w:val="en-GB"/>
                        </w:rPr>
                        <w:t xml:space="preserve"> to collect actual examples of number portability toward establishing an all-IP infrastructure.</w:t>
                      </w:r>
                    </w:p>
                    <w:p w:rsidR="004B006B" w:rsidRPr="0098785F" w:rsidRDefault="004B006B" w:rsidP="004B006B">
                      <w:pPr>
                        <w:rPr>
                          <w:rFonts w:ascii="Segoe UI" w:hAnsi="Segoe UI" w:cs="Segoe UI"/>
                          <w:i/>
                          <w:iCs/>
                          <w:lang w:val="en-GB" w:bidi="ar-EG"/>
                        </w:rPr>
                      </w:pPr>
                    </w:p>
                    <w:p w:rsidR="004B006B" w:rsidRPr="00404D38" w:rsidRDefault="004B006B" w:rsidP="004B006B">
                      <w:pPr>
                        <w:rPr>
                          <w:rFonts w:asciiTheme="majorHAnsi" w:eastAsiaTheme="majorEastAsia" w:hAnsiTheme="majorHAnsi" w:cstheme="majorBidi"/>
                          <w:i/>
                          <w:iCs/>
                          <w:sz w:val="28"/>
                          <w:szCs w:val="28"/>
                        </w:rPr>
                      </w:pPr>
                    </w:p>
                  </w:txbxContent>
                </v:textbox>
                <w10:wrap type="square" anchorx="page" anchory="page"/>
              </v:shape>
            </w:pict>
          </mc:Fallback>
        </mc:AlternateContent>
      </w: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S Mincho" w:hAnsi="Segoe UI" w:cs="Segoe UI"/>
          <w:color w:val="4F81BD"/>
          <w:sz w:val="48"/>
          <w:szCs w:val="48"/>
          <w:lang w:val="en-GB"/>
        </w:rPr>
      </w:pPr>
      <w:r w:rsidRPr="004B006B">
        <w:rPr>
          <w:rFonts w:ascii="Segoe UI" w:eastAsia="MS Mincho" w:hAnsi="Segoe UI" w:cs="Segoe UI" w:hint="eastAsia"/>
          <w:color w:val="4F81BD"/>
          <w:sz w:val="48"/>
          <w:szCs w:val="48"/>
          <w:lang w:val="en-GB"/>
        </w:rPr>
        <w:t>April</w:t>
      </w:r>
      <w:r w:rsidRPr="004B006B">
        <w:rPr>
          <w:rFonts w:ascii="Segoe UI" w:eastAsia="MS Mincho" w:hAnsi="Segoe UI" w:cs="Segoe UI"/>
          <w:color w:val="4F81BD"/>
          <w:sz w:val="48"/>
          <w:szCs w:val="48"/>
          <w:lang w:val="en-GB"/>
        </w:rPr>
        <w:t xml:space="preserve"> 201</w:t>
      </w:r>
      <w:r w:rsidRPr="004B006B">
        <w:rPr>
          <w:rFonts w:ascii="Segoe UI" w:eastAsia="MS Mincho" w:hAnsi="Segoe UI" w:cs="Segoe UI" w:hint="eastAsia"/>
          <w:color w:val="4F81BD"/>
          <w:sz w:val="48"/>
          <w:szCs w:val="48"/>
          <w:lang w:val="en-GB"/>
        </w:rPr>
        <w:t>7</w:t>
      </w: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r w:rsidRPr="004B006B">
        <w:rPr>
          <w:rFonts w:cs="Times New Roman" w:hint="eastAsia"/>
          <w:noProof/>
          <w:sz w:val="24"/>
          <w:szCs w:val="20"/>
          <w:lang w:eastAsia="zh-CN"/>
        </w:rPr>
        <w:drawing>
          <wp:inline distT="0" distB="0" distL="0" distR="0" wp14:anchorId="4FBF866F" wp14:editId="019535A2">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4B006B" w:rsidRPr="004B006B" w:rsidRDefault="004B006B" w:rsidP="004B006B">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color w:val="4F81BD"/>
          <w:sz w:val="28"/>
          <w:szCs w:val="28"/>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4B006B">
        <w:rPr>
          <w:rFonts w:ascii="Segoe UI" w:hAnsi="Segoe UI" w:cs="Segoe UI"/>
          <w:b/>
          <w:sz w:val="28"/>
          <w:szCs w:val="28"/>
          <w:lang w:val="en-GB"/>
        </w:rPr>
        <w:lastRenderedPageBreak/>
        <w:t>Background of this Questionnaire</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 xml:space="preserve">Number portability is a national matter and various kinds of </w:t>
      </w:r>
      <w:r w:rsidRPr="004B006B">
        <w:rPr>
          <w:rFonts w:ascii="Segoe UI" w:hAnsi="Segoe UI" w:cs="Segoe UI"/>
          <w:color w:val="000000"/>
          <w:sz w:val="24"/>
          <w:szCs w:val="20"/>
          <w:lang w:val="en-GB"/>
        </w:rPr>
        <w:t>approach</w:t>
      </w:r>
      <w:r w:rsidRPr="004B006B">
        <w:rPr>
          <w:rFonts w:ascii="Segoe UI" w:hAnsi="Segoe UI" w:cs="Segoe UI"/>
          <w:sz w:val="24"/>
          <w:szCs w:val="20"/>
          <w:lang w:val="en-GB"/>
        </w:rPr>
        <w:t xml:space="preserve">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 </w:t>
      </w:r>
      <w:r w:rsidRPr="004B006B">
        <w:rPr>
          <w:rFonts w:ascii="Segoe UI" w:hAnsi="Segoe UI" w:cs="Segoe UI"/>
          <w:color w:val="000000"/>
          <w:sz w:val="24"/>
          <w:szCs w:val="20"/>
          <w:lang w:val="en-GB"/>
        </w:rPr>
        <w:t xml:space="preserve">this might serve as a useful reference to some other countries with ambitions for deploying </w:t>
      </w:r>
      <w:r w:rsidRPr="004B006B">
        <w:rPr>
          <w:rFonts w:ascii="Segoe UI" w:hAnsi="Segoe UI" w:cs="Segoe UI"/>
          <w:sz w:val="24"/>
          <w:szCs w:val="20"/>
          <w:lang w:val="en-GB"/>
        </w:rPr>
        <w:t>IP-technology-based networks</w:t>
      </w:r>
      <w:r w:rsidRPr="004B006B">
        <w:rPr>
          <w:rFonts w:ascii="Segoe UI" w:hAnsi="Segoe UI" w:cs="Segoe UI"/>
          <w:color w:val="000000"/>
          <w:sz w:val="24"/>
          <w:szCs w:val="20"/>
          <w:lang w:val="en-GB"/>
        </w:rPr>
        <w:t>.</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4B006B">
        <w:rPr>
          <w:rFonts w:ascii="Segoe UI" w:hAnsi="Segoe UI" w:cs="Segoe UI"/>
          <w:b/>
          <w:sz w:val="28"/>
          <w:szCs w:val="28"/>
          <w:lang w:val="en-GB"/>
        </w:rPr>
        <w:t xml:space="preserve">Information-1: </w:t>
      </w:r>
      <w:r w:rsidRPr="004B006B">
        <w:rPr>
          <w:rFonts w:ascii="Segoe UI" w:hAnsi="Segoe UI" w:cs="Segoe UI"/>
          <w:sz w:val="28"/>
          <w:szCs w:val="28"/>
          <w:lang w:val="en-GB"/>
        </w:rPr>
        <w:t>Number portability database solution</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In clause 12.2 of Number Portability Supplement (E.164 Supplement 2), five options are listed as potential solutions that address the implementation of a number portability database. Overview diagrams for each of the solutions are shown in Figure 1 in the last 2 pages. This figure will be referred from the questions later.</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4B006B">
        <w:rPr>
          <w:rFonts w:ascii="Segoe UI" w:hAnsi="Segoe UI" w:cs="Segoe UI"/>
          <w:b/>
          <w:sz w:val="28"/>
          <w:szCs w:val="28"/>
          <w:lang w:val="en-GB"/>
        </w:rPr>
        <w:t xml:space="preserve">Information-2: </w:t>
      </w:r>
      <w:r w:rsidRPr="004B006B">
        <w:rPr>
          <w:rFonts w:ascii="Segoe UI" w:hAnsi="Segoe UI" w:cs="Segoe UI"/>
          <w:sz w:val="28"/>
          <w:szCs w:val="28"/>
          <w:lang w:val="en-GB"/>
        </w:rPr>
        <w:t>ENUM-like technology (see Note) utilization</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In section 12.2.1 of E.164 Supplement 2, four examples of an ENUM-like technology utilization for solutions corresponding to each number portability database option in clause12.2 are listed. Overview diagrams of those examples are shown in Figure 2 in the last 2 pages. This figure will be referred from the questions later.</w:t>
      </w:r>
    </w:p>
    <w:p w:rsidR="004B006B" w:rsidRPr="004B006B" w:rsidRDefault="004B006B" w:rsidP="004B006B">
      <w:pPr>
        <w:tabs>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eastAsia="ja-JP"/>
        </w:rPr>
      </w:pPr>
    </w:p>
    <w:p w:rsidR="004B006B" w:rsidRPr="004B006B" w:rsidRDefault="004B006B" w:rsidP="004B006B">
      <w:pPr>
        <w:tabs>
          <w:tab w:val="left" w:pos="284"/>
          <w:tab w:val="left" w:pos="426"/>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eastAsia="ja-JP"/>
        </w:rPr>
      </w:pPr>
      <w:r w:rsidRPr="004B006B">
        <w:rPr>
          <w:rFonts w:ascii="Segoe UI" w:hAnsi="Segoe UI" w:cs="Segoe UI"/>
          <w:sz w:val="24"/>
          <w:szCs w:val="20"/>
          <w:lang w:val="en-GB"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4B006B" w:rsidRPr="004B006B" w:rsidRDefault="004B006B" w:rsidP="004B006B">
      <w:pPr>
        <w:tabs>
          <w:tab w:val="left" w:pos="284"/>
          <w:tab w:val="left" w:pos="426"/>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rPr>
      </w:pPr>
      <w:r w:rsidRPr="004B006B">
        <w:rPr>
          <w:rFonts w:ascii="Segoe UI" w:hAnsi="Segoe UI" w:cs="Segoe UI"/>
          <w:sz w:val="24"/>
          <w:szCs w:val="24"/>
          <w:lang w:val="en-GB" w:eastAsia="ja-JP"/>
        </w:rPr>
        <w:t>More specifically in the present Questionnaire, the term “</w:t>
      </w:r>
      <w:r w:rsidRPr="004B006B">
        <w:rPr>
          <w:rFonts w:ascii="Segoe UI" w:hAnsi="Segoe UI" w:cs="Segoe UI"/>
          <w:sz w:val="24"/>
          <w:szCs w:val="24"/>
          <w:lang w:val="en-GB"/>
        </w:rPr>
        <w:t>ENUM-like</w:t>
      </w:r>
      <w:r w:rsidRPr="004B006B">
        <w:rPr>
          <w:rFonts w:ascii="Segoe UI" w:hAnsi="Segoe UI" w:cs="Segoe UI"/>
          <w:sz w:val="24"/>
          <w:szCs w:val="24"/>
          <w:lang w:val="en-GB" w:eastAsia="ja-JP"/>
        </w:rPr>
        <w:t>”</w:t>
      </w:r>
      <w:r w:rsidRPr="004B006B">
        <w:rPr>
          <w:rFonts w:ascii="Segoe UI" w:hAnsi="Segoe UI" w:cs="Segoe UI"/>
          <w:sz w:val="24"/>
          <w:szCs w:val="24"/>
          <w:lang w:val="en-GB"/>
        </w:rPr>
        <w:t xml:space="preserve"> system</w:t>
      </w:r>
      <w:r w:rsidRPr="004B006B">
        <w:rPr>
          <w:rFonts w:ascii="Segoe UI" w:hAnsi="Segoe UI" w:cs="Segoe UI"/>
          <w:sz w:val="24"/>
          <w:szCs w:val="24"/>
          <w:lang w:val="en-GB" w:eastAsia="ja-JP"/>
        </w:rPr>
        <w:t xml:space="preserve"> represents the </w:t>
      </w:r>
      <w:r w:rsidRPr="004B006B">
        <w:rPr>
          <w:rFonts w:ascii="Segoe UI" w:hAnsi="Segoe UI" w:cs="Segoe UI"/>
          <w:sz w:val="24"/>
          <w:szCs w:val="24"/>
          <w:lang w:val="en-GB"/>
        </w:rPr>
        <w:t>nationally defined DB system and query mechanism</w:t>
      </w:r>
      <w:r w:rsidRPr="004B006B">
        <w:rPr>
          <w:rFonts w:ascii="Segoe UI" w:hAnsi="Segoe UI" w:cs="Segoe UI"/>
          <w:sz w:val="24"/>
          <w:szCs w:val="24"/>
          <w:lang w:val="en-GB" w:eastAsia="ja-JP"/>
        </w:rPr>
        <w:t xml:space="preserve"> which </w:t>
      </w:r>
      <w:r w:rsidRPr="004B006B">
        <w:rPr>
          <w:rFonts w:ascii="Segoe UI" w:hAnsi="Segoe UI" w:cs="Segoe UI"/>
          <w:sz w:val="24"/>
          <w:szCs w:val="24"/>
          <w:lang w:val="en-GB"/>
        </w:rPr>
        <w:t>is used to map an ITU-T E.164 number into a uniform resource indicator (URI) or domain name, or another national database system providing the appropriate mapping functionalities between ITU-T E.164 numbers and URI and/or domain names and/or IP addresses.</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bCs/>
          <w:sz w:val="28"/>
          <w:szCs w:val="28"/>
          <w:lang w:val="en-GB"/>
        </w:rPr>
      </w:pPr>
      <w:r w:rsidRPr="004B006B">
        <w:rPr>
          <w:rFonts w:ascii="Segoe UI" w:hAnsi="Segoe UI" w:cs="Segoe UI"/>
          <w:bCs/>
          <w:color w:val="C00000"/>
          <w:sz w:val="28"/>
          <w:szCs w:val="28"/>
          <w:lang w:val="en-GB"/>
        </w:rPr>
        <w:br w:type="page"/>
      </w: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color w:val="C00000"/>
          <w:sz w:val="28"/>
          <w:szCs w:val="28"/>
          <w:lang w:val="en-GB"/>
        </w:rPr>
      </w:pPr>
      <w:r w:rsidRPr="004B006B">
        <w:rPr>
          <w:rFonts w:ascii="Segoe UI" w:hAnsi="Segoe UI" w:cs="Segoe UI"/>
          <w:b/>
          <w:bCs/>
          <w:color w:val="000000" w:themeColor="text1"/>
          <w:sz w:val="28"/>
          <w:szCs w:val="28"/>
          <w:lang w:val="en-GB"/>
        </w:rPr>
        <w:lastRenderedPageBreak/>
        <w:t xml:space="preserve">Question 1: </w:t>
      </w:r>
      <w:r w:rsidRPr="004B006B">
        <w:rPr>
          <w:rFonts w:ascii="Segoe UI" w:hAnsi="Segoe UI" w:cs="Segoe UI"/>
          <w:bCs/>
          <w:color w:val="000000" w:themeColor="text1"/>
          <w:sz w:val="28"/>
          <w:szCs w:val="28"/>
          <w:lang w:val="en-GB"/>
        </w:rPr>
        <w:t>Current number portability database solution</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4B006B">
        <w:rPr>
          <w:rFonts w:ascii="Segoe UI" w:hAnsi="Segoe UI" w:cs="Segoe UI"/>
          <w:b/>
          <w:sz w:val="24"/>
          <w:szCs w:val="20"/>
          <w:lang w:val="en-GB"/>
        </w:rPr>
        <w:t xml:space="preserve">Q1-1 </w:t>
      </w:r>
      <w:r w:rsidRPr="004B006B">
        <w:rPr>
          <w:rFonts w:ascii="Segoe UI" w:hAnsi="Segoe UI" w:cs="Segoe UI"/>
          <w:sz w:val="24"/>
          <w:szCs w:val="20"/>
          <w:lang w:val="en-GB"/>
        </w:rPr>
        <w:t>Is the number portability databases solution currently adopted in your country included in Figure 1 (Examples of number portability databases solutions)?</w:t>
      </w:r>
      <w:r w:rsidRPr="004B006B">
        <w:rPr>
          <w:rFonts w:ascii="Segoe UI" w:hAnsi="Segoe UI" w:cs="Segoe UI"/>
          <w:sz w:val="24"/>
          <w:szCs w:val="20"/>
          <w:lang w:val="en-GB"/>
        </w:rPr>
        <w:br/>
        <w:t>(Please Check (</w:t>
      </w:r>
      <w:r w:rsidRPr="004B006B">
        <w:rPr>
          <w:rFonts w:ascii="Segoe UI" w:hAnsi="Segoe UI" w:cs="Segoe UI"/>
          <w:sz w:val="24"/>
          <w:szCs w:val="20"/>
          <w:lang w:val="en-GB"/>
        </w:rPr>
        <w:sym w:font="Wingdings" w:char="F0FC"/>
      </w:r>
      <w:r w:rsidRPr="004B006B">
        <w:rPr>
          <w:rFonts w:ascii="Segoe UI" w:hAnsi="Segoe UI" w:cs="Segoe UI"/>
          <w:sz w:val="24"/>
          <w:szCs w:val="20"/>
          <w:lang w:val="en-GB"/>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4B006B" w:rsidRPr="004B006B" w:rsidTr="002B6E0F">
        <w:trPr>
          <w:trHeight w:val="177"/>
        </w:trPr>
        <w:tc>
          <w:tcPr>
            <w:tcW w:w="1873" w:type="pct"/>
            <w:vMerge w:val="restart"/>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Yes, it is included in Figure 1.</w:t>
            </w:r>
          </w:p>
        </w:tc>
        <w:tc>
          <w:tcPr>
            <w:tcW w:w="36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0" w:type="pct"/>
            <w:vMerge w:val="restart"/>
            <w:tcBorders>
              <w:left w:val="nil"/>
              <w:right w:val="nil"/>
            </w:tcBorders>
            <w:shd w:val="clear" w:color="auto" w:fill="auto"/>
            <w:tcMar>
              <w:left w:w="142" w:type="dxa"/>
            </w:tcMar>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No, it is not included in Figure 1.</w:t>
            </w:r>
          </w:p>
        </w:tc>
        <w:tc>
          <w:tcPr>
            <w:tcW w:w="364"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 w:type="pct"/>
            <w:tcBorders>
              <w:left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r>
      <w:tr w:rsidR="004B006B" w:rsidRPr="004B006B" w:rsidTr="002B6E0F">
        <w:trPr>
          <w:trHeight w:val="593"/>
        </w:trPr>
        <w:tc>
          <w:tcPr>
            <w:tcW w:w="1873"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5" w:type="pct"/>
            <w:tcBorders>
              <w:bottom w:val="single" w:sz="4" w:space="0" w:color="auto"/>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p>
        </w:tc>
        <w:tc>
          <w:tcPr>
            <w:tcW w:w="2180"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4"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8" w:type="pct"/>
            <w:tcBorders>
              <w:top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220"/>
        </w:trPr>
        <w:tc>
          <w:tcPr>
            <w:tcW w:w="1873" w:type="pct"/>
            <w:vMerge/>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0" w:type="pct"/>
            <w:vMerge/>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4"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8" w:type="pct"/>
            <w:tcBorders>
              <w:top w:val="nil"/>
              <w:lef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4B006B">
        <w:rPr>
          <w:rFonts w:ascii="Segoe UI" w:hAnsi="Segoe UI" w:cs="Segoe UI"/>
          <w:b/>
          <w:sz w:val="24"/>
          <w:szCs w:val="20"/>
          <w:lang w:val="en-GB"/>
        </w:rPr>
        <w:t xml:space="preserve">Q1-2 </w:t>
      </w:r>
      <w:r w:rsidRPr="004B006B">
        <w:rPr>
          <w:rFonts w:ascii="Segoe UI" w:hAnsi="Segoe UI" w:cs="Segoe UI"/>
          <w:sz w:val="24"/>
          <w:szCs w:val="20"/>
          <w:lang w:val="en-GB"/>
        </w:rPr>
        <w:t>If the answer is</w:t>
      </w:r>
      <w:r w:rsidRPr="004B006B">
        <w:rPr>
          <w:rFonts w:ascii="Segoe UI" w:hAnsi="Segoe UI" w:cs="Segoe UI"/>
          <w:b/>
          <w:sz w:val="24"/>
          <w:szCs w:val="20"/>
          <w:lang w:val="en-GB"/>
        </w:rPr>
        <w:t xml:space="preserve"> Yes </w:t>
      </w:r>
      <w:r w:rsidRPr="004B006B">
        <w:rPr>
          <w:rFonts w:ascii="Segoe UI" w:hAnsi="Segoe UI" w:cs="Segoe UI"/>
          <w:sz w:val="24"/>
          <w:szCs w:val="20"/>
          <w:lang w:val="en-GB"/>
        </w:rPr>
        <w:t>in Q1-1 above, which number portability databases solution in Figure 1 is adopted in your country?</w:t>
      </w:r>
      <w:r w:rsidRPr="004B006B">
        <w:rPr>
          <w:rFonts w:ascii="Segoe UI" w:hAnsi="Segoe UI" w:cs="Segoe UI"/>
          <w:sz w:val="24"/>
          <w:szCs w:val="20"/>
          <w:lang w:val="en-GB"/>
        </w:rPr>
        <w:br/>
        <w:t>(Please Check (</w:t>
      </w:r>
      <w:r w:rsidRPr="004B006B">
        <w:rPr>
          <w:rFonts w:ascii="Segoe UI" w:hAnsi="Segoe UI" w:cs="Segoe UI"/>
          <w:sz w:val="24"/>
          <w:szCs w:val="20"/>
          <w:lang w:val="en-GB"/>
        </w:rPr>
        <w:sym w:font="Wingdings" w:char="F0FC"/>
      </w:r>
      <w:r w:rsidRPr="004B006B">
        <w:rPr>
          <w:rFonts w:ascii="Segoe UI" w:hAnsi="Segoe UI" w:cs="Segoe UI"/>
          <w:sz w:val="24"/>
          <w:szCs w:val="20"/>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4B006B" w:rsidRPr="004B006B" w:rsidTr="002B6E0F">
        <w:trPr>
          <w:trHeight w:val="554"/>
        </w:trPr>
        <w:tc>
          <w:tcPr>
            <w:tcW w:w="622"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4B006B">
              <w:rPr>
                <w:rFonts w:ascii="Segoe UI" w:hAnsi="Segoe UI" w:cs="Segoe UI"/>
                <w:b/>
                <w:sz w:val="24"/>
                <w:szCs w:val="20"/>
                <w:lang w:val="en-GB"/>
              </w:rPr>
              <w:t>Solution A</w:t>
            </w:r>
          </w:p>
        </w:tc>
        <w:tc>
          <w:tcPr>
            <w:tcW w:w="428"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p>
        </w:tc>
        <w:tc>
          <w:tcPr>
            <w:tcW w:w="597"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4B006B">
              <w:rPr>
                <w:rFonts w:ascii="Segoe UI" w:hAnsi="Segoe UI" w:cs="Segoe UI"/>
                <w:b/>
                <w:sz w:val="24"/>
                <w:szCs w:val="20"/>
                <w:lang w:val="en-GB"/>
              </w:rPr>
              <w:t>Solution B</w:t>
            </w:r>
          </w:p>
        </w:tc>
        <w:tc>
          <w:tcPr>
            <w:tcW w:w="427"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45"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4B006B">
              <w:rPr>
                <w:rFonts w:ascii="Segoe UI" w:hAnsi="Segoe UI" w:cs="Segoe UI"/>
                <w:b/>
                <w:sz w:val="24"/>
                <w:szCs w:val="20"/>
                <w:lang w:val="en-GB"/>
              </w:rPr>
              <w:t>Solution C</w:t>
            </w:r>
          </w:p>
        </w:tc>
        <w:tc>
          <w:tcPr>
            <w:tcW w:w="380"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45"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4B006B">
              <w:rPr>
                <w:rFonts w:ascii="Segoe UI" w:hAnsi="Segoe UI" w:cs="Segoe UI"/>
                <w:b/>
                <w:sz w:val="24"/>
                <w:szCs w:val="20"/>
                <w:lang w:val="en-GB"/>
              </w:rPr>
              <w:t>Solution D</w:t>
            </w:r>
          </w:p>
        </w:tc>
        <w:tc>
          <w:tcPr>
            <w:tcW w:w="423"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69"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4B006B">
              <w:rPr>
                <w:rFonts w:ascii="Segoe UI" w:hAnsi="Segoe UI" w:cs="Segoe UI"/>
                <w:b/>
                <w:sz w:val="24"/>
                <w:szCs w:val="20"/>
                <w:lang w:val="en-GB"/>
              </w:rPr>
              <w:t>Solution E</w:t>
            </w:r>
          </w:p>
        </w:tc>
        <w:tc>
          <w:tcPr>
            <w:tcW w:w="463"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r>
    </w:tbl>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b/>
          <w:sz w:val="24"/>
          <w:szCs w:val="20"/>
          <w:lang w:val="en-GB"/>
        </w:rPr>
        <w:t>Q1-3</w:t>
      </w:r>
      <w:r w:rsidRPr="004B006B">
        <w:rPr>
          <w:rFonts w:ascii="Segoe UI" w:hAnsi="Segoe UI" w:cs="Segoe UI"/>
          <w:sz w:val="24"/>
          <w:szCs w:val="20"/>
          <w:lang w:val="en-GB"/>
        </w:rPr>
        <w:t xml:space="preserve"> If the answer is </w:t>
      </w:r>
      <w:r w:rsidRPr="004B006B">
        <w:rPr>
          <w:rFonts w:ascii="Segoe UI" w:hAnsi="Segoe UI" w:cs="Segoe UI"/>
          <w:b/>
          <w:sz w:val="24"/>
          <w:szCs w:val="20"/>
          <w:lang w:val="en-GB"/>
        </w:rPr>
        <w:t>No</w:t>
      </w:r>
      <w:r w:rsidRPr="004B006B">
        <w:rPr>
          <w:rFonts w:ascii="Segoe UI" w:hAnsi="Segoe UI" w:cs="Segoe UI"/>
          <w:sz w:val="24"/>
          <w:szCs w:val="20"/>
          <w:lang w:val="en-GB"/>
        </w:rPr>
        <w:t xml:space="preserve"> in Q1-1 above, please describe the general features of the current database solution adopted in your country.</w:t>
      </w:r>
    </w:p>
    <w:p w:rsidR="004B006B" w:rsidRPr="004B006B" w:rsidRDefault="004B006B" w:rsidP="004B006B">
      <w:pPr>
        <w:numPr>
          <w:ilvl w:val="1"/>
          <w:numId w:val="14"/>
        </w:numPr>
        <w:tabs>
          <w:tab w:val="left" w:pos="1191"/>
          <w:tab w:val="left" w:pos="1588"/>
          <w:tab w:val="left" w:pos="1985"/>
        </w:tabs>
        <w:overflowPunct w:val="0"/>
        <w:autoSpaceDE w:val="0"/>
        <w:autoSpaceDN w:val="0"/>
        <w:bidi w:val="0"/>
        <w:adjustRightInd w:val="0"/>
        <w:snapToGri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General features:</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noProof/>
          <w:sz w:val="24"/>
          <w:szCs w:val="20"/>
          <w:lang w:eastAsia="zh-CN"/>
        </w:rPr>
        <mc:AlternateContent>
          <mc:Choice Requires="wps">
            <w:drawing>
              <wp:inline distT="0" distB="0" distL="0" distR="0" wp14:anchorId="54372B24" wp14:editId="637EF31F">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4B006B" w:rsidRDefault="004B006B" w:rsidP="006173F9">
                            <w:pPr>
                              <w:bidi w:val="0"/>
                              <w:rPr>
                                <w:rFonts w:cs="Segoe UI"/>
                              </w:rPr>
                            </w:pPr>
                          </w:p>
                          <w:p w:rsidR="004B006B" w:rsidRDefault="004B006B" w:rsidP="006173F9">
                            <w:pPr>
                              <w:bidi w:val="0"/>
                              <w:rPr>
                                <w:rFonts w:cs="Segoe UI"/>
                              </w:rPr>
                            </w:pPr>
                          </w:p>
                          <w:p w:rsidR="004B006B" w:rsidRDefault="004B006B" w:rsidP="006173F9">
                            <w:pPr>
                              <w:bidi w:val="0"/>
                              <w:rPr>
                                <w:rFonts w:cs="Segoe UI"/>
                              </w:rPr>
                            </w:pPr>
                          </w:p>
                          <w:p w:rsidR="004B006B" w:rsidRDefault="004B006B" w:rsidP="006173F9">
                            <w:pPr>
                              <w:bidi w:val="0"/>
                              <w:rPr>
                                <w:rFonts w:cs="Segoe UI"/>
                              </w:rPr>
                            </w:pPr>
                          </w:p>
                          <w:p w:rsidR="004B006B" w:rsidRDefault="004B006B" w:rsidP="004B006B">
                            <w:pPr>
                              <w:rPr>
                                <w:rFonts w:cs="Segoe UI"/>
                              </w:rPr>
                            </w:pPr>
                          </w:p>
                          <w:p w:rsidR="004B006B" w:rsidRPr="00E37CA7" w:rsidRDefault="004B006B" w:rsidP="004B006B">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54372B24"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4B006B" w:rsidRDefault="004B006B" w:rsidP="006173F9">
                      <w:pPr>
                        <w:bidi w:val="0"/>
                        <w:rPr>
                          <w:rFonts w:cs="Segoe UI"/>
                        </w:rPr>
                      </w:pPr>
                    </w:p>
                    <w:p w:rsidR="004B006B" w:rsidRDefault="004B006B" w:rsidP="006173F9">
                      <w:pPr>
                        <w:bidi w:val="0"/>
                        <w:rPr>
                          <w:rFonts w:cs="Segoe UI"/>
                        </w:rPr>
                      </w:pPr>
                    </w:p>
                    <w:p w:rsidR="004B006B" w:rsidRDefault="004B006B" w:rsidP="006173F9">
                      <w:pPr>
                        <w:bidi w:val="0"/>
                        <w:rPr>
                          <w:rFonts w:cs="Segoe UI"/>
                        </w:rPr>
                      </w:pPr>
                    </w:p>
                    <w:p w:rsidR="004B006B" w:rsidRDefault="004B006B" w:rsidP="006173F9">
                      <w:pPr>
                        <w:bidi w:val="0"/>
                        <w:rPr>
                          <w:rFonts w:cs="Segoe UI"/>
                        </w:rPr>
                      </w:pPr>
                    </w:p>
                    <w:p w:rsidR="004B006B" w:rsidRDefault="004B006B" w:rsidP="004B006B">
                      <w:pPr>
                        <w:rPr>
                          <w:rFonts w:cs="Segoe UI"/>
                        </w:rPr>
                      </w:pPr>
                    </w:p>
                    <w:p w:rsidR="004B006B" w:rsidRPr="00E37CA7" w:rsidRDefault="004B006B" w:rsidP="004B006B">
                      <w:pPr>
                        <w:rPr>
                          <w:rFonts w:cs="Segoe UI"/>
                        </w:rPr>
                      </w:pPr>
                    </w:p>
                  </w:txbxContent>
                </v:textbox>
                <w10:anchorlock/>
              </v:shape>
            </w:pict>
          </mc:Fallback>
        </mc:AlternateConten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bCs/>
          <w:sz w:val="28"/>
          <w:szCs w:val="28"/>
          <w:lang w:val="en-GB"/>
        </w:rPr>
      </w:pPr>
      <w:r w:rsidRPr="004B006B">
        <w:rPr>
          <w:rFonts w:ascii="Segoe UI" w:hAnsi="Segoe UI" w:cs="Segoe UI"/>
          <w:bCs/>
          <w:color w:val="C00000"/>
          <w:sz w:val="28"/>
          <w:szCs w:val="28"/>
          <w:lang w:val="en-GB"/>
        </w:rPr>
        <w:br w:type="page"/>
      </w: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Cs/>
          <w:color w:val="000000" w:themeColor="text1"/>
          <w:sz w:val="28"/>
          <w:szCs w:val="28"/>
          <w:lang w:val="en-GB"/>
        </w:rPr>
      </w:pPr>
      <w:r w:rsidRPr="004B006B">
        <w:rPr>
          <w:rFonts w:ascii="Segoe UI" w:hAnsi="Segoe UI" w:cs="Segoe UI"/>
          <w:b/>
          <w:bCs/>
          <w:color w:val="000000" w:themeColor="text1"/>
          <w:sz w:val="28"/>
          <w:szCs w:val="28"/>
          <w:lang w:val="en-GB"/>
        </w:rPr>
        <w:lastRenderedPageBreak/>
        <w:t xml:space="preserve">Question 2: </w:t>
      </w:r>
      <w:r w:rsidRPr="004B006B">
        <w:rPr>
          <w:rFonts w:ascii="Segoe UI" w:hAnsi="Segoe UI" w:cs="Segoe UI"/>
          <w:bCs/>
          <w:color w:val="000000" w:themeColor="text1"/>
          <w:sz w:val="28"/>
          <w:szCs w:val="28"/>
          <w:lang w:val="en-GB"/>
        </w:rPr>
        <w:t>Direction for future number portability database solution</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In the process of an 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4B006B">
        <w:rPr>
          <w:rFonts w:ascii="Segoe UI" w:hAnsi="Segoe UI" w:cs="Segoe UI"/>
          <w:b/>
          <w:sz w:val="24"/>
          <w:szCs w:val="20"/>
          <w:lang w:val="en-GB"/>
        </w:rPr>
        <w:t xml:space="preserve">Q2-1 </w:t>
      </w:r>
      <w:r w:rsidRPr="004B006B">
        <w:rPr>
          <w:rFonts w:ascii="Segoe UI" w:hAnsi="Segoe UI" w:cs="Segoe UI"/>
          <w:sz w:val="24"/>
          <w:szCs w:val="20"/>
          <w:lang w:val="en-GB"/>
        </w:rPr>
        <w:t>Is the number portability databases solution for all-IP infrastructure which is/will be/is being planned to be adopted in your country included in Figure 2 (Examples of ENUM-like technology utilization)?</w:t>
      </w:r>
      <w:r w:rsidRPr="004B006B">
        <w:rPr>
          <w:rFonts w:ascii="Segoe UI" w:hAnsi="Segoe UI" w:cs="Segoe UI"/>
          <w:sz w:val="24"/>
          <w:szCs w:val="20"/>
          <w:lang w:val="en-GB"/>
        </w:rPr>
        <w:br/>
        <w:t>(Please Check (</w:t>
      </w:r>
      <w:r w:rsidRPr="004B006B">
        <w:rPr>
          <w:rFonts w:ascii="Segoe UI" w:hAnsi="Segoe UI" w:cs="Segoe UI"/>
          <w:sz w:val="24"/>
          <w:szCs w:val="20"/>
          <w:lang w:val="en-GB"/>
        </w:rPr>
        <w:sym w:font="Wingdings" w:char="F0FC"/>
      </w:r>
      <w:r w:rsidRPr="004B006B">
        <w:rPr>
          <w:rFonts w:ascii="Segoe UI" w:hAnsi="Segoe UI" w:cs="Segoe UI"/>
          <w:sz w:val="24"/>
          <w:szCs w:val="20"/>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4B006B" w:rsidRPr="004B006B" w:rsidTr="002B6E0F">
        <w:trPr>
          <w:trHeight w:val="177"/>
        </w:trPr>
        <w:tc>
          <w:tcPr>
            <w:tcW w:w="2187" w:type="pct"/>
            <w:vMerge w:val="restart"/>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Yes, it is included in Figure 2.</w:t>
            </w: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gridSpan w:val="2"/>
            <w:vMerge w:val="restart"/>
            <w:tcBorders>
              <w:left w:val="nil"/>
              <w:right w:val="nil"/>
            </w:tcBorders>
            <w:shd w:val="clear" w:color="auto" w:fill="auto"/>
            <w:tcMar>
              <w:left w:w="142" w:type="dxa"/>
            </w:tcMar>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No, it is not included in Figure 2.</w:t>
            </w: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left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593"/>
        </w:trPr>
        <w:tc>
          <w:tcPr>
            <w:tcW w:w="2187"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2130" w:type="pct"/>
            <w:gridSpan w:val="2"/>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70"/>
        </w:trPr>
        <w:tc>
          <w:tcPr>
            <w:tcW w:w="2187" w:type="pct"/>
            <w:vMerge/>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gridSpan w:val="2"/>
            <w:vMerge/>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lef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gridAfter w:val="3"/>
          <w:wAfter w:w="4755" w:type="dxa"/>
          <w:trHeight w:val="177"/>
        </w:trPr>
        <w:tc>
          <w:tcPr>
            <w:tcW w:w="2187" w:type="pct"/>
            <w:vMerge w:val="restart"/>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No decision has been made yet.</w:t>
            </w: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left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gridAfter w:val="3"/>
          <w:wAfter w:w="4755" w:type="dxa"/>
          <w:trHeight w:val="593"/>
        </w:trPr>
        <w:tc>
          <w:tcPr>
            <w:tcW w:w="2187"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gridAfter w:val="3"/>
          <w:wAfter w:w="4755" w:type="dxa"/>
          <w:trHeight w:val="70"/>
        </w:trPr>
        <w:tc>
          <w:tcPr>
            <w:tcW w:w="2187" w:type="pct"/>
            <w:vMerge/>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lef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4B006B">
        <w:rPr>
          <w:rFonts w:ascii="Segoe UI" w:hAnsi="Segoe UI" w:cs="Segoe UI"/>
          <w:b/>
          <w:sz w:val="24"/>
          <w:szCs w:val="20"/>
          <w:lang w:val="en-GB"/>
        </w:rPr>
        <w:t xml:space="preserve">Q2-2 </w:t>
      </w:r>
      <w:r w:rsidRPr="004B006B">
        <w:rPr>
          <w:rFonts w:ascii="Segoe UI" w:hAnsi="Segoe UI" w:cs="Segoe UI"/>
          <w:sz w:val="24"/>
          <w:szCs w:val="20"/>
          <w:lang w:val="en-GB"/>
        </w:rPr>
        <w:t>If the answer is</w:t>
      </w:r>
      <w:r w:rsidRPr="004B006B">
        <w:rPr>
          <w:rFonts w:ascii="Segoe UI" w:hAnsi="Segoe UI" w:cs="Segoe UI"/>
          <w:b/>
          <w:sz w:val="24"/>
          <w:szCs w:val="20"/>
          <w:lang w:val="en-GB"/>
        </w:rPr>
        <w:t xml:space="preserve"> Yes </w:t>
      </w:r>
      <w:r w:rsidRPr="004B006B">
        <w:rPr>
          <w:rFonts w:ascii="Segoe UI" w:hAnsi="Segoe UI" w:cs="Segoe UI"/>
          <w:sz w:val="24"/>
          <w:szCs w:val="20"/>
          <w:lang w:val="en-GB"/>
        </w:rPr>
        <w:t>in Q2-1 above, which number portability databases solution for all-IP infrastructure in Figure 2 is adopted, or will be adopted in the future, in your country?</w:t>
      </w:r>
      <w:r w:rsidRPr="004B006B">
        <w:rPr>
          <w:rFonts w:ascii="Segoe UI" w:hAnsi="Segoe UI" w:cs="Segoe UI"/>
          <w:sz w:val="24"/>
          <w:szCs w:val="20"/>
          <w:lang w:val="en-GB"/>
        </w:rPr>
        <w:br/>
        <w:t>(Please Check (</w:t>
      </w:r>
      <w:r w:rsidRPr="004B006B">
        <w:rPr>
          <w:rFonts w:ascii="Segoe UI" w:hAnsi="Segoe UI" w:cs="Segoe UI"/>
          <w:sz w:val="24"/>
          <w:szCs w:val="20"/>
          <w:lang w:val="en-GB"/>
        </w:rPr>
        <w:sym w:font="Wingdings" w:char="F0FC"/>
      </w:r>
      <w:r w:rsidRPr="004B006B">
        <w:rPr>
          <w:rFonts w:ascii="Segoe UI" w:hAnsi="Segoe UI" w:cs="Segoe UI"/>
          <w:sz w:val="24"/>
          <w:szCs w:val="20"/>
          <w:lang w:val="en-GB"/>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4B006B" w:rsidRPr="004B006B" w:rsidTr="002B6E0F">
        <w:trPr>
          <w:trHeight w:val="177"/>
        </w:trPr>
        <w:tc>
          <w:tcPr>
            <w:tcW w:w="2186" w:type="pct"/>
            <w:vMerge w:val="restart"/>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Local ENUM with no sharing of NP data among operators</w:t>
            </w: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val="restart"/>
            <w:tcBorders>
              <w:left w:val="nil"/>
              <w:right w:val="nil"/>
            </w:tcBorders>
            <w:shd w:val="clear" w:color="auto" w:fill="auto"/>
            <w:tcMar>
              <w:left w:w="142" w:type="dxa"/>
            </w:tcMar>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Local ENUM with common/shared NP data among operators</w:t>
            </w: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left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593"/>
        </w:trPr>
        <w:tc>
          <w:tcPr>
            <w:tcW w:w="2186"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70"/>
        </w:trPr>
        <w:tc>
          <w:tcPr>
            <w:tcW w:w="2186" w:type="pct"/>
            <w:vMerge/>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lef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177"/>
        </w:trPr>
        <w:tc>
          <w:tcPr>
            <w:tcW w:w="2186" w:type="pct"/>
            <w:vMerge w:val="restart"/>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National ENUM with collective NP data from all operators</w:t>
            </w: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val="restart"/>
            <w:tcBorders>
              <w:left w:val="nil"/>
              <w:right w:val="nil"/>
            </w:tcBorders>
            <w:shd w:val="clear" w:color="auto" w:fill="auto"/>
            <w:tcMar>
              <w:left w:w="142" w:type="dxa"/>
            </w:tcMar>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4B006B">
              <w:rPr>
                <w:rFonts w:ascii="Segoe UI" w:hAnsi="Segoe UI" w:cs="Segoe UI"/>
                <w:b/>
                <w:sz w:val="24"/>
                <w:szCs w:val="20"/>
                <w:lang w:val="en-GB"/>
              </w:rPr>
              <w:t>Hierarchical ENUM</w:t>
            </w: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left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593"/>
        </w:trPr>
        <w:tc>
          <w:tcPr>
            <w:tcW w:w="2186"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bottom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4B006B" w:rsidRPr="004B006B" w:rsidTr="002B6E0F">
        <w:trPr>
          <w:trHeight w:val="70"/>
        </w:trPr>
        <w:tc>
          <w:tcPr>
            <w:tcW w:w="2186" w:type="pct"/>
            <w:vMerge/>
            <w:tcBorders>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left w:val="nil"/>
            </w:tcBorders>
            <w:shd w:val="clear" w:color="auto" w:fill="auto"/>
            <w:vAlign w:val="center"/>
          </w:tcPr>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b/>
          <w:sz w:val="24"/>
          <w:szCs w:val="20"/>
          <w:lang w:val="en-GB"/>
        </w:rPr>
        <w:lastRenderedPageBreak/>
        <w:t>Q2-3</w:t>
      </w:r>
      <w:r w:rsidRPr="004B006B">
        <w:rPr>
          <w:rFonts w:ascii="Segoe UI" w:hAnsi="Segoe UI" w:cs="Segoe UI"/>
          <w:sz w:val="24"/>
          <w:szCs w:val="20"/>
          <w:lang w:val="en-GB"/>
        </w:rPr>
        <w:t xml:space="preserve"> If the answer is </w:t>
      </w:r>
      <w:r w:rsidRPr="004B006B">
        <w:rPr>
          <w:rFonts w:ascii="Segoe UI" w:hAnsi="Segoe UI" w:cs="Segoe UI"/>
          <w:b/>
          <w:sz w:val="24"/>
          <w:szCs w:val="20"/>
          <w:lang w:val="en-GB"/>
        </w:rPr>
        <w:t>No</w:t>
      </w:r>
      <w:r w:rsidRPr="004B006B">
        <w:rPr>
          <w:rFonts w:ascii="Segoe UI" w:hAnsi="Segoe UI" w:cs="Segoe UI"/>
          <w:sz w:val="24"/>
          <w:szCs w:val="20"/>
          <w:lang w:val="en-GB"/>
        </w:rPr>
        <w:t xml:space="preserve"> in Q2-1 above, please describe the general features of the database solution for all-IP infrastructure adopted, or which will be adopted in the future, in your country.</w:t>
      </w:r>
    </w:p>
    <w:p w:rsidR="004B006B" w:rsidRPr="004B006B" w:rsidRDefault="004B006B" w:rsidP="004B006B">
      <w:pPr>
        <w:keepNext/>
        <w:numPr>
          <w:ilvl w:val="1"/>
          <w:numId w:val="14"/>
        </w:numPr>
        <w:tabs>
          <w:tab w:val="left" w:pos="1191"/>
          <w:tab w:val="left" w:pos="1588"/>
          <w:tab w:val="left" w:pos="1985"/>
        </w:tabs>
        <w:overflowPunct w:val="0"/>
        <w:autoSpaceDE w:val="0"/>
        <w:autoSpaceDN w:val="0"/>
        <w:bidi w:val="0"/>
        <w:adjustRightInd w:val="0"/>
        <w:snapToGri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General features:</w:t>
      </w:r>
    </w:p>
    <w:p w:rsidR="004B006B" w:rsidRPr="004B006B" w:rsidRDefault="004B006B" w:rsidP="004B006B">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noProof/>
          <w:sz w:val="24"/>
          <w:szCs w:val="20"/>
          <w:lang w:eastAsia="zh-CN"/>
        </w:rPr>
        <mc:AlternateContent>
          <mc:Choice Requires="wps">
            <w:drawing>
              <wp:inline distT="0" distB="0" distL="0" distR="0" wp14:anchorId="1841D8E9" wp14:editId="312B24A8">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4B006B" w:rsidRPr="00E37CA7" w:rsidRDefault="004B006B" w:rsidP="004B006B">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1841D8E9"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4B006B" w:rsidRPr="00E37CA7" w:rsidRDefault="004B006B" w:rsidP="004B006B">
                      <w:pPr>
                        <w:rPr>
                          <w:rFonts w:cs="Segoe UI"/>
                        </w:rPr>
                      </w:pPr>
                    </w:p>
                  </w:txbxContent>
                </v:textbox>
                <w10:anchorlock/>
              </v:shape>
            </w:pict>
          </mc:Fallback>
        </mc:AlternateConten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color w:val="000000" w:themeColor="text1"/>
          <w:sz w:val="28"/>
          <w:szCs w:val="28"/>
          <w:lang w:val="en-GB"/>
        </w:rPr>
      </w:pPr>
      <w:r w:rsidRPr="004B006B">
        <w:rPr>
          <w:rFonts w:ascii="Segoe UI" w:hAnsi="Segoe UI" w:cs="Segoe UI"/>
          <w:b/>
          <w:color w:val="000000" w:themeColor="text1"/>
          <w:sz w:val="28"/>
          <w:szCs w:val="28"/>
          <w:lang w:val="en-GB"/>
        </w:rPr>
        <w:t>Additional comments</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sz w:val="24"/>
          <w:szCs w:val="20"/>
          <w:lang w:val="en-GB"/>
        </w:rPr>
        <w:t xml:space="preserve">If you have any additional comments on the two above questions, please share below: </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noProof/>
          <w:sz w:val="24"/>
          <w:szCs w:val="20"/>
          <w:lang w:eastAsia="zh-CN"/>
        </w:rPr>
        <mc:AlternateContent>
          <mc:Choice Requires="wps">
            <w:drawing>
              <wp:inline distT="0" distB="0" distL="0" distR="0" wp14:anchorId="5F2A1BD8" wp14:editId="6D7B0D00">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4B006B" w:rsidRPr="00E37CA7" w:rsidRDefault="004B006B" w:rsidP="004B006B">
                            <w:pPr>
                              <w:bidi w:val="0"/>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5F2A1BD8"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4B006B" w:rsidRPr="00E37CA7" w:rsidRDefault="004B006B" w:rsidP="004B006B">
                      <w:pPr>
                        <w:bidi w:val="0"/>
                        <w:rPr>
                          <w:rFonts w:cs="Segoe UI"/>
                        </w:rPr>
                      </w:pPr>
                      <w:r>
                        <w:rPr>
                          <w:rFonts w:ascii="Segoe UI" w:hAnsi="Segoe UI" w:cs="Segoe UI" w:hint="eastAsia"/>
                          <w:b/>
                          <w:color w:val="FF0000"/>
                        </w:rPr>
                        <w:t xml:space="preserve"> </w:t>
                      </w:r>
                    </w:p>
                  </w:txbxContent>
                </v:textbox>
                <w10:anchorlock/>
              </v:shape>
            </w:pict>
          </mc:Fallback>
        </mc:AlternateConten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noProof/>
          <w:sz w:val="24"/>
          <w:szCs w:val="20"/>
          <w:lang w:eastAsia="zh-CN"/>
        </w:rPr>
        <w:lastRenderedPageBreak/>
        <w:drawing>
          <wp:inline distT="0" distB="0" distL="0" distR="0" wp14:anchorId="24AEA98B" wp14:editId="5BAB0CBD">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
          <w:bCs/>
          <w:kern w:val="2"/>
          <w:sz w:val="21"/>
          <w:szCs w:val="21"/>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Cs/>
          <w:kern w:val="2"/>
          <w:sz w:val="21"/>
          <w:szCs w:val="21"/>
          <w:lang w:val="en-GB"/>
        </w:rPr>
      </w:pPr>
      <w:r w:rsidRPr="004B006B">
        <w:rPr>
          <w:rFonts w:ascii="Segoe UI" w:eastAsia="Meiryo UI" w:hAnsi="Segoe UI" w:cs="Segoe UI"/>
          <w:bCs/>
          <w:kern w:val="2"/>
          <w:sz w:val="21"/>
          <w:szCs w:val="21"/>
          <w:lang w:val="en-GB"/>
        </w:rPr>
        <w:t>(Note) Extracted from ITU-T E.164 Supplement 2: Number portability (06/2014)</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
          <w:bCs/>
          <w:kern w:val="2"/>
          <w:sz w:val="28"/>
          <w:szCs w:val="28"/>
          <w:lang w:val="en-GB"/>
        </w:rPr>
      </w:pPr>
      <w:r w:rsidRPr="004B006B">
        <w:rPr>
          <w:rFonts w:ascii="Segoe UI" w:eastAsia="Meiryo UI" w:hAnsi="Segoe UI" w:cs="Segoe UI"/>
          <w:b/>
          <w:bCs/>
          <w:kern w:val="2"/>
          <w:sz w:val="28"/>
          <w:szCs w:val="28"/>
          <w:lang w:val="en-GB"/>
        </w:rPr>
        <w:t xml:space="preserve">Figure </w:t>
      </w:r>
      <w:r w:rsidRPr="004B006B">
        <w:rPr>
          <w:rFonts w:ascii="Segoe UI" w:eastAsia="Meiryo UI" w:hAnsi="Segoe UI" w:cs="Segoe UI"/>
          <w:b/>
          <w:bCs/>
          <w:kern w:val="2"/>
          <w:sz w:val="28"/>
          <w:szCs w:val="28"/>
          <w:lang w:val="en-GB"/>
        </w:rPr>
        <w:fldChar w:fldCharType="begin"/>
      </w:r>
      <w:r w:rsidRPr="004B006B">
        <w:rPr>
          <w:rFonts w:ascii="Segoe UI" w:eastAsia="Meiryo UI" w:hAnsi="Segoe UI" w:cs="Segoe UI"/>
          <w:b/>
          <w:bCs/>
          <w:kern w:val="2"/>
          <w:sz w:val="28"/>
          <w:szCs w:val="28"/>
          <w:lang w:val="en-GB"/>
        </w:rPr>
        <w:instrText xml:space="preserve"> SEQ Table \* ARABIC </w:instrText>
      </w:r>
      <w:r w:rsidRPr="004B006B">
        <w:rPr>
          <w:rFonts w:ascii="Segoe UI" w:eastAsia="Meiryo UI" w:hAnsi="Segoe UI" w:cs="Segoe UI"/>
          <w:b/>
          <w:bCs/>
          <w:kern w:val="2"/>
          <w:sz w:val="28"/>
          <w:szCs w:val="28"/>
          <w:lang w:val="en-GB"/>
        </w:rPr>
        <w:fldChar w:fldCharType="separate"/>
      </w:r>
      <w:r w:rsidRPr="004B006B">
        <w:rPr>
          <w:rFonts w:ascii="Segoe UI" w:eastAsia="Meiryo UI" w:hAnsi="Segoe UI" w:cs="Segoe UI"/>
          <w:b/>
          <w:bCs/>
          <w:noProof/>
          <w:kern w:val="2"/>
          <w:sz w:val="28"/>
          <w:szCs w:val="28"/>
          <w:lang w:val="en-GB"/>
        </w:rPr>
        <w:t>1</w:t>
      </w:r>
      <w:r w:rsidRPr="004B006B">
        <w:rPr>
          <w:rFonts w:ascii="Segoe UI" w:eastAsia="Meiryo UI" w:hAnsi="Segoe UI" w:cs="Segoe UI"/>
          <w:b/>
          <w:bCs/>
          <w:noProof/>
          <w:kern w:val="2"/>
          <w:sz w:val="28"/>
          <w:szCs w:val="28"/>
          <w:lang w:val="en-GB"/>
        </w:rPr>
        <w:fldChar w:fldCharType="end"/>
      </w:r>
      <w:r w:rsidRPr="004B006B">
        <w:rPr>
          <w:rFonts w:ascii="Segoe UI" w:eastAsia="Meiryo UI" w:hAnsi="Segoe UI" w:cs="Segoe UI"/>
          <w:b/>
          <w:bCs/>
          <w:kern w:val="2"/>
          <w:sz w:val="28"/>
          <w:szCs w:val="28"/>
          <w:lang w:val="en-GB"/>
        </w:rPr>
        <w:t xml:space="preserve"> – Examples of number portability databases solutions</w:t>
      </w:r>
      <w:r w:rsidRPr="004B006B">
        <w:rPr>
          <w:rFonts w:ascii="Segoe UI" w:hAnsi="Segoe UI" w:cs="Segoe UI"/>
          <w:sz w:val="24"/>
          <w:szCs w:val="20"/>
          <w:lang w:val="en-GB"/>
        </w:rPr>
        <w:br w:type="page"/>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4B006B">
        <w:rPr>
          <w:rFonts w:ascii="Segoe UI" w:hAnsi="Segoe UI" w:cs="Segoe UI"/>
          <w:noProof/>
          <w:sz w:val="24"/>
          <w:szCs w:val="20"/>
          <w:lang w:eastAsia="zh-CN"/>
        </w:rPr>
        <w:drawing>
          <wp:inline distT="0" distB="0" distL="0" distR="0" wp14:anchorId="4C14A74B" wp14:editId="4F62D305">
            <wp:extent cx="5363845" cy="636016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Cs/>
          <w:kern w:val="2"/>
          <w:sz w:val="21"/>
          <w:szCs w:val="21"/>
          <w:lang w:val="en-GB"/>
        </w:rPr>
      </w:pPr>
      <w:r w:rsidRPr="004B006B">
        <w:rPr>
          <w:rFonts w:ascii="Segoe UI" w:eastAsia="Meiryo UI" w:hAnsi="Segoe UI" w:cs="Segoe UI"/>
          <w:bCs/>
          <w:kern w:val="2"/>
          <w:sz w:val="21"/>
          <w:szCs w:val="21"/>
          <w:lang w:val="en-GB"/>
        </w:rPr>
        <w:t>(Note) Extracted from ITU-T E.164 Supplement 2: Number portability (06/2014)</w:t>
      </w:r>
    </w:p>
    <w:p w:rsidR="004B006B" w:rsidRPr="004B006B" w:rsidRDefault="004B006B" w:rsidP="004B006B">
      <w:pPr>
        <w:tabs>
          <w:tab w:val="left" w:pos="142"/>
          <w:tab w:val="left" w:pos="1191"/>
          <w:tab w:val="left" w:pos="1588"/>
          <w:tab w:val="left" w:pos="1985"/>
        </w:tabs>
        <w:overflowPunct w:val="0"/>
        <w:autoSpaceDE w:val="0"/>
        <w:autoSpaceDN w:val="0"/>
        <w:bidi w:val="0"/>
        <w:adjustRightInd w:val="0"/>
        <w:spacing w:line="240" w:lineRule="auto"/>
        <w:jc w:val="center"/>
        <w:textAlignment w:val="baseline"/>
        <w:rPr>
          <w:rFonts w:cs="Times New Roman"/>
          <w:color w:val="000000"/>
          <w:sz w:val="24"/>
          <w:szCs w:val="20"/>
          <w:lang w:val="en-GB"/>
        </w:rPr>
      </w:pPr>
      <w:r w:rsidRPr="004B006B">
        <w:rPr>
          <w:rFonts w:ascii="Segoe UI" w:eastAsia="Meiryo UI" w:hAnsi="Segoe UI" w:cs="Segoe UI"/>
          <w:b/>
          <w:bCs/>
          <w:kern w:val="2"/>
          <w:sz w:val="28"/>
          <w:szCs w:val="28"/>
          <w:lang w:val="en-GB"/>
        </w:rPr>
        <w:t>Figure 2 – Examples of ENUM-like technology utilization</w:t>
      </w: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4B006B" w:rsidRPr="004B006B" w:rsidRDefault="004B006B" w:rsidP="004B006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fr-FR"/>
        </w:rPr>
      </w:pPr>
      <w:r w:rsidRPr="004B006B">
        <w:rPr>
          <w:rFonts w:cs="Times New Roman"/>
          <w:sz w:val="24"/>
          <w:szCs w:val="20"/>
          <w:lang w:val="fr-FR"/>
        </w:rPr>
        <w:t>_______________</w:t>
      </w:r>
    </w:p>
    <w:sectPr w:rsidR="004B006B" w:rsidRPr="004B006B" w:rsidSect="0014109C">
      <w:headerReference w:type="default" r:id="rId20"/>
      <w:footerReference w:type="default" r:id="rId21"/>
      <w:footerReference w:type="first" r:id="rId22"/>
      <w:type w:val="oddPage"/>
      <w:pgSz w:w="11907" w:h="16834" w:code="9"/>
      <w:pgMar w:top="567" w:right="1089" w:bottom="567"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E5" w:rsidRDefault="00B40FE5" w:rsidP="00E07379">
      <w:pPr>
        <w:spacing w:before="0" w:line="240" w:lineRule="auto"/>
      </w:pPr>
      <w:r>
        <w:separator/>
      </w:r>
    </w:p>
  </w:endnote>
  <w:endnote w:type="continuationSeparator" w:id="0">
    <w:p w:rsidR="00B40FE5" w:rsidRDefault="00B40FE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6145AA">
    <w:pPr>
      <w:tabs>
        <w:tab w:val="left" w:pos="1191"/>
        <w:tab w:val="left" w:pos="1588"/>
        <w:tab w:val="left" w:pos="1985"/>
      </w:tabs>
      <w:bidi w:val="0"/>
      <w:spacing w:before="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F8" w:rsidRPr="00F92E28" w:rsidRDefault="000718F8" w:rsidP="00F92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979B0">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E5" w:rsidRDefault="00B40FE5" w:rsidP="00E07379">
      <w:pPr>
        <w:spacing w:before="0" w:line="240" w:lineRule="auto"/>
      </w:pPr>
      <w:r>
        <w:separator/>
      </w:r>
    </w:p>
  </w:footnote>
  <w:footnote w:type="continuationSeparator" w:id="0">
    <w:p w:rsidR="00B40FE5" w:rsidRDefault="00B40FE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C26F1" w:rsidRDefault="00A15845" w:rsidP="00A15845">
    <w:pPr>
      <w:bidi w:val="0"/>
      <w:spacing w:after="240" w:line="240" w:lineRule="auto"/>
      <w:jc w:val="center"/>
      <w:rPr>
        <w:rStyle w:val="PageNumber"/>
        <w:sz w:val="18"/>
        <w:szCs w:val="18"/>
        <w:rtl/>
        <w:lang w:bidi="ar-EG"/>
      </w:rPr>
    </w:pPr>
    <w:r w:rsidRPr="006C26F1">
      <w:rPr>
        <w:rStyle w:val="PageNumber"/>
        <w:sz w:val="18"/>
        <w:szCs w:val="18"/>
      </w:rPr>
      <w:t xml:space="preserve">- </w:t>
    </w:r>
    <w:r w:rsidR="0022345D" w:rsidRPr="006C26F1">
      <w:rPr>
        <w:rStyle w:val="PageNumber"/>
        <w:sz w:val="18"/>
        <w:szCs w:val="18"/>
      </w:rPr>
      <w:fldChar w:fldCharType="begin"/>
    </w:r>
    <w:r w:rsidR="0022345D" w:rsidRPr="006C26F1">
      <w:rPr>
        <w:rStyle w:val="PageNumber"/>
        <w:sz w:val="18"/>
        <w:szCs w:val="18"/>
      </w:rPr>
      <w:instrText xml:space="preserve"> PAGE </w:instrText>
    </w:r>
    <w:r w:rsidR="0022345D" w:rsidRPr="006C26F1">
      <w:rPr>
        <w:rStyle w:val="PageNumber"/>
        <w:sz w:val="18"/>
        <w:szCs w:val="18"/>
      </w:rPr>
      <w:fldChar w:fldCharType="separate"/>
    </w:r>
    <w:r w:rsidR="00DB24C9">
      <w:rPr>
        <w:rStyle w:val="PageNumber"/>
        <w:noProof/>
        <w:sz w:val="18"/>
        <w:szCs w:val="18"/>
      </w:rPr>
      <w:t>2</w:t>
    </w:r>
    <w:r w:rsidR="0022345D" w:rsidRPr="006C26F1">
      <w:rPr>
        <w:rStyle w:val="PageNumber"/>
        <w:sz w:val="18"/>
        <w:szCs w:val="18"/>
      </w:rPr>
      <w:fldChar w:fldCharType="end"/>
    </w:r>
    <w:r w:rsidRPr="006C26F1">
      <w:rPr>
        <w:rStyle w:val="PageNumber"/>
        <w:sz w:val="18"/>
        <w:szCs w:val="18"/>
      </w:rPr>
      <w:t xml:space="preserve"> -</w:t>
    </w:r>
    <w:r w:rsidR="006C26F1" w:rsidRPr="006C26F1">
      <w:rPr>
        <w:rStyle w:val="PageNumber"/>
        <w:sz w:val="18"/>
        <w:szCs w:val="18"/>
      </w:rPr>
      <w:br/>
    </w:r>
    <w:r w:rsidR="006C26F1" w:rsidRPr="006C26F1">
      <w:rPr>
        <w:rStyle w:val="PageNumber"/>
        <w:sz w:val="18"/>
        <w:szCs w:val="18"/>
        <w:lang w:bidi="ar-EG"/>
      </w:rPr>
      <w:t>TSB Circular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F8" w:rsidRPr="00D5716C" w:rsidRDefault="000718F8" w:rsidP="000718F8">
    <w:pPr>
      <w:bidi w:val="0"/>
      <w:spacing w:after="240" w:line="240" w:lineRule="auto"/>
      <w:jc w:val="center"/>
      <w:rPr>
        <w:rStyle w:val="PageNumber"/>
        <w:sz w:val="18"/>
        <w:szCs w:val="18"/>
        <w:rtl/>
        <w:lang w:bidi="ar-EG"/>
      </w:rPr>
    </w:pPr>
    <w:r w:rsidRPr="00D5716C">
      <w:rPr>
        <w:rStyle w:val="PageNumber"/>
        <w:sz w:val="18"/>
        <w:szCs w:val="18"/>
      </w:rPr>
      <w:t xml:space="preserve">- </w:t>
    </w:r>
    <w:r w:rsidRPr="00D5716C">
      <w:rPr>
        <w:rStyle w:val="PageNumber"/>
        <w:sz w:val="18"/>
        <w:szCs w:val="18"/>
      </w:rPr>
      <w:fldChar w:fldCharType="begin"/>
    </w:r>
    <w:r w:rsidRPr="00D5716C">
      <w:rPr>
        <w:rStyle w:val="PageNumber"/>
        <w:sz w:val="18"/>
        <w:szCs w:val="18"/>
      </w:rPr>
      <w:instrText xml:space="preserve"> PAGE </w:instrText>
    </w:r>
    <w:r w:rsidRPr="00D5716C">
      <w:rPr>
        <w:rStyle w:val="PageNumber"/>
        <w:sz w:val="18"/>
        <w:szCs w:val="18"/>
      </w:rPr>
      <w:fldChar w:fldCharType="separate"/>
    </w:r>
    <w:r w:rsidR="00DB24C9">
      <w:rPr>
        <w:rStyle w:val="PageNumber"/>
        <w:noProof/>
        <w:sz w:val="18"/>
        <w:szCs w:val="18"/>
      </w:rPr>
      <w:t>4</w:t>
    </w:r>
    <w:r w:rsidRPr="00D5716C">
      <w:rPr>
        <w:rStyle w:val="PageNumber"/>
        <w:sz w:val="18"/>
        <w:szCs w:val="18"/>
      </w:rPr>
      <w:fldChar w:fldCharType="end"/>
    </w:r>
    <w:r w:rsidRPr="00D5716C">
      <w:rPr>
        <w:rStyle w:val="PageNumber"/>
        <w:sz w:val="18"/>
        <w:szCs w:val="18"/>
      </w:rPr>
      <w:t xml:space="preserve"> -</w:t>
    </w:r>
    <w:r w:rsidR="00D5716C" w:rsidRPr="00D5716C">
      <w:rPr>
        <w:rStyle w:val="PageNumber"/>
        <w:sz w:val="18"/>
        <w:szCs w:val="18"/>
      </w:rPr>
      <w:br/>
    </w:r>
    <w:r w:rsidR="00D5716C" w:rsidRPr="00D5716C">
      <w:rPr>
        <w:rStyle w:val="PageNumber"/>
        <w:sz w:val="18"/>
        <w:szCs w:val="18"/>
        <w:lang w:bidi="ar-EG"/>
      </w:rPr>
      <w:t>TSB Circular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93250"/>
    <w:multiLevelType w:val="multilevel"/>
    <w:tmpl w:val="0A68AF04"/>
    <w:numStyleLink w:val="a"/>
  </w:abstractNum>
  <w:abstractNum w:abstractNumId="12"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E5"/>
    <w:rsid w:val="000124CC"/>
    <w:rsid w:val="00033CCE"/>
    <w:rsid w:val="00041F8B"/>
    <w:rsid w:val="00046444"/>
    <w:rsid w:val="0006023B"/>
    <w:rsid w:val="000636F0"/>
    <w:rsid w:val="000718F8"/>
    <w:rsid w:val="000772CA"/>
    <w:rsid w:val="0008638B"/>
    <w:rsid w:val="00090574"/>
    <w:rsid w:val="00092FC2"/>
    <w:rsid w:val="000A1677"/>
    <w:rsid w:val="000B407F"/>
    <w:rsid w:val="000B5E32"/>
    <w:rsid w:val="000C13C2"/>
    <w:rsid w:val="000D4C64"/>
    <w:rsid w:val="000F0B1C"/>
    <w:rsid w:val="000F1D42"/>
    <w:rsid w:val="000F4D07"/>
    <w:rsid w:val="00102A03"/>
    <w:rsid w:val="001040A3"/>
    <w:rsid w:val="001151D3"/>
    <w:rsid w:val="0014109C"/>
    <w:rsid w:val="0014200F"/>
    <w:rsid w:val="00173915"/>
    <w:rsid w:val="00192FE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31CC"/>
    <w:rsid w:val="003275AC"/>
    <w:rsid w:val="0033092D"/>
    <w:rsid w:val="00333D29"/>
    <w:rsid w:val="003409F4"/>
    <w:rsid w:val="003456EE"/>
    <w:rsid w:val="00357185"/>
    <w:rsid w:val="003C106D"/>
    <w:rsid w:val="003C475F"/>
    <w:rsid w:val="003E4132"/>
    <w:rsid w:val="003F678F"/>
    <w:rsid w:val="00425492"/>
    <w:rsid w:val="0042686F"/>
    <w:rsid w:val="004367CE"/>
    <w:rsid w:val="00441F40"/>
    <w:rsid w:val="00443869"/>
    <w:rsid w:val="00460717"/>
    <w:rsid w:val="004712C6"/>
    <w:rsid w:val="00480AB6"/>
    <w:rsid w:val="0048319F"/>
    <w:rsid w:val="00495553"/>
    <w:rsid w:val="00497703"/>
    <w:rsid w:val="004A7CDF"/>
    <w:rsid w:val="004B006B"/>
    <w:rsid w:val="004B739D"/>
    <w:rsid w:val="004F0F06"/>
    <w:rsid w:val="00501E0E"/>
    <w:rsid w:val="005204D7"/>
    <w:rsid w:val="00523849"/>
    <w:rsid w:val="00526025"/>
    <w:rsid w:val="00530420"/>
    <w:rsid w:val="00552BC5"/>
    <w:rsid w:val="0055516A"/>
    <w:rsid w:val="0056374C"/>
    <w:rsid w:val="00565BCD"/>
    <w:rsid w:val="0056614F"/>
    <w:rsid w:val="0057656F"/>
    <w:rsid w:val="00576731"/>
    <w:rsid w:val="0059285F"/>
    <w:rsid w:val="005A24B1"/>
    <w:rsid w:val="005B7B8A"/>
    <w:rsid w:val="005C4A2E"/>
    <w:rsid w:val="005D6476"/>
    <w:rsid w:val="005D6C0D"/>
    <w:rsid w:val="005E5283"/>
    <w:rsid w:val="005E58F5"/>
    <w:rsid w:val="005F4CE1"/>
    <w:rsid w:val="00606660"/>
    <w:rsid w:val="006145AA"/>
    <w:rsid w:val="006157A3"/>
    <w:rsid w:val="006173F9"/>
    <w:rsid w:val="00620E60"/>
    <w:rsid w:val="0063315A"/>
    <w:rsid w:val="0065591D"/>
    <w:rsid w:val="00662C5A"/>
    <w:rsid w:val="00670AF5"/>
    <w:rsid w:val="006C1556"/>
    <w:rsid w:val="006C26F1"/>
    <w:rsid w:val="006E6F73"/>
    <w:rsid w:val="006F267F"/>
    <w:rsid w:val="006F63F7"/>
    <w:rsid w:val="006F6F03"/>
    <w:rsid w:val="00706D7A"/>
    <w:rsid w:val="00710A93"/>
    <w:rsid w:val="00711352"/>
    <w:rsid w:val="00726AEC"/>
    <w:rsid w:val="0073504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B7626"/>
    <w:rsid w:val="008D0241"/>
    <w:rsid w:val="009000F3"/>
    <w:rsid w:val="00915CD2"/>
    <w:rsid w:val="00917694"/>
    <w:rsid w:val="009263CD"/>
    <w:rsid w:val="00930E6D"/>
    <w:rsid w:val="0095042E"/>
    <w:rsid w:val="00972CA2"/>
    <w:rsid w:val="00982B28"/>
    <w:rsid w:val="00984EA5"/>
    <w:rsid w:val="0098785F"/>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40FE5"/>
    <w:rsid w:val="00B43E15"/>
    <w:rsid w:val="00B66B9A"/>
    <w:rsid w:val="00B82089"/>
    <w:rsid w:val="00B970AE"/>
    <w:rsid w:val="00B979B0"/>
    <w:rsid w:val="00BA1427"/>
    <w:rsid w:val="00BD0C50"/>
    <w:rsid w:val="00BD1C87"/>
    <w:rsid w:val="00BE49D0"/>
    <w:rsid w:val="00BF2C38"/>
    <w:rsid w:val="00C01EF0"/>
    <w:rsid w:val="00C23331"/>
    <w:rsid w:val="00C265DA"/>
    <w:rsid w:val="00C442F2"/>
    <w:rsid w:val="00C47895"/>
    <w:rsid w:val="00C674FE"/>
    <w:rsid w:val="00C7297D"/>
    <w:rsid w:val="00C75633"/>
    <w:rsid w:val="00C8242E"/>
    <w:rsid w:val="00C82615"/>
    <w:rsid w:val="00C867DB"/>
    <w:rsid w:val="00CA2A38"/>
    <w:rsid w:val="00CA50FF"/>
    <w:rsid w:val="00CC3CD2"/>
    <w:rsid w:val="00CC43BE"/>
    <w:rsid w:val="00CD123C"/>
    <w:rsid w:val="00CD2085"/>
    <w:rsid w:val="00CE2EE1"/>
    <w:rsid w:val="00CE76E0"/>
    <w:rsid w:val="00CF3FFD"/>
    <w:rsid w:val="00CF5ED3"/>
    <w:rsid w:val="00D00B56"/>
    <w:rsid w:val="00D0494C"/>
    <w:rsid w:val="00D14BEB"/>
    <w:rsid w:val="00D21C89"/>
    <w:rsid w:val="00D45542"/>
    <w:rsid w:val="00D5716C"/>
    <w:rsid w:val="00D77D0F"/>
    <w:rsid w:val="00DA1CF0"/>
    <w:rsid w:val="00DA7E2C"/>
    <w:rsid w:val="00DB2271"/>
    <w:rsid w:val="00DB24C9"/>
    <w:rsid w:val="00DB5659"/>
    <w:rsid w:val="00DC24B4"/>
    <w:rsid w:val="00DC656C"/>
    <w:rsid w:val="00DD7A05"/>
    <w:rsid w:val="00DF16DC"/>
    <w:rsid w:val="00DF5361"/>
    <w:rsid w:val="00E009A1"/>
    <w:rsid w:val="00E00D15"/>
    <w:rsid w:val="00E071BE"/>
    <w:rsid w:val="00E07379"/>
    <w:rsid w:val="00E14494"/>
    <w:rsid w:val="00E17033"/>
    <w:rsid w:val="00E22744"/>
    <w:rsid w:val="00E32189"/>
    <w:rsid w:val="00E45211"/>
    <w:rsid w:val="00E460FC"/>
    <w:rsid w:val="00E7380C"/>
    <w:rsid w:val="00E74BE7"/>
    <w:rsid w:val="00E86CC9"/>
    <w:rsid w:val="00E96624"/>
    <w:rsid w:val="00EA0AEC"/>
    <w:rsid w:val="00EB76A2"/>
    <w:rsid w:val="00F011A3"/>
    <w:rsid w:val="00F126F1"/>
    <w:rsid w:val="00F2106A"/>
    <w:rsid w:val="00F36D8B"/>
    <w:rsid w:val="00F401D0"/>
    <w:rsid w:val="00F45F2B"/>
    <w:rsid w:val="00F57AE4"/>
    <w:rsid w:val="00F67150"/>
    <w:rsid w:val="00F84366"/>
    <w:rsid w:val="00F85089"/>
    <w:rsid w:val="00F85564"/>
    <w:rsid w:val="00F86CFA"/>
    <w:rsid w:val="00F92E28"/>
    <w:rsid w:val="00FB4210"/>
    <w:rsid w:val="00FC0402"/>
    <w:rsid w:val="00FC37B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888E300-A537-427E-9762-830BD202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FC37BF"/>
    <w:pPr>
      <w:tabs>
        <w:tab w:val="clear" w:pos="5812"/>
        <w:tab w:val="clear" w:pos="9639"/>
        <w:tab w:val="left" w:pos="1191"/>
        <w:tab w:val="left" w:pos="1588"/>
        <w:tab w:val="left" w:pos="1985"/>
      </w:tabs>
      <w:spacing w:before="40" w:line="240" w:lineRule="auto"/>
      <w:jc w:val="left"/>
    </w:pPr>
    <w:rPr>
      <w:szCs w:val="20"/>
      <w:lang w:val="en-GB"/>
    </w:rPr>
  </w:style>
  <w:style w:type="numbering" w:customStyle="1" w:styleId="a">
    <w:name w:val="本文箇条書き"/>
    <w:uiPriority w:val="99"/>
    <w:rsid w:val="00FC37BF"/>
    <w:pPr>
      <w:numPr>
        <w:numId w:val="13"/>
      </w:numPr>
    </w:pPr>
  </w:style>
  <w:style w:type="numbering" w:customStyle="1" w:styleId="1">
    <w:name w:val="本文箇条書き1"/>
    <w:uiPriority w:val="99"/>
    <w:rsid w:val="004B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2/Documents/Questionnaire/Attachment-1v2.pdf"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en/ITU-T/studygroups/2017-2020/02/Pages/Questionnaires/E164supp2.aspx"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3D0CD8FB-2547-4A11-B9AB-46E33CD0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6</cp:revision>
  <cp:lastPrinted>2016-06-07T13:25:00Z</cp:lastPrinted>
  <dcterms:created xsi:type="dcterms:W3CDTF">2018-01-18T17:11:00Z</dcterms:created>
  <dcterms:modified xsi:type="dcterms:W3CDTF">2018-01-23T10:45:00Z</dcterms:modified>
  <cp:category>Conference document</cp:category>
</cp:coreProperties>
</file>