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49"/>
        <w:tblW w:w="10206" w:type="dxa"/>
        <w:tblLook w:val="04A0" w:firstRow="1" w:lastRow="0" w:firstColumn="1" w:lastColumn="0" w:noHBand="0" w:noVBand="1"/>
      </w:tblPr>
      <w:tblGrid>
        <w:gridCol w:w="1276"/>
        <w:gridCol w:w="3613"/>
        <w:gridCol w:w="5317"/>
      </w:tblGrid>
      <w:tr w:rsidR="00EA30BE" w:rsidTr="00D8238D">
        <w:trPr>
          <w:trHeight w:val="1556"/>
        </w:trPr>
        <w:tc>
          <w:tcPr>
            <w:tcW w:w="1276" w:type="dxa"/>
            <w:shd w:val="clear" w:color="auto" w:fill="auto"/>
          </w:tcPr>
          <w:p w:rsidR="00EA30BE" w:rsidRPr="00930FCB" w:rsidRDefault="00EA30BE" w:rsidP="009D7BA8">
            <w:pPr>
              <w:pStyle w:val="Header"/>
              <w:spacing w:line="360" w:lineRule="auto"/>
              <w:jc w:val="left"/>
              <w:rPr>
                <w:rFonts w:cs="Calibri"/>
                <w:lang w:val="fr-CH"/>
              </w:rPr>
            </w:pPr>
            <w:r w:rsidRPr="00930FCB">
              <w:rPr>
                <w:rFonts w:cs="Calibri"/>
                <w:b/>
                <w:bCs/>
                <w:noProof/>
                <w:lang w:val="en-GB" w:eastAsia="zh-CN"/>
              </w:rPr>
              <w:drawing>
                <wp:inline distT="0" distB="0" distL="0" distR="0" wp14:anchorId="02301E71" wp14:editId="0B0C85D5">
                  <wp:extent cx="667909" cy="763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5192" cy="771648"/>
                          </a:xfrm>
                          <a:prstGeom prst="rect">
                            <a:avLst/>
                          </a:prstGeom>
                          <a:noFill/>
                          <a:ln>
                            <a:noFill/>
                          </a:ln>
                        </pic:spPr>
                      </pic:pic>
                    </a:graphicData>
                  </a:graphic>
                </wp:inline>
              </w:drawing>
            </w:r>
          </w:p>
        </w:tc>
        <w:tc>
          <w:tcPr>
            <w:tcW w:w="3613" w:type="dxa"/>
            <w:shd w:val="clear" w:color="auto" w:fill="auto"/>
            <w:vAlign w:val="center"/>
          </w:tcPr>
          <w:p w:rsidR="00EA30BE" w:rsidRPr="00390EC6" w:rsidRDefault="00EA30BE" w:rsidP="009D7BA8">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EA30BE" w:rsidRPr="00930FCB" w:rsidRDefault="00EA30BE" w:rsidP="009D7BA8">
            <w:pPr>
              <w:pStyle w:val="Header"/>
              <w:spacing w:line="360" w:lineRule="auto"/>
              <w:jc w:val="left"/>
              <w:rPr>
                <w:rFonts w:cs="Calibri"/>
                <w:lang w:val="fr-CH" w:eastAsia="zh-CN"/>
              </w:rPr>
            </w:pPr>
            <w:r w:rsidRPr="00B73F4D">
              <w:rPr>
                <w:rFonts w:ascii="SimSun" w:hAnsi="SimSun" w:hint="eastAsia"/>
                <w:b/>
                <w:bCs/>
                <w:sz w:val="28"/>
                <w:szCs w:val="28"/>
                <w:lang w:eastAsia="zh-CN"/>
              </w:rPr>
              <w:t>电信标准化局</w:t>
            </w:r>
          </w:p>
        </w:tc>
        <w:tc>
          <w:tcPr>
            <w:tcW w:w="5317" w:type="dxa"/>
            <w:shd w:val="clear" w:color="auto" w:fill="auto"/>
          </w:tcPr>
          <w:p w:rsidR="00EA30BE" w:rsidRPr="00930FCB" w:rsidRDefault="00EA30BE" w:rsidP="009D7BA8">
            <w:pPr>
              <w:pStyle w:val="Header"/>
              <w:spacing w:line="360" w:lineRule="auto"/>
              <w:ind w:right="175"/>
              <w:jc w:val="right"/>
              <w:rPr>
                <w:rFonts w:cs="Calibri"/>
                <w:lang w:val="fr-CH" w:eastAsia="zh-CN"/>
              </w:rPr>
            </w:pPr>
          </w:p>
        </w:tc>
      </w:tr>
      <w:tr w:rsidR="00D8238D" w:rsidTr="00D8238D">
        <w:trPr>
          <w:trHeight w:val="634"/>
        </w:trPr>
        <w:tc>
          <w:tcPr>
            <w:tcW w:w="1276" w:type="dxa"/>
            <w:shd w:val="clear" w:color="auto" w:fill="auto"/>
          </w:tcPr>
          <w:p w:rsidR="00D8238D" w:rsidRPr="00930FCB" w:rsidRDefault="00D8238D" w:rsidP="009D7BA8">
            <w:pPr>
              <w:pStyle w:val="Header"/>
              <w:spacing w:line="360" w:lineRule="auto"/>
              <w:jc w:val="left"/>
              <w:rPr>
                <w:rFonts w:cs="Calibri"/>
                <w:b/>
                <w:bCs/>
                <w:noProof/>
                <w:lang w:val="en-US" w:eastAsia="zh-CN"/>
              </w:rPr>
            </w:pPr>
          </w:p>
        </w:tc>
        <w:tc>
          <w:tcPr>
            <w:tcW w:w="3613" w:type="dxa"/>
            <w:shd w:val="clear" w:color="auto" w:fill="auto"/>
            <w:vAlign w:val="center"/>
          </w:tcPr>
          <w:p w:rsidR="00D8238D" w:rsidRPr="00390EC6" w:rsidRDefault="00D8238D" w:rsidP="009D7BA8">
            <w:pPr>
              <w:tabs>
                <w:tab w:val="right" w:pos="8732"/>
              </w:tabs>
              <w:spacing w:before="0"/>
              <w:rPr>
                <w:rFonts w:hAnsi="SimSun"/>
                <w:b/>
                <w:bCs/>
                <w:sz w:val="28"/>
                <w:szCs w:val="28"/>
                <w:lang w:eastAsia="zh-CN"/>
              </w:rPr>
            </w:pPr>
          </w:p>
        </w:tc>
        <w:tc>
          <w:tcPr>
            <w:tcW w:w="5317" w:type="dxa"/>
            <w:shd w:val="clear" w:color="auto" w:fill="auto"/>
          </w:tcPr>
          <w:p w:rsidR="00D8238D" w:rsidRPr="00D8238D" w:rsidRDefault="00D8238D" w:rsidP="009D7BA8">
            <w:pPr>
              <w:pStyle w:val="Header"/>
              <w:spacing w:line="360" w:lineRule="auto"/>
              <w:ind w:right="175"/>
              <w:jc w:val="right"/>
              <w:rPr>
                <w:rFonts w:cs="Calibri"/>
                <w:sz w:val="24"/>
                <w:szCs w:val="24"/>
                <w:lang w:val="fr-CH" w:eastAsia="zh-CN"/>
              </w:rPr>
            </w:pPr>
            <w:r w:rsidRPr="00D8238D">
              <w:rPr>
                <w:rFonts w:ascii="Calibri" w:hAnsi="Calibri" w:cstheme="majorBidi"/>
                <w:sz w:val="24"/>
                <w:szCs w:val="24"/>
              </w:rPr>
              <w:t>201</w:t>
            </w:r>
            <w:r w:rsidRPr="00D8238D">
              <w:rPr>
                <w:rFonts w:ascii="Calibri" w:hAnsi="Calibri" w:cstheme="majorBidi" w:hint="eastAsia"/>
                <w:sz w:val="24"/>
                <w:szCs w:val="24"/>
                <w:lang w:eastAsia="zh-CN"/>
              </w:rPr>
              <w:t>7</w:t>
            </w:r>
            <w:r w:rsidRPr="00D8238D">
              <w:rPr>
                <w:rFonts w:ascii="Calibri" w:hAnsi="Calibri" w:cstheme="majorBidi"/>
                <w:sz w:val="24"/>
                <w:szCs w:val="24"/>
                <w:lang w:eastAsia="zh-CN"/>
              </w:rPr>
              <w:t>年</w:t>
            </w:r>
            <w:r w:rsidRPr="00D8238D">
              <w:rPr>
                <w:rFonts w:ascii="Calibri" w:hAnsi="Calibri" w:cstheme="majorBidi"/>
                <w:sz w:val="24"/>
                <w:szCs w:val="24"/>
                <w:lang w:eastAsia="zh-CN"/>
              </w:rPr>
              <w:t>11</w:t>
            </w:r>
            <w:r w:rsidRPr="00D8238D">
              <w:rPr>
                <w:rFonts w:ascii="Calibri" w:hAnsi="Calibri" w:cstheme="majorBidi"/>
                <w:sz w:val="24"/>
                <w:szCs w:val="24"/>
                <w:lang w:eastAsia="zh-CN"/>
              </w:rPr>
              <w:t>月</w:t>
            </w:r>
            <w:r w:rsidRPr="00D8238D">
              <w:rPr>
                <w:rFonts w:ascii="Calibri" w:hAnsi="Calibri" w:cstheme="majorBidi" w:hint="eastAsia"/>
                <w:sz w:val="24"/>
                <w:szCs w:val="24"/>
                <w:lang w:eastAsia="zh-CN"/>
              </w:rPr>
              <w:t>29</w:t>
            </w:r>
            <w:r w:rsidRPr="00D8238D">
              <w:rPr>
                <w:rFonts w:ascii="Calibri" w:hAnsi="Calibri" w:cstheme="majorBidi"/>
                <w:sz w:val="24"/>
                <w:szCs w:val="24"/>
                <w:lang w:eastAsia="zh-CN"/>
              </w:rPr>
              <w:t>日，日内瓦</w:t>
            </w:r>
          </w:p>
        </w:tc>
      </w:tr>
    </w:tbl>
    <w:tbl>
      <w:tblPr>
        <w:tblW w:w="10206" w:type="dxa"/>
        <w:tblInd w:w="8" w:type="dxa"/>
        <w:tblLayout w:type="fixed"/>
        <w:tblCellMar>
          <w:left w:w="0" w:type="dxa"/>
          <w:right w:w="0" w:type="dxa"/>
        </w:tblCellMar>
        <w:tblLook w:val="0000" w:firstRow="0" w:lastRow="0" w:firstColumn="0" w:lastColumn="0" w:noHBand="0" w:noVBand="0"/>
      </w:tblPr>
      <w:tblGrid>
        <w:gridCol w:w="1268"/>
        <w:gridCol w:w="4402"/>
        <w:gridCol w:w="4536"/>
      </w:tblGrid>
      <w:tr w:rsidR="00B40A76" w:rsidRPr="00B40A76" w:rsidTr="00D072BE">
        <w:trPr>
          <w:cantSplit/>
          <w:trHeight w:val="330"/>
        </w:trPr>
        <w:tc>
          <w:tcPr>
            <w:tcW w:w="1268" w:type="dxa"/>
          </w:tcPr>
          <w:p w:rsidR="00B40A76" w:rsidRPr="00B40A76" w:rsidRDefault="00B40A76" w:rsidP="00D072BE">
            <w:pPr>
              <w:spacing w:before="40" w:after="40"/>
              <w:ind w:left="57"/>
              <w:rPr>
                <w:szCs w:val="24"/>
                <w:lang w:eastAsia="zh-CN"/>
              </w:rPr>
            </w:pPr>
            <w:r w:rsidRPr="00B40A76">
              <w:rPr>
                <w:rFonts w:hint="eastAsia"/>
                <w:szCs w:val="24"/>
                <w:lang w:eastAsia="zh-CN"/>
              </w:rPr>
              <w:t>文号：</w:t>
            </w:r>
          </w:p>
        </w:tc>
        <w:tc>
          <w:tcPr>
            <w:tcW w:w="4402" w:type="dxa"/>
          </w:tcPr>
          <w:p w:rsidR="00B40A76" w:rsidRPr="00B40A76" w:rsidRDefault="00B40A76" w:rsidP="000A38C0">
            <w:pPr>
              <w:tabs>
                <w:tab w:val="left" w:pos="4111"/>
              </w:tabs>
              <w:spacing w:before="40" w:after="40"/>
              <w:ind w:left="57"/>
              <w:rPr>
                <w:b/>
                <w:szCs w:val="24"/>
                <w:lang w:eastAsia="zh-CN"/>
              </w:rPr>
            </w:pPr>
            <w:r w:rsidRPr="00B40A76">
              <w:rPr>
                <w:rFonts w:ascii="Futura Lt BT" w:hAnsi="Futura Lt BT" w:hint="eastAsia"/>
                <w:b/>
                <w:bCs/>
                <w:iCs/>
                <w:szCs w:val="24"/>
                <w:lang w:eastAsia="zh-CN"/>
              </w:rPr>
              <w:t>电信标准化局第</w:t>
            </w:r>
            <w:r w:rsidR="000A38C0">
              <w:rPr>
                <w:b/>
                <w:szCs w:val="24"/>
                <w:lang w:val="en-US" w:eastAsia="zh-CN"/>
              </w:rPr>
              <w:t>62</w:t>
            </w:r>
            <w:r w:rsidRPr="00B40A76">
              <w:rPr>
                <w:rFonts w:ascii="Futura Lt BT" w:hAnsi="Futura Lt BT" w:hint="eastAsia"/>
                <w:b/>
                <w:bCs/>
                <w:iCs/>
                <w:szCs w:val="24"/>
                <w:lang w:val="fr-CH" w:eastAsia="zh-CN"/>
              </w:rPr>
              <w:t>号</w:t>
            </w:r>
            <w:r w:rsidRPr="00B40A76">
              <w:rPr>
                <w:rFonts w:hint="eastAsia"/>
                <w:b/>
                <w:szCs w:val="24"/>
                <w:lang w:eastAsia="zh-CN"/>
              </w:rPr>
              <w:t>通函</w:t>
            </w:r>
          </w:p>
          <w:p w:rsidR="00B40A76" w:rsidRPr="00B40A76" w:rsidRDefault="00B40A76" w:rsidP="004567F8">
            <w:pPr>
              <w:tabs>
                <w:tab w:val="left" w:pos="4111"/>
              </w:tabs>
              <w:spacing w:before="40" w:after="40"/>
              <w:ind w:left="57"/>
              <w:rPr>
                <w:bCs/>
                <w:szCs w:val="24"/>
                <w:lang w:eastAsia="zh-CN"/>
              </w:rPr>
            </w:pPr>
          </w:p>
        </w:tc>
        <w:tc>
          <w:tcPr>
            <w:tcW w:w="4536" w:type="dxa"/>
            <w:vMerge w:val="restart"/>
          </w:tcPr>
          <w:p w:rsidR="00B40A76" w:rsidRPr="00B40A76" w:rsidRDefault="00B40A76" w:rsidP="00D072BE">
            <w:pPr>
              <w:tabs>
                <w:tab w:val="clear" w:pos="794"/>
                <w:tab w:val="left" w:pos="284"/>
                <w:tab w:val="left" w:pos="4111"/>
              </w:tabs>
              <w:spacing w:before="40" w:after="40"/>
              <w:ind w:left="57"/>
              <w:rPr>
                <w:szCs w:val="24"/>
                <w:lang w:eastAsia="zh-CN"/>
              </w:rPr>
            </w:pPr>
            <w:r w:rsidRPr="00B40A76">
              <w:rPr>
                <w:rFonts w:hint="eastAsia"/>
                <w:szCs w:val="24"/>
                <w:lang w:eastAsia="zh-CN"/>
              </w:rPr>
              <w:t>-</w:t>
            </w:r>
            <w:r w:rsidRPr="00B40A76">
              <w:rPr>
                <w:rFonts w:hint="eastAsia"/>
                <w:szCs w:val="24"/>
                <w:lang w:eastAsia="zh-CN"/>
              </w:rPr>
              <w:tab/>
            </w:r>
            <w:r w:rsidRPr="00B40A76">
              <w:rPr>
                <w:rFonts w:hint="eastAsia"/>
                <w:szCs w:val="24"/>
                <w:lang w:eastAsia="zh-CN"/>
              </w:rPr>
              <w:t>致国际电联各成员国主管部门；</w:t>
            </w:r>
          </w:p>
          <w:p w:rsidR="00B40A76" w:rsidRPr="00B40A76" w:rsidRDefault="00B40A76" w:rsidP="00D072BE">
            <w:pPr>
              <w:tabs>
                <w:tab w:val="clear" w:pos="794"/>
                <w:tab w:val="left" w:pos="284"/>
                <w:tab w:val="left" w:pos="4111"/>
              </w:tabs>
              <w:spacing w:before="40" w:after="40"/>
              <w:ind w:left="57"/>
              <w:rPr>
                <w:szCs w:val="24"/>
                <w:lang w:eastAsia="zh-CN"/>
              </w:rPr>
            </w:pPr>
            <w:r w:rsidRPr="00B40A76">
              <w:rPr>
                <w:rFonts w:hint="eastAsia"/>
                <w:szCs w:val="24"/>
                <w:lang w:eastAsia="zh-CN"/>
              </w:rPr>
              <w:t>-</w:t>
            </w:r>
            <w:r w:rsidRPr="00B40A76">
              <w:rPr>
                <w:rFonts w:hint="eastAsia"/>
                <w:szCs w:val="24"/>
                <w:lang w:eastAsia="zh-CN"/>
              </w:rPr>
              <w:tab/>
            </w:r>
            <w:r w:rsidRPr="00B40A76">
              <w:rPr>
                <w:rFonts w:hint="eastAsia"/>
                <w:szCs w:val="24"/>
                <w:lang w:eastAsia="zh-CN"/>
              </w:rPr>
              <w:t>致</w:t>
            </w:r>
            <w:r w:rsidRPr="00B40A76">
              <w:rPr>
                <w:szCs w:val="24"/>
                <w:lang w:eastAsia="zh-CN"/>
              </w:rPr>
              <w:t>ITU-T</w:t>
            </w:r>
            <w:r w:rsidRPr="00B40A76">
              <w:rPr>
                <w:rFonts w:hint="eastAsia"/>
                <w:szCs w:val="24"/>
                <w:lang w:eastAsia="zh-CN"/>
              </w:rPr>
              <w:t>部门成员；</w:t>
            </w:r>
          </w:p>
          <w:p w:rsidR="00B40A76" w:rsidRPr="00B40A76" w:rsidRDefault="00B40A76" w:rsidP="009D7BA8">
            <w:pPr>
              <w:tabs>
                <w:tab w:val="clear" w:pos="794"/>
                <w:tab w:val="left" w:pos="284"/>
                <w:tab w:val="left" w:pos="4111"/>
              </w:tabs>
              <w:spacing w:before="40" w:after="40"/>
              <w:ind w:left="57"/>
              <w:rPr>
                <w:szCs w:val="24"/>
                <w:lang w:eastAsia="zh-CN"/>
              </w:rPr>
            </w:pPr>
            <w:r w:rsidRPr="00B40A76">
              <w:rPr>
                <w:rFonts w:hint="eastAsia"/>
                <w:szCs w:val="24"/>
                <w:lang w:eastAsia="zh-CN"/>
              </w:rPr>
              <w:t>-</w:t>
            </w:r>
            <w:r w:rsidRPr="00B40A76">
              <w:rPr>
                <w:rFonts w:hint="eastAsia"/>
                <w:szCs w:val="24"/>
                <w:lang w:eastAsia="zh-CN"/>
              </w:rPr>
              <w:tab/>
            </w:r>
            <w:r w:rsidRPr="00B40A76">
              <w:rPr>
                <w:rFonts w:hint="eastAsia"/>
                <w:szCs w:val="24"/>
                <w:lang w:eastAsia="zh-CN"/>
              </w:rPr>
              <w:t>致</w:t>
            </w:r>
            <w:r w:rsidRPr="00B40A76">
              <w:rPr>
                <w:szCs w:val="24"/>
                <w:lang w:eastAsia="zh-CN"/>
              </w:rPr>
              <w:t>ITU-T</w:t>
            </w:r>
            <w:r w:rsidRPr="00B40A76">
              <w:rPr>
                <w:rFonts w:hint="eastAsia"/>
                <w:szCs w:val="24"/>
                <w:lang w:eastAsia="zh-CN"/>
              </w:rPr>
              <w:t>部门准成员；</w:t>
            </w:r>
            <w:r w:rsidRPr="00B40A76">
              <w:rPr>
                <w:szCs w:val="24"/>
                <w:lang w:eastAsia="zh-CN"/>
              </w:rPr>
              <w:br/>
              <w:t>-</w:t>
            </w:r>
            <w:r w:rsidRPr="00B40A76">
              <w:rPr>
                <w:rFonts w:hint="eastAsia"/>
                <w:szCs w:val="24"/>
                <w:lang w:eastAsia="zh-CN"/>
              </w:rPr>
              <w:tab/>
            </w:r>
            <w:r w:rsidRPr="00B40A76">
              <w:rPr>
                <w:rFonts w:hint="eastAsia"/>
                <w:szCs w:val="24"/>
                <w:lang w:eastAsia="zh-CN"/>
              </w:rPr>
              <w:t>致</w:t>
            </w:r>
            <w:r w:rsidR="009D7BA8">
              <w:rPr>
                <w:rFonts w:hint="eastAsia"/>
                <w:szCs w:val="24"/>
                <w:lang w:eastAsia="zh-CN"/>
              </w:rPr>
              <w:t>国际电联</w:t>
            </w:r>
            <w:r w:rsidRPr="00B40A76">
              <w:rPr>
                <w:rFonts w:hint="eastAsia"/>
                <w:szCs w:val="24"/>
                <w:lang w:eastAsia="zh-CN"/>
              </w:rPr>
              <w:t>学术成员</w:t>
            </w:r>
          </w:p>
        </w:tc>
      </w:tr>
      <w:tr w:rsidR="00D8238D" w:rsidRPr="00B40A76" w:rsidTr="00D072BE">
        <w:trPr>
          <w:cantSplit/>
          <w:trHeight w:val="327"/>
        </w:trPr>
        <w:tc>
          <w:tcPr>
            <w:tcW w:w="1268" w:type="dxa"/>
          </w:tcPr>
          <w:p w:rsidR="00D8238D" w:rsidRPr="00B40A76" w:rsidRDefault="00D8238D" w:rsidP="00D072BE">
            <w:pPr>
              <w:spacing w:before="40" w:after="40"/>
              <w:ind w:left="57"/>
              <w:rPr>
                <w:szCs w:val="24"/>
                <w:lang w:eastAsia="zh-CN"/>
              </w:rPr>
            </w:pPr>
            <w:r w:rsidRPr="00B40A76">
              <w:rPr>
                <w:rFonts w:hint="eastAsia"/>
                <w:szCs w:val="24"/>
                <w:lang w:eastAsia="zh-CN"/>
              </w:rPr>
              <w:t>电话：</w:t>
            </w:r>
          </w:p>
        </w:tc>
        <w:tc>
          <w:tcPr>
            <w:tcW w:w="4402" w:type="dxa"/>
          </w:tcPr>
          <w:p w:rsidR="00D8238D" w:rsidRPr="00B40A76" w:rsidRDefault="00D8238D" w:rsidP="009D7BA8">
            <w:pPr>
              <w:tabs>
                <w:tab w:val="left" w:pos="4111"/>
              </w:tabs>
              <w:spacing w:before="40" w:after="40"/>
              <w:ind w:left="57"/>
              <w:rPr>
                <w:rFonts w:ascii="Futura Lt BT" w:hAnsi="Futura Lt BT"/>
                <w:b/>
                <w:bCs/>
                <w:iCs/>
                <w:szCs w:val="24"/>
                <w:lang w:eastAsia="zh-CN"/>
              </w:rPr>
            </w:pPr>
            <w:r w:rsidRPr="00B40A76">
              <w:rPr>
                <w:szCs w:val="24"/>
              </w:rPr>
              <w:t>+41 22 730 6</w:t>
            </w:r>
            <w:r>
              <w:rPr>
                <w:szCs w:val="24"/>
              </w:rPr>
              <w:t>828</w:t>
            </w:r>
          </w:p>
        </w:tc>
        <w:tc>
          <w:tcPr>
            <w:tcW w:w="4536" w:type="dxa"/>
            <w:vMerge/>
          </w:tcPr>
          <w:p w:rsidR="00D8238D" w:rsidRPr="00B40A76" w:rsidRDefault="00D8238D" w:rsidP="00D072BE">
            <w:pPr>
              <w:tabs>
                <w:tab w:val="clear" w:pos="794"/>
                <w:tab w:val="left" w:pos="284"/>
                <w:tab w:val="left" w:pos="4111"/>
              </w:tabs>
              <w:spacing w:before="40" w:after="40"/>
              <w:ind w:left="57"/>
              <w:rPr>
                <w:szCs w:val="24"/>
                <w:lang w:eastAsia="zh-CN"/>
              </w:rPr>
            </w:pPr>
          </w:p>
        </w:tc>
      </w:tr>
      <w:tr w:rsidR="00D8238D" w:rsidRPr="00B40A76" w:rsidTr="00527CE1">
        <w:trPr>
          <w:cantSplit/>
          <w:trHeight w:val="1017"/>
        </w:trPr>
        <w:tc>
          <w:tcPr>
            <w:tcW w:w="1268" w:type="dxa"/>
          </w:tcPr>
          <w:p w:rsidR="00D8238D" w:rsidRPr="00B40A76" w:rsidRDefault="00D8238D" w:rsidP="00D8238D">
            <w:pPr>
              <w:spacing w:before="40" w:after="40"/>
              <w:ind w:left="57"/>
              <w:rPr>
                <w:szCs w:val="24"/>
                <w:lang w:eastAsia="zh-CN"/>
              </w:rPr>
            </w:pPr>
            <w:r w:rsidRPr="00B40A76">
              <w:rPr>
                <w:rFonts w:hint="eastAsia"/>
                <w:szCs w:val="24"/>
                <w:lang w:eastAsia="zh-CN"/>
              </w:rPr>
              <w:t>传真：</w:t>
            </w:r>
          </w:p>
        </w:tc>
        <w:tc>
          <w:tcPr>
            <w:tcW w:w="4402" w:type="dxa"/>
          </w:tcPr>
          <w:p w:rsidR="00D8238D" w:rsidRPr="00B40A76" w:rsidRDefault="00D8238D" w:rsidP="004567F8">
            <w:pPr>
              <w:tabs>
                <w:tab w:val="left" w:pos="4111"/>
              </w:tabs>
              <w:spacing w:before="40" w:after="40"/>
              <w:ind w:left="57"/>
              <w:rPr>
                <w:rFonts w:ascii="Futura Lt BT" w:hAnsi="Futura Lt BT"/>
                <w:b/>
                <w:bCs/>
                <w:iCs/>
                <w:szCs w:val="24"/>
                <w:lang w:eastAsia="zh-CN"/>
              </w:rPr>
            </w:pPr>
            <w:r w:rsidRPr="00B40A76">
              <w:rPr>
                <w:szCs w:val="24"/>
              </w:rPr>
              <w:t>+41 22 730 5853</w:t>
            </w:r>
          </w:p>
        </w:tc>
        <w:tc>
          <w:tcPr>
            <w:tcW w:w="4536" w:type="dxa"/>
            <w:vMerge/>
          </w:tcPr>
          <w:p w:rsidR="00D8238D" w:rsidRPr="00B40A76" w:rsidRDefault="00D8238D" w:rsidP="00D072BE">
            <w:pPr>
              <w:tabs>
                <w:tab w:val="clear" w:pos="794"/>
                <w:tab w:val="left" w:pos="284"/>
                <w:tab w:val="left" w:pos="4111"/>
              </w:tabs>
              <w:spacing w:before="40" w:after="40"/>
              <w:ind w:left="57"/>
              <w:rPr>
                <w:szCs w:val="24"/>
                <w:lang w:eastAsia="zh-CN"/>
              </w:rPr>
            </w:pPr>
          </w:p>
        </w:tc>
      </w:tr>
      <w:tr w:rsidR="00D8238D" w:rsidRPr="00B40A76" w:rsidTr="00D072BE">
        <w:trPr>
          <w:cantSplit/>
        </w:trPr>
        <w:tc>
          <w:tcPr>
            <w:tcW w:w="1268" w:type="dxa"/>
          </w:tcPr>
          <w:p w:rsidR="00D8238D" w:rsidRPr="00B40A76" w:rsidRDefault="00D8238D" w:rsidP="00D072BE">
            <w:pPr>
              <w:spacing w:before="40" w:after="40"/>
              <w:ind w:left="57"/>
              <w:rPr>
                <w:szCs w:val="24"/>
                <w:lang w:eastAsia="zh-CN"/>
              </w:rPr>
            </w:pPr>
            <w:r w:rsidRPr="00B40A76">
              <w:rPr>
                <w:rFonts w:hint="eastAsia"/>
                <w:szCs w:val="24"/>
                <w:lang w:eastAsia="zh-CN"/>
              </w:rPr>
              <w:t>电子邮件：</w:t>
            </w:r>
          </w:p>
        </w:tc>
        <w:tc>
          <w:tcPr>
            <w:tcW w:w="4402" w:type="dxa"/>
          </w:tcPr>
          <w:p w:rsidR="00D8238D" w:rsidRPr="00B40A76" w:rsidRDefault="00AF608B" w:rsidP="00D072BE">
            <w:pPr>
              <w:tabs>
                <w:tab w:val="left" w:pos="4111"/>
              </w:tabs>
              <w:spacing w:before="40" w:after="40"/>
              <w:ind w:left="57"/>
              <w:rPr>
                <w:szCs w:val="24"/>
                <w:lang w:eastAsia="zh-CN"/>
              </w:rPr>
            </w:pPr>
            <w:hyperlink r:id="rId9" w:history="1">
              <w:bookmarkStart w:id="0" w:name="lt_pId030"/>
              <w:r w:rsidR="00D8238D" w:rsidRPr="00085F47">
                <w:rPr>
                  <w:rStyle w:val="Hyperlink"/>
                </w:rPr>
                <w:t>tsbsg12@itu.int</w:t>
              </w:r>
              <w:bookmarkEnd w:id="0"/>
            </w:hyperlink>
          </w:p>
        </w:tc>
        <w:tc>
          <w:tcPr>
            <w:tcW w:w="4536" w:type="dxa"/>
          </w:tcPr>
          <w:p w:rsidR="00D8238D" w:rsidRPr="00B40A76" w:rsidRDefault="00D8238D" w:rsidP="00D072BE">
            <w:pPr>
              <w:tabs>
                <w:tab w:val="clear" w:pos="794"/>
                <w:tab w:val="left" w:pos="284"/>
                <w:tab w:val="left" w:pos="4111"/>
              </w:tabs>
              <w:spacing w:before="40" w:after="40"/>
              <w:ind w:left="57"/>
              <w:rPr>
                <w:b/>
                <w:bCs/>
                <w:szCs w:val="24"/>
                <w:lang w:eastAsia="zh-CN"/>
              </w:rPr>
            </w:pPr>
            <w:r w:rsidRPr="00B40A76">
              <w:rPr>
                <w:rFonts w:hint="eastAsia"/>
                <w:b/>
                <w:bCs/>
                <w:szCs w:val="24"/>
                <w:lang w:eastAsia="zh-CN"/>
              </w:rPr>
              <w:t>抄送：</w:t>
            </w:r>
          </w:p>
          <w:p w:rsidR="00D8238D" w:rsidRPr="00B40A76" w:rsidRDefault="00D8238D" w:rsidP="00CA0DAA">
            <w:pPr>
              <w:tabs>
                <w:tab w:val="clear" w:pos="794"/>
                <w:tab w:val="left" w:pos="284"/>
                <w:tab w:val="left" w:pos="4111"/>
              </w:tabs>
              <w:spacing w:before="40" w:after="40"/>
              <w:ind w:left="61"/>
              <w:rPr>
                <w:b/>
                <w:bCs/>
                <w:szCs w:val="24"/>
                <w:lang w:eastAsia="zh-CN"/>
              </w:rPr>
            </w:pPr>
            <w:r w:rsidRPr="00B40A76">
              <w:rPr>
                <w:rFonts w:hint="eastAsia"/>
                <w:szCs w:val="24"/>
                <w:lang w:eastAsia="zh-CN"/>
              </w:rPr>
              <w:t>-</w:t>
            </w:r>
            <w:r w:rsidRPr="00B40A76">
              <w:rPr>
                <w:rFonts w:hint="eastAsia"/>
                <w:szCs w:val="24"/>
                <w:lang w:eastAsia="zh-CN"/>
              </w:rPr>
              <w:tab/>
            </w:r>
            <w:r w:rsidRPr="00B40A76">
              <w:rPr>
                <w:rFonts w:hint="eastAsia"/>
                <w:szCs w:val="24"/>
                <w:lang w:eastAsia="zh-CN"/>
              </w:rPr>
              <w:t>各研究组正副主席；</w:t>
            </w:r>
          </w:p>
          <w:p w:rsidR="00D8238D" w:rsidRPr="00B40A76" w:rsidRDefault="00D8238D" w:rsidP="00D072BE">
            <w:pPr>
              <w:tabs>
                <w:tab w:val="clear" w:pos="794"/>
                <w:tab w:val="left" w:pos="284"/>
                <w:tab w:val="left" w:pos="4111"/>
              </w:tabs>
              <w:spacing w:before="40" w:after="40"/>
              <w:ind w:left="57"/>
              <w:rPr>
                <w:szCs w:val="24"/>
                <w:lang w:eastAsia="zh-CN"/>
              </w:rPr>
            </w:pPr>
            <w:r w:rsidRPr="00B40A76">
              <w:rPr>
                <w:rFonts w:hint="eastAsia"/>
                <w:szCs w:val="24"/>
                <w:lang w:eastAsia="zh-CN"/>
              </w:rPr>
              <w:t>-</w:t>
            </w:r>
            <w:r w:rsidRPr="00B40A76">
              <w:rPr>
                <w:rFonts w:hint="eastAsia"/>
                <w:szCs w:val="24"/>
                <w:lang w:eastAsia="zh-CN"/>
              </w:rPr>
              <w:tab/>
            </w:r>
            <w:r w:rsidRPr="00B40A76">
              <w:rPr>
                <w:rFonts w:hint="eastAsia"/>
                <w:szCs w:val="24"/>
                <w:lang w:eastAsia="zh-CN"/>
              </w:rPr>
              <w:t>电信发展局主任；</w:t>
            </w:r>
          </w:p>
          <w:p w:rsidR="00D8238D" w:rsidRDefault="00D8238D" w:rsidP="00D072BE">
            <w:pPr>
              <w:tabs>
                <w:tab w:val="clear" w:pos="794"/>
                <w:tab w:val="left" w:pos="284"/>
                <w:tab w:val="left" w:pos="4111"/>
              </w:tabs>
              <w:spacing w:before="40" w:after="40"/>
              <w:ind w:left="57"/>
              <w:rPr>
                <w:szCs w:val="24"/>
                <w:lang w:val="en-US" w:eastAsia="zh-CN"/>
              </w:rPr>
            </w:pPr>
            <w:r w:rsidRPr="00B40A76">
              <w:rPr>
                <w:rFonts w:hint="eastAsia"/>
                <w:szCs w:val="24"/>
                <w:lang w:eastAsia="zh-CN"/>
              </w:rPr>
              <w:t>-</w:t>
            </w:r>
            <w:r w:rsidRPr="00B40A76">
              <w:rPr>
                <w:rFonts w:hint="eastAsia"/>
                <w:szCs w:val="24"/>
                <w:lang w:eastAsia="zh-CN"/>
              </w:rPr>
              <w:tab/>
            </w:r>
            <w:r w:rsidRPr="00B40A76">
              <w:rPr>
                <w:rFonts w:hint="eastAsia"/>
                <w:szCs w:val="24"/>
                <w:lang w:eastAsia="zh-CN"/>
              </w:rPr>
              <w:t>无线电通信局主任</w:t>
            </w:r>
          </w:p>
          <w:p w:rsidR="00D8238D" w:rsidRDefault="00D8238D" w:rsidP="00CA0DAA">
            <w:pPr>
              <w:pStyle w:val="Tabletext0"/>
              <w:tabs>
                <w:tab w:val="clear" w:pos="1134"/>
                <w:tab w:val="clear" w:pos="1871"/>
                <w:tab w:val="clear" w:pos="2268"/>
              </w:tabs>
              <w:ind w:left="283" w:hanging="283"/>
              <w:rPr>
                <w:lang w:eastAsia="zh-CN"/>
              </w:rPr>
            </w:pPr>
            <w:r>
              <w:rPr>
                <w:lang w:eastAsia="zh-CN"/>
              </w:rPr>
              <w:t>-</w:t>
            </w:r>
            <w:r w:rsidRPr="00B40A76">
              <w:rPr>
                <w:rFonts w:hint="eastAsia"/>
                <w:szCs w:val="24"/>
                <w:lang w:eastAsia="zh-CN"/>
              </w:rPr>
              <w:t>-</w:t>
            </w:r>
            <w:r w:rsidRPr="00B40A76">
              <w:rPr>
                <w:rFonts w:hint="eastAsia"/>
                <w:szCs w:val="24"/>
                <w:lang w:eastAsia="zh-CN"/>
              </w:rPr>
              <w:tab/>
            </w:r>
            <w:bookmarkStart w:id="1" w:name="lt_pId045"/>
            <w:r>
              <w:rPr>
                <w:rFonts w:eastAsiaTheme="minorEastAsia" w:hint="eastAsia"/>
                <w:szCs w:val="24"/>
                <w:lang w:eastAsia="zh-CN"/>
              </w:rPr>
              <w:t>国际电联</w:t>
            </w:r>
            <w:r>
              <w:rPr>
                <w:rFonts w:eastAsiaTheme="minorEastAsia" w:hint="eastAsia"/>
                <w:szCs w:val="24"/>
                <w:lang w:val="en-US" w:eastAsia="zh-CN"/>
              </w:rPr>
              <w:t>各</w:t>
            </w:r>
            <w:r>
              <w:rPr>
                <w:rFonts w:eastAsiaTheme="minorEastAsia" w:hint="eastAsia"/>
                <w:szCs w:val="24"/>
                <w:lang w:eastAsia="zh-CN"/>
              </w:rPr>
              <w:t>区域代表处</w:t>
            </w:r>
            <w:bookmarkEnd w:id="1"/>
            <w:r>
              <w:rPr>
                <w:rFonts w:eastAsiaTheme="minorEastAsia" w:hint="eastAsia"/>
                <w:szCs w:val="24"/>
                <w:lang w:eastAsia="zh-CN"/>
              </w:rPr>
              <w:t>主任</w:t>
            </w:r>
          </w:p>
          <w:p w:rsidR="00D8238D" w:rsidRPr="004567F8" w:rsidRDefault="00D8238D" w:rsidP="00D072BE">
            <w:pPr>
              <w:tabs>
                <w:tab w:val="clear" w:pos="794"/>
                <w:tab w:val="left" w:pos="284"/>
                <w:tab w:val="left" w:pos="4111"/>
              </w:tabs>
              <w:spacing w:before="40" w:after="40"/>
              <w:ind w:left="57"/>
              <w:rPr>
                <w:szCs w:val="24"/>
                <w:lang w:eastAsia="zh-CN"/>
              </w:rPr>
            </w:pPr>
          </w:p>
          <w:p w:rsidR="00D8238D" w:rsidRPr="00B40A76" w:rsidRDefault="00D8238D" w:rsidP="00D072BE">
            <w:pPr>
              <w:tabs>
                <w:tab w:val="clear" w:pos="794"/>
                <w:tab w:val="left" w:pos="141"/>
                <w:tab w:val="left" w:pos="4111"/>
              </w:tabs>
              <w:spacing w:before="40" w:after="40"/>
              <w:rPr>
                <w:szCs w:val="24"/>
                <w:lang w:eastAsia="zh-CN"/>
              </w:rPr>
            </w:pPr>
          </w:p>
        </w:tc>
      </w:tr>
    </w:tbl>
    <w:p w:rsidR="00E1779A" w:rsidRDefault="00E1779A" w:rsidP="00E1779A">
      <w:pPr>
        <w:spacing w:before="0"/>
        <w:rPr>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7392"/>
      </w:tblGrid>
      <w:tr w:rsidR="00E1779A" w:rsidTr="00FA29E1">
        <w:trPr>
          <w:cantSplit/>
          <w:trHeight w:val="680"/>
        </w:trPr>
        <w:tc>
          <w:tcPr>
            <w:tcW w:w="822" w:type="dxa"/>
          </w:tcPr>
          <w:p w:rsidR="00E1779A" w:rsidRPr="00D072BE" w:rsidRDefault="00E1779A" w:rsidP="002A1603">
            <w:pPr>
              <w:tabs>
                <w:tab w:val="left" w:pos="4111"/>
              </w:tabs>
              <w:spacing w:before="10"/>
              <w:ind w:left="57"/>
              <w:rPr>
                <w:rFonts w:ascii="Futura Lt BT" w:hAnsi="Futura Lt BT"/>
                <w:szCs w:val="24"/>
                <w:lang w:eastAsia="zh-CN"/>
              </w:rPr>
            </w:pPr>
            <w:bookmarkStart w:id="2" w:name="Addressee_E"/>
            <w:bookmarkEnd w:id="2"/>
            <w:r w:rsidRPr="00D072BE">
              <w:rPr>
                <w:rFonts w:hint="eastAsia"/>
                <w:szCs w:val="24"/>
                <w:lang w:eastAsia="zh-CN"/>
              </w:rPr>
              <w:t>事由：</w:t>
            </w:r>
          </w:p>
        </w:tc>
        <w:tc>
          <w:tcPr>
            <w:tcW w:w="7392" w:type="dxa"/>
          </w:tcPr>
          <w:p w:rsidR="00E1779A" w:rsidRDefault="00CA0DAA" w:rsidP="00CA0DAA">
            <w:pPr>
              <w:tabs>
                <w:tab w:val="left" w:pos="4111"/>
              </w:tabs>
              <w:spacing w:before="0"/>
              <w:ind w:left="57"/>
              <w:rPr>
                <w:b/>
                <w:bCs/>
                <w:lang w:eastAsia="zh-CN"/>
              </w:rPr>
            </w:pPr>
            <w:bookmarkStart w:id="3" w:name="lt_pId041"/>
            <w:r>
              <w:rPr>
                <w:rFonts w:hint="eastAsia"/>
                <w:b/>
                <w:bCs/>
                <w:lang w:eastAsia="zh-CN"/>
              </w:rPr>
              <w:t>有关各国服务质量监管框架的调查问卷</w:t>
            </w:r>
            <w:bookmarkEnd w:id="3"/>
          </w:p>
        </w:tc>
      </w:tr>
    </w:tbl>
    <w:p w:rsidR="00B40A76" w:rsidRPr="00D90211" w:rsidRDefault="00B40A76" w:rsidP="00836809">
      <w:pPr>
        <w:spacing w:before="720" w:after="20"/>
        <w:rPr>
          <w:rFonts w:ascii="Calibri" w:hAnsi="Calibri" w:cstheme="majorBidi"/>
          <w:lang w:eastAsia="zh-CN"/>
        </w:rPr>
      </w:pPr>
      <w:bookmarkStart w:id="4" w:name="StartTyping_E"/>
      <w:bookmarkEnd w:id="4"/>
      <w:r w:rsidRPr="00D90211">
        <w:rPr>
          <w:rFonts w:ascii="Calibri" w:hAnsi="Calibri" w:cstheme="majorBidi"/>
          <w:lang w:eastAsia="zh-CN"/>
        </w:rPr>
        <w:t>尊敬的先生</w:t>
      </w:r>
      <w:r w:rsidRPr="00D90211">
        <w:rPr>
          <w:rFonts w:ascii="Calibri" w:hAnsi="Calibri" w:cstheme="majorBidi"/>
          <w:lang w:eastAsia="zh-CN"/>
        </w:rPr>
        <w:t>/</w:t>
      </w:r>
      <w:r w:rsidRPr="00D90211">
        <w:rPr>
          <w:rFonts w:ascii="Calibri" w:hAnsi="Calibri" w:cstheme="majorBidi"/>
          <w:lang w:eastAsia="zh-CN"/>
        </w:rPr>
        <w:t>女士：</w:t>
      </w:r>
    </w:p>
    <w:p w:rsidR="000A38C0" w:rsidRDefault="002D272F" w:rsidP="00CA0DAA">
      <w:pPr>
        <w:ind w:firstLineChars="200" w:firstLine="480"/>
        <w:rPr>
          <w:lang w:eastAsia="zh-CN"/>
        </w:rPr>
      </w:pPr>
      <w:bookmarkStart w:id="5" w:name="suitetext"/>
      <w:bookmarkStart w:id="6" w:name="text"/>
      <w:bookmarkStart w:id="7" w:name="lt_pId043"/>
      <w:bookmarkEnd w:id="5"/>
      <w:bookmarkEnd w:id="6"/>
      <w:r w:rsidRPr="00DD2337">
        <w:rPr>
          <w:rFonts w:asciiTheme="majorBidi" w:hAnsiTheme="majorBidi" w:cstheme="majorBidi"/>
          <w:lang w:eastAsia="zh-CN"/>
        </w:rPr>
        <w:t>世界电信标准化全会</w:t>
      </w:r>
      <w:r w:rsidRPr="002D272F">
        <w:rPr>
          <w:rFonts w:hint="eastAsia"/>
          <w:lang w:eastAsia="zh-CN"/>
        </w:rPr>
        <w:t>第</w:t>
      </w:r>
      <w:r w:rsidRPr="002D272F">
        <w:rPr>
          <w:rFonts w:hint="eastAsia"/>
          <w:lang w:eastAsia="zh-CN"/>
        </w:rPr>
        <w:t>95</w:t>
      </w:r>
      <w:r w:rsidRPr="002D272F">
        <w:rPr>
          <w:rFonts w:hint="eastAsia"/>
          <w:lang w:eastAsia="zh-CN"/>
        </w:rPr>
        <w:t>号决议（</w:t>
      </w:r>
      <w:r w:rsidRPr="002D272F">
        <w:rPr>
          <w:rFonts w:hint="eastAsia"/>
          <w:lang w:eastAsia="zh-CN"/>
        </w:rPr>
        <w:t>2016</w:t>
      </w:r>
      <w:r w:rsidRPr="002D272F">
        <w:rPr>
          <w:rFonts w:hint="eastAsia"/>
          <w:lang w:eastAsia="zh-CN"/>
        </w:rPr>
        <w:t>年，哈马马特）</w:t>
      </w:r>
      <w:r w:rsidR="000A38C0">
        <w:rPr>
          <w:rStyle w:val="FootnoteReference"/>
        </w:rPr>
        <w:footnoteReference w:id="1"/>
      </w:r>
      <w:r w:rsidR="00CA0DAA">
        <w:rPr>
          <w:rFonts w:hint="eastAsia"/>
          <w:lang w:eastAsia="zh-CN"/>
        </w:rPr>
        <w:t>“</w:t>
      </w:r>
      <w:r w:rsidRPr="002D272F">
        <w:rPr>
          <w:rFonts w:ascii="STKaiti" w:eastAsia="STKaiti" w:hAnsi="STKaiti" w:hint="eastAsia"/>
          <w:b/>
          <w:bCs/>
          <w:lang w:eastAsia="zh-CN"/>
        </w:rPr>
        <w:t>国际电联电信标准化部门为提高对服务质量相关最佳做法和政策的认识而推出的举措</w:t>
      </w:r>
      <w:r w:rsidR="00CA0DAA">
        <w:rPr>
          <w:rFonts w:hint="eastAsia"/>
          <w:lang w:eastAsia="zh-CN"/>
        </w:rPr>
        <w:t>”认可了</w:t>
      </w:r>
      <w:r w:rsidR="00CA0DAA">
        <w:rPr>
          <w:rFonts w:hint="eastAsia"/>
          <w:lang w:eastAsia="zh-CN"/>
        </w:rPr>
        <w:t>ITU-T</w:t>
      </w:r>
      <w:r w:rsidR="00CA0DAA">
        <w:rPr>
          <w:rFonts w:hint="eastAsia"/>
          <w:lang w:eastAsia="zh-CN"/>
        </w:rPr>
        <w:t>第</w:t>
      </w:r>
      <w:r w:rsidR="00CA0DAA">
        <w:rPr>
          <w:rFonts w:hint="eastAsia"/>
          <w:lang w:eastAsia="zh-CN"/>
        </w:rPr>
        <w:t>12</w:t>
      </w:r>
      <w:r w:rsidR="00CA0DAA">
        <w:rPr>
          <w:rFonts w:hint="eastAsia"/>
          <w:lang w:eastAsia="zh-CN"/>
        </w:rPr>
        <w:t>研究组（</w:t>
      </w:r>
      <w:r w:rsidR="00CA0DAA">
        <w:rPr>
          <w:rFonts w:hint="eastAsia"/>
          <w:lang w:eastAsia="zh-CN"/>
        </w:rPr>
        <w:t>SG12</w:t>
      </w:r>
      <w:r w:rsidR="00CA0DAA">
        <w:rPr>
          <w:rFonts w:hint="eastAsia"/>
          <w:lang w:eastAsia="zh-CN"/>
        </w:rPr>
        <w:t>）及其</w:t>
      </w:r>
      <w:r w:rsidR="00CA0DAA" w:rsidRPr="00CA0DAA">
        <w:rPr>
          <w:lang w:eastAsia="zh-CN"/>
        </w:rPr>
        <w:t>服务质量发展组（</w:t>
      </w:r>
      <w:r w:rsidR="00CA0DAA" w:rsidRPr="00CA0DAA">
        <w:rPr>
          <w:lang w:eastAsia="zh-CN"/>
        </w:rPr>
        <w:t>QSDG</w:t>
      </w:r>
      <w:r w:rsidR="00CA0DAA" w:rsidRPr="00CA0DAA">
        <w:rPr>
          <w:lang w:eastAsia="zh-CN"/>
        </w:rPr>
        <w:t>）</w:t>
      </w:r>
      <w:r w:rsidR="00CA0DAA">
        <w:rPr>
          <w:rFonts w:hint="eastAsia"/>
          <w:lang w:eastAsia="zh-CN"/>
        </w:rPr>
        <w:t>正在开展的性能、服务质量（</w:t>
      </w:r>
      <w:proofErr w:type="spellStart"/>
      <w:r w:rsidR="00CA0DAA">
        <w:rPr>
          <w:lang w:eastAsia="zh-CN"/>
        </w:rPr>
        <w:t>QoS</w:t>
      </w:r>
      <w:proofErr w:type="spellEnd"/>
      <w:r w:rsidR="00CA0DAA">
        <w:rPr>
          <w:rFonts w:hint="eastAsia"/>
          <w:lang w:eastAsia="zh-CN"/>
        </w:rPr>
        <w:t>）和体验质量（</w:t>
      </w:r>
      <w:proofErr w:type="spellStart"/>
      <w:r w:rsidR="00CA0DAA">
        <w:rPr>
          <w:lang w:eastAsia="zh-CN"/>
        </w:rPr>
        <w:t>QoE</w:t>
      </w:r>
      <w:proofErr w:type="spellEnd"/>
      <w:r w:rsidR="00CA0DAA">
        <w:rPr>
          <w:rFonts w:hint="eastAsia"/>
          <w:lang w:eastAsia="zh-CN"/>
        </w:rPr>
        <w:t>）工作的重要性。</w:t>
      </w:r>
      <w:bookmarkEnd w:id="7"/>
      <w:r w:rsidR="000A38C0">
        <w:rPr>
          <w:lang w:eastAsia="zh-CN"/>
        </w:rPr>
        <w:t xml:space="preserve"> </w:t>
      </w:r>
    </w:p>
    <w:p w:rsidR="000A38C0" w:rsidRDefault="00CA0DAA" w:rsidP="002C4922">
      <w:pPr>
        <w:ind w:firstLineChars="200" w:firstLine="480"/>
        <w:rPr>
          <w:lang w:eastAsia="zh-CN"/>
        </w:rPr>
      </w:pPr>
      <w:bookmarkStart w:id="9" w:name="lt_pId044"/>
      <w:r>
        <w:rPr>
          <w:rFonts w:hint="eastAsia"/>
          <w:lang w:eastAsia="zh-CN"/>
        </w:rPr>
        <w:t>该决议</w:t>
      </w:r>
      <w:r w:rsidR="006D7155">
        <w:rPr>
          <w:rFonts w:hint="eastAsia"/>
          <w:lang w:eastAsia="zh-CN"/>
        </w:rPr>
        <w:t>就</w:t>
      </w:r>
      <w:r w:rsidR="006D7155" w:rsidRPr="006D7155">
        <w:rPr>
          <w:lang w:eastAsia="zh-CN"/>
        </w:rPr>
        <w:t>如何在</w:t>
      </w:r>
      <w:r w:rsidR="006D7155">
        <w:rPr>
          <w:rFonts w:hint="eastAsia"/>
          <w:lang w:eastAsia="zh-CN"/>
        </w:rPr>
        <w:t>本</w:t>
      </w:r>
      <w:r w:rsidR="006D7155" w:rsidRPr="006D7155">
        <w:rPr>
          <w:lang w:eastAsia="zh-CN"/>
        </w:rPr>
        <w:t>研究期开展</w:t>
      </w:r>
      <w:r w:rsidR="006D7155">
        <w:rPr>
          <w:rFonts w:hint="eastAsia"/>
          <w:lang w:eastAsia="zh-CN"/>
        </w:rPr>
        <w:t>与质量监管手段有关的</w:t>
      </w:r>
      <w:r w:rsidR="006D7155" w:rsidRPr="006D7155">
        <w:rPr>
          <w:lang w:eastAsia="zh-CN"/>
        </w:rPr>
        <w:t>研究</w:t>
      </w:r>
      <w:r w:rsidR="006D7155">
        <w:rPr>
          <w:rFonts w:hint="eastAsia"/>
          <w:lang w:eastAsia="zh-CN"/>
        </w:rPr>
        <w:t>提出了建议，并规定了第</w:t>
      </w:r>
      <w:r w:rsidR="006D7155">
        <w:rPr>
          <w:rFonts w:hint="eastAsia"/>
          <w:lang w:eastAsia="zh-CN"/>
        </w:rPr>
        <w:t>12</w:t>
      </w:r>
      <w:r w:rsidR="006D7155">
        <w:rPr>
          <w:rFonts w:hint="eastAsia"/>
          <w:lang w:eastAsia="zh-CN"/>
        </w:rPr>
        <w:t>研究组及其他相关</w:t>
      </w:r>
      <w:r w:rsidR="006D7155">
        <w:rPr>
          <w:rFonts w:hint="eastAsia"/>
          <w:lang w:eastAsia="zh-CN"/>
        </w:rPr>
        <w:t>ITU-T</w:t>
      </w:r>
      <w:r w:rsidR="006D7155">
        <w:rPr>
          <w:rFonts w:hint="eastAsia"/>
          <w:lang w:eastAsia="zh-CN"/>
        </w:rPr>
        <w:t>研究组应</w:t>
      </w:r>
      <w:r w:rsidR="002C4922">
        <w:rPr>
          <w:rFonts w:hint="eastAsia"/>
          <w:lang w:eastAsia="zh-CN"/>
        </w:rPr>
        <w:t>制定的一些实际成果。</w:t>
      </w:r>
      <w:bookmarkEnd w:id="9"/>
    </w:p>
    <w:p w:rsidR="000A38C0" w:rsidRPr="00392626" w:rsidRDefault="002C4922" w:rsidP="002C4922">
      <w:pPr>
        <w:ind w:firstLineChars="200" w:firstLine="480"/>
        <w:rPr>
          <w:lang w:eastAsia="zh-CN"/>
        </w:rPr>
      </w:pPr>
      <w:r w:rsidRPr="00392626">
        <w:rPr>
          <w:rFonts w:hint="eastAsia"/>
          <w:lang w:eastAsia="zh-CN"/>
        </w:rPr>
        <w:t>在其他众多条款中，第</w:t>
      </w:r>
      <w:r w:rsidRPr="00392626">
        <w:rPr>
          <w:rFonts w:hint="eastAsia"/>
          <w:lang w:eastAsia="zh-CN"/>
        </w:rPr>
        <w:t>95</w:t>
      </w:r>
      <w:r w:rsidRPr="00392626">
        <w:rPr>
          <w:rFonts w:hint="eastAsia"/>
          <w:lang w:eastAsia="zh-CN"/>
        </w:rPr>
        <w:t>号决议列出了一些重要的研究议题：</w:t>
      </w:r>
      <w:r w:rsidR="000A38C0" w:rsidRPr="00392626">
        <w:rPr>
          <w:lang w:eastAsia="zh-CN"/>
        </w:rPr>
        <w:t xml:space="preserve"> </w:t>
      </w:r>
    </w:p>
    <w:p w:rsidR="000A38C0" w:rsidRPr="00392626" w:rsidRDefault="000A38C0" w:rsidP="002C4922">
      <w:pPr>
        <w:pStyle w:val="enumlev1"/>
        <w:rPr>
          <w:lang w:eastAsia="zh-CN"/>
        </w:rPr>
      </w:pPr>
      <w:bookmarkStart w:id="10" w:name="lt_pId046"/>
      <w:r w:rsidRPr="00392626">
        <w:rPr>
          <w:lang w:eastAsia="zh-CN"/>
        </w:rPr>
        <w:t>•</w:t>
      </w:r>
      <w:r w:rsidRPr="00392626">
        <w:rPr>
          <w:lang w:eastAsia="zh-CN"/>
        </w:rPr>
        <w:tab/>
      </w:r>
      <w:r w:rsidR="002C4922" w:rsidRPr="00392626">
        <w:rPr>
          <w:rFonts w:hint="eastAsia"/>
          <w:lang w:eastAsia="zh-CN"/>
        </w:rPr>
        <w:t>制定各国，尤其是</w:t>
      </w:r>
      <w:r w:rsidR="002C4922" w:rsidRPr="00392626">
        <w:rPr>
          <w:lang w:eastAsia="zh-CN"/>
        </w:rPr>
        <w:t>发展中国家适用于衡量</w:t>
      </w:r>
      <w:proofErr w:type="spellStart"/>
      <w:r w:rsidR="002C4922" w:rsidRPr="00392626">
        <w:rPr>
          <w:lang w:eastAsia="zh-CN"/>
        </w:rPr>
        <w:t>QoS</w:t>
      </w:r>
      <w:proofErr w:type="spellEnd"/>
      <w:r w:rsidR="002C4922" w:rsidRPr="00392626">
        <w:rPr>
          <w:lang w:eastAsia="zh-CN"/>
        </w:rPr>
        <w:t>与</w:t>
      </w:r>
      <w:proofErr w:type="spellStart"/>
      <w:r w:rsidR="002C4922" w:rsidRPr="00392626">
        <w:rPr>
          <w:lang w:eastAsia="zh-CN"/>
        </w:rPr>
        <w:t>QoE</w:t>
      </w:r>
      <w:proofErr w:type="spellEnd"/>
      <w:r w:rsidR="002C4922" w:rsidRPr="00392626">
        <w:rPr>
          <w:lang w:eastAsia="zh-CN"/>
        </w:rPr>
        <w:t>的国家质量测量框架</w:t>
      </w:r>
      <w:r w:rsidR="002C4922" w:rsidRPr="00392626">
        <w:rPr>
          <w:rFonts w:hint="eastAsia"/>
          <w:lang w:eastAsia="zh-CN"/>
        </w:rPr>
        <w:t>，确定这些国家需在</w:t>
      </w:r>
      <w:r w:rsidR="002C4922" w:rsidRPr="00392626">
        <w:rPr>
          <w:lang w:eastAsia="zh-CN"/>
        </w:rPr>
        <w:t>人员和机构能力建设</w:t>
      </w:r>
      <w:r w:rsidR="002C4922" w:rsidRPr="00392626">
        <w:rPr>
          <w:rFonts w:hint="eastAsia"/>
          <w:lang w:eastAsia="zh-CN"/>
        </w:rPr>
        <w:t>方面开展的工作；</w:t>
      </w:r>
      <w:bookmarkEnd w:id="10"/>
    </w:p>
    <w:p w:rsidR="000A38C0" w:rsidRPr="00392626" w:rsidRDefault="000A38C0" w:rsidP="002C4922">
      <w:pPr>
        <w:pStyle w:val="enumlev1"/>
        <w:rPr>
          <w:lang w:eastAsia="zh-CN"/>
        </w:rPr>
      </w:pPr>
      <w:r w:rsidRPr="00392626">
        <w:rPr>
          <w:lang w:eastAsia="zh-CN"/>
        </w:rPr>
        <w:t>•</w:t>
      </w:r>
      <w:r w:rsidRPr="00392626">
        <w:rPr>
          <w:lang w:eastAsia="zh-CN"/>
        </w:rPr>
        <w:tab/>
      </w:r>
      <w:r w:rsidR="002C4922" w:rsidRPr="00392626">
        <w:rPr>
          <w:rFonts w:hint="eastAsia"/>
          <w:lang w:eastAsia="zh-CN"/>
        </w:rPr>
        <w:t>可使用户了解所享受服务质量的战略；</w:t>
      </w:r>
    </w:p>
    <w:p w:rsidR="000A38C0" w:rsidRPr="00392626" w:rsidRDefault="000A38C0" w:rsidP="002C4922">
      <w:pPr>
        <w:pStyle w:val="enumlev1"/>
        <w:rPr>
          <w:lang w:eastAsia="zh-CN"/>
        </w:rPr>
      </w:pPr>
      <w:bookmarkStart w:id="11" w:name="lt_pId048"/>
      <w:r w:rsidRPr="00392626">
        <w:rPr>
          <w:lang w:eastAsia="zh-CN"/>
        </w:rPr>
        <w:t>•</w:t>
      </w:r>
      <w:r w:rsidRPr="00392626">
        <w:rPr>
          <w:lang w:eastAsia="zh-CN"/>
        </w:rPr>
        <w:tab/>
      </w:r>
      <w:proofErr w:type="spellStart"/>
      <w:r w:rsidRPr="00392626">
        <w:rPr>
          <w:lang w:eastAsia="zh-CN"/>
        </w:rPr>
        <w:t>QoS</w:t>
      </w:r>
      <w:proofErr w:type="spellEnd"/>
      <w:r w:rsidRPr="00392626">
        <w:rPr>
          <w:lang w:eastAsia="zh-CN"/>
        </w:rPr>
        <w:t>/</w:t>
      </w:r>
      <w:proofErr w:type="spellStart"/>
      <w:r w:rsidRPr="00392626">
        <w:rPr>
          <w:lang w:eastAsia="zh-CN"/>
        </w:rPr>
        <w:t>QoE</w:t>
      </w:r>
      <w:proofErr w:type="spellEnd"/>
      <w:r w:rsidR="002C4922" w:rsidRPr="00392626">
        <w:rPr>
          <w:rFonts w:hint="eastAsia"/>
          <w:lang w:eastAsia="zh-CN"/>
        </w:rPr>
        <w:t>评估情形和测试方法；</w:t>
      </w:r>
      <w:bookmarkEnd w:id="11"/>
    </w:p>
    <w:p w:rsidR="000A38C0" w:rsidRPr="00392626" w:rsidRDefault="000A38C0" w:rsidP="00201450">
      <w:pPr>
        <w:pStyle w:val="enumlev1"/>
        <w:rPr>
          <w:lang w:eastAsia="zh-CN"/>
        </w:rPr>
      </w:pPr>
      <w:bookmarkStart w:id="12" w:name="lt_pId049"/>
      <w:r w:rsidRPr="00392626">
        <w:rPr>
          <w:lang w:eastAsia="zh-CN"/>
        </w:rPr>
        <w:t>•</w:t>
      </w:r>
      <w:r w:rsidRPr="00392626">
        <w:rPr>
          <w:lang w:eastAsia="zh-CN"/>
        </w:rPr>
        <w:tab/>
      </w:r>
      <w:bookmarkEnd w:id="12"/>
      <w:r w:rsidR="002D2C36" w:rsidRPr="00392626">
        <w:rPr>
          <w:rFonts w:eastAsiaTheme="minorEastAsia" w:hint="eastAsia"/>
          <w:lang w:eastAsia="zh-CN"/>
        </w:rPr>
        <w:t>在本地、各国和全球层面用于衡量服务质量的采样方法；</w:t>
      </w:r>
    </w:p>
    <w:p w:rsidR="000A38C0" w:rsidRPr="00392626" w:rsidRDefault="000A38C0" w:rsidP="00201450">
      <w:pPr>
        <w:pStyle w:val="enumlev1"/>
        <w:rPr>
          <w:lang w:eastAsia="zh-CN"/>
        </w:rPr>
      </w:pPr>
      <w:bookmarkStart w:id="13" w:name="lt_pId050"/>
      <w:r w:rsidRPr="00392626">
        <w:rPr>
          <w:lang w:eastAsia="zh-CN"/>
        </w:rPr>
        <w:t>•</w:t>
      </w:r>
      <w:r w:rsidRPr="00392626">
        <w:rPr>
          <w:lang w:eastAsia="zh-CN"/>
        </w:rPr>
        <w:tab/>
      </w:r>
      <w:bookmarkEnd w:id="13"/>
      <w:r w:rsidR="002D2C36" w:rsidRPr="00392626">
        <w:rPr>
          <w:lang w:eastAsia="zh-CN"/>
        </w:rPr>
        <w:t>提供</w:t>
      </w:r>
      <w:r w:rsidR="002D2C36" w:rsidRPr="00392626">
        <w:rPr>
          <w:rFonts w:hint="eastAsia"/>
          <w:lang w:eastAsia="zh-CN"/>
        </w:rPr>
        <w:t>用于</w:t>
      </w:r>
      <w:r w:rsidR="002D2C36" w:rsidRPr="00392626">
        <w:rPr>
          <w:lang w:eastAsia="zh-CN"/>
        </w:rPr>
        <w:t>评估</w:t>
      </w:r>
      <w:r w:rsidR="00201450" w:rsidRPr="00392626">
        <w:rPr>
          <w:rFonts w:hint="eastAsia"/>
          <w:lang w:eastAsia="zh-CN"/>
        </w:rPr>
        <w:t>服务质量</w:t>
      </w:r>
      <w:r w:rsidR="002D2C36" w:rsidRPr="00392626">
        <w:rPr>
          <w:lang w:eastAsia="zh-CN"/>
        </w:rPr>
        <w:t>最低满意度关键性能指标和关键质量指标的参考</w:t>
      </w:r>
      <w:r w:rsidR="002D2C36" w:rsidRPr="00392626">
        <w:rPr>
          <w:rFonts w:hint="eastAsia"/>
          <w:lang w:eastAsia="zh-CN"/>
        </w:rPr>
        <w:t>；</w:t>
      </w:r>
    </w:p>
    <w:p w:rsidR="000A38C0" w:rsidRPr="00392626" w:rsidRDefault="000A38C0" w:rsidP="00201450">
      <w:pPr>
        <w:pStyle w:val="enumlev1"/>
        <w:rPr>
          <w:lang w:eastAsia="zh-CN"/>
        </w:rPr>
      </w:pPr>
      <w:bookmarkStart w:id="14" w:name="lt_pId051"/>
      <w:r w:rsidRPr="00392626">
        <w:rPr>
          <w:lang w:eastAsia="zh-CN"/>
        </w:rPr>
        <w:lastRenderedPageBreak/>
        <w:t>•</w:t>
      </w:r>
      <w:r w:rsidRPr="00392626">
        <w:rPr>
          <w:lang w:eastAsia="zh-CN"/>
        </w:rPr>
        <w:tab/>
      </w:r>
      <w:bookmarkEnd w:id="14"/>
      <w:r w:rsidR="00201450" w:rsidRPr="00392626">
        <w:rPr>
          <w:rFonts w:hint="eastAsia"/>
          <w:lang w:eastAsia="zh-CN"/>
        </w:rPr>
        <w:t>促进</w:t>
      </w:r>
      <w:r w:rsidR="002D272F" w:rsidRPr="00392626">
        <w:rPr>
          <w:lang w:eastAsia="zh-CN"/>
        </w:rPr>
        <w:t>监管机构、运营商和提供商就如何为用户提供更好</w:t>
      </w:r>
      <w:proofErr w:type="spellStart"/>
      <w:r w:rsidR="002D272F" w:rsidRPr="00392626">
        <w:rPr>
          <w:rFonts w:hint="eastAsia"/>
          <w:lang w:eastAsia="zh-CN"/>
        </w:rPr>
        <w:t>Q</w:t>
      </w:r>
      <w:r w:rsidR="002D272F" w:rsidRPr="00392626">
        <w:rPr>
          <w:lang w:eastAsia="zh-CN"/>
        </w:rPr>
        <w:t>oS</w:t>
      </w:r>
      <w:proofErr w:type="spellEnd"/>
      <w:r w:rsidR="002D272F" w:rsidRPr="00392626">
        <w:rPr>
          <w:rFonts w:hint="eastAsia"/>
          <w:lang w:eastAsia="zh-CN"/>
        </w:rPr>
        <w:t>和</w:t>
      </w:r>
      <w:proofErr w:type="spellStart"/>
      <w:r w:rsidR="002D272F" w:rsidRPr="00392626">
        <w:rPr>
          <w:rFonts w:hint="eastAsia"/>
          <w:lang w:eastAsia="zh-CN"/>
        </w:rPr>
        <w:t>Q</w:t>
      </w:r>
      <w:r w:rsidR="002D272F" w:rsidRPr="00392626">
        <w:rPr>
          <w:lang w:eastAsia="zh-CN"/>
        </w:rPr>
        <w:t>oE</w:t>
      </w:r>
      <w:proofErr w:type="spellEnd"/>
      <w:r w:rsidR="002D272F" w:rsidRPr="00392626">
        <w:rPr>
          <w:lang w:eastAsia="zh-CN"/>
        </w:rPr>
        <w:t>制定新战略</w:t>
      </w:r>
      <w:r w:rsidR="00201450" w:rsidRPr="00392626">
        <w:rPr>
          <w:rFonts w:hint="eastAsia"/>
          <w:lang w:eastAsia="zh-CN"/>
        </w:rPr>
        <w:t>而开展更广泛的</w:t>
      </w:r>
      <w:r w:rsidR="002D272F" w:rsidRPr="00392626">
        <w:rPr>
          <w:lang w:eastAsia="zh-CN"/>
        </w:rPr>
        <w:t>讨论</w:t>
      </w:r>
      <w:r w:rsidR="002D272F" w:rsidRPr="00392626">
        <w:rPr>
          <w:rFonts w:hint="eastAsia"/>
          <w:lang w:eastAsia="zh-CN"/>
        </w:rPr>
        <w:t>。</w:t>
      </w:r>
    </w:p>
    <w:p w:rsidR="000A38C0" w:rsidRPr="00392626" w:rsidRDefault="00201450" w:rsidP="00201450">
      <w:pPr>
        <w:ind w:firstLineChars="200" w:firstLine="480"/>
        <w:rPr>
          <w:lang w:eastAsia="zh-CN"/>
        </w:rPr>
      </w:pPr>
      <w:bookmarkStart w:id="15" w:name="lt_pId052"/>
      <w:r w:rsidRPr="00392626">
        <w:rPr>
          <w:rFonts w:hint="eastAsia"/>
          <w:lang w:eastAsia="zh-CN"/>
        </w:rPr>
        <w:t>此外，该决议还责成电信标准化局主任与电信发展局主任密切协作：</w:t>
      </w:r>
      <w:bookmarkEnd w:id="15"/>
    </w:p>
    <w:p w:rsidR="000A38C0" w:rsidRPr="00392626" w:rsidRDefault="000A38C0" w:rsidP="002D272F">
      <w:pPr>
        <w:pStyle w:val="enumlev1"/>
        <w:rPr>
          <w:lang w:eastAsia="zh-CN"/>
        </w:rPr>
      </w:pPr>
      <w:bookmarkStart w:id="16" w:name="lt_pId053"/>
      <w:r w:rsidRPr="00392626">
        <w:rPr>
          <w:lang w:eastAsia="zh-CN"/>
        </w:rPr>
        <w:t>•</w:t>
      </w:r>
      <w:r w:rsidRPr="00392626">
        <w:rPr>
          <w:lang w:eastAsia="zh-CN"/>
        </w:rPr>
        <w:tab/>
      </w:r>
      <w:bookmarkEnd w:id="16"/>
      <w:r w:rsidR="002D272F" w:rsidRPr="00392626">
        <w:rPr>
          <w:lang w:eastAsia="zh-CN"/>
        </w:rPr>
        <w:t>帮助发展中国家和最不发达国家寻找建立国家质量</w:t>
      </w:r>
      <w:r w:rsidR="002D272F" w:rsidRPr="00392626">
        <w:rPr>
          <w:rFonts w:hint="eastAsia"/>
          <w:lang w:eastAsia="zh-CN"/>
        </w:rPr>
        <w:t>衡量</w:t>
      </w:r>
      <w:r w:rsidR="002D272F" w:rsidRPr="00392626">
        <w:rPr>
          <w:lang w:eastAsia="zh-CN"/>
        </w:rPr>
        <w:t>框架方面的人员和机构能力建设机遇；</w:t>
      </w:r>
    </w:p>
    <w:p w:rsidR="000A38C0" w:rsidRPr="00392626" w:rsidRDefault="000A38C0" w:rsidP="002D272F">
      <w:pPr>
        <w:pStyle w:val="enumlev1"/>
        <w:rPr>
          <w:lang w:eastAsia="zh-CN"/>
        </w:rPr>
      </w:pPr>
      <w:bookmarkStart w:id="17" w:name="lt_pId054"/>
      <w:r w:rsidRPr="00392626">
        <w:rPr>
          <w:lang w:eastAsia="zh-CN"/>
        </w:rPr>
        <w:t>•</w:t>
      </w:r>
      <w:r w:rsidRPr="00392626">
        <w:rPr>
          <w:lang w:eastAsia="zh-CN"/>
        </w:rPr>
        <w:tab/>
      </w:r>
      <w:bookmarkEnd w:id="17"/>
      <w:r w:rsidR="002D272F" w:rsidRPr="00392626">
        <w:rPr>
          <w:lang w:eastAsia="zh-CN"/>
        </w:rPr>
        <w:t>在</w:t>
      </w:r>
      <w:r w:rsidR="002D272F" w:rsidRPr="00392626">
        <w:rPr>
          <w:rFonts w:hint="eastAsia"/>
          <w:lang w:eastAsia="zh-CN"/>
        </w:rPr>
        <w:t>每</w:t>
      </w:r>
      <w:r w:rsidR="002D272F" w:rsidRPr="00392626">
        <w:rPr>
          <w:lang w:eastAsia="zh-CN"/>
        </w:rPr>
        <w:t>个</w:t>
      </w:r>
      <w:r w:rsidR="002D272F" w:rsidRPr="00392626">
        <w:rPr>
          <w:rFonts w:hint="eastAsia"/>
          <w:lang w:eastAsia="zh-CN"/>
        </w:rPr>
        <w:t>区域</w:t>
      </w:r>
      <w:r w:rsidR="002D272F" w:rsidRPr="00392626">
        <w:rPr>
          <w:lang w:eastAsia="zh-CN"/>
        </w:rPr>
        <w:t>开展活动，以确定并重点解决发展中国家和最不发达国家在为用户提供</w:t>
      </w:r>
      <w:r w:rsidR="002D272F" w:rsidRPr="00392626">
        <w:rPr>
          <w:rFonts w:hint="eastAsia"/>
          <w:lang w:eastAsia="zh-CN"/>
        </w:rPr>
        <w:t>可接受</w:t>
      </w:r>
      <w:r w:rsidR="002D272F" w:rsidRPr="00392626">
        <w:rPr>
          <w:lang w:eastAsia="zh-CN"/>
        </w:rPr>
        <w:t>的服务质量方面</w:t>
      </w:r>
      <w:r w:rsidR="002D272F" w:rsidRPr="00392626">
        <w:rPr>
          <w:rFonts w:hint="eastAsia"/>
          <w:lang w:eastAsia="zh-CN"/>
        </w:rPr>
        <w:t>所</w:t>
      </w:r>
      <w:r w:rsidR="002D272F" w:rsidRPr="00392626">
        <w:rPr>
          <w:lang w:eastAsia="zh-CN"/>
        </w:rPr>
        <w:t>面临的问题；</w:t>
      </w:r>
    </w:p>
    <w:p w:rsidR="000A38C0" w:rsidRDefault="000A38C0" w:rsidP="002D272F">
      <w:pPr>
        <w:pStyle w:val="enumlev1"/>
        <w:rPr>
          <w:lang w:eastAsia="zh-CN"/>
        </w:rPr>
      </w:pPr>
      <w:bookmarkStart w:id="18" w:name="lt_pId055"/>
      <w:r w:rsidRPr="00392626">
        <w:rPr>
          <w:lang w:eastAsia="zh-CN"/>
        </w:rPr>
        <w:t>•</w:t>
      </w:r>
      <w:r w:rsidRPr="00392626">
        <w:rPr>
          <w:lang w:eastAsia="zh-CN"/>
        </w:rPr>
        <w:tab/>
      </w:r>
      <w:bookmarkEnd w:id="18"/>
      <w:r w:rsidR="002D272F" w:rsidRPr="00392626">
        <w:rPr>
          <w:lang w:eastAsia="zh-CN"/>
        </w:rPr>
        <w:t>帮助发展中国家和最不发达国家为提升服务质量</w:t>
      </w:r>
      <w:r w:rsidR="002D272F" w:rsidRPr="00392626">
        <w:rPr>
          <w:rFonts w:hint="eastAsia"/>
          <w:lang w:eastAsia="zh-CN"/>
        </w:rPr>
        <w:t>组织</w:t>
      </w:r>
      <w:r w:rsidR="002D272F" w:rsidRPr="00392626">
        <w:rPr>
          <w:lang w:eastAsia="zh-CN"/>
        </w:rPr>
        <w:t>并落实行动</w:t>
      </w:r>
      <w:r w:rsidR="002D272F" w:rsidRPr="00392626">
        <w:rPr>
          <w:rFonts w:hint="eastAsia"/>
          <w:lang w:eastAsia="zh-CN"/>
        </w:rPr>
        <w:t>，</w:t>
      </w:r>
      <w:r w:rsidR="002D272F" w:rsidRPr="00392626">
        <w:rPr>
          <w:lang w:eastAsia="zh-CN"/>
        </w:rPr>
        <w:t>使用户</w:t>
      </w:r>
      <w:r w:rsidR="002D272F" w:rsidRPr="00392626">
        <w:rPr>
          <w:rFonts w:hint="eastAsia"/>
          <w:lang w:eastAsia="zh-CN"/>
        </w:rPr>
        <w:t>随时</w:t>
      </w:r>
      <w:r w:rsidR="002D272F" w:rsidRPr="00392626">
        <w:rPr>
          <w:lang w:eastAsia="zh-CN"/>
        </w:rPr>
        <w:t>了解情况</w:t>
      </w:r>
      <w:r w:rsidR="002D272F" w:rsidRPr="00392626">
        <w:rPr>
          <w:rFonts w:eastAsiaTheme="minorEastAsia" w:hint="eastAsia"/>
          <w:szCs w:val="24"/>
          <w:lang w:eastAsia="zh-CN"/>
        </w:rPr>
        <w:t>。</w:t>
      </w:r>
    </w:p>
    <w:p w:rsidR="000A38C0" w:rsidRDefault="005F16A6" w:rsidP="004713ED">
      <w:pPr>
        <w:ind w:firstLineChars="200" w:firstLine="480"/>
        <w:rPr>
          <w:color w:val="000000" w:themeColor="text1"/>
          <w:lang w:val="en-US" w:eastAsia="zh-CN"/>
        </w:rPr>
      </w:pPr>
      <w:bookmarkStart w:id="19" w:name="lt_pId056"/>
      <w:r>
        <w:rPr>
          <w:rFonts w:hint="eastAsia"/>
          <w:color w:val="000000" w:themeColor="text1"/>
          <w:lang w:val="en-US" w:eastAsia="zh-CN"/>
        </w:rPr>
        <w:t>第</w:t>
      </w:r>
      <w:r w:rsidR="000A38C0" w:rsidRPr="005D117A">
        <w:rPr>
          <w:color w:val="000000" w:themeColor="text1"/>
          <w:lang w:val="en-US" w:eastAsia="zh-CN"/>
        </w:rPr>
        <w:t>12</w:t>
      </w:r>
      <w:r>
        <w:rPr>
          <w:rFonts w:hint="eastAsia"/>
          <w:color w:val="000000" w:themeColor="text1"/>
          <w:lang w:val="en-US" w:eastAsia="zh-CN"/>
        </w:rPr>
        <w:t>研究组</w:t>
      </w:r>
      <w:r w:rsidR="00DC5E4B">
        <w:rPr>
          <w:rFonts w:hint="eastAsia"/>
          <w:color w:val="000000" w:themeColor="text1"/>
          <w:lang w:val="en-US" w:eastAsia="zh-CN"/>
        </w:rPr>
        <w:t>制定了一份《工作计划》</w:t>
      </w:r>
      <w:r w:rsidR="000A38C0">
        <w:rPr>
          <w:rStyle w:val="FootnoteReference"/>
          <w:color w:val="000000" w:themeColor="text1"/>
          <w:lang w:val="en-US"/>
        </w:rPr>
        <w:footnoteReference w:id="2"/>
      </w:r>
      <w:r w:rsidR="00DC5E4B">
        <w:rPr>
          <w:rFonts w:hint="eastAsia"/>
          <w:color w:val="000000" w:themeColor="text1"/>
          <w:lang w:val="en-US" w:eastAsia="zh-CN"/>
        </w:rPr>
        <w:t>，以组织研究组的工作，落实第</w:t>
      </w:r>
      <w:r w:rsidR="00DC5E4B">
        <w:rPr>
          <w:rFonts w:hint="eastAsia"/>
          <w:color w:val="000000" w:themeColor="text1"/>
          <w:lang w:val="en-US" w:eastAsia="zh-CN"/>
        </w:rPr>
        <w:t>95</w:t>
      </w:r>
      <w:r w:rsidR="00DC5E4B">
        <w:rPr>
          <w:rFonts w:hint="eastAsia"/>
          <w:color w:val="000000" w:themeColor="text1"/>
          <w:lang w:val="en-US" w:eastAsia="zh-CN"/>
        </w:rPr>
        <w:t>号决议。</w:t>
      </w:r>
      <w:bookmarkStart w:id="21" w:name="lt_pId057"/>
      <w:bookmarkEnd w:id="19"/>
      <w:r w:rsidR="00DC5E4B">
        <w:rPr>
          <w:rFonts w:hint="eastAsia"/>
          <w:color w:val="000000" w:themeColor="text1"/>
          <w:lang w:val="en-US" w:eastAsia="zh-CN"/>
        </w:rPr>
        <w:t>该《工作计划》的</w:t>
      </w:r>
      <w:r w:rsidR="000A38C0">
        <w:rPr>
          <w:color w:val="000000" w:themeColor="text1"/>
          <w:lang w:val="en-US" w:eastAsia="zh-CN"/>
        </w:rPr>
        <w:t>3.1</w:t>
      </w:r>
      <w:r w:rsidR="00DC5E4B">
        <w:rPr>
          <w:rFonts w:hint="eastAsia"/>
          <w:color w:val="000000" w:themeColor="text1"/>
          <w:lang w:val="en-US" w:eastAsia="zh-CN"/>
        </w:rPr>
        <w:t>和</w:t>
      </w:r>
      <w:r w:rsidR="000A38C0">
        <w:rPr>
          <w:color w:val="000000" w:themeColor="text1"/>
          <w:lang w:val="en-US" w:eastAsia="zh-CN"/>
        </w:rPr>
        <w:t>3.2</w:t>
      </w:r>
      <w:r w:rsidR="00DC5E4B">
        <w:rPr>
          <w:rFonts w:hint="eastAsia"/>
          <w:color w:val="000000" w:themeColor="text1"/>
          <w:lang w:val="en-US" w:eastAsia="zh-CN"/>
        </w:rPr>
        <w:t>项呼吁</w:t>
      </w:r>
      <w:r w:rsidR="004713ED">
        <w:rPr>
          <w:rFonts w:hint="eastAsia"/>
          <w:color w:val="000000" w:themeColor="text1"/>
          <w:lang w:val="en-US" w:eastAsia="zh-CN"/>
        </w:rPr>
        <w:t>起草一份有关国际电联成员国“</w:t>
      </w:r>
      <w:r w:rsidR="004713ED">
        <w:rPr>
          <w:rFonts w:hint="eastAsia"/>
          <w:b/>
          <w:bCs/>
          <w:lang w:eastAsia="zh-CN"/>
        </w:rPr>
        <w:t>服务质量、体验质量和用户满意度监管框架现状调查问卷</w:t>
      </w:r>
      <w:r w:rsidR="004713ED">
        <w:rPr>
          <w:rFonts w:hint="eastAsia"/>
          <w:color w:val="000000" w:themeColor="text1"/>
          <w:lang w:val="en-US" w:eastAsia="zh-CN"/>
        </w:rPr>
        <w:t>”。</w:t>
      </w:r>
      <w:bookmarkEnd w:id="21"/>
    </w:p>
    <w:p w:rsidR="000A38C0" w:rsidRPr="00085F47" w:rsidRDefault="004713ED" w:rsidP="004713ED">
      <w:pPr>
        <w:ind w:firstLineChars="200" w:firstLine="480"/>
        <w:rPr>
          <w:color w:val="000000" w:themeColor="text1"/>
          <w:lang w:val="en-US"/>
        </w:rPr>
      </w:pPr>
      <w:bookmarkStart w:id="22" w:name="lt_pId058"/>
      <w:r>
        <w:rPr>
          <w:rFonts w:hint="eastAsia"/>
          <w:color w:val="000000" w:themeColor="text1"/>
          <w:lang w:val="en-US" w:eastAsia="zh-CN"/>
        </w:rPr>
        <w:t>该问卷见</w:t>
      </w:r>
      <w:hyperlink r:id="rId10" w:history="1">
        <w:r w:rsidR="000A38C0" w:rsidRPr="00085F47">
          <w:rPr>
            <w:rStyle w:val="Hyperlink"/>
            <w:b/>
            <w:bCs/>
          </w:rPr>
          <w:t>https://www.research.net/r/sg12-servicequality</w:t>
        </w:r>
      </w:hyperlink>
      <w:r>
        <w:rPr>
          <w:rFonts w:hint="eastAsia"/>
          <w:color w:val="000000" w:themeColor="text1"/>
          <w:lang w:val="en-US" w:eastAsia="zh-CN"/>
        </w:rPr>
        <w:t>。</w:t>
      </w:r>
      <w:bookmarkEnd w:id="22"/>
    </w:p>
    <w:p w:rsidR="000A38C0" w:rsidRPr="00085F47" w:rsidRDefault="00145B9B" w:rsidP="00DF6C69">
      <w:pPr>
        <w:ind w:firstLineChars="200" w:firstLine="480"/>
        <w:rPr>
          <w:szCs w:val="22"/>
          <w:lang w:eastAsia="zh-CN"/>
        </w:rPr>
      </w:pPr>
      <w:bookmarkStart w:id="23" w:name="lt_pId059"/>
      <w:r>
        <w:rPr>
          <w:rFonts w:hint="eastAsia"/>
          <w:color w:val="000000" w:themeColor="text1"/>
          <w:lang w:val="en-US" w:eastAsia="zh-CN"/>
        </w:rPr>
        <w:t>为更好地了解国际电联成员国服务质量监管框架的成熟度并确定</w:t>
      </w:r>
      <w:r w:rsidR="00DF6C69">
        <w:rPr>
          <w:rFonts w:hint="eastAsia"/>
          <w:color w:val="000000" w:themeColor="text1"/>
          <w:lang w:val="en-US" w:eastAsia="zh-CN"/>
        </w:rPr>
        <w:t>服务质量衡量框架的具体要求，</w:t>
      </w:r>
      <w:r w:rsidR="00DF6C69" w:rsidRPr="00DF6C69">
        <w:rPr>
          <w:rFonts w:hint="eastAsia"/>
          <w:b/>
          <w:bCs/>
          <w:color w:val="000000" w:themeColor="text1"/>
          <w:lang w:val="en-US" w:eastAsia="zh-CN"/>
        </w:rPr>
        <w:t>第</w:t>
      </w:r>
      <w:r w:rsidR="00DF6C69" w:rsidRPr="00DF6C69">
        <w:rPr>
          <w:rFonts w:hint="eastAsia"/>
          <w:b/>
          <w:bCs/>
          <w:color w:val="000000" w:themeColor="text1"/>
          <w:lang w:val="en-US" w:eastAsia="zh-CN"/>
        </w:rPr>
        <w:t>12</w:t>
      </w:r>
      <w:r w:rsidR="00DF6C69" w:rsidRPr="00DF6C69">
        <w:rPr>
          <w:rFonts w:hint="eastAsia"/>
          <w:b/>
          <w:bCs/>
          <w:color w:val="000000" w:themeColor="text1"/>
          <w:lang w:val="en-US" w:eastAsia="zh-CN"/>
        </w:rPr>
        <w:t>研究组通过该问卷征集输入意见，截止日期为</w:t>
      </w:r>
      <w:r w:rsidR="00DF6C69" w:rsidRPr="00DF6C69">
        <w:rPr>
          <w:rFonts w:hint="eastAsia"/>
          <w:b/>
          <w:bCs/>
          <w:color w:val="000000" w:themeColor="text1"/>
          <w:lang w:val="en-US" w:eastAsia="zh-CN"/>
        </w:rPr>
        <w:t>2018</w:t>
      </w:r>
      <w:r w:rsidR="00DF6C69" w:rsidRPr="00DF6C69">
        <w:rPr>
          <w:rFonts w:hint="eastAsia"/>
          <w:b/>
          <w:bCs/>
          <w:color w:val="000000" w:themeColor="text1"/>
          <w:lang w:val="en-US" w:eastAsia="zh-CN"/>
        </w:rPr>
        <w:t>年</w:t>
      </w:r>
      <w:r w:rsidR="00DF6C69" w:rsidRPr="00DF6C69">
        <w:rPr>
          <w:rFonts w:hint="eastAsia"/>
          <w:b/>
          <w:bCs/>
          <w:color w:val="000000" w:themeColor="text1"/>
          <w:lang w:val="en-US" w:eastAsia="zh-CN"/>
        </w:rPr>
        <w:t>3</w:t>
      </w:r>
      <w:r w:rsidR="00DF6C69" w:rsidRPr="00DF6C69">
        <w:rPr>
          <w:rFonts w:hint="eastAsia"/>
          <w:b/>
          <w:bCs/>
          <w:color w:val="000000" w:themeColor="text1"/>
          <w:lang w:val="en-US" w:eastAsia="zh-CN"/>
        </w:rPr>
        <w:t>月</w:t>
      </w:r>
      <w:r w:rsidR="00DF6C69" w:rsidRPr="00DF6C69">
        <w:rPr>
          <w:rFonts w:hint="eastAsia"/>
          <w:b/>
          <w:bCs/>
          <w:color w:val="000000" w:themeColor="text1"/>
          <w:lang w:val="en-US" w:eastAsia="zh-CN"/>
        </w:rPr>
        <w:t>31</w:t>
      </w:r>
      <w:r w:rsidR="00DF6C69" w:rsidRPr="00DF6C69">
        <w:rPr>
          <w:rFonts w:hint="eastAsia"/>
          <w:b/>
          <w:bCs/>
          <w:color w:val="000000" w:themeColor="text1"/>
          <w:lang w:val="en-US" w:eastAsia="zh-CN"/>
        </w:rPr>
        <w:t>日</w:t>
      </w:r>
      <w:r w:rsidR="00DF6C69">
        <w:rPr>
          <w:rFonts w:hint="eastAsia"/>
          <w:color w:val="000000" w:themeColor="text1"/>
          <w:lang w:val="en-US" w:eastAsia="zh-CN"/>
        </w:rPr>
        <w:t>。</w:t>
      </w:r>
      <w:bookmarkEnd w:id="23"/>
    </w:p>
    <w:p w:rsidR="000A38C0" w:rsidRDefault="003B4ACF" w:rsidP="003B4ACF">
      <w:pPr>
        <w:ind w:firstLineChars="200" w:firstLine="480"/>
        <w:rPr>
          <w:szCs w:val="22"/>
          <w:lang w:eastAsia="zh-CN"/>
        </w:rPr>
      </w:pPr>
      <w:bookmarkStart w:id="24" w:name="lt_pId060"/>
      <w:r>
        <w:rPr>
          <w:rFonts w:hint="eastAsia"/>
          <w:szCs w:val="22"/>
          <w:lang w:eastAsia="zh-CN"/>
        </w:rPr>
        <w:t>调查结果将在</w:t>
      </w:r>
      <w:r>
        <w:rPr>
          <w:rFonts w:hint="eastAsia"/>
          <w:szCs w:val="22"/>
          <w:lang w:eastAsia="zh-CN"/>
        </w:rPr>
        <w:t>2018</w:t>
      </w:r>
      <w:r>
        <w:rPr>
          <w:rFonts w:hint="eastAsia"/>
          <w:szCs w:val="22"/>
          <w:lang w:eastAsia="zh-CN"/>
        </w:rPr>
        <w:t>年</w:t>
      </w:r>
      <w:r>
        <w:rPr>
          <w:rFonts w:hint="eastAsia"/>
          <w:szCs w:val="22"/>
          <w:lang w:eastAsia="zh-CN"/>
        </w:rPr>
        <w:t>5</w:t>
      </w:r>
      <w:r>
        <w:rPr>
          <w:rFonts w:hint="eastAsia"/>
          <w:szCs w:val="22"/>
          <w:lang w:eastAsia="zh-CN"/>
        </w:rPr>
        <w:t>月</w:t>
      </w:r>
      <w:r>
        <w:rPr>
          <w:rFonts w:hint="eastAsia"/>
          <w:szCs w:val="22"/>
          <w:lang w:eastAsia="zh-CN"/>
        </w:rPr>
        <w:t>1-10</w:t>
      </w:r>
      <w:r>
        <w:rPr>
          <w:rFonts w:hint="eastAsia"/>
          <w:szCs w:val="22"/>
          <w:lang w:eastAsia="zh-CN"/>
        </w:rPr>
        <w:t>日召开的下一次第</w:t>
      </w:r>
      <w:r>
        <w:rPr>
          <w:rFonts w:hint="eastAsia"/>
          <w:szCs w:val="22"/>
          <w:lang w:eastAsia="zh-CN"/>
        </w:rPr>
        <w:t>12</w:t>
      </w:r>
      <w:r>
        <w:rPr>
          <w:rFonts w:hint="eastAsia"/>
          <w:szCs w:val="22"/>
          <w:lang w:eastAsia="zh-CN"/>
        </w:rPr>
        <w:t>研究组会议上审议。</w:t>
      </w:r>
      <w:bookmarkEnd w:id="24"/>
    </w:p>
    <w:p w:rsidR="000A38C0" w:rsidRDefault="00392626" w:rsidP="00B260C2">
      <w:pPr>
        <w:ind w:firstLineChars="200" w:firstLine="480"/>
        <w:rPr>
          <w:lang w:eastAsia="zh-CN"/>
        </w:rPr>
      </w:pPr>
      <w:bookmarkStart w:id="25" w:name="lt_pId061"/>
      <w:r>
        <w:rPr>
          <w:rFonts w:hint="eastAsia"/>
          <w:szCs w:val="22"/>
          <w:lang w:eastAsia="zh-CN"/>
        </w:rPr>
        <w:t>我谨感谢您将给予的支持，请提请贵单位负责服务质量的专家注意本通函，尽可能给予回复。</w:t>
      </w:r>
      <w:bookmarkEnd w:id="25"/>
    </w:p>
    <w:p w:rsidR="00836809" w:rsidRDefault="00E1779A" w:rsidP="000A7E9A">
      <w:pPr>
        <w:tabs>
          <w:tab w:val="left" w:pos="1418"/>
          <w:tab w:val="left" w:pos="1702"/>
          <w:tab w:val="left" w:pos="2160"/>
        </w:tabs>
        <w:overflowPunct w:val="0"/>
        <w:autoSpaceDE w:val="0"/>
        <w:autoSpaceDN w:val="0"/>
        <w:adjustRightInd w:val="0"/>
        <w:spacing w:before="360"/>
        <w:textAlignment w:val="baseline"/>
        <w:rPr>
          <w:lang w:eastAsia="zh-CN"/>
        </w:rPr>
      </w:pPr>
      <w:r>
        <w:rPr>
          <w:rFonts w:hint="eastAsia"/>
          <w:lang w:eastAsia="zh-CN"/>
        </w:rPr>
        <w:t>顺致敬意！</w:t>
      </w:r>
    </w:p>
    <w:p w:rsidR="000A7E9A" w:rsidRPr="00D8238D" w:rsidRDefault="00D8238D" w:rsidP="00D8238D">
      <w:pPr>
        <w:tabs>
          <w:tab w:val="left" w:pos="1418"/>
          <w:tab w:val="left" w:pos="1702"/>
          <w:tab w:val="left" w:pos="2160"/>
        </w:tabs>
        <w:spacing w:before="600" w:after="20"/>
        <w:ind w:right="91"/>
        <w:rPr>
          <w:rFonts w:ascii="KaiTi" w:eastAsia="STKaiti" w:hAnsi="KaiTi"/>
          <w:szCs w:val="24"/>
          <w:lang w:eastAsia="zh-CN"/>
        </w:rPr>
      </w:pPr>
      <w:r w:rsidRPr="00C0371A">
        <w:rPr>
          <w:rFonts w:ascii="KaiTi" w:eastAsia="STKaiti" w:hAnsi="KaiTi" w:hint="eastAsia"/>
          <w:szCs w:val="24"/>
          <w:lang w:eastAsia="zh-CN"/>
        </w:rPr>
        <w:t>（原件已签）</w:t>
      </w:r>
    </w:p>
    <w:p w:rsidR="00E1779A" w:rsidRDefault="00E1779A" w:rsidP="00BD1576">
      <w:pPr>
        <w:tabs>
          <w:tab w:val="left" w:pos="1418"/>
          <w:tab w:val="left" w:pos="1702"/>
          <w:tab w:val="left" w:pos="2160"/>
        </w:tabs>
        <w:spacing w:before="0" w:after="20"/>
        <w:ind w:right="91"/>
        <w:rPr>
          <w:lang w:eastAsia="zh-CN"/>
        </w:rPr>
      </w:pPr>
      <w:r>
        <w:rPr>
          <w:rFonts w:hint="eastAsia"/>
          <w:lang w:eastAsia="zh-CN"/>
        </w:rPr>
        <w:t>电信标准化局主任</w:t>
      </w:r>
    </w:p>
    <w:p w:rsidR="00E1779A" w:rsidRDefault="001E3134" w:rsidP="00214012">
      <w:pPr>
        <w:tabs>
          <w:tab w:val="left" w:pos="1418"/>
          <w:tab w:val="left" w:pos="1702"/>
          <w:tab w:val="left" w:pos="2160"/>
        </w:tabs>
        <w:spacing w:before="0" w:after="20"/>
        <w:ind w:right="91"/>
        <w:rPr>
          <w:lang w:eastAsia="zh-CN"/>
        </w:rPr>
      </w:pPr>
      <w:r>
        <w:rPr>
          <w:rFonts w:ascii="SimSun" w:hAnsi="SimSun" w:hint="eastAsia"/>
          <w:lang w:eastAsia="zh-CN"/>
        </w:rPr>
        <w:t>李在摄</w:t>
      </w:r>
    </w:p>
    <w:sectPr w:rsidR="00E1779A" w:rsidSect="002A1603">
      <w:headerReference w:type="even" r:id="rId11"/>
      <w:headerReference w:type="default" r:id="rId12"/>
      <w:footerReference w:type="even" r:id="rId13"/>
      <w:footerReference w:type="default" r:id="rId14"/>
      <w:headerReference w:type="first" r:id="rId15"/>
      <w:footerReference w:type="first" r:id="rId16"/>
      <w:type w:val="oddPage"/>
      <w:pgSz w:w="11907" w:h="16727" w:code="9"/>
      <w:pgMar w:top="1134" w:right="1089" w:bottom="1134" w:left="1089" w:header="567" w:footer="567" w:gutter="0"/>
      <w:paperSrc w:first="269" w:other="269"/>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8C4" w:rsidRDefault="00E128C4">
      <w:r>
        <w:separator/>
      </w:r>
    </w:p>
  </w:endnote>
  <w:endnote w:type="continuationSeparator" w:id="0">
    <w:p w:rsidR="00E128C4" w:rsidRDefault="00E12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TKaiti">
    <w:altName w:val="Arial Unicode MS"/>
    <w:charset w:val="86"/>
    <w:family w:val="auto"/>
    <w:pitch w:val="variable"/>
    <w:sig w:usb0="00000287" w:usb1="080F0000" w:usb2="00000010" w:usb3="00000000" w:csb0="0004009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8C4" w:rsidRPr="00B50081" w:rsidRDefault="00E128C4">
    <w:pPr>
      <w:pStyle w:val="Footer"/>
      <w:rPr>
        <w:lang w:val="en-US" w:eastAsia="zh-CN"/>
      </w:rPr>
    </w:pPr>
    <w:r>
      <w:fldChar w:fldCharType="begin"/>
    </w:r>
    <w:r w:rsidRPr="00B50081">
      <w:rPr>
        <w:lang w:val="en-US"/>
      </w:rPr>
      <w:instrText xml:space="preserve"> FILENAME \p \* MERGEFORMAT </w:instrText>
    </w:r>
    <w:r>
      <w:fldChar w:fldCharType="separate"/>
    </w:r>
    <w:r>
      <w:rPr>
        <w:lang w:val="en-US"/>
      </w:rPr>
      <w:t>M:\OFFICE\Circ-Coll\Circular\215C.DOCX</w:t>
    </w:r>
    <w:r>
      <w:fldChar w:fldCharType="end"/>
    </w:r>
    <w:r w:rsidRPr="00B50081">
      <w:rPr>
        <w:rFonts w:hint="eastAsia"/>
        <w:lang w:val="en-US" w:eastAsia="zh-CN"/>
      </w:rPr>
      <w:t>（</w:t>
    </w:r>
    <w:r w:rsidRPr="00B50081">
      <w:rPr>
        <w:rFonts w:hint="eastAsia"/>
        <w:lang w:val="en-US" w:eastAsia="zh-CN"/>
      </w:rPr>
      <w:t>190247</w:t>
    </w:r>
    <w:r w:rsidRPr="00B50081">
      <w:rPr>
        <w:rFonts w:hint="eastAsia"/>
        <w:lang w:val="en-US" w:eastAsia="zh-CN"/>
      </w:rPr>
      <w:t>）</w:t>
    </w:r>
    <w:r w:rsidRPr="00B50081">
      <w:rPr>
        <w:rFonts w:hint="eastAsia"/>
        <w:lang w:val="en-US" w:eastAsia="zh-CN"/>
      </w:rPr>
      <w:tab/>
    </w:r>
    <w:r w:rsidRPr="00B50081">
      <w:rPr>
        <w:rFonts w:hint="eastAsia"/>
        <w:lang w:val="en-US" w:eastAsia="zh-CN"/>
      </w:rPr>
      <w:tab/>
    </w:r>
    <w:r>
      <w:rPr>
        <w:lang w:val="fr-CH" w:eastAsia="zh-CN"/>
      </w:rPr>
      <w:fldChar w:fldCharType="begin"/>
    </w:r>
    <w:r>
      <w:rPr>
        <w:lang w:val="en-US" w:eastAsia="zh-CN"/>
      </w:rPr>
      <w:instrText xml:space="preserve"> DATE \@ "dd.MM.yyyy" </w:instrText>
    </w:r>
    <w:r>
      <w:rPr>
        <w:lang w:val="fr-CH" w:eastAsia="zh-CN"/>
      </w:rPr>
      <w:fldChar w:fldCharType="separate"/>
    </w:r>
    <w:r w:rsidR="00AF608B">
      <w:rPr>
        <w:lang w:val="en-US" w:eastAsia="zh-CN"/>
      </w:rPr>
      <w:t>06.12.2017</w:t>
    </w:r>
    <w:r>
      <w:rPr>
        <w:lang w:val="fr-CH" w:eastAsia="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8C4" w:rsidRPr="00AF608B" w:rsidRDefault="00E128C4" w:rsidP="00AF608B">
    <w:pPr>
      <w:pStyle w:val="Footer"/>
    </w:pPr>
    <w:bookmarkStart w:id="26" w:name="_GoBack"/>
    <w:bookmarkEnd w:id="26"/>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8C4" w:rsidRPr="00CA26C5" w:rsidRDefault="00CA26C5" w:rsidP="00CA26C5">
    <w:pPr>
      <w:spacing w:before="40"/>
      <w:ind w:left="-397" w:right="-397"/>
      <w:jc w:val="center"/>
      <w:rPr>
        <w:rFonts w:ascii="Calibri" w:hAnsi="Calibri"/>
        <w:sz w:val="16"/>
      </w:rPr>
    </w:pPr>
    <w:r w:rsidRPr="005A3191">
      <w:rPr>
        <w:rFonts w:ascii="Calibri" w:hAnsi="Calibri"/>
        <w:sz w:val="18"/>
        <w:szCs w:val="18"/>
      </w:rPr>
      <w:t>International Telecommunication Union • Place des Nations • CH-1211 Geneva 20 • Switzerland</w:t>
    </w:r>
    <w:r w:rsidRPr="005A3191">
      <w:rPr>
        <w:rFonts w:ascii="Calibri" w:hAnsi="Calibri"/>
        <w:sz w:val="18"/>
        <w:szCs w:val="18"/>
      </w:rPr>
      <w:br/>
      <w:t xml:space="preserve">Tel: +41 22 730 5111 • Fax: +41 22 733 7256 • E-mail: </w:t>
    </w:r>
    <w:hyperlink r:id="rId1" w:history="1">
      <w:r w:rsidRPr="005A3191">
        <w:rPr>
          <w:rFonts w:ascii="Calibri" w:hAnsi="Calibri"/>
          <w:color w:val="0000FF"/>
          <w:sz w:val="18"/>
          <w:szCs w:val="18"/>
          <w:u w:val="single"/>
        </w:rPr>
        <w:t>itumail@itu.int</w:t>
      </w:r>
    </w:hyperlink>
    <w:r w:rsidRPr="005A3191">
      <w:rPr>
        <w:rFonts w:ascii="Calibri" w:hAnsi="Calibri"/>
        <w:sz w:val="18"/>
        <w:szCs w:val="18"/>
      </w:rPr>
      <w:t xml:space="preserve"> • </w:t>
    </w:r>
    <w:hyperlink r:id="rId2" w:history="1">
      <w:r w:rsidRPr="005A3191">
        <w:rPr>
          <w:rFonts w:ascii="Calibri" w:hAnsi="Calibri"/>
          <w:color w:val="0000FF"/>
          <w:sz w:val="18"/>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8C4" w:rsidRDefault="00E128C4">
      <w:pPr>
        <w:rPr>
          <w:sz w:val="23"/>
          <w:szCs w:val="23"/>
        </w:rPr>
      </w:pPr>
      <w:r>
        <w:rPr>
          <w:sz w:val="23"/>
          <w:szCs w:val="23"/>
        </w:rPr>
        <w:t>____________________</w:t>
      </w:r>
    </w:p>
  </w:footnote>
  <w:footnote w:type="continuationSeparator" w:id="0">
    <w:p w:rsidR="00E128C4" w:rsidRDefault="00E128C4">
      <w:r>
        <w:continuationSeparator/>
      </w:r>
    </w:p>
  </w:footnote>
  <w:footnote w:id="1">
    <w:p w:rsidR="000A38C0" w:rsidRPr="001F5E96" w:rsidRDefault="000A38C0" w:rsidP="00201450">
      <w:pPr>
        <w:pStyle w:val="FootnoteText"/>
        <w:spacing w:after="120"/>
        <w:rPr>
          <w:lang w:val="en-US"/>
        </w:rPr>
      </w:pPr>
      <w:r>
        <w:rPr>
          <w:rStyle w:val="FootnoteReference"/>
        </w:rPr>
        <w:footnoteRef/>
      </w:r>
      <w:r>
        <w:t xml:space="preserve"> </w:t>
      </w:r>
      <w:bookmarkStart w:id="8" w:name="lt_pId066"/>
      <w:r w:rsidR="00201450">
        <w:rPr>
          <w:rFonts w:hint="eastAsia"/>
          <w:lang w:eastAsia="zh-CN"/>
        </w:rPr>
        <w:t>可查阅</w:t>
      </w:r>
      <w:hyperlink r:id="rId1" w:history="1">
        <w:r w:rsidRPr="009776D3">
          <w:rPr>
            <w:rStyle w:val="Hyperlink"/>
            <w:sz w:val="22"/>
            <w:szCs w:val="22"/>
          </w:rPr>
          <w:t>https://www.itu.int/pub/T-RES-T.95-2016</w:t>
        </w:r>
      </w:hyperlink>
      <w:bookmarkEnd w:id="8"/>
      <w:r>
        <w:t xml:space="preserve"> </w:t>
      </w:r>
    </w:p>
  </w:footnote>
  <w:footnote w:id="2">
    <w:p w:rsidR="000A38C0" w:rsidRPr="001F5E96" w:rsidRDefault="000A38C0" w:rsidP="00E07F1F">
      <w:pPr>
        <w:pStyle w:val="FootnoteText"/>
        <w:rPr>
          <w:lang w:val="en-US" w:eastAsia="zh-CN"/>
        </w:rPr>
      </w:pPr>
      <w:r>
        <w:rPr>
          <w:rStyle w:val="FootnoteReference"/>
        </w:rPr>
        <w:footnoteRef/>
      </w:r>
      <w:r>
        <w:t xml:space="preserve"> </w:t>
      </w:r>
      <w:bookmarkStart w:id="20" w:name="lt_pId067"/>
      <w:r w:rsidR="00E07F1F">
        <w:rPr>
          <w:rFonts w:hint="eastAsia"/>
          <w:lang w:eastAsia="zh-CN"/>
        </w:rPr>
        <w:t>可查看</w:t>
      </w:r>
      <w:r w:rsidR="00E07F1F">
        <w:rPr>
          <w:rFonts w:hint="eastAsia"/>
          <w:sz w:val="22"/>
          <w:szCs w:val="22"/>
          <w:lang w:eastAsia="zh-CN"/>
        </w:rPr>
        <w:t>第</w:t>
      </w:r>
      <w:r w:rsidRPr="009776D3">
        <w:rPr>
          <w:sz w:val="22"/>
          <w:szCs w:val="22"/>
        </w:rPr>
        <w:t>12</w:t>
      </w:r>
      <w:r w:rsidR="00E07F1F">
        <w:rPr>
          <w:rFonts w:hint="eastAsia"/>
          <w:sz w:val="22"/>
          <w:szCs w:val="22"/>
          <w:lang w:eastAsia="zh-CN"/>
        </w:rPr>
        <w:t>研究组第</w:t>
      </w:r>
      <w:r w:rsidRPr="009776D3">
        <w:rPr>
          <w:sz w:val="22"/>
          <w:szCs w:val="22"/>
        </w:rPr>
        <w:t>380</w:t>
      </w:r>
      <w:r w:rsidR="00E07F1F">
        <w:rPr>
          <w:rFonts w:hint="eastAsia"/>
          <w:sz w:val="22"/>
          <w:szCs w:val="22"/>
          <w:lang w:eastAsia="zh-CN"/>
        </w:rPr>
        <w:t>号临时文件：</w:t>
      </w:r>
      <w:hyperlink r:id="rId2" w:history="1">
        <w:r w:rsidRPr="009776D3">
          <w:rPr>
            <w:rStyle w:val="Hyperlink"/>
            <w:sz w:val="22"/>
            <w:szCs w:val="22"/>
          </w:rPr>
          <w:t>https://www.itu.int/md/T17-SG12-170919-TD-GEN-0380/en</w:t>
        </w:r>
      </w:hyperlink>
      <w:bookmarkEnd w:id="20"/>
      <w:r w:rsidR="00E07F1F">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8C4" w:rsidRDefault="00E128C4" w:rsidP="002A16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E128C4" w:rsidRDefault="00E128C4" w:rsidP="002A1603">
    <w:pPr>
      <w:pStyle w:val="Header"/>
      <w:ind w:right="360"/>
      <w:rPr>
        <w:lang w:val="en-US" w:eastAsia="zh-CN"/>
      </w:rPr>
    </w:pPr>
    <w:r>
      <w:rPr>
        <w:rStyle w:val="PageNumber"/>
        <w:rFonts w:hint="eastAsia"/>
        <w:lang w:val="en-US" w:eastAsia="zh-CN"/>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8C4" w:rsidRPr="0032797C" w:rsidRDefault="00E128C4" w:rsidP="002A1603">
    <w:pPr>
      <w:pStyle w:val="Header"/>
      <w:ind w:right="360"/>
      <w:rPr>
        <w:lang w:val="en-US" w:eastAsia="zh-CN"/>
      </w:rPr>
    </w:pPr>
    <w:r w:rsidRPr="0032797C">
      <w:rPr>
        <w:lang w:val="en-US" w:eastAsia="zh-CN"/>
      </w:rPr>
      <w:t xml:space="preserve">- </w:t>
    </w:r>
    <w:r w:rsidRPr="0032797C">
      <w:rPr>
        <w:rStyle w:val="PageNumber"/>
      </w:rPr>
      <w:fldChar w:fldCharType="begin"/>
    </w:r>
    <w:r w:rsidRPr="0032797C">
      <w:rPr>
        <w:rStyle w:val="PageNumber"/>
      </w:rPr>
      <w:instrText xml:space="preserve"> PAGE </w:instrText>
    </w:r>
    <w:r w:rsidRPr="0032797C">
      <w:rPr>
        <w:rStyle w:val="PageNumber"/>
      </w:rPr>
      <w:fldChar w:fldCharType="separate"/>
    </w:r>
    <w:r w:rsidR="00AF608B">
      <w:rPr>
        <w:rStyle w:val="PageNumber"/>
        <w:noProof/>
      </w:rPr>
      <w:t>2</w:t>
    </w:r>
    <w:r w:rsidRPr="0032797C">
      <w:rPr>
        <w:rStyle w:val="PageNumber"/>
      </w:rPr>
      <w:fldChar w:fldCharType="end"/>
    </w:r>
    <w:r w:rsidRPr="0032797C">
      <w:rPr>
        <w:rStyle w:val="PageNumber"/>
        <w:lang w:val="en-US" w:eastAsia="zh-C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08B" w:rsidRDefault="00AF60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D7937"/>
    <w:multiLevelType w:val="hybridMultilevel"/>
    <w:tmpl w:val="6C8EDD8E"/>
    <w:lvl w:ilvl="0" w:tplc="05EC9A3A">
      <w:numFmt w:val="bullet"/>
      <w:lvlText w:val="•"/>
      <w:lvlJc w:val="left"/>
      <w:pPr>
        <w:ind w:left="1155" w:hanging="795"/>
      </w:pPr>
      <w:rPr>
        <w:rFonts w:ascii="Calibri" w:eastAsia="Times New Roman" w:hAnsi="Calibri" w:cs="Times New Roman" w:hint="default"/>
      </w:rPr>
    </w:lvl>
    <w:lvl w:ilvl="1" w:tplc="08CCDABC" w:tentative="1">
      <w:start w:val="1"/>
      <w:numFmt w:val="bullet"/>
      <w:lvlText w:val="o"/>
      <w:lvlJc w:val="left"/>
      <w:pPr>
        <w:ind w:left="1440" w:hanging="360"/>
      </w:pPr>
      <w:rPr>
        <w:rFonts w:ascii="Courier New" w:hAnsi="Courier New" w:cs="Courier New" w:hint="default"/>
      </w:rPr>
    </w:lvl>
    <w:lvl w:ilvl="2" w:tplc="DC0C5A84" w:tentative="1">
      <w:start w:val="1"/>
      <w:numFmt w:val="bullet"/>
      <w:lvlText w:val=""/>
      <w:lvlJc w:val="left"/>
      <w:pPr>
        <w:ind w:left="2160" w:hanging="360"/>
      </w:pPr>
      <w:rPr>
        <w:rFonts w:ascii="Wingdings" w:hAnsi="Wingdings" w:hint="default"/>
      </w:rPr>
    </w:lvl>
    <w:lvl w:ilvl="3" w:tplc="E61A2898" w:tentative="1">
      <w:start w:val="1"/>
      <w:numFmt w:val="bullet"/>
      <w:lvlText w:val=""/>
      <w:lvlJc w:val="left"/>
      <w:pPr>
        <w:ind w:left="2880" w:hanging="360"/>
      </w:pPr>
      <w:rPr>
        <w:rFonts w:ascii="Symbol" w:hAnsi="Symbol" w:hint="default"/>
      </w:rPr>
    </w:lvl>
    <w:lvl w:ilvl="4" w:tplc="9DCE94FA" w:tentative="1">
      <w:start w:val="1"/>
      <w:numFmt w:val="bullet"/>
      <w:lvlText w:val="o"/>
      <w:lvlJc w:val="left"/>
      <w:pPr>
        <w:ind w:left="3600" w:hanging="360"/>
      </w:pPr>
      <w:rPr>
        <w:rFonts w:ascii="Courier New" w:hAnsi="Courier New" w:cs="Courier New" w:hint="default"/>
      </w:rPr>
    </w:lvl>
    <w:lvl w:ilvl="5" w:tplc="CA560080" w:tentative="1">
      <w:start w:val="1"/>
      <w:numFmt w:val="bullet"/>
      <w:lvlText w:val=""/>
      <w:lvlJc w:val="left"/>
      <w:pPr>
        <w:ind w:left="4320" w:hanging="360"/>
      </w:pPr>
      <w:rPr>
        <w:rFonts w:ascii="Wingdings" w:hAnsi="Wingdings" w:hint="default"/>
      </w:rPr>
    </w:lvl>
    <w:lvl w:ilvl="6" w:tplc="A5E25DD0" w:tentative="1">
      <w:start w:val="1"/>
      <w:numFmt w:val="bullet"/>
      <w:lvlText w:val=""/>
      <w:lvlJc w:val="left"/>
      <w:pPr>
        <w:ind w:left="5040" w:hanging="360"/>
      </w:pPr>
      <w:rPr>
        <w:rFonts w:ascii="Symbol" w:hAnsi="Symbol" w:hint="default"/>
      </w:rPr>
    </w:lvl>
    <w:lvl w:ilvl="7" w:tplc="86EC8CFE" w:tentative="1">
      <w:start w:val="1"/>
      <w:numFmt w:val="bullet"/>
      <w:lvlText w:val="o"/>
      <w:lvlJc w:val="left"/>
      <w:pPr>
        <w:ind w:left="5760" w:hanging="360"/>
      </w:pPr>
      <w:rPr>
        <w:rFonts w:ascii="Courier New" w:hAnsi="Courier New" w:cs="Courier New" w:hint="default"/>
      </w:rPr>
    </w:lvl>
    <w:lvl w:ilvl="8" w:tplc="8D441384" w:tentative="1">
      <w:start w:val="1"/>
      <w:numFmt w:val="bullet"/>
      <w:lvlText w:val=""/>
      <w:lvlJc w:val="left"/>
      <w:pPr>
        <w:ind w:left="6480" w:hanging="360"/>
      </w:pPr>
      <w:rPr>
        <w:rFonts w:ascii="Wingdings" w:hAnsi="Wingdings" w:hint="default"/>
      </w:rPr>
    </w:lvl>
  </w:abstractNum>
  <w:abstractNum w:abstractNumId="1" w15:restartNumberingAfterBreak="0">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 w15:restartNumberingAfterBreak="0">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A04"/>
    <w:rsid w:val="00000E11"/>
    <w:rsid w:val="00001E99"/>
    <w:rsid w:val="0000209B"/>
    <w:rsid w:val="000219D7"/>
    <w:rsid w:val="0003276C"/>
    <w:rsid w:val="00065140"/>
    <w:rsid w:val="00081902"/>
    <w:rsid w:val="00090316"/>
    <w:rsid w:val="000A38C0"/>
    <w:rsid w:val="000A403A"/>
    <w:rsid w:val="000A7D6D"/>
    <w:rsid w:val="000A7E9A"/>
    <w:rsid w:val="000B5A57"/>
    <w:rsid w:val="000D050F"/>
    <w:rsid w:val="000D2950"/>
    <w:rsid w:val="000D76B8"/>
    <w:rsid w:val="000E37B9"/>
    <w:rsid w:val="00102407"/>
    <w:rsid w:val="00107352"/>
    <w:rsid w:val="00115E8F"/>
    <w:rsid w:val="001213E2"/>
    <w:rsid w:val="001360A8"/>
    <w:rsid w:val="00140F02"/>
    <w:rsid w:val="00145B9B"/>
    <w:rsid w:val="001517FE"/>
    <w:rsid w:val="001579CD"/>
    <w:rsid w:val="00165D3D"/>
    <w:rsid w:val="00170349"/>
    <w:rsid w:val="0017497B"/>
    <w:rsid w:val="001776F0"/>
    <w:rsid w:val="001800CD"/>
    <w:rsid w:val="0018419B"/>
    <w:rsid w:val="0019652F"/>
    <w:rsid w:val="00196B93"/>
    <w:rsid w:val="001A0323"/>
    <w:rsid w:val="001A4E09"/>
    <w:rsid w:val="001D07DD"/>
    <w:rsid w:val="001D68D4"/>
    <w:rsid w:val="001E3134"/>
    <w:rsid w:val="001E381A"/>
    <w:rsid w:val="00201450"/>
    <w:rsid w:val="0020651D"/>
    <w:rsid w:val="00214012"/>
    <w:rsid w:val="00216C8F"/>
    <w:rsid w:val="002372C7"/>
    <w:rsid w:val="0024412C"/>
    <w:rsid w:val="00262EC6"/>
    <w:rsid w:val="0027475E"/>
    <w:rsid w:val="0027568A"/>
    <w:rsid w:val="0028502B"/>
    <w:rsid w:val="00293589"/>
    <w:rsid w:val="00294C1C"/>
    <w:rsid w:val="002958F2"/>
    <w:rsid w:val="002A1603"/>
    <w:rsid w:val="002C352D"/>
    <w:rsid w:val="002C4922"/>
    <w:rsid w:val="002C4A04"/>
    <w:rsid w:val="002D272F"/>
    <w:rsid w:val="002D2C36"/>
    <w:rsid w:val="002D2D2B"/>
    <w:rsid w:val="002D729D"/>
    <w:rsid w:val="002E5E46"/>
    <w:rsid w:val="002E7EFA"/>
    <w:rsid w:val="002F3D1A"/>
    <w:rsid w:val="003103A8"/>
    <w:rsid w:val="00313A41"/>
    <w:rsid w:val="00322A03"/>
    <w:rsid w:val="0032797C"/>
    <w:rsid w:val="00330293"/>
    <w:rsid w:val="003307E4"/>
    <w:rsid w:val="0033229B"/>
    <w:rsid w:val="00335F94"/>
    <w:rsid w:val="00354E58"/>
    <w:rsid w:val="00362B4A"/>
    <w:rsid w:val="00376F72"/>
    <w:rsid w:val="003772C6"/>
    <w:rsid w:val="00392626"/>
    <w:rsid w:val="003B2EAA"/>
    <w:rsid w:val="003B4ACF"/>
    <w:rsid w:val="003C29A4"/>
    <w:rsid w:val="003C5E30"/>
    <w:rsid w:val="003E7209"/>
    <w:rsid w:val="003F2A86"/>
    <w:rsid w:val="00402633"/>
    <w:rsid w:val="00420BD8"/>
    <w:rsid w:val="004247B6"/>
    <w:rsid w:val="00432055"/>
    <w:rsid w:val="00444683"/>
    <w:rsid w:val="00444E8F"/>
    <w:rsid w:val="00453A10"/>
    <w:rsid w:val="004567F8"/>
    <w:rsid w:val="0046534B"/>
    <w:rsid w:val="004713ED"/>
    <w:rsid w:val="004814B6"/>
    <w:rsid w:val="00487F05"/>
    <w:rsid w:val="004A2996"/>
    <w:rsid w:val="004A674E"/>
    <w:rsid w:val="004B38AB"/>
    <w:rsid w:val="004C5990"/>
    <w:rsid w:val="004C5BE0"/>
    <w:rsid w:val="004C7C62"/>
    <w:rsid w:val="004D18C4"/>
    <w:rsid w:val="00511F63"/>
    <w:rsid w:val="0051354C"/>
    <w:rsid w:val="00523169"/>
    <w:rsid w:val="0053149B"/>
    <w:rsid w:val="00535E76"/>
    <w:rsid w:val="00554CDC"/>
    <w:rsid w:val="005566F1"/>
    <w:rsid w:val="00556DFC"/>
    <w:rsid w:val="0056103F"/>
    <w:rsid w:val="0056275D"/>
    <w:rsid w:val="0057364C"/>
    <w:rsid w:val="0057683C"/>
    <w:rsid w:val="00594AB2"/>
    <w:rsid w:val="005A09E2"/>
    <w:rsid w:val="005D0F8C"/>
    <w:rsid w:val="005D4C26"/>
    <w:rsid w:val="005E1427"/>
    <w:rsid w:val="005E5FB8"/>
    <w:rsid w:val="005E6E47"/>
    <w:rsid w:val="005F16A6"/>
    <w:rsid w:val="005F3D10"/>
    <w:rsid w:val="0063236A"/>
    <w:rsid w:val="00672E81"/>
    <w:rsid w:val="00681A48"/>
    <w:rsid w:val="00690BE6"/>
    <w:rsid w:val="00692085"/>
    <w:rsid w:val="006A60C8"/>
    <w:rsid w:val="006A736A"/>
    <w:rsid w:val="006A7CA2"/>
    <w:rsid w:val="006C7801"/>
    <w:rsid w:val="006D09B3"/>
    <w:rsid w:val="006D0B85"/>
    <w:rsid w:val="006D7155"/>
    <w:rsid w:val="006E74AA"/>
    <w:rsid w:val="006F0A0A"/>
    <w:rsid w:val="006F4DFC"/>
    <w:rsid w:val="007121CA"/>
    <w:rsid w:val="00714CA7"/>
    <w:rsid w:val="00737527"/>
    <w:rsid w:val="007433BD"/>
    <w:rsid w:val="00753323"/>
    <w:rsid w:val="00753A49"/>
    <w:rsid w:val="00757A8A"/>
    <w:rsid w:val="007609AA"/>
    <w:rsid w:val="00761B39"/>
    <w:rsid w:val="00773371"/>
    <w:rsid w:val="0079703D"/>
    <w:rsid w:val="007B781C"/>
    <w:rsid w:val="007D3346"/>
    <w:rsid w:val="007D4481"/>
    <w:rsid w:val="007E6BBA"/>
    <w:rsid w:val="007F6E04"/>
    <w:rsid w:val="00830DA6"/>
    <w:rsid w:val="00836809"/>
    <w:rsid w:val="00864F93"/>
    <w:rsid w:val="00874ECF"/>
    <w:rsid w:val="00883CBC"/>
    <w:rsid w:val="0089488D"/>
    <w:rsid w:val="008949B5"/>
    <w:rsid w:val="008E2C66"/>
    <w:rsid w:val="008E44B7"/>
    <w:rsid w:val="008F3B19"/>
    <w:rsid w:val="008F6F39"/>
    <w:rsid w:val="00911F92"/>
    <w:rsid w:val="00913E12"/>
    <w:rsid w:val="0091698A"/>
    <w:rsid w:val="00923B56"/>
    <w:rsid w:val="009344D1"/>
    <w:rsid w:val="009572BA"/>
    <w:rsid w:val="009620E9"/>
    <w:rsid w:val="009622EC"/>
    <w:rsid w:val="009753FC"/>
    <w:rsid w:val="00981A4C"/>
    <w:rsid w:val="009B30AA"/>
    <w:rsid w:val="009B464B"/>
    <w:rsid w:val="009B484B"/>
    <w:rsid w:val="009B5159"/>
    <w:rsid w:val="009B7D5A"/>
    <w:rsid w:val="009D73E5"/>
    <w:rsid w:val="009D7BA8"/>
    <w:rsid w:val="00A15D02"/>
    <w:rsid w:val="00A3066B"/>
    <w:rsid w:val="00A31BE4"/>
    <w:rsid w:val="00A3203D"/>
    <w:rsid w:val="00A32BB1"/>
    <w:rsid w:val="00A349D6"/>
    <w:rsid w:val="00A373FC"/>
    <w:rsid w:val="00A37CEC"/>
    <w:rsid w:val="00A407BE"/>
    <w:rsid w:val="00A54D21"/>
    <w:rsid w:val="00A63C80"/>
    <w:rsid w:val="00A64F42"/>
    <w:rsid w:val="00A772F7"/>
    <w:rsid w:val="00AA5543"/>
    <w:rsid w:val="00AB54D2"/>
    <w:rsid w:val="00AC68F3"/>
    <w:rsid w:val="00AD25E5"/>
    <w:rsid w:val="00AF608B"/>
    <w:rsid w:val="00B260C2"/>
    <w:rsid w:val="00B40A76"/>
    <w:rsid w:val="00B47231"/>
    <w:rsid w:val="00B50081"/>
    <w:rsid w:val="00B56528"/>
    <w:rsid w:val="00B56986"/>
    <w:rsid w:val="00B62331"/>
    <w:rsid w:val="00B877F3"/>
    <w:rsid w:val="00BB0EE7"/>
    <w:rsid w:val="00BC2DB7"/>
    <w:rsid w:val="00BC75EE"/>
    <w:rsid w:val="00BD1576"/>
    <w:rsid w:val="00BD30D2"/>
    <w:rsid w:val="00BE18BB"/>
    <w:rsid w:val="00BE6FB9"/>
    <w:rsid w:val="00BF2511"/>
    <w:rsid w:val="00C01BB0"/>
    <w:rsid w:val="00C02C5C"/>
    <w:rsid w:val="00C07AB0"/>
    <w:rsid w:val="00C13C4A"/>
    <w:rsid w:val="00C320BD"/>
    <w:rsid w:val="00C37BF2"/>
    <w:rsid w:val="00C43390"/>
    <w:rsid w:val="00C6182E"/>
    <w:rsid w:val="00C86543"/>
    <w:rsid w:val="00C868BD"/>
    <w:rsid w:val="00C94B0C"/>
    <w:rsid w:val="00CA0DAA"/>
    <w:rsid w:val="00CA26C5"/>
    <w:rsid w:val="00CB49CB"/>
    <w:rsid w:val="00CE2DCF"/>
    <w:rsid w:val="00CF0141"/>
    <w:rsid w:val="00CF1C46"/>
    <w:rsid w:val="00CF67A8"/>
    <w:rsid w:val="00D005E3"/>
    <w:rsid w:val="00D01C47"/>
    <w:rsid w:val="00D070F1"/>
    <w:rsid w:val="00D07107"/>
    <w:rsid w:val="00D072BE"/>
    <w:rsid w:val="00D10934"/>
    <w:rsid w:val="00D15300"/>
    <w:rsid w:val="00D15C99"/>
    <w:rsid w:val="00D24298"/>
    <w:rsid w:val="00D258F2"/>
    <w:rsid w:val="00D375F1"/>
    <w:rsid w:val="00D44D98"/>
    <w:rsid w:val="00D55E4F"/>
    <w:rsid w:val="00D818A6"/>
    <w:rsid w:val="00D8238D"/>
    <w:rsid w:val="00DA300E"/>
    <w:rsid w:val="00DC5E4B"/>
    <w:rsid w:val="00DE39A0"/>
    <w:rsid w:val="00DF6C69"/>
    <w:rsid w:val="00E01456"/>
    <w:rsid w:val="00E04A9E"/>
    <w:rsid w:val="00E07F1F"/>
    <w:rsid w:val="00E128C4"/>
    <w:rsid w:val="00E1779A"/>
    <w:rsid w:val="00E25CDC"/>
    <w:rsid w:val="00E5568D"/>
    <w:rsid w:val="00E57A3C"/>
    <w:rsid w:val="00E75EED"/>
    <w:rsid w:val="00E911E0"/>
    <w:rsid w:val="00E929A2"/>
    <w:rsid w:val="00EA30BE"/>
    <w:rsid w:val="00EB62DC"/>
    <w:rsid w:val="00F15EE7"/>
    <w:rsid w:val="00F22A8D"/>
    <w:rsid w:val="00F23760"/>
    <w:rsid w:val="00F3199A"/>
    <w:rsid w:val="00F362BD"/>
    <w:rsid w:val="00F36E1F"/>
    <w:rsid w:val="00F44FEB"/>
    <w:rsid w:val="00F62F25"/>
    <w:rsid w:val="00F87D38"/>
    <w:rsid w:val="00FA29E1"/>
    <w:rsid w:val="00FA4D64"/>
    <w:rsid w:val="00FB228C"/>
    <w:rsid w:val="00FC35CC"/>
    <w:rsid w:val="00FD2523"/>
    <w:rsid w:val="00FE3453"/>
    <w:rsid w:val="00FF47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F655193C-C8DE-4460-AE29-06339CB4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134"/>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encabezado,Page No"/>
    <w:basedOn w:val="Normal"/>
    <w:link w:val="HeaderChar"/>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rsid w:val="001213E2"/>
    <w:rPr>
      <w:position w:val="6"/>
      <w:sz w:val="16"/>
    </w:rPr>
  </w:style>
  <w:style w:type="paragraph" w:styleId="FootnoteText">
    <w:name w:val="footnote text"/>
    <w:basedOn w:val="Normal"/>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aliases w:val="超级链接"/>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character" w:customStyle="1" w:styleId="HeaderChar">
    <w:name w:val="Header Char"/>
    <w:aliases w:val="ho Char,header odd Char,first Char,heading one Char,Odd Header Char,he Char,encabezado Char,Page No Char"/>
    <w:basedOn w:val="DefaultParagraphFont"/>
    <w:link w:val="Header"/>
    <w:rsid w:val="00EA30BE"/>
    <w:rPr>
      <w:rFonts w:asciiTheme="minorHAnsi" w:hAnsiTheme="minorHAnsi"/>
      <w:sz w:val="18"/>
      <w:lang w:val="fr-FR" w:eastAsia="en-US"/>
    </w:rPr>
  </w:style>
  <w:style w:type="character" w:customStyle="1" w:styleId="Appdef">
    <w:name w:val="App_def"/>
    <w:basedOn w:val="DefaultParagraphFont"/>
    <w:rsid w:val="00A772F7"/>
    <w:rPr>
      <w:rFonts w:ascii="Times New Roman" w:hAnsi="Times New Roman"/>
      <w:b/>
    </w:rPr>
  </w:style>
  <w:style w:type="paragraph" w:customStyle="1" w:styleId="Reasons">
    <w:name w:val="Reasons"/>
    <w:basedOn w:val="Normal"/>
    <w:qFormat/>
    <w:rsid w:val="00A772F7"/>
    <w:pPr>
      <w:tabs>
        <w:tab w:val="clear" w:pos="794"/>
        <w:tab w:val="clear" w:pos="1191"/>
        <w:tab w:val="clear" w:pos="1588"/>
        <w:tab w:val="clear" w:pos="1985"/>
      </w:tabs>
      <w:spacing w:before="0"/>
    </w:pPr>
    <w:rPr>
      <w:rFonts w:ascii="Times New Roman" w:eastAsia="Times New Roman" w:hAnsi="Times New Roman"/>
      <w:lang w:val="en-US"/>
    </w:rPr>
  </w:style>
  <w:style w:type="character" w:customStyle="1" w:styleId="FooterChar">
    <w:name w:val="Footer Char"/>
    <w:link w:val="Footer"/>
    <w:rsid w:val="00836809"/>
    <w:rPr>
      <w:rFonts w:asciiTheme="minorHAnsi" w:hAnsiTheme="minorHAnsi"/>
      <w:caps/>
      <w:noProof/>
      <w:sz w:val="16"/>
      <w:lang w:val="fr-FR" w:eastAsia="en-US"/>
    </w:rPr>
  </w:style>
  <w:style w:type="paragraph" w:customStyle="1" w:styleId="Tabletext0">
    <w:name w:val="Table_text"/>
    <w:basedOn w:val="Normal"/>
    <w:rsid w:val="004567F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Times New Roman"/>
    </w:rPr>
  </w:style>
  <w:style w:type="paragraph" w:styleId="ListParagraph">
    <w:name w:val="List Paragraph"/>
    <w:basedOn w:val="Normal"/>
    <w:qFormat/>
    <w:rsid w:val="000A38C0"/>
    <w:pPr>
      <w:overflowPunct w:val="0"/>
      <w:autoSpaceDE w:val="0"/>
      <w:autoSpaceDN w:val="0"/>
      <w:adjustRightInd w:val="0"/>
      <w:ind w:left="720"/>
      <w:contextualSpacing/>
      <w:textAlignment w:val="baseline"/>
    </w:pPr>
    <w:rPr>
      <w:rFonts w:ascii="Calibri" w:eastAsia="Times New Roman" w:hAnsi="Calibri"/>
    </w:rPr>
  </w:style>
  <w:style w:type="paragraph" w:styleId="BalloonText">
    <w:name w:val="Balloon Text"/>
    <w:basedOn w:val="Normal"/>
    <w:link w:val="BalloonTextChar"/>
    <w:semiHidden/>
    <w:unhideWhenUsed/>
    <w:rsid w:val="00CA0DAA"/>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CA0DAA"/>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10936">
      <w:bodyDiv w:val="1"/>
      <w:marLeft w:val="0"/>
      <w:marRight w:val="0"/>
      <w:marTop w:val="0"/>
      <w:marBottom w:val="0"/>
      <w:divBdr>
        <w:top w:val="none" w:sz="0" w:space="0" w:color="auto"/>
        <w:left w:val="none" w:sz="0" w:space="0" w:color="auto"/>
        <w:bottom w:val="none" w:sz="0" w:space="0" w:color="auto"/>
        <w:right w:val="none" w:sz="0" w:space="0" w:color="auto"/>
      </w:divBdr>
    </w:div>
    <w:div w:id="669677709">
      <w:bodyDiv w:val="1"/>
      <w:marLeft w:val="0"/>
      <w:marRight w:val="0"/>
      <w:marTop w:val="0"/>
      <w:marBottom w:val="0"/>
      <w:divBdr>
        <w:top w:val="none" w:sz="0" w:space="0" w:color="auto"/>
        <w:left w:val="none" w:sz="0" w:space="0" w:color="auto"/>
        <w:bottom w:val="none" w:sz="0" w:space="0" w:color="auto"/>
        <w:right w:val="none" w:sz="0" w:space="0" w:color="auto"/>
      </w:divBdr>
    </w:div>
    <w:div w:id="746616833">
      <w:bodyDiv w:val="1"/>
      <w:marLeft w:val="0"/>
      <w:marRight w:val="0"/>
      <w:marTop w:val="0"/>
      <w:marBottom w:val="0"/>
      <w:divBdr>
        <w:top w:val="none" w:sz="0" w:space="0" w:color="auto"/>
        <w:left w:val="none" w:sz="0" w:space="0" w:color="auto"/>
        <w:bottom w:val="none" w:sz="0" w:space="0" w:color="auto"/>
        <w:right w:val="none" w:sz="0" w:space="0" w:color="auto"/>
      </w:divBdr>
    </w:div>
    <w:div w:id="772094335">
      <w:bodyDiv w:val="1"/>
      <w:marLeft w:val="0"/>
      <w:marRight w:val="0"/>
      <w:marTop w:val="0"/>
      <w:marBottom w:val="0"/>
      <w:divBdr>
        <w:top w:val="none" w:sz="0" w:space="0" w:color="auto"/>
        <w:left w:val="none" w:sz="0" w:space="0" w:color="auto"/>
        <w:bottom w:val="none" w:sz="0" w:space="0" w:color="auto"/>
        <w:right w:val="none" w:sz="0" w:space="0" w:color="auto"/>
      </w:divBdr>
    </w:div>
    <w:div w:id="819620220">
      <w:bodyDiv w:val="1"/>
      <w:marLeft w:val="0"/>
      <w:marRight w:val="0"/>
      <w:marTop w:val="0"/>
      <w:marBottom w:val="0"/>
      <w:divBdr>
        <w:top w:val="none" w:sz="0" w:space="0" w:color="auto"/>
        <w:left w:val="none" w:sz="0" w:space="0" w:color="auto"/>
        <w:bottom w:val="none" w:sz="0" w:space="0" w:color="auto"/>
        <w:right w:val="none" w:sz="0" w:space="0" w:color="auto"/>
      </w:divBdr>
    </w:div>
    <w:div w:id="917597923">
      <w:bodyDiv w:val="1"/>
      <w:marLeft w:val="0"/>
      <w:marRight w:val="0"/>
      <w:marTop w:val="0"/>
      <w:marBottom w:val="0"/>
      <w:divBdr>
        <w:top w:val="none" w:sz="0" w:space="0" w:color="auto"/>
        <w:left w:val="none" w:sz="0" w:space="0" w:color="auto"/>
        <w:bottom w:val="none" w:sz="0" w:space="0" w:color="auto"/>
        <w:right w:val="none" w:sz="0" w:space="0" w:color="auto"/>
      </w:divBdr>
    </w:div>
    <w:div w:id="1035353860">
      <w:bodyDiv w:val="1"/>
      <w:marLeft w:val="0"/>
      <w:marRight w:val="0"/>
      <w:marTop w:val="0"/>
      <w:marBottom w:val="0"/>
      <w:divBdr>
        <w:top w:val="none" w:sz="0" w:space="0" w:color="auto"/>
        <w:left w:val="none" w:sz="0" w:space="0" w:color="auto"/>
        <w:bottom w:val="none" w:sz="0" w:space="0" w:color="auto"/>
        <w:right w:val="none" w:sz="0" w:space="0" w:color="auto"/>
      </w:divBdr>
    </w:div>
    <w:div w:id="109879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research.net/r/sg12-servicequality" TargetMode="External"/><Relationship Id="rId4" Type="http://schemas.openxmlformats.org/officeDocument/2006/relationships/settings" Target="settings.xml"/><Relationship Id="rId9" Type="http://schemas.openxmlformats.org/officeDocument/2006/relationships/hyperlink" Target="mailto:tsbsg12@itu.int"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md/T17-SG12-170919-TD-GEN-0380/en" TargetMode="External"/><Relationship Id="rId1" Type="http://schemas.openxmlformats.org/officeDocument/2006/relationships/hyperlink" Target="https://www.itu.int/pub/T-RES-T.95-20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CBBF6-DC91-4E1A-B631-B93FDAE2B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PC_TSBWORKSHOP.dotm</Template>
  <TotalTime>4</TotalTime>
  <Pages>2</Pages>
  <Words>979</Words>
  <Characters>353</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1330</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2687021</vt:i4>
      </vt:variant>
      <vt:variant>
        <vt:i4>3</vt:i4>
      </vt:variant>
      <vt:variant>
        <vt:i4>0</vt:i4>
      </vt:variant>
      <vt:variant>
        <vt:i4>5</vt:i4>
      </vt:variant>
      <vt:variant>
        <vt:lpwstr>http://www.itu.int/ITU-T/worksem/       /index.html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Xu, Hui</dc:creator>
  <cp:lastModifiedBy>SG Assistants</cp:lastModifiedBy>
  <cp:revision>5</cp:revision>
  <cp:lastPrinted>2017-05-17T13:11:00Z</cp:lastPrinted>
  <dcterms:created xsi:type="dcterms:W3CDTF">2017-12-04T15:31:00Z</dcterms:created>
  <dcterms:modified xsi:type="dcterms:W3CDTF">2017-12-06T10:36:00Z</dcterms:modified>
</cp:coreProperties>
</file>