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A15845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rtl/>
                <w:lang w:val="en-GB" w:eastAsia="zh-CN"/>
              </w:rPr>
              <w:drawing>
                <wp:inline distT="0" distB="0" distL="0" distR="0" wp14:anchorId="16A8AA06" wp14:editId="5F8F610C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A15845">
            <w:pPr>
              <w:spacing w:after="6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425492" w:rsidP="005241C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5241C2">
              <w:rPr>
                <w:rFonts w:eastAsiaTheme="minorEastAsia"/>
                <w:lang w:eastAsia="zh-CN"/>
              </w:rPr>
              <w:t>29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5241C2">
              <w:rPr>
                <w:rFonts w:eastAsiaTheme="minorEastAsia" w:hint="cs"/>
                <w:rtl/>
                <w:lang w:eastAsia="zh-CN" w:bidi="ar-EG"/>
              </w:rPr>
              <w:t>نوفمبر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Pr="00425492">
              <w:rPr>
                <w:rFonts w:eastAsiaTheme="minorEastAsia"/>
                <w:lang w:eastAsia="zh-CN"/>
              </w:rPr>
              <w:t>2017</w:t>
            </w:r>
          </w:p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A15845" w:rsidRPr="00A15845" w:rsidRDefault="005241C2" w:rsidP="005241C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T</w:t>
            </w:r>
            <w:r w:rsidRPr="005241C2">
              <w:rPr>
                <w:rFonts w:eastAsiaTheme="minorEastAsia"/>
                <w:b/>
                <w:bCs/>
                <w:lang w:eastAsia="zh-CN" w:bidi="ar-SY"/>
              </w:rPr>
              <w:t>SB Circular 62</w:t>
            </w:r>
          </w:p>
        </w:tc>
        <w:tc>
          <w:tcPr>
            <w:tcW w:w="2470" w:type="pct"/>
            <w:vMerge w:val="restart"/>
          </w:tcPr>
          <w:p w:rsidR="00A15845" w:rsidRPr="005241C2" w:rsidRDefault="00425492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  <w:rtl/>
                <w:lang w:bidi="ar-EG"/>
              </w:rPr>
            </w:pPr>
            <w:r w:rsidRPr="005241C2">
              <w:rPr>
                <w:rFonts w:hint="cs"/>
                <w:b/>
                <w:bCs/>
                <w:rtl/>
              </w:rPr>
              <w:t>إلى:</w:t>
            </w:r>
          </w:p>
          <w:p w:rsidR="00425492" w:rsidRPr="005241C2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rtl/>
                <w:lang w:bidi="ar-EG"/>
              </w:rPr>
            </w:pPr>
            <w:r w:rsidRPr="005241C2">
              <w:rPr>
                <w:rFonts w:hint="cs"/>
                <w:rtl/>
              </w:rPr>
              <w:t>-</w:t>
            </w:r>
            <w:r w:rsidRPr="005241C2">
              <w:rPr>
                <w:rtl/>
              </w:rPr>
              <w:tab/>
            </w:r>
            <w:r w:rsidRPr="005241C2">
              <w:rPr>
                <w:rFonts w:hint="cs"/>
                <w:rtl/>
              </w:rPr>
              <w:t>إدارات الدول الأعضاء في الاتحاد</w:t>
            </w:r>
            <w:r w:rsidRPr="005241C2">
              <w:rPr>
                <w:rFonts w:hint="cs"/>
                <w:rtl/>
                <w:lang w:bidi="ar-EG"/>
              </w:rPr>
              <w:t>؛</w:t>
            </w:r>
          </w:p>
          <w:p w:rsidR="00425492" w:rsidRPr="005241C2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rtl/>
                <w:lang w:bidi="ar-EG"/>
              </w:rPr>
            </w:pPr>
            <w:r w:rsidRPr="005241C2">
              <w:rPr>
                <w:rFonts w:hint="cs"/>
                <w:rtl/>
              </w:rPr>
              <w:t>-</w:t>
            </w:r>
            <w:r w:rsidRPr="005241C2">
              <w:rPr>
                <w:rtl/>
              </w:rPr>
              <w:tab/>
            </w:r>
            <w:r w:rsidRPr="005241C2">
              <w:rPr>
                <w:rFonts w:hint="cs"/>
                <w:rtl/>
                <w:lang w:bidi="ar-EG"/>
              </w:rPr>
              <w:t>أعضاء قطاع تقييس الاتصالات</w:t>
            </w:r>
            <w:r w:rsidR="005241C2">
              <w:rPr>
                <w:rFonts w:hint="cs"/>
                <w:rtl/>
                <w:lang w:bidi="ar-EG"/>
              </w:rPr>
              <w:t xml:space="preserve"> في الاتحاد</w:t>
            </w:r>
            <w:r w:rsidRPr="005241C2">
              <w:rPr>
                <w:rFonts w:hint="cs"/>
                <w:rtl/>
                <w:lang w:bidi="ar-EG"/>
              </w:rPr>
              <w:t>؛</w:t>
            </w:r>
          </w:p>
          <w:p w:rsidR="00425492" w:rsidRPr="005241C2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rtl/>
                <w:lang w:bidi="ar-EG"/>
              </w:rPr>
            </w:pPr>
            <w:r w:rsidRPr="005241C2">
              <w:rPr>
                <w:rFonts w:hint="cs"/>
                <w:rtl/>
              </w:rPr>
              <w:t>-</w:t>
            </w:r>
            <w:r w:rsidRPr="005241C2">
              <w:rPr>
                <w:rtl/>
              </w:rPr>
              <w:tab/>
            </w:r>
            <w:r w:rsidRPr="005241C2">
              <w:rPr>
                <w:rFonts w:hint="cs"/>
                <w:rtl/>
              </w:rPr>
              <w:t>المنتسبين إلى قطاع تقييس الاتصالات؛</w:t>
            </w:r>
          </w:p>
          <w:p w:rsidR="00425492" w:rsidRPr="005241C2" w:rsidRDefault="00425492" w:rsidP="00425492">
            <w:pPr>
              <w:tabs>
                <w:tab w:val="clear" w:pos="794"/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lang w:bidi="ar-EG"/>
              </w:rPr>
            </w:pPr>
            <w:r w:rsidRPr="005241C2">
              <w:rPr>
                <w:rFonts w:hint="cs"/>
                <w:rtl/>
              </w:rPr>
              <w:t>-</w:t>
            </w:r>
            <w:r w:rsidRPr="005241C2">
              <w:rPr>
                <w:rtl/>
              </w:rPr>
              <w:tab/>
            </w:r>
            <w:r w:rsidRPr="005241C2">
              <w:rPr>
                <w:rFonts w:hint="cs"/>
                <w:rtl/>
              </w:rPr>
              <w:t>الهيئات الأكاديمية المنضمة إلى</w:t>
            </w:r>
            <w:r w:rsidRPr="005241C2">
              <w:rPr>
                <w:rFonts w:hint="cs"/>
                <w:rtl/>
                <w:lang w:bidi="ar-EG"/>
              </w:rPr>
              <w:t xml:space="preserve"> الاتحاد</w:t>
            </w: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 w:bidi="ar-SY"/>
              </w:rPr>
              <w:t>الهاتف</w:t>
            </w:r>
            <w:r w:rsidRPr="00A15845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A15845" w:rsidRPr="00A15845" w:rsidRDefault="00425492" w:rsidP="00880D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425492">
              <w:rPr>
                <w:rFonts w:eastAsiaTheme="minorEastAsia"/>
                <w:lang w:eastAsia="zh-CN" w:bidi="ar-SY"/>
              </w:rPr>
              <w:t>+41 22 730 </w:t>
            </w:r>
            <w:r w:rsidR="005241C2" w:rsidRPr="00A61A14">
              <w:rPr>
                <w:rFonts w:eastAsiaTheme="minorEastAsia"/>
                <w:lang w:eastAsia="zh-CN" w:bidi="ar-SY"/>
              </w:rPr>
              <w:t>6828</w:t>
            </w:r>
          </w:p>
        </w:tc>
        <w:tc>
          <w:tcPr>
            <w:tcW w:w="2470" w:type="pct"/>
            <w:vMerge/>
          </w:tcPr>
          <w:p w:rsidR="00A15845" w:rsidRPr="005241C2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A15845" w:rsidRPr="00A15845" w:rsidRDefault="00425492" w:rsidP="00880D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425492">
              <w:rPr>
                <w:rFonts w:eastAsiaTheme="minorEastAsia"/>
                <w:lang w:eastAsia="zh-CN" w:bidi="ar-SY"/>
              </w:rPr>
              <w:t>+41 22 730 </w:t>
            </w:r>
            <w:r w:rsidR="005241C2" w:rsidRPr="00A61A14">
              <w:rPr>
                <w:rFonts w:eastAsiaTheme="minorEastAsia"/>
                <w:lang w:eastAsia="zh-CN" w:bidi="ar-SY"/>
              </w:rPr>
              <w:t>5853</w:t>
            </w:r>
          </w:p>
        </w:tc>
        <w:tc>
          <w:tcPr>
            <w:tcW w:w="2470" w:type="pct"/>
            <w:vMerge/>
          </w:tcPr>
          <w:p w:rsidR="00A15845" w:rsidRPr="005241C2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15845" w:rsidRPr="00A15845" w:rsidRDefault="00E456B1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bookmarkStart w:id="0" w:name="lt_pId030"/>
              <w:r w:rsidR="005241C2" w:rsidRPr="00085F47">
                <w:rPr>
                  <w:rStyle w:val="Hyperlink"/>
                </w:rPr>
                <w:t>tsbsg12@itu.int</w:t>
              </w:r>
              <w:bookmarkEnd w:id="0"/>
            </w:hyperlink>
          </w:p>
        </w:tc>
        <w:tc>
          <w:tcPr>
            <w:tcW w:w="2470" w:type="pct"/>
          </w:tcPr>
          <w:p w:rsidR="00425492" w:rsidRPr="005241C2" w:rsidRDefault="00425492" w:rsidP="00425492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57"/>
              <w:rPr>
                <w:b/>
                <w:bCs/>
                <w:rtl/>
              </w:rPr>
            </w:pPr>
            <w:r w:rsidRPr="005241C2">
              <w:rPr>
                <w:rFonts w:hint="cs"/>
                <w:b/>
                <w:bCs/>
                <w:rtl/>
              </w:rPr>
              <w:t>نسخة إلى:</w:t>
            </w:r>
          </w:p>
          <w:p w:rsidR="00425492" w:rsidRPr="005241C2" w:rsidRDefault="00425492" w:rsidP="00D4732B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</w:rPr>
            </w:pPr>
            <w:r w:rsidRPr="005241C2">
              <w:rPr>
                <w:rFonts w:hint="cs"/>
                <w:rtl/>
              </w:rPr>
              <w:t>-</w:t>
            </w:r>
            <w:r w:rsidRPr="005241C2">
              <w:rPr>
                <w:rtl/>
              </w:rPr>
              <w:tab/>
            </w:r>
            <w:r w:rsidR="00D4732B">
              <w:rPr>
                <w:rFonts w:hint="cs"/>
                <w:rtl/>
              </w:rPr>
              <w:t>رؤساء</w:t>
            </w:r>
            <w:r w:rsidR="009E4529">
              <w:rPr>
                <w:rFonts w:hint="cs"/>
                <w:rtl/>
              </w:rPr>
              <w:t xml:space="preserve"> لجان</w:t>
            </w:r>
            <w:r w:rsidRPr="005241C2">
              <w:rPr>
                <w:rFonts w:hint="cs"/>
                <w:rtl/>
              </w:rPr>
              <w:t xml:space="preserve"> الدراسات </w:t>
            </w:r>
            <w:r w:rsidRPr="005241C2">
              <w:rPr>
                <w:rFonts w:hint="cs"/>
                <w:rtl/>
                <w:lang w:bidi="ar-EG"/>
              </w:rPr>
              <w:t>ونوابه</w:t>
            </w:r>
            <w:r w:rsidR="005241C2">
              <w:rPr>
                <w:rFonts w:hint="cs"/>
                <w:rtl/>
                <w:lang w:bidi="ar-EG"/>
              </w:rPr>
              <w:t>م</w:t>
            </w:r>
            <w:r w:rsidRPr="005241C2">
              <w:rPr>
                <w:rFonts w:hint="cs"/>
                <w:rtl/>
              </w:rPr>
              <w:t>؛</w:t>
            </w:r>
          </w:p>
          <w:p w:rsidR="00425492" w:rsidRPr="005241C2" w:rsidRDefault="00425492" w:rsidP="00425492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</w:rPr>
            </w:pPr>
            <w:r w:rsidRPr="005241C2">
              <w:rPr>
                <w:rFonts w:hint="cs"/>
                <w:rtl/>
              </w:rPr>
              <w:t>-</w:t>
            </w:r>
            <w:r w:rsidRPr="005241C2">
              <w:rPr>
                <w:rtl/>
              </w:rPr>
              <w:tab/>
              <w:t>مدير مكتب تنمية الاتصالات</w:t>
            </w:r>
            <w:r w:rsidRPr="005241C2">
              <w:rPr>
                <w:rFonts w:hint="cs"/>
                <w:rtl/>
              </w:rPr>
              <w:t>؛</w:t>
            </w:r>
          </w:p>
          <w:p w:rsidR="00A15845" w:rsidRDefault="00425492" w:rsidP="009E4529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ind w:left="284" w:hanging="284"/>
              <w:jc w:val="left"/>
              <w:rPr>
                <w:rtl/>
              </w:rPr>
            </w:pPr>
            <w:r w:rsidRPr="005241C2">
              <w:rPr>
                <w:rFonts w:hint="cs"/>
                <w:rtl/>
              </w:rPr>
              <w:t>-</w:t>
            </w:r>
            <w:r w:rsidRPr="005241C2">
              <w:rPr>
                <w:rtl/>
              </w:rPr>
              <w:tab/>
              <w:t>مدير مكتب الاتصالات الراديوية</w:t>
            </w:r>
            <w:r w:rsidR="005241C2">
              <w:rPr>
                <w:rFonts w:hint="cs"/>
                <w:rtl/>
              </w:rPr>
              <w:t>؛</w:t>
            </w:r>
          </w:p>
          <w:p w:rsidR="005241C2" w:rsidRPr="005241C2" w:rsidRDefault="005241C2" w:rsidP="009E4529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ind w:left="284" w:hanging="284"/>
              <w:jc w:val="left"/>
              <w:rPr>
                <w:rFonts w:eastAsiaTheme="minorEastAsia"/>
                <w:rtl/>
                <w:lang w:eastAsia="zh-CN"/>
              </w:rPr>
            </w:pPr>
            <w:r>
              <w:rPr>
                <w:rFonts w:hint="cs"/>
                <w:rtl/>
              </w:rPr>
              <w:t>-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>مديري المكاتب الإقليمية للاتحاد</w:t>
            </w: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A15845" w:rsidRDefault="005241C2" w:rsidP="005241C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57" w:right="57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5241C2">
              <w:rPr>
                <w:rFonts w:eastAsiaTheme="minorEastAsia" w:hint="cs"/>
                <w:b/>
                <w:bCs/>
                <w:rtl/>
                <w:lang w:eastAsia="zh-CN"/>
              </w:rPr>
              <w:t>استبيان بشأن حالة الأُطر التنظيمية الوطنية لجودة الخدمة</w:t>
            </w:r>
          </w:p>
        </w:tc>
      </w:tr>
    </w:tbl>
    <w:p w:rsidR="00A15845" w:rsidRPr="00A15845" w:rsidRDefault="00A15845" w:rsidP="00A15845">
      <w:pPr>
        <w:keepNext/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36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5241C2" w:rsidRPr="005241C2" w:rsidRDefault="005241C2" w:rsidP="00D4732B">
      <w:pPr>
        <w:rPr>
          <w:rFonts w:eastAsiaTheme="minorEastAsia"/>
          <w:rtl/>
          <w:lang w:eastAsia="zh-CN" w:bidi="ar-EG"/>
        </w:rPr>
      </w:pPr>
      <w:r w:rsidRPr="005241C2">
        <w:rPr>
          <w:rFonts w:eastAsiaTheme="minorEastAsia" w:hint="cs"/>
          <w:rtl/>
          <w:lang w:eastAsia="zh-CN"/>
        </w:rPr>
        <w:t xml:space="preserve">إن القرار </w:t>
      </w:r>
      <w:r w:rsidRPr="005241C2">
        <w:rPr>
          <w:rFonts w:eastAsiaTheme="minorEastAsia"/>
          <w:lang w:eastAsia="zh-CN" w:bidi="ar-SY"/>
        </w:rPr>
        <w:t>95</w:t>
      </w:r>
      <w:r w:rsidRPr="005241C2">
        <w:rPr>
          <w:rFonts w:eastAsiaTheme="minorEastAsia" w:hint="cs"/>
          <w:rtl/>
          <w:lang w:eastAsia="zh-CN"/>
        </w:rPr>
        <w:t xml:space="preserve"> (الحمامات، </w:t>
      </w:r>
      <w:r w:rsidRPr="005241C2">
        <w:rPr>
          <w:rFonts w:eastAsiaTheme="minorEastAsia"/>
          <w:lang w:eastAsia="zh-CN" w:bidi="ar-SY"/>
        </w:rPr>
        <w:t>2016</w:t>
      </w:r>
      <w:r w:rsidRPr="005241C2">
        <w:rPr>
          <w:rFonts w:eastAsiaTheme="minorEastAsia" w:hint="cs"/>
          <w:rtl/>
          <w:lang w:eastAsia="zh-CN"/>
        </w:rPr>
        <w:t>)</w:t>
      </w:r>
      <w:r w:rsidRPr="005241C2">
        <w:rPr>
          <w:rStyle w:val="FootnoteReference"/>
          <w:rFonts w:eastAsiaTheme="minorEastAsia"/>
          <w:rtl/>
          <w:lang w:eastAsia="zh-CN"/>
        </w:rPr>
        <w:footnoteReference w:id="1"/>
      </w:r>
      <w:r w:rsidRPr="005241C2">
        <w:rPr>
          <w:rFonts w:eastAsiaTheme="minorEastAsia" w:hint="cs"/>
          <w:rtl/>
          <w:lang w:eastAsia="zh-CN"/>
        </w:rPr>
        <w:t xml:space="preserve"> للجمعية العالمية لتقييس الاتصالات </w:t>
      </w:r>
      <w:r w:rsidR="00D4732B">
        <w:rPr>
          <w:rFonts w:eastAsiaTheme="minorEastAsia" w:hint="cs"/>
          <w:rtl/>
          <w:lang w:eastAsia="zh-CN"/>
        </w:rPr>
        <w:t>بخصوص</w:t>
      </w:r>
      <w:r w:rsidRPr="005241C2">
        <w:rPr>
          <w:rFonts w:eastAsiaTheme="minorEastAsia" w:hint="cs"/>
          <w:rtl/>
          <w:lang w:eastAsia="zh-CN"/>
        </w:rPr>
        <w:t xml:space="preserve"> </w:t>
      </w:r>
      <w:bookmarkStart w:id="1" w:name="_Toc476751166"/>
      <w:r w:rsidRPr="005241C2">
        <w:rPr>
          <w:rFonts w:eastAsiaTheme="minorEastAsia" w:hint="cs"/>
          <w:b/>
          <w:bCs/>
          <w:i/>
          <w:iCs/>
          <w:rtl/>
          <w:lang w:eastAsia="zh-CN"/>
        </w:rPr>
        <w:t>مبادرات قطاع تقييس الاتصالات لإذكاء الوعي بشأن أفضل الممارسات والسياسات المتعلقة بجودة الخدمة</w:t>
      </w:r>
      <w:bookmarkEnd w:id="1"/>
      <w:r w:rsidRPr="005241C2">
        <w:rPr>
          <w:rFonts w:eastAsiaTheme="minorEastAsia" w:hint="cs"/>
          <w:rtl/>
          <w:lang w:eastAsia="zh-CN"/>
        </w:rPr>
        <w:t xml:space="preserve"> يعترف بأهمية العمل الجاري في إطار لجنة الدراسات</w:t>
      </w:r>
      <w:r w:rsidR="00D4732B">
        <w:rPr>
          <w:rFonts w:eastAsiaTheme="minorEastAsia" w:hint="eastAsia"/>
          <w:rtl/>
          <w:lang w:eastAsia="zh-CN"/>
        </w:rPr>
        <w:t> </w:t>
      </w:r>
      <w:r w:rsidRPr="005241C2">
        <w:rPr>
          <w:rFonts w:eastAsiaTheme="minorEastAsia"/>
          <w:lang w:eastAsia="zh-CN" w:bidi="ar-SY"/>
        </w:rPr>
        <w:t>12</w:t>
      </w:r>
      <w:r w:rsidRPr="005241C2">
        <w:rPr>
          <w:rFonts w:eastAsiaTheme="minorEastAsia" w:hint="cs"/>
          <w:rtl/>
          <w:lang w:eastAsia="zh-CN" w:bidi="ar-EG"/>
        </w:rPr>
        <w:t xml:space="preserve"> لقطاع تقييس الاتصالات وفريقها المعني بتطوير جودة الخدمة </w:t>
      </w:r>
      <w:r w:rsidRPr="005241C2">
        <w:rPr>
          <w:rFonts w:eastAsiaTheme="minorEastAsia"/>
          <w:lang w:eastAsia="zh-CN" w:bidi="ar-SY"/>
        </w:rPr>
        <w:t>(QSDG)</w:t>
      </w:r>
      <w:r w:rsidRPr="005241C2">
        <w:rPr>
          <w:rFonts w:eastAsiaTheme="minorEastAsia" w:hint="cs"/>
          <w:rtl/>
          <w:lang w:eastAsia="zh-CN" w:bidi="ar-EG"/>
        </w:rPr>
        <w:t xml:space="preserve"> بشأن الأداء وجودة الخدمة </w:t>
      </w:r>
      <w:r w:rsidRPr="005241C2">
        <w:rPr>
          <w:rFonts w:eastAsiaTheme="minorEastAsia"/>
          <w:lang w:eastAsia="zh-CN" w:bidi="ar-SY"/>
        </w:rPr>
        <w:t>(</w:t>
      </w:r>
      <w:proofErr w:type="spellStart"/>
      <w:r w:rsidRPr="005241C2">
        <w:rPr>
          <w:rFonts w:eastAsiaTheme="minorEastAsia"/>
          <w:lang w:eastAsia="zh-CN" w:bidi="ar-SY"/>
        </w:rPr>
        <w:t>QoS</w:t>
      </w:r>
      <w:proofErr w:type="spellEnd"/>
      <w:r w:rsidRPr="005241C2">
        <w:rPr>
          <w:rFonts w:eastAsiaTheme="minorEastAsia"/>
          <w:lang w:eastAsia="zh-CN" w:bidi="ar-SY"/>
        </w:rPr>
        <w:t>)</w:t>
      </w:r>
      <w:r w:rsidRPr="005241C2">
        <w:rPr>
          <w:rFonts w:eastAsiaTheme="minorEastAsia" w:hint="cs"/>
          <w:rtl/>
          <w:lang w:eastAsia="zh-CN" w:bidi="ar-EG"/>
        </w:rPr>
        <w:t xml:space="preserve"> وجودة التجربة </w:t>
      </w:r>
      <w:r w:rsidRPr="005241C2">
        <w:rPr>
          <w:rFonts w:eastAsiaTheme="minorEastAsia"/>
          <w:lang w:eastAsia="zh-CN" w:bidi="ar-SY"/>
        </w:rPr>
        <w:t>(</w:t>
      </w:r>
      <w:proofErr w:type="spellStart"/>
      <w:r w:rsidRPr="005241C2">
        <w:rPr>
          <w:rFonts w:eastAsiaTheme="minorEastAsia"/>
          <w:lang w:eastAsia="zh-CN" w:bidi="ar-SY"/>
        </w:rPr>
        <w:t>QoE</w:t>
      </w:r>
      <w:proofErr w:type="spellEnd"/>
      <w:r w:rsidRPr="005241C2">
        <w:rPr>
          <w:rFonts w:eastAsiaTheme="minorEastAsia"/>
          <w:lang w:eastAsia="zh-CN" w:bidi="ar-SY"/>
        </w:rPr>
        <w:t>)</w:t>
      </w:r>
      <w:r w:rsidRPr="005241C2">
        <w:rPr>
          <w:rFonts w:eastAsiaTheme="minorEastAsia" w:hint="cs"/>
          <w:rtl/>
          <w:lang w:eastAsia="zh-CN" w:bidi="ar-EG"/>
        </w:rPr>
        <w:t>.</w:t>
      </w:r>
    </w:p>
    <w:p w:rsidR="005241C2" w:rsidRPr="005241C2" w:rsidRDefault="005241C2" w:rsidP="005241C2">
      <w:pPr>
        <w:rPr>
          <w:rFonts w:eastAsiaTheme="minorEastAsia"/>
          <w:rtl/>
          <w:lang w:eastAsia="zh-CN" w:bidi="ar-EG"/>
        </w:rPr>
      </w:pPr>
      <w:r w:rsidRPr="005241C2">
        <w:rPr>
          <w:rFonts w:eastAsiaTheme="minorEastAsia" w:hint="cs"/>
          <w:rtl/>
          <w:lang w:eastAsia="zh-CN"/>
        </w:rPr>
        <w:t xml:space="preserve">ويقترح القرار كيفية إجراء الدراسات المتصلة بالنهج التنظيمية للجودة في فترة الدراسة الحالية من خلال الإشارة إلى بعض النواتج التي ينبغي أن تُعدّها لجنة الدراسات </w:t>
      </w:r>
      <w:r w:rsidRPr="005241C2">
        <w:rPr>
          <w:rFonts w:eastAsiaTheme="minorEastAsia"/>
          <w:lang w:eastAsia="zh-CN" w:bidi="ar-SY"/>
        </w:rPr>
        <w:t>12</w:t>
      </w:r>
      <w:r w:rsidRPr="005241C2">
        <w:rPr>
          <w:rFonts w:eastAsiaTheme="minorEastAsia" w:hint="cs"/>
          <w:rtl/>
          <w:lang w:eastAsia="zh-CN" w:bidi="ar-EG"/>
        </w:rPr>
        <w:t xml:space="preserve"> ولجان الدراسات الأخرى ذات الصلة في قطاع تقييس الاتصالات.</w:t>
      </w:r>
    </w:p>
    <w:p w:rsidR="005241C2" w:rsidRPr="005241C2" w:rsidRDefault="005241C2" w:rsidP="005241C2">
      <w:pPr>
        <w:rPr>
          <w:rFonts w:eastAsiaTheme="minorEastAsia"/>
          <w:rtl/>
          <w:lang w:eastAsia="zh-CN" w:bidi="ar-EG"/>
        </w:rPr>
      </w:pPr>
      <w:r w:rsidRPr="005241C2">
        <w:rPr>
          <w:rFonts w:eastAsiaTheme="minorEastAsia" w:hint="cs"/>
          <w:rtl/>
          <w:lang w:eastAsia="zh-CN" w:bidi="ar-EG"/>
        </w:rPr>
        <w:t xml:space="preserve">ويعرض القرار </w:t>
      </w:r>
      <w:r w:rsidRPr="005241C2">
        <w:rPr>
          <w:rFonts w:eastAsiaTheme="minorEastAsia"/>
          <w:lang w:eastAsia="zh-CN" w:bidi="ar-SY"/>
        </w:rPr>
        <w:t>95</w:t>
      </w:r>
      <w:r w:rsidRPr="005241C2">
        <w:rPr>
          <w:rFonts w:eastAsiaTheme="minorEastAsia" w:hint="cs"/>
          <w:rtl/>
          <w:lang w:eastAsia="zh-CN" w:bidi="ar-EG"/>
        </w:rPr>
        <w:t>، من بين أحكام أخرى، مواضيع الدراسة المهمة التالية:</w:t>
      </w:r>
    </w:p>
    <w:p w:rsidR="005241C2" w:rsidRPr="005241C2" w:rsidRDefault="00916A32" w:rsidP="000916F2">
      <w:pPr>
        <w:pStyle w:val="enumlev1"/>
        <w:tabs>
          <w:tab w:val="clear" w:pos="794"/>
        </w:tabs>
        <w:rPr>
          <w:rFonts w:eastAsiaTheme="minorEastAsia"/>
          <w:rtl/>
          <w:lang w:eastAsia="zh-CN" w:bidi="ar-SY"/>
        </w:rPr>
      </w:pPr>
      <w:r w:rsidRPr="00916A32">
        <w:rPr>
          <w:rFonts w:eastAsiaTheme="minorEastAsia"/>
          <w:i/>
          <w:iCs/>
          <w:lang w:eastAsia="zh-CN" w:bidi="ar-EG"/>
        </w:rPr>
        <w:t>•</w:t>
      </w:r>
      <w:r w:rsidR="000916F2">
        <w:rPr>
          <w:rFonts w:eastAsiaTheme="minorEastAsia"/>
          <w:i/>
          <w:iCs/>
          <w:rtl/>
          <w:lang w:eastAsia="zh-CN" w:bidi="ar-EG"/>
        </w:rPr>
        <w:tab/>
      </w:r>
      <w:r w:rsidR="005241C2" w:rsidRPr="005241C2">
        <w:rPr>
          <w:rFonts w:eastAsiaTheme="minorEastAsia" w:hint="cs"/>
          <w:rtl/>
          <w:lang w:eastAsia="zh-CN" w:bidi="ar-EG"/>
        </w:rPr>
        <w:t>المبادئ التوجيهية وأفضل الممارسات المتعلقة بوضع أطر وطنية لقياس الجودة تكون مناسبة لإجراء قياس جودة الخدمة وجودة التجربة</w:t>
      </w:r>
      <w:r w:rsidR="005241C2" w:rsidRPr="005241C2">
        <w:rPr>
          <w:rFonts w:eastAsiaTheme="minorEastAsia" w:hint="cs"/>
          <w:rtl/>
          <w:lang w:eastAsia="zh-CN"/>
        </w:rPr>
        <w:t xml:space="preserve"> لا سيما في البلدان النامية، وتحديد </w:t>
      </w:r>
      <w:r w:rsidR="005241C2" w:rsidRPr="005241C2">
        <w:rPr>
          <w:rFonts w:eastAsiaTheme="minorEastAsia" w:hint="cs"/>
          <w:rtl/>
          <w:lang w:eastAsia="zh-CN" w:bidi="ar-EG"/>
        </w:rPr>
        <w:t>متطلبات بناء القدرات البشرية والمؤسسية لهذه البلدان؛</w:t>
      </w:r>
    </w:p>
    <w:p w:rsidR="005241C2" w:rsidRPr="005241C2" w:rsidRDefault="00916A32" w:rsidP="000916F2">
      <w:pPr>
        <w:pStyle w:val="enumlev1"/>
        <w:tabs>
          <w:tab w:val="clear" w:pos="794"/>
        </w:tabs>
        <w:rPr>
          <w:rFonts w:eastAsiaTheme="minorEastAsia"/>
          <w:rtl/>
          <w:lang w:eastAsia="zh-CN" w:bidi="ar-EG"/>
        </w:rPr>
      </w:pPr>
      <w:r w:rsidRPr="00916A32">
        <w:rPr>
          <w:rFonts w:eastAsiaTheme="minorEastAsia"/>
          <w:i/>
          <w:iCs/>
          <w:lang w:eastAsia="zh-CN" w:bidi="ar-EG"/>
        </w:rPr>
        <w:t>•</w:t>
      </w:r>
      <w:r w:rsidR="000916F2">
        <w:rPr>
          <w:rFonts w:eastAsiaTheme="minorEastAsia"/>
          <w:i/>
          <w:iCs/>
          <w:rtl/>
          <w:lang w:eastAsia="zh-CN" w:bidi="ar-EG"/>
        </w:rPr>
        <w:tab/>
      </w:r>
      <w:r w:rsidR="005241C2" w:rsidRPr="005241C2">
        <w:rPr>
          <w:rFonts w:eastAsiaTheme="minorEastAsia" w:hint="cs"/>
          <w:rtl/>
          <w:lang w:eastAsia="zh-CN"/>
        </w:rPr>
        <w:t>الاستراتيجيات اللازمة لاطلاع المستعملين على جودة الخدمات المقدمة؛</w:t>
      </w:r>
    </w:p>
    <w:p w:rsidR="005241C2" w:rsidRPr="005241C2" w:rsidRDefault="00916A32" w:rsidP="000916F2">
      <w:pPr>
        <w:pStyle w:val="enumlev1"/>
        <w:tabs>
          <w:tab w:val="clear" w:pos="794"/>
        </w:tabs>
        <w:rPr>
          <w:rFonts w:eastAsiaTheme="minorEastAsia"/>
          <w:rtl/>
          <w:lang w:eastAsia="zh-CN" w:bidi="ar-EG"/>
        </w:rPr>
      </w:pPr>
      <w:r w:rsidRPr="00916A32">
        <w:rPr>
          <w:rFonts w:eastAsiaTheme="minorEastAsia"/>
          <w:i/>
          <w:iCs/>
          <w:lang w:eastAsia="zh-CN" w:bidi="ar-EG"/>
        </w:rPr>
        <w:t>•</w:t>
      </w:r>
      <w:r w:rsidR="000916F2">
        <w:rPr>
          <w:rFonts w:eastAsiaTheme="minorEastAsia"/>
          <w:i/>
          <w:iCs/>
          <w:rtl/>
          <w:lang w:eastAsia="zh-CN" w:bidi="ar-EG"/>
        </w:rPr>
        <w:tab/>
      </w:r>
      <w:r w:rsidR="005241C2" w:rsidRPr="005241C2">
        <w:rPr>
          <w:rFonts w:eastAsiaTheme="minorEastAsia" w:hint="cs"/>
          <w:rtl/>
          <w:lang w:eastAsia="zh-CN"/>
        </w:rPr>
        <w:t>سيناريوهات تقييم جودة الخدمة/جودة التجربة ومنهجيات الاختبار؛</w:t>
      </w:r>
    </w:p>
    <w:p w:rsidR="005241C2" w:rsidRPr="005241C2" w:rsidRDefault="00916A32" w:rsidP="000916F2">
      <w:pPr>
        <w:pStyle w:val="enumlev1"/>
        <w:tabs>
          <w:tab w:val="clear" w:pos="794"/>
        </w:tabs>
        <w:rPr>
          <w:rFonts w:eastAsiaTheme="minorEastAsia"/>
          <w:rtl/>
          <w:lang w:eastAsia="zh-CN" w:bidi="ar-EG"/>
        </w:rPr>
      </w:pPr>
      <w:r w:rsidRPr="00916A32">
        <w:rPr>
          <w:rFonts w:eastAsiaTheme="minorEastAsia"/>
          <w:i/>
          <w:iCs/>
          <w:lang w:eastAsia="zh-CN" w:bidi="ar-EG"/>
        </w:rPr>
        <w:t>•</w:t>
      </w:r>
      <w:r w:rsidR="000916F2">
        <w:rPr>
          <w:rFonts w:eastAsiaTheme="minorEastAsia"/>
          <w:i/>
          <w:iCs/>
          <w:rtl/>
          <w:lang w:eastAsia="zh-CN" w:bidi="ar-EG"/>
        </w:rPr>
        <w:tab/>
      </w:r>
      <w:r w:rsidR="005241C2" w:rsidRPr="005241C2">
        <w:rPr>
          <w:rFonts w:eastAsiaTheme="minorEastAsia" w:hint="cs"/>
          <w:rtl/>
          <w:lang w:eastAsia="zh-CN" w:bidi="ar-EG"/>
        </w:rPr>
        <w:t>منهجيات الاعتيان لقياسات جودة الخدمة على المستوى المحلي والوطني والعالمي؛</w:t>
      </w:r>
    </w:p>
    <w:p w:rsidR="005241C2" w:rsidRPr="005241C2" w:rsidRDefault="00916A32" w:rsidP="000916F2">
      <w:pPr>
        <w:pStyle w:val="enumlev1"/>
        <w:tabs>
          <w:tab w:val="clear" w:pos="794"/>
        </w:tabs>
        <w:rPr>
          <w:rFonts w:eastAsiaTheme="minorEastAsia"/>
          <w:rtl/>
          <w:lang w:eastAsia="zh-CN" w:bidi="ar-EG"/>
        </w:rPr>
      </w:pPr>
      <w:r w:rsidRPr="00916A32">
        <w:rPr>
          <w:rFonts w:eastAsiaTheme="minorEastAsia"/>
          <w:i/>
          <w:iCs/>
          <w:lang w:eastAsia="zh-CN" w:bidi="ar-EG"/>
        </w:rPr>
        <w:lastRenderedPageBreak/>
        <w:t>•</w:t>
      </w:r>
      <w:r w:rsidR="000916F2">
        <w:rPr>
          <w:rFonts w:eastAsiaTheme="minorEastAsia"/>
          <w:i/>
          <w:iCs/>
          <w:rtl/>
          <w:lang w:eastAsia="zh-CN" w:bidi="ar-EG"/>
        </w:rPr>
        <w:tab/>
      </w:r>
      <w:r w:rsidR="005241C2" w:rsidRPr="005241C2">
        <w:rPr>
          <w:rFonts w:eastAsiaTheme="minorEastAsia" w:hint="cs"/>
          <w:rtl/>
          <w:lang w:eastAsia="zh-CN" w:bidi="ar-EG"/>
        </w:rPr>
        <w:t>توفير مراجع بخصوص مؤشرات الأداء الرئيسية ومؤشرات الجودة الرئيسية ذات الحد الأدنى من الرضا لتقييم جودة</w:t>
      </w:r>
      <w:r w:rsidR="005241C2" w:rsidRPr="005241C2">
        <w:rPr>
          <w:rFonts w:eastAsiaTheme="minorEastAsia" w:hint="eastAsia"/>
          <w:rtl/>
          <w:lang w:eastAsia="zh-CN" w:bidi="ar-EG"/>
        </w:rPr>
        <w:t> </w:t>
      </w:r>
      <w:r w:rsidR="005241C2" w:rsidRPr="005241C2">
        <w:rPr>
          <w:rFonts w:eastAsiaTheme="minorEastAsia" w:hint="cs"/>
          <w:rtl/>
          <w:lang w:eastAsia="zh-CN" w:bidi="ar-EG"/>
        </w:rPr>
        <w:t>الخدمات</w:t>
      </w:r>
      <w:r w:rsidR="005241C2" w:rsidRPr="005241C2">
        <w:rPr>
          <w:rFonts w:eastAsiaTheme="minorEastAsia"/>
          <w:rtl/>
          <w:lang w:eastAsia="zh-CN" w:bidi="ar-EG"/>
        </w:rPr>
        <w:t>؛</w:t>
      </w:r>
    </w:p>
    <w:p w:rsidR="005241C2" w:rsidRPr="005241C2" w:rsidRDefault="00916A32" w:rsidP="000916F2">
      <w:pPr>
        <w:pStyle w:val="enumlev1"/>
        <w:tabs>
          <w:tab w:val="clear" w:pos="794"/>
        </w:tabs>
        <w:rPr>
          <w:rFonts w:eastAsiaTheme="minorEastAsia"/>
          <w:rtl/>
          <w:lang w:eastAsia="zh-CN"/>
        </w:rPr>
      </w:pPr>
      <w:r w:rsidRPr="00916A32">
        <w:rPr>
          <w:rFonts w:eastAsiaTheme="minorEastAsia"/>
          <w:i/>
          <w:iCs/>
          <w:lang w:eastAsia="zh-CN" w:bidi="ar-EG"/>
        </w:rPr>
        <w:t>•</w:t>
      </w:r>
      <w:r w:rsidR="000916F2">
        <w:rPr>
          <w:rFonts w:eastAsiaTheme="minorEastAsia"/>
          <w:i/>
          <w:iCs/>
          <w:rtl/>
          <w:lang w:eastAsia="zh-CN" w:bidi="ar-EG"/>
        </w:rPr>
        <w:tab/>
      </w:r>
      <w:r w:rsidR="005241C2" w:rsidRPr="005241C2">
        <w:rPr>
          <w:rFonts w:eastAsiaTheme="minorEastAsia" w:hint="cs"/>
          <w:rtl/>
          <w:lang w:eastAsia="zh-CN" w:bidi="ar-EG"/>
        </w:rPr>
        <w:t>تعزيز مشاركة هيئات التنظيم والمشغلين والموردين في مناقشات تشغيلية وتنظيمية أوسع بشأن الاستراتيجيات الجديدة لتوفير جودة خدمة وجودة تجربة أفضل</w:t>
      </w:r>
      <w:r w:rsidR="005241C2" w:rsidRPr="005241C2">
        <w:rPr>
          <w:rFonts w:eastAsiaTheme="minorEastAsia" w:hint="eastAsia"/>
          <w:rtl/>
          <w:lang w:eastAsia="zh-CN" w:bidi="ar-EG"/>
        </w:rPr>
        <w:t> </w:t>
      </w:r>
      <w:r w:rsidR="005241C2" w:rsidRPr="005241C2">
        <w:rPr>
          <w:rFonts w:eastAsiaTheme="minorEastAsia" w:hint="cs"/>
          <w:rtl/>
          <w:lang w:eastAsia="zh-CN" w:bidi="ar-EG"/>
        </w:rPr>
        <w:t>للمستعملين</w:t>
      </w:r>
      <w:r w:rsidR="005241C2" w:rsidRPr="005241C2">
        <w:rPr>
          <w:rFonts w:eastAsiaTheme="minorEastAsia" w:hint="cs"/>
          <w:rtl/>
          <w:lang w:eastAsia="zh-CN"/>
        </w:rPr>
        <w:t>،</w:t>
      </w:r>
    </w:p>
    <w:p w:rsidR="005241C2" w:rsidRPr="005241C2" w:rsidRDefault="005241C2" w:rsidP="005241C2">
      <w:pPr>
        <w:rPr>
          <w:rFonts w:eastAsiaTheme="minorEastAsia"/>
          <w:rtl/>
          <w:lang w:eastAsia="zh-CN" w:bidi="ar-SY"/>
        </w:rPr>
      </w:pPr>
      <w:r w:rsidRPr="005241C2">
        <w:rPr>
          <w:rFonts w:eastAsiaTheme="minorEastAsia" w:hint="cs"/>
          <w:rtl/>
          <w:lang w:eastAsia="zh-CN"/>
        </w:rPr>
        <w:t>وعلاوة</w:t>
      </w:r>
      <w:r w:rsidR="000916F2">
        <w:rPr>
          <w:rFonts w:eastAsiaTheme="minorEastAsia" w:hint="cs"/>
          <w:rtl/>
          <w:lang w:eastAsia="zh-CN"/>
        </w:rPr>
        <w:t>ً</w:t>
      </w:r>
      <w:r w:rsidRPr="005241C2">
        <w:rPr>
          <w:rFonts w:eastAsiaTheme="minorEastAsia" w:hint="cs"/>
          <w:rtl/>
          <w:lang w:eastAsia="zh-CN"/>
        </w:rPr>
        <w:t xml:space="preserve"> على ذلك، يكلف القرار </w:t>
      </w:r>
      <w:r w:rsidRPr="005241C2">
        <w:rPr>
          <w:rFonts w:eastAsiaTheme="minorEastAsia" w:hint="cs"/>
          <w:rtl/>
          <w:lang w:eastAsia="zh-CN" w:bidi="ar-EG"/>
        </w:rPr>
        <w:t>مدير مكتب تقييس الاتصالات، بالتعاون الوثيق مع مدير مكتب تنمية الاتصالات:</w:t>
      </w:r>
    </w:p>
    <w:p w:rsidR="005241C2" w:rsidRPr="005241C2" w:rsidRDefault="00916A32" w:rsidP="000916F2">
      <w:pPr>
        <w:pStyle w:val="enumlev1"/>
        <w:tabs>
          <w:tab w:val="clear" w:pos="794"/>
        </w:tabs>
        <w:rPr>
          <w:rFonts w:eastAsiaTheme="minorEastAsia"/>
          <w:rtl/>
          <w:lang w:eastAsia="zh-CN" w:bidi="ar-EG"/>
        </w:rPr>
      </w:pPr>
      <w:r w:rsidRPr="00916A32">
        <w:rPr>
          <w:rFonts w:eastAsiaTheme="minorEastAsia"/>
          <w:i/>
          <w:iCs/>
          <w:lang w:eastAsia="zh-CN" w:bidi="ar-EG"/>
        </w:rPr>
        <w:t>•</w:t>
      </w:r>
      <w:r w:rsidR="000916F2">
        <w:rPr>
          <w:rFonts w:eastAsiaTheme="minorEastAsia"/>
          <w:i/>
          <w:iCs/>
          <w:rtl/>
          <w:lang w:eastAsia="zh-CN" w:bidi="ar-EG"/>
        </w:rPr>
        <w:tab/>
      </w:r>
      <w:r w:rsidR="005241C2" w:rsidRPr="005241C2">
        <w:rPr>
          <w:rFonts w:eastAsiaTheme="minorEastAsia" w:hint="cs"/>
          <w:rtl/>
          <w:lang w:eastAsia="zh-CN" w:bidi="ar-EG"/>
        </w:rPr>
        <w:t>بم</w:t>
      </w:r>
      <w:r w:rsidR="005241C2" w:rsidRPr="005241C2">
        <w:rPr>
          <w:rFonts w:eastAsiaTheme="minorEastAsia"/>
          <w:rtl/>
          <w:lang w:eastAsia="zh-CN" w:bidi="ar-EG"/>
        </w:rPr>
        <w:t>ساعدة البلدان النامية</w:t>
      </w:r>
      <w:r w:rsidR="005241C2" w:rsidRPr="005241C2">
        <w:rPr>
          <w:rFonts w:eastAsiaTheme="minorEastAsia" w:hint="cs"/>
          <w:rtl/>
          <w:lang w:eastAsia="zh-CN" w:bidi="ar-EG"/>
        </w:rPr>
        <w:t xml:space="preserve"> وأقل البلدان نمواً</w:t>
      </w:r>
      <w:r w:rsidR="005241C2" w:rsidRPr="005241C2">
        <w:rPr>
          <w:rFonts w:eastAsiaTheme="minorEastAsia"/>
          <w:rtl/>
          <w:lang w:eastAsia="zh-CN" w:bidi="ar-EG"/>
        </w:rPr>
        <w:t xml:space="preserve"> في تحديد فرص بناء القدرات البشرية والمؤسسية </w:t>
      </w:r>
      <w:r w:rsidR="005241C2" w:rsidRPr="005241C2">
        <w:rPr>
          <w:rFonts w:eastAsiaTheme="minorEastAsia" w:hint="cs"/>
          <w:rtl/>
          <w:lang w:eastAsia="zh-CN" w:bidi="ar-EG"/>
        </w:rPr>
        <w:t>من أجل وضع أطر وطنية لقياس</w:t>
      </w:r>
      <w:r w:rsidR="005241C2" w:rsidRPr="005241C2">
        <w:rPr>
          <w:rFonts w:eastAsiaTheme="minorEastAsia" w:hint="eastAsia"/>
          <w:rtl/>
          <w:lang w:eastAsia="zh-CN" w:bidi="ar-EG"/>
        </w:rPr>
        <w:t> </w:t>
      </w:r>
      <w:r w:rsidR="005241C2" w:rsidRPr="005241C2">
        <w:rPr>
          <w:rFonts w:eastAsiaTheme="minorEastAsia" w:hint="cs"/>
          <w:rtl/>
          <w:lang w:eastAsia="zh-CN" w:bidi="ar-EG"/>
        </w:rPr>
        <w:t>الجودة</w:t>
      </w:r>
      <w:r w:rsidR="005241C2" w:rsidRPr="005241C2">
        <w:rPr>
          <w:rFonts w:eastAsiaTheme="minorEastAsia"/>
          <w:rtl/>
          <w:lang w:eastAsia="zh-CN" w:bidi="ar-EG"/>
        </w:rPr>
        <w:t>؛</w:t>
      </w:r>
    </w:p>
    <w:p w:rsidR="005241C2" w:rsidRPr="005241C2" w:rsidRDefault="00916A32" w:rsidP="000916F2">
      <w:pPr>
        <w:pStyle w:val="enumlev1"/>
        <w:tabs>
          <w:tab w:val="clear" w:pos="794"/>
        </w:tabs>
        <w:rPr>
          <w:rFonts w:eastAsiaTheme="minorEastAsia"/>
          <w:rtl/>
          <w:lang w:eastAsia="zh-CN" w:bidi="ar-EG"/>
        </w:rPr>
      </w:pPr>
      <w:r w:rsidRPr="00916A32">
        <w:rPr>
          <w:rFonts w:eastAsiaTheme="minorEastAsia"/>
          <w:i/>
          <w:iCs/>
          <w:lang w:eastAsia="zh-CN" w:bidi="ar-EG"/>
        </w:rPr>
        <w:t>•</w:t>
      </w:r>
      <w:r w:rsidR="000916F2">
        <w:rPr>
          <w:rFonts w:eastAsiaTheme="minorEastAsia"/>
          <w:i/>
          <w:iCs/>
          <w:rtl/>
          <w:lang w:eastAsia="zh-CN" w:bidi="ar-EG"/>
        </w:rPr>
        <w:tab/>
      </w:r>
      <w:r w:rsidR="005241C2" w:rsidRPr="005241C2">
        <w:rPr>
          <w:rFonts w:eastAsiaTheme="minorEastAsia" w:hint="cs"/>
          <w:rtl/>
          <w:lang w:eastAsia="zh-CN" w:bidi="ar-EG"/>
        </w:rPr>
        <w:t xml:space="preserve">بإجراء </w:t>
      </w:r>
      <w:r w:rsidR="005241C2" w:rsidRPr="005241C2">
        <w:rPr>
          <w:rFonts w:eastAsiaTheme="minorEastAsia"/>
          <w:rtl/>
          <w:lang w:eastAsia="zh-CN" w:bidi="ar-EG"/>
        </w:rPr>
        <w:t>أنشطة في كل منطقة لتحديد المشاكل التي تواجهها البلدان النامية</w:t>
      </w:r>
      <w:r w:rsidR="005241C2" w:rsidRPr="005241C2">
        <w:rPr>
          <w:rFonts w:eastAsiaTheme="minorEastAsia" w:hint="cs"/>
          <w:rtl/>
          <w:lang w:eastAsia="zh-CN" w:bidi="ar-EG"/>
        </w:rPr>
        <w:t xml:space="preserve"> وأقل البلدان نمواً</w:t>
      </w:r>
      <w:r w:rsidR="005241C2" w:rsidRPr="005241C2">
        <w:rPr>
          <w:rFonts w:eastAsiaTheme="minorEastAsia"/>
          <w:rtl/>
          <w:lang w:eastAsia="zh-CN" w:bidi="ar-EG"/>
        </w:rPr>
        <w:t xml:space="preserve"> ووضع أولوياتها فيما</w:t>
      </w:r>
      <w:r w:rsidR="005241C2" w:rsidRPr="005241C2">
        <w:rPr>
          <w:rFonts w:eastAsiaTheme="minorEastAsia" w:hint="cs"/>
          <w:rtl/>
          <w:lang w:eastAsia="zh-CN" w:bidi="ar-EG"/>
        </w:rPr>
        <w:t> </w:t>
      </w:r>
      <w:r w:rsidR="005241C2" w:rsidRPr="005241C2">
        <w:rPr>
          <w:rFonts w:eastAsiaTheme="minorEastAsia"/>
          <w:rtl/>
          <w:lang w:eastAsia="zh-CN" w:bidi="ar-EG"/>
        </w:rPr>
        <w:t xml:space="preserve">يتعلق </w:t>
      </w:r>
      <w:r w:rsidR="005241C2" w:rsidRPr="005241C2">
        <w:rPr>
          <w:rFonts w:eastAsiaTheme="minorEastAsia" w:hint="cs"/>
          <w:rtl/>
          <w:lang w:eastAsia="zh-CN" w:bidi="ar-EG"/>
        </w:rPr>
        <w:t>بتوفير خدمات بجودة مقبولة للمستعملين</w:t>
      </w:r>
      <w:r w:rsidR="005241C2" w:rsidRPr="005241C2">
        <w:rPr>
          <w:rFonts w:eastAsiaTheme="minorEastAsia"/>
          <w:rtl/>
          <w:lang w:eastAsia="zh-CN" w:bidi="ar-EG"/>
        </w:rPr>
        <w:t>؛</w:t>
      </w:r>
    </w:p>
    <w:p w:rsidR="005241C2" w:rsidRPr="005241C2" w:rsidRDefault="00916A32" w:rsidP="000916F2">
      <w:pPr>
        <w:pStyle w:val="enumlev1"/>
        <w:tabs>
          <w:tab w:val="clear" w:pos="794"/>
        </w:tabs>
        <w:rPr>
          <w:rFonts w:eastAsiaTheme="minorEastAsia"/>
          <w:rtl/>
          <w:lang w:eastAsia="zh-CN" w:bidi="ar-SY"/>
        </w:rPr>
      </w:pPr>
      <w:r w:rsidRPr="00916A32">
        <w:rPr>
          <w:rFonts w:eastAsiaTheme="minorEastAsia"/>
          <w:i/>
          <w:iCs/>
          <w:lang w:eastAsia="zh-CN" w:bidi="ar-EG"/>
        </w:rPr>
        <w:t>•</w:t>
      </w:r>
      <w:r w:rsidR="000916F2">
        <w:rPr>
          <w:rFonts w:eastAsiaTheme="minorEastAsia"/>
          <w:i/>
          <w:iCs/>
          <w:rtl/>
          <w:lang w:eastAsia="zh-CN" w:bidi="ar-EG"/>
        </w:rPr>
        <w:tab/>
      </w:r>
      <w:r w:rsidR="005241C2" w:rsidRPr="005241C2">
        <w:rPr>
          <w:rFonts w:eastAsiaTheme="minorEastAsia" w:hint="cs"/>
          <w:rtl/>
          <w:lang w:eastAsia="zh-CN" w:bidi="ar-EG"/>
        </w:rPr>
        <w:t>بمساعدة البلدان النامية وأقل البلدان نمواً في تحديد إجراءات لتحسين جودة الخدمة وتنفيذها وإطلاع المستعملين باستمرار على ذلك.</w:t>
      </w:r>
    </w:p>
    <w:p w:rsidR="005241C2" w:rsidRPr="005241C2" w:rsidRDefault="00D4732B" w:rsidP="00D4732B">
      <w:pPr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 w:bidi="ar-EG"/>
        </w:rPr>
        <w:t>وقد وضعت</w:t>
      </w:r>
      <w:r w:rsidR="005241C2" w:rsidRPr="005241C2">
        <w:rPr>
          <w:rFonts w:eastAsiaTheme="minorEastAsia" w:hint="cs"/>
          <w:rtl/>
          <w:lang w:eastAsia="zh-CN" w:bidi="ar-EG"/>
        </w:rPr>
        <w:t xml:space="preserve"> لجنة الدراسات </w:t>
      </w:r>
      <w:r w:rsidR="005241C2" w:rsidRPr="005241C2">
        <w:rPr>
          <w:rFonts w:eastAsiaTheme="minorEastAsia"/>
          <w:lang w:eastAsia="zh-CN" w:bidi="ar-SY"/>
        </w:rPr>
        <w:t>12</w:t>
      </w:r>
      <w:r w:rsidR="005241C2" w:rsidRPr="005241C2">
        <w:rPr>
          <w:rFonts w:eastAsiaTheme="minorEastAsia" w:hint="cs"/>
          <w:rtl/>
          <w:lang w:eastAsia="zh-CN" w:bidi="ar-EG"/>
        </w:rPr>
        <w:t xml:space="preserve"> خطة تشغيلية</w:t>
      </w:r>
      <w:r w:rsidRPr="005241C2">
        <w:rPr>
          <w:rStyle w:val="FootnoteReference"/>
          <w:rtl/>
          <w:lang w:eastAsia="zh-CN" w:bidi="ar-EG"/>
        </w:rPr>
        <w:footnoteReference w:id="2"/>
      </w:r>
      <w:r w:rsidR="005241C2" w:rsidRPr="005241C2">
        <w:rPr>
          <w:rFonts w:eastAsiaTheme="minorEastAsia" w:hint="cs"/>
          <w:rtl/>
          <w:lang w:eastAsia="zh-CN" w:bidi="ar-EG"/>
        </w:rPr>
        <w:t xml:space="preserve"> لتنظيم عملها </w:t>
      </w:r>
      <w:r>
        <w:rPr>
          <w:rFonts w:eastAsiaTheme="minorEastAsia" w:hint="cs"/>
          <w:rtl/>
          <w:lang w:eastAsia="zh-CN" w:bidi="ar-EG"/>
        </w:rPr>
        <w:t xml:space="preserve">المتعلق بتنفيذ </w:t>
      </w:r>
      <w:r w:rsidR="005241C2" w:rsidRPr="005241C2">
        <w:rPr>
          <w:rFonts w:eastAsiaTheme="minorEastAsia" w:hint="cs"/>
          <w:rtl/>
          <w:lang w:eastAsia="zh-CN" w:bidi="ar-EG"/>
        </w:rPr>
        <w:t xml:space="preserve">القرار </w:t>
      </w:r>
      <w:r w:rsidR="005241C2" w:rsidRPr="005241C2">
        <w:rPr>
          <w:rFonts w:eastAsiaTheme="minorEastAsia"/>
          <w:lang w:eastAsia="zh-CN" w:bidi="ar-SY"/>
        </w:rPr>
        <w:t>95</w:t>
      </w:r>
      <w:r w:rsidR="005241C2" w:rsidRPr="005241C2">
        <w:rPr>
          <w:rFonts w:eastAsiaTheme="minorEastAsia" w:hint="cs"/>
          <w:rtl/>
          <w:lang w:eastAsia="zh-CN" w:bidi="ar-EG"/>
        </w:rPr>
        <w:t xml:space="preserve">. ويدعو البندان </w:t>
      </w:r>
      <w:r w:rsidR="005241C2" w:rsidRPr="005241C2">
        <w:rPr>
          <w:rFonts w:eastAsiaTheme="minorEastAsia"/>
          <w:lang w:eastAsia="zh-CN" w:bidi="ar-SY"/>
        </w:rPr>
        <w:t>1.3</w:t>
      </w:r>
      <w:r w:rsidR="005241C2" w:rsidRPr="005241C2">
        <w:rPr>
          <w:rFonts w:eastAsiaTheme="minorEastAsia" w:hint="cs"/>
          <w:rtl/>
          <w:lang w:eastAsia="zh-CN" w:bidi="ar-EG"/>
        </w:rPr>
        <w:t xml:space="preserve"> و</w:t>
      </w:r>
      <w:r w:rsidR="005241C2" w:rsidRPr="005241C2">
        <w:rPr>
          <w:rFonts w:eastAsiaTheme="minorEastAsia"/>
          <w:lang w:eastAsia="zh-CN" w:bidi="ar-SY"/>
        </w:rPr>
        <w:t>2.3</w:t>
      </w:r>
      <w:r w:rsidR="005241C2" w:rsidRPr="005241C2">
        <w:rPr>
          <w:rFonts w:eastAsiaTheme="minorEastAsia" w:hint="cs"/>
          <w:rtl/>
          <w:lang w:eastAsia="zh-CN" w:bidi="ar-EG"/>
        </w:rPr>
        <w:t xml:space="preserve"> من الخطة التشغيلية إلى إعداد </w:t>
      </w:r>
      <w:r w:rsidR="005241C2" w:rsidRPr="000916F2">
        <w:rPr>
          <w:rFonts w:eastAsiaTheme="minorEastAsia" w:hint="cs"/>
          <w:b/>
          <w:bCs/>
          <w:rtl/>
          <w:lang w:eastAsia="zh-CN" w:bidi="ar-EG"/>
        </w:rPr>
        <w:t xml:space="preserve">استبيان بشأن حالة الأطر التنظيمية لجودة الخدمة وجودة التجربة </w:t>
      </w:r>
      <w:r w:rsidRPr="000916F2">
        <w:rPr>
          <w:rFonts w:eastAsiaTheme="minorEastAsia" w:hint="cs"/>
          <w:b/>
          <w:bCs/>
          <w:rtl/>
          <w:lang w:eastAsia="zh-CN" w:bidi="ar-EG"/>
        </w:rPr>
        <w:t>ورضا</w:t>
      </w:r>
      <w:r w:rsidR="005241C2" w:rsidRPr="000916F2">
        <w:rPr>
          <w:rFonts w:eastAsiaTheme="minorEastAsia" w:hint="cs"/>
          <w:b/>
          <w:bCs/>
          <w:rtl/>
          <w:lang w:eastAsia="zh-CN" w:bidi="ar-EG"/>
        </w:rPr>
        <w:t xml:space="preserve"> المستعمل</w:t>
      </w:r>
      <w:r w:rsidR="005241C2" w:rsidRPr="005241C2">
        <w:rPr>
          <w:rFonts w:eastAsiaTheme="minorEastAsia" w:hint="cs"/>
          <w:rtl/>
          <w:lang w:eastAsia="zh-CN" w:bidi="ar-EG"/>
        </w:rPr>
        <w:t xml:space="preserve"> في الدول الأعضاء في الاتحاد.</w:t>
      </w:r>
    </w:p>
    <w:p w:rsidR="005241C2" w:rsidRPr="005241C2" w:rsidRDefault="005241C2" w:rsidP="005241C2">
      <w:pPr>
        <w:rPr>
          <w:rFonts w:eastAsiaTheme="minorEastAsia"/>
          <w:rtl/>
          <w:lang w:eastAsia="zh-CN"/>
        </w:rPr>
      </w:pPr>
      <w:r w:rsidRPr="005241C2">
        <w:rPr>
          <w:rFonts w:eastAsiaTheme="minorEastAsia" w:hint="cs"/>
          <w:rtl/>
          <w:lang w:eastAsia="zh-CN"/>
        </w:rPr>
        <w:t xml:space="preserve">ويمكن الاطلاع على الاستبيان في الموقع الإلكتروني </w:t>
      </w:r>
      <w:hyperlink r:id="rId12" w:history="1">
        <w:r w:rsidRPr="005241C2">
          <w:rPr>
            <w:rStyle w:val="Hyperlink"/>
            <w:rFonts w:eastAsiaTheme="minorEastAsia"/>
            <w:b/>
            <w:bCs/>
            <w:lang w:eastAsia="zh-CN" w:bidi="ar-SY"/>
          </w:rPr>
          <w:t>https://www.research.net/r/sg12-servicequality</w:t>
        </w:r>
      </w:hyperlink>
      <w:r w:rsidRPr="005241C2">
        <w:rPr>
          <w:rFonts w:eastAsiaTheme="minorEastAsia" w:hint="cs"/>
          <w:rtl/>
          <w:lang w:eastAsia="zh-CN"/>
        </w:rPr>
        <w:t>.</w:t>
      </w:r>
    </w:p>
    <w:p w:rsidR="005241C2" w:rsidRPr="005241C2" w:rsidRDefault="005241C2" w:rsidP="005241C2">
      <w:pPr>
        <w:rPr>
          <w:rFonts w:eastAsiaTheme="minorEastAsia"/>
          <w:rtl/>
          <w:lang w:eastAsia="zh-CN"/>
        </w:rPr>
      </w:pPr>
      <w:r w:rsidRPr="005241C2">
        <w:rPr>
          <w:rFonts w:eastAsiaTheme="minorEastAsia" w:hint="cs"/>
          <w:rtl/>
          <w:lang w:eastAsia="zh-CN"/>
        </w:rPr>
        <w:t xml:space="preserve">وللحصول على فهم أفضل لمستوى اكتمال الأطر التنظيمية بشأن جودة الخدمة للدول الأعضاء في الاتحاد، وتحديد الاحتياجات المحددة فيما يتعلق بأطر قياس الجودة، </w:t>
      </w:r>
      <w:r w:rsidRPr="005241C2">
        <w:rPr>
          <w:rFonts w:eastAsiaTheme="minorEastAsia" w:hint="cs"/>
          <w:b/>
          <w:bCs/>
          <w:rtl/>
          <w:lang w:eastAsia="zh-CN"/>
        </w:rPr>
        <w:t xml:space="preserve">تلتمس لجنة الدراسات </w:t>
      </w:r>
      <w:r w:rsidRPr="005241C2">
        <w:rPr>
          <w:rFonts w:eastAsiaTheme="minorEastAsia"/>
          <w:b/>
          <w:bCs/>
          <w:lang w:eastAsia="zh-CN" w:bidi="ar-SY"/>
        </w:rPr>
        <w:t>12</w:t>
      </w:r>
      <w:r w:rsidRPr="005241C2">
        <w:rPr>
          <w:rFonts w:eastAsiaTheme="minorEastAsia" w:hint="cs"/>
          <w:b/>
          <w:bCs/>
          <w:rtl/>
          <w:lang w:eastAsia="zh-CN" w:bidi="ar-EG"/>
        </w:rPr>
        <w:t xml:space="preserve"> تقديم مدخلات عبر هذا الاستبيان حتى</w:t>
      </w:r>
      <w:r w:rsidRPr="005241C2">
        <w:rPr>
          <w:rFonts w:eastAsiaTheme="minorEastAsia" w:hint="cs"/>
          <w:rtl/>
          <w:lang w:eastAsia="zh-CN" w:bidi="ar-EG"/>
        </w:rPr>
        <w:t xml:space="preserve"> </w:t>
      </w:r>
      <w:r w:rsidRPr="005241C2">
        <w:rPr>
          <w:rFonts w:eastAsiaTheme="minorEastAsia"/>
          <w:b/>
          <w:bCs/>
          <w:lang w:eastAsia="zh-CN" w:bidi="ar-SY"/>
        </w:rPr>
        <w:t>31</w:t>
      </w:r>
      <w:r w:rsidRPr="005241C2">
        <w:rPr>
          <w:rFonts w:eastAsiaTheme="minorEastAsia" w:hint="cs"/>
          <w:b/>
          <w:bCs/>
          <w:rtl/>
          <w:lang w:eastAsia="zh-CN"/>
        </w:rPr>
        <w:t xml:space="preserve"> مارس </w:t>
      </w:r>
      <w:r w:rsidRPr="005241C2">
        <w:rPr>
          <w:rFonts w:eastAsiaTheme="minorEastAsia"/>
          <w:b/>
          <w:bCs/>
          <w:lang w:eastAsia="zh-CN" w:bidi="ar-SY"/>
        </w:rPr>
        <w:t>2018</w:t>
      </w:r>
      <w:r w:rsidRPr="005241C2">
        <w:rPr>
          <w:rFonts w:eastAsiaTheme="minorEastAsia" w:hint="cs"/>
          <w:rtl/>
          <w:lang w:eastAsia="zh-CN"/>
        </w:rPr>
        <w:t>.</w:t>
      </w:r>
    </w:p>
    <w:p w:rsidR="005241C2" w:rsidRPr="005241C2" w:rsidRDefault="005241C2" w:rsidP="005241C2">
      <w:pPr>
        <w:rPr>
          <w:rFonts w:eastAsiaTheme="minorEastAsia"/>
          <w:rtl/>
          <w:lang w:eastAsia="zh-CN"/>
        </w:rPr>
      </w:pPr>
      <w:r w:rsidRPr="005241C2">
        <w:rPr>
          <w:rFonts w:eastAsiaTheme="minorEastAsia" w:hint="cs"/>
          <w:rtl/>
          <w:lang w:eastAsia="zh-CN"/>
        </w:rPr>
        <w:t xml:space="preserve">وسيتم استعراض نتائج الاستبيان في الاجتماع القادم للجنة الدراسات </w:t>
      </w:r>
      <w:r w:rsidRPr="005241C2">
        <w:rPr>
          <w:rFonts w:eastAsiaTheme="minorEastAsia"/>
          <w:lang w:eastAsia="zh-CN" w:bidi="ar-SY"/>
        </w:rPr>
        <w:t>12</w:t>
      </w:r>
      <w:r w:rsidRPr="005241C2">
        <w:rPr>
          <w:rFonts w:eastAsiaTheme="minorEastAsia" w:hint="cs"/>
          <w:rtl/>
          <w:lang w:eastAsia="zh-CN"/>
        </w:rPr>
        <w:t xml:space="preserve">، جنيف، </w:t>
      </w:r>
      <w:r w:rsidRPr="005241C2">
        <w:rPr>
          <w:rFonts w:eastAsiaTheme="minorEastAsia"/>
          <w:lang w:eastAsia="zh-CN" w:bidi="ar-SY"/>
        </w:rPr>
        <w:t>10-1</w:t>
      </w:r>
      <w:r w:rsidRPr="005241C2">
        <w:rPr>
          <w:rFonts w:eastAsiaTheme="minorEastAsia" w:hint="cs"/>
          <w:rtl/>
          <w:lang w:eastAsia="zh-CN"/>
        </w:rPr>
        <w:t xml:space="preserve"> مايو </w:t>
      </w:r>
      <w:r w:rsidRPr="005241C2">
        <w:rPr>
          <w:rFonts w:eastAsiaTheme="minorEastAsia"/>
          <w:lang w:eastAsia="zh-CN" w:bidi="ar-SY"/>
        </w:rPr>
        <w:t>2018</w:t>
      </w:r>
      <w:r w:rsidRPr="005241C2">
        <w:rPr>
          <w:rFonts w:eastAsiaTheme="minorEastAsia" w:hint="cs"/>
          <w:rtl/>
          <w:lang w:eastAsia="zh-CN"/>
        </w:rPr>
        <w:t>.</w:t>
      </w:r>
    </w:p>
    <w:p w:rsidR="005241C2" w:rsidRPr="005241C2" w:rsidRDefault="005241C2" w:rsidP="00D4732B">
      <w:pPr>
        <w:rPr>
          <w:rFonts w:eastAsiaTheme="minorEastAsia"/>
          <w:rtl/>
          <w:lang w:eastAsia="zh-CN" w:bidi="ar-EG"/>
        </w:rPr>
      </w:pPr>
      <w:r w:rsidRPr="005241C2">
        <w:rPr>
          <w:rFonts w:eastAsiaTheme="minorEastAsia" w:hint="cs"/>
          <w:rtl/>
          <w:lang w:eastAsia="zh-CN"/>
        </w:rPr>
        <w:t xml:space="preserve">وأشكركم مقدماً على دعمكم من خلال توجيه عناية الخبراء المسؤولين عن جودة الخدمة في منظمتكم إلى </w:t>
      </w:r>
      <w:r w:rsidR="00D4732B">
        <w:rPr>
          <w:rFonts w:eastAsiaTheme="minorEastAsia" w:hint="cs"/>
          <w:rtl/>
          <w:lang w:eastAsia="zh-CN"/>
        </w:rPr>
        <w:t>هذه الرسالة المعممة</w:t>
      </w:r>
      <w:r w:rsidRPr="005241C2">
        <w:rPr>
          <w:rFonts w:eastAsiaTheme="minorEastAsia" w:hint="cs"/>
          <w:rtl/>
          <w:lang w:eastAsia="zh-CN"/>
        </w:rPr>
        <w:t xml:space="preserve"> ومن ثم ضمان نسبة استجابة عالية.</w:t>
      </w:r>
    </w:p>
    <w:p w:rsid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 w:rsidRPr="00A15845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DD12B6" w:rsidRPr="00DD12B6" w:rsidRDefault="00DD12B6" w:rsidP="00DD12B6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720"/>
        <w:rPr>
          <w:rFonts w:eastAsiaTheme="minorEastAsia"/>
          <w:i/>
          <w:iCs/>
          <w:rtl/>
          <w:lang w:eastAsia="zh-CN" w:bidi="ar-EG"/>
        </w:rPr>
      </w:pPr>
      <w:r w:rsidRPr="00DD12B6">
        <w:rPr>
          <w:rFonts w:eastAsiaTheme="minorEastAsia" w:hint="cs"/>
          <w:i/>
          <w:iCs/>
          <w:rtl/>
          <w:lang w:eastAsia="zh-CN" w:bidi="ar-EG"/>
        </w:rPr>
        <w:t>(توقيع)</w:t>
      </w:r>
    </w:p>
    <w:p w:rsidR="008B5B5D" w:rsidRDefault="00A15845" w:rsidP="002050E8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720"/>
        <w:jc w:val="left"/>
        <w:rPr>
          <w:rtl/>
          <w:lang w:bidi="ar-EG"/>
        </w:rPr>
      </w:pPr>
      <w:r w:rsidRPr="00A15845">
        <w:rPr>
          <w:rFonts w:eastAsiaTheme="minorEastAsia" w:hint="cs"/>
          <w:rtl/>
          <w:lang w:eastAsia="zh-CN" w:bidi="ar-SY"/>
        </w:rPr>
        <w:t>تشيساب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لي</w:t>
      </w:r>
      <w:r w:rsidRPr="00A15845">
        <w:rPr>
          <w:rFonts w:eastAsiaTheme="minorEastAsia"/>
          <w:rtl/>
          <w:lang w:eastAsia="zh-CN" w:bidi="ar-SY"/>
        </w:rPr>
        <w:br/>
      </w:r>
      <w:r w:rsidRPr="00A15845">
        <w:rPr>
          <w:rFonts w:eastAsiaTheme="minorEastAsia" w:hint="cs"/>
          <w:rtl/>
          <w:lang w:eastAsia="zh-CN" w:bidi="ar-SY"/>
        </w:rPr>
        <w:t>مدير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مكتب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تقييس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الاتصالات</w:t>
      </w:r>
    </w:p>
    <w:sectPr w:rsidR="008B5B5D" w:rsidSect="008B5B5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1C2" w:rsidRDefault="005241C2" w:rsidP="00E07379">
      <w:pPr>
        <w:spacing w:before="0" w:line="240" w:lineRule="auto"/>
      </w:pPr>
      <w:r>
        <w:separator/>
      </w:r>
    </w:p>
  </w:endnote>
  <w:endnote w:type="continuationSeparator" w:id="0">
    <w:p w:rsidR="005241C2" w:rsidRDefault="005241C2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6B1" w:rsidRDefault="00E456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C50" w:rsidRPr="00E456B1" w:rsidRDefault="00BD0C50" w:rsidP="00E456B1">
    <w:pPr>
      <w:pStyle w:val="Footer"/>
    </w:pP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845" w:rsidRPr="00A15845" w:rsidRDefault="00A15845" w:rsidP="00A15845">
    <w:pPr>
      <w:tabs>
        <w:tab w:val="left" w:pos="1191"/>
        <w:tab w:val="left" w:pos="1588"/>
        <w:tab w:val="left" w:pos="1985"/>
      </w:tabs>
      <w:bidi w:val="0"/>
      <w:spacing w:before="160" w:line="240" w:lineRule="auto"/>
      <w:ind w:left="-397" w:right="-397"/>
      <w:jc w:val="center"/>
      <w:rPr>
        <w:rFonts w:asciiTheme="minorHAnsi" w:hAnsiTheme="minorHAnsi" w:cs="Times New Roman"/>
        <w:sz w:val="18"/>
        <w:szCs w:val="18"/>
        <w:lang w:val="fr-CH"/>
      </w:rPr>
    </w:pPr>
    <w:r w:rsidRPr="00A15845">
      <w:rPr>
        <w:rFonts w:asciiTheme="minorHAnsi" w:hAnsiTheme="minorHAnsi" w:cs="Times New Roman"/>
        <w:sz w:val="18"/>
        <w:szCs w:val="18"/>
        <w:lang w:val="fr-CH"/>
      </w:rPr>
      <w:t xml:space="preserve">International </w:t>
    </w:r>
    <w:proofErr w:type="spellStart"/>
    <w:r w:rsidRPr="00A15845">
      <w:rPr>
        <w:rFonts w:asciiTheme="minorHAnsi" w:hAnsiTheme="minorHAnsi" w:cs="Times New Roman"/>
        <w:sz w:val="18"/>
        <w:szCs w:val="18"/>
        <w:lang w:val="fr-CH"/>
      </w:rPr>
      <w:t>Telecommunication</w:t>
    </w:r>
    <w:proofErr w:type="spellEnd"/>
    <w:r w:rsidRPr="00A15845">
      <w:rPr>
        <w:rFonts w:asciiTheme="minorHAnsi" w:hAnsiTheme="minorHAnsi" w:cs="Times New Roman"/>
        <w:sz w:val="18"/>
        <w:szCs w:val="18"/>
        <w:lang w:val="fr-CH"/>
      </w:rPr>
      <w:t xml:space="preserve"> Union • Place des Nations • CH</w:t>
    </w:r>
    <w:r w:rsidRPr="00A15845">
      <w:rPr>
        <w:rFonts w:asciiTheme="minorHAnsi" w:hAnsiTheme="minorHAnsi" w:cs="Times New Roman"/>
        <w:sz w:val="18"/>
        <w:szCs w:val="18"/>
        <w:lang w:val="fr-CH"/>
      </w:rPr>
      <w:noBreakHyphen/>
      <w:t xml:space="preserve">1211 Geneva 20 • Switzerland </w:t>
    </w:r>
    <w:r w:rsidRPr="00A15845">
      <w:rPr>
        <w:rFonts w:asciiTheme="minorHAnsi" w:hAnsiTheme="minorHAnsi" w:cs="Times New Roman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A15845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itumail@itu.int</w:t>
      </w:r>
    </w:hyperlink>
    <w:r w:rsidRPr="00A15845">
      <w:rPr>
        <w:rFonts w:asciiTheme="minorHAnsi" w:hAnsiTheme="minorHAnsi" w:cs="Times New Roman"/>
        <w:sz w:val="18"/>
        <w:szCs w:val="18"/>
        <w:lang w:val="fr-CH"/>
      </w:rPr>
      <w:t xml:space="preserve"> • </w:t>
    </w:r>
    <w:hyperlink r:id="rId2" w:history="1">
      <w:r w:rsidRPr="00A15845">
        <w:rPr>
          <w:rFonts w:asciiTheme="minorHAnsi" w:hAnsiTheme="minorHAnsi" w:cs="Times New Roman"/>
          <w:color w:val="0000FF"/>
          <w:sz w:val="18"/>
          <w:szCs w:val="18"/>
          <w:u w:val="single"/>
          <w:lang w:val="fr-CH"/>
        </w:rPr>
        <w:t>www.itu.int</w:t>
      </w:r>
    </w:hyperlink>
    <w:r w:rsidRPr="00A15845">
      <w:rPr>
        <w:rFonts w:asciiTheme="minorHAnsi" w:hAnsiTheme="minorHAnsi" w:cs="Times New Roman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1C2" w:rsidRDefault="005241C2" w:rsidP="00E07379">
      <w:pPr>
        <w:spacing w:before="0" w:line="240" w:lineRule="auto"/>
      </w:pPr>
      <w:r>
        <w:separator/>
      </w:r>
    </w:p>
  </w:footnote>
  <w:footnote w:type="continuationSeparator" w:id="0">
    <w:p w:rsidR="005241C2" w:rsidRDefault="005241C2" w:rsidP="00E07379">
      <w:pPr>
        <w:spacing w:before="0" w:line="240" w:lineRule="auto"/>
      </w:pPr>
      <w:r>
        <w:continuationSeparator/>
      </w:r>
    </w:p>
  </w:footnote>
  <w:footnote w:id="1">
    <w:p w:rsidR="005241C2" w:rsidRPr="008B668C" w:rsidRDefault="005241C2" w:rsidP="005241C2">
      <w:pPr>
        <w:pStyle w:val="FootnoteText"/>
        <w:rPr>
          <w:rtl/>
          <w:lang w:bidi="ar-SA"/>
        </w:rPr>
      </w:pPr>
      <w:r>
        <w:rPr>
          <w:rStyle w:val="FootnoteReference"/>
        </w:rPr>
        <w:footnoteRef/>
      </w:r>
      <w:r>
        <w:tab/>
      </w:r>
      <w:r>
        <w:rPr>
          <w:rFonts w:hint="cs"/>
          <w:rtl/>
          <w:lang w:bidi="ar-SA"/>
        </w:rPr>
        <w:t xml:space="preserve">متاح في العنوان الإلكتروني </w:t>
      </w:r>
      <w:hyperlink r:id="rId1" w:history="1">
        <w:r w:rsidRPr="007642E0">
          <w:rPr>
            <w:rStyle w:val="Hyperlink"/>
            <w:szCs w:val="20"/>
          </w:rPr>
          <w:t>https://www.itu.int/pub/T-RES-T.95-2016</w:t>
        </w:r>
      </w:hyperlink>
    </w:p>
  </w:footnote>
  <w:footnote w:id="2">
    <w:p w:rsidR="00D4732B" w:rsidRPr="00DD12B6" w:rsidRDefault="00D4732B" w:rsidP="002C6017">
      <w:pPr>
        <w:pStyle w:val="FootnoteText"/>
        <w:rPr>
          <w:spacing w:val="-4"/>
          <w:rtl/>
          <w:lang w:bidi="ar-SA"/>
        </w:rPr>
      </w:pPr>
      <w:r w:rsidRPr="00DD12B6">
        <w:rPr>
          <w:rStyle w:val="FootnoteReference"/>
          <w:spacing w:val="-4"/>
        </w:rPr>
        <w:footnoteRef/>
      </w:r>
      <w:r w:rsidRPr="00DD12B6">
        <w:rPr>
          <w:spacing w:val="-4"/>
          <w:rtl/>
        </w:rPr>
        <w:tab/>
      </w:r>
      <w:r w:rsidRPr="00DD12B6">
        <w:rPr>
          <w:rFonts w:hint="cs"/>
          <w:spacing w:val="-4"/>
          <w:rtl/>
          <w:lang w:bidi="ar-SA"/>
        </w:rPr>
        <w:t xml:space="preserve">متاحة في الوثيقة المؤقتة </w:t>
      </w:r>
      <w:r w:rsidRPr="00DD12B6">
        <w:rPr>
          <w:spacing w:val="-4"/>
          <w:lang w:bidi="ar-SA"/>
        </w:rPr>
        <w:t>TD380</w:t>
      </w:r>
      <w:r w:rsidRPr="00DD12B6">
        <w:rPr>
          <w:rFonts w:hint="cs"/>
          <w:spacing w:val="-4"/>
          <w:rtl/>
          <w:lang w:bidi="ar-SA"/>
        </w:rPr>
        <w:t xml:space="preserve"> للجنة الدراسات </w:t>
      </w:r>
      <w:r w:rsidRPr="00DD12B6">
        <w:rPr>
          <w:spacing w:val="-4"/>
          <w:lang w:bidi="ar-SA"/>
        </w:rPr>
        <w:t>12</w:t>
      </w:r>
      <w:r w:rsidRPr="00DD12B6">
        <w:rPr>
          <w:rFonts w:hint="cs"/>
          <w:spacing w:val="-4"/>
          <w:rtl/>
          <w:lang w:bidi="ar-SA"/>
        </w:rPr>
        <w:t xml:space="preserve"> في الموقع الإلكتروني </w:t>
      </w:r>
      <w:hyperlink r:id="rId2" w:history="1">
        <w:r w:rsidRPr="00DD12B6">
          <w:rPr>
            <w:rStyle w:val="Hyperlink"/>
            <w:spacing w:val="-4"/>
            <w:szCs w:val="20"/>
          </w:rPr>
          <w:t>https://www.itu.int/md/T17-SG12-170919-TD-GEN-0380/en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6B1" w:rsidRDefault="00E456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5D" w:rsidRPr="008B5B5D" w:rsidRDefault="00A15845" w:rsidP="00A15845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E456B1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6B1" w:rsidRDefault="00E456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0432CBC"/>
    <w:multiLevelType w:val="hybridMultilevel"/>
    <w:tmpl w:val="A8CC3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C2"/>
    <w:rsid w:val="000124CC"/>
    <w:rsid w:val="00041F8B"/>
    <w:rsid w:val="00046444"/>
    <w:rsid w:val="0006023B"/>
    <w:rsid w:val="0008638B"/>
    <w:rsid w:val="00090574"/>
    <w:rsid w:val="000916F2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73915"/>
    <w:rsid w:val="002050E8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C6017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E4132"/>
    <w:rsid w:val="003F678F"/>
    <w:rsid w:val="00425492"/>
    <w:rsid w:val="0042686F"/>
    <w:rsid w:val="004367CE"/>
    <w:rsid w:val="00443869"/>
    <w:rsid w:val="004712C6"/>
    <w:rsid w:val="00497703"/>
    <w:rsid w:val="004F0F06"/>
    <w:rsid w:val="00501E0E"/>
    <w:rsid w:val="005204D7"/>
    <w:rsid w:val="005241C2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80D13"/>
    <w:rsid w:val="008A1810"/>
    <w:rsid w:val="008B5B5D"/>
    <w:rsid w:val="00916A32"/>
    <w:rsid w:val="00917694"/>
    <w:rsid w:val="009263CD"/>
    <w:rsid w:val="00930E6D"/>
    <w:rsid w:val="00972CA2"/>
    <w:rsid w:val="00982B28"/>
    <w:rsid w:val="00984EA5"/>
    <w:rsid w:val="00992593"/>
    <w:rsid w:val="009C17E1"/>
    <w:rsid w:val="009C35ED"/>
    <w:rsid w:val="009E4529"/>
    <w:rsid w:val="009F1C12"/>
    <w:rsid w:val="00A124CB"/>
    <w:rsid w:val="00A15845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4732B"/>
    <w:rsid w:val="00D77D0F"/>
    <w:rsid w:val="00DA1CF0"/>
    <w:rsid w:val="00DB2271"/>
    <w:rsid w:val="00DB5659"/>
    <w:rsid w:val="00DC24B4"/>
    <w:rsid w:val="00DD12B6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456B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7F5CE60-8ED0-4798-9AD5-71ADA3D5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D4732B"/>
    <w:rPr>
      <w:rFonts w:ascii="Calibri" w:hAnsi="Calibri" w:cs="Traditional Arabic"/>
      <w:b w:val="0"/>
      <w:bCs w:val="0"/>
      <w:i w:val="0"/>
      <w:iCs w:val="0"/>
      <w:color w:val="0000FF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esearch.net/r/sg12-servicequality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2@itu.in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md/T17-SG12-170919-TD-GEN-0380/en" TargetMode="External"/><Relationship Id="rId1" Type="http://schemas.openxmlformats.org/officeDocument/2006/relationships/hyperlink" Target="https://www.itu.int/pub/T-RES-T.95-201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ITU-T%20(TSB)\PA_TSB_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BDFFB42B-75CD-432D-8CEC-B02AF55EF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PA_TSB_CIRC.dotx</Template>
  <TotalTime>15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SG Assistants</cp:lastModifiedBy>
  <cp:revision>8</cp:revision>
  <cp:lastPrinted>2017-12-05T11:41:00Z</cp:lastPrinted>
  <dcterms:created xsi:type="dcterms:W3CDTF">2017-12-05T11:27:00Z</dcterms:created>
  <dcterms:modified xsi:type="dcterms:W3CDTF">2017-12-06T10:35:00Z</dcterms:modified>
  <cp:category>Conference document</cp:category>
</cp:coreProperties>
</file>