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4890"/>
        <w:gridCol w:w="4891"/>
      </w:tblGrid>
      <w:tr w:rsidR="00EF4E9A" w:rsidRPr="004E492D" w:rsidTr="00BC4B55">
        <w:trPr>
          <w:cantSplit/>
        </w:trPr>
        <w:tc>
          <w:tcPr>
            <w:tcW w:w="9781" w:type="dxa"/>
            <w:gridSpan w:val="2"/>
            <w:vAlign w:val="center"/>
          </w:tcPr>
          <w:p w:rsidR="00EF4E9A" w:rsidRPr="004E492D" w:rsidRDefault="00EF4E9A" w:rsidP="00EF4E9A">
            <w:pPr>
              <w:spacing w:before="0"/>
              <w:jc w:val="center"/>
              <w:rPr>
                <w:color w:val="FFFFFF"/>
                <w:sz w:val="26"/>
                <w:szCs w:val="26"/>
              </w:rPr>
            </w:pPr>
            <w:r w:rsidRPr="004E492D">
              <w:rPr>
                <w:noProof/>
                <w:lang w:val="en-US" w:eastAsia="zh-CN"/>
              </w:rPr>
              <w:drawing>
                <wp:inline distT="0" distB="0" distL="0" distR="0" wp14:anchorId="253AC687" wp14:editId="5ADEEE80">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r>
      <w:tr w:rsidR="00EF4E9A" w:rsidRPr="004E492D" w:rsidTr="001268FE">
        <w:trPr>
          <w:cantSplit/>
        </w:trPr>
        <w:tc>
          <w:tcPr>
            <w:tcW w:w="4890" w:type="dxa"/>
            <w:vAlign w:val="center"/>
          </w:tcPr>
          <w:p w:rsidR="00EF4E9A" w:rsidRPr="004E492D" w:rsidRDefault="00EF4E9A" w:rsidP="00EF4E9A">
            <w:pPr>
              <w:spacing w:before="0"/>
              <w:rPr>
                <w:color w:val="FFFFFF"/>
                <w:sz w:val="26"/>
                <w:szCs w:val="26"/>
              </w:rPr>
            </w:pPr>
            <w:r w:rsidRPr="004E492D">
              <w:rPr>
                <w:rFonts w:ascii="Calibri" w:hAnsi="Calibri" w:cs="Calibri"/>
                <w:b/>
                <w:bCs/>
                <w:color w:val="808080"/>
                <w:sz w:val="28"/>
                <w:szCs w:val="28"/>
              </w:rPr>
              <w:t>Oficina de Normalización de las Telecomunicaciones (TSB)</w:t>
            </w:r>
          </w:p>
        </w:tc>
        <w:tc>
          <w:tcPr>
            <w:tcW w:w="4891" w:type="dxa"/>
            <w:vAlign w:val="center"/>
          </w:tcPr>
          <w:p w:rsidR="00EF4E9A" w:rsidRPr="004E492D" w:rsidRDefault="00EF4E9A" w:rsidP="00CB634F">
            <w:pPr>
              <w:spacing w:before="0"/>
              <w:jc w:val="right"/>
              <w:rPr>
                <w:color w:val="FFFFFF"/>
                <w:sz w:val="26"/>
                <w:szCs w:val="26"/>
              </w:rPr>
            </w:pPr>
            <w:r w:rsidRPr="004E492D">
              <w:rPr>
                <w:rFonts w:ascii="Calibri" w:hAnsi="Calibri" w:cs="Calibri"/>
                <w:b/>
                <w:bCs/>
                <w:color w:val="808080"/>
                <w:sz w:val="28"/>
                <w:szCs w:val="28"/>
              </w:rPr>
              <w:t>Oficina de Desarrollo de las Telecomunicaciones (BDT)</w:t>
            </w:r>
          </w:p>
        </w:tc>
      </w:tr>
    </w:tbl>
    <w:p w:rsidR="00C34772" w:rsidRPr="004E492D" w:rsidRDefault="00C34772" w:rsidP="00D54B38">
      <w:pPr>
        <w:tabs>
          <w:tab w:val="clear" w:pos="794"/>
          <w:tab w:val="clear" w:pos="1191"/>
          <w:tab w:val="clear" w:pos="1588"/>
          <w:tab w:val="clear" w:pos="1985"/>
          <w:tab w:val="left" w:pos="4962"/>
        </w:tabs>
        <w:spacing w:before="0"/>
      </w:pPr>
    </w:p>
    <w:p w:rsidR="00C34772" w:rsidRPr="00283D7C" w:rsidRDefault="00C34772" w:rsidP="00D54B38">
      <w:pPr>
        <w:tabs>
          <w:tab w:val="clear" w:pos="794"/>
          <w:tab w:val="clear" w:pos="1191"/>
          <w:tab w:val="clear" w:pos="1588"/>
          <w:tab w:val="clear" w:pos="1985"/>
          <w:tab w:val="left" w:pos="4962"/>
        </w:tabs>
        <w:spacing w:before="0"/>
        <w:rPr>
          <w:sz w:val="22"/>
          <w:szCs w:val="22"/>
        </w:rPr>
      </w:pPr>
      <w:r w:rsidRPr="004E492D">
        <w:rPr>
          <w:szCs w:val="24"/>
        </w:rPr>
        <w:tab/>
      </w:r>
      <w:r w:rsidRPr="00283D7C">
        <w:rPr>
          <w:sz w:val="22"/>
          <w:szCs w:val="22"/>
        </w:rPr>
        <w:t xml:space="preserve">Ginebra, </w:t>
      </w:r>
      <w:r w:rsidR="00D54B38" w:rsidRPr="00283D7C">
        <w:rPr>
          <w:rFonts w:ascii="Calibri" w:hAnsi="Calibri" w:cs="Calibri"/>
          <w:sz w:val="22"/>
          <w:szCs w:val="22"/>
        </w:rPr>
        <w:t>25 de octubre de 2017</w:t>
      </w:r>
    </w:p>
    <w:p w:rsidR="008D6E0A" w:rsidRPr="00283D7C" w:rsidRDefault="008D6E0A" w:rsidP="00D54B38">
      <w:pPr>
        <w:spacing w:before="0" w:after="240"/>
        <w:ind w:right="488"/>
        <w:rPr>
          <w:rFonts w:ascii="Calibri" w:hAnsi="Calibri" w:cs="Calibri"/>
          <w:sz w:val="22"/>
          <w:szCs w:val="22"/>
        </w:rPr>
      </w:pPr>
    </w:p>
    <w:tbl>
      <w:tblPr>
        <w:tblW w:w="9799" w:type="dxa"/>
        <w:tblInd w:w="-14" w:type="dxa"/>
        <w:tblLook w:val="04A0" w:firstRow="1" w:lastRow="0" w:firstColumn="1" w:lastColumn="0" w:noHBand="0" w:noVBand="1"/>
      </w:tblPr>
      <w:tblGrid>
        <w:gridCol w:w="2566"/>
        <w:gridCol w:w="7233"/>
      </w:tblGrid>
      <w:tr w:rsidR="008D6E0A" w:rsidRPr="00283D7C" w:rsidTr="00582583">
        <w:tc>
          <w:tcPr>
            <w:tcW w:w="2566" w:type="dxa"/>
            <w:shd w:val="clear" w:color="auto" w:fill="auto"/>
          </w:tcPr>
          <w:p w:rsidR="008D6E0A" w:rsidRPr="00283D7C" w:rsidRDefault="008D6E0A" w:rsidP="00D54B38">
            <w:pPr>
              <w:tabs>
                <w:tab w:val="left" w:pos="4111"/>
              </w:tabs>
              <w:spacing w:before="40" w:after="40"/>
              <w:rPr>
                <w:rFonts w:ascii="Calibri" w:hAnsi="Calibri" w:cs="Calibri"/>
                <w:sz w:val="22"/>
                <w:szCs w:val="22"/>
              </w:rPr>
            </w:pPr>
          </w:p>
        </w:tc>
        <w:tc>
          <w:tcPr>
            <w:tcW w:w="7233" w:type="dxa"/>
            <w:shd w:val="clear" w:color="auto" w:fill="auto"/>
          </w:tcPr>
          <w:p w:rsidR="008D6E0A" w:rsidRPr="00283D7C" w:rsidRDefault="008D6E0A" w:rsidP="00D54B38">
            <w:pPr>
              <w:tabs>
                <w:tab w:val="left" w:pos="4111"/>
              </w:tabs>
              <w:spacing w:before="40" w:after="40"/>
              <w:rPr>
                <w:rFonts w:ascii="Calibri" w:hAnsi="Calibri" w:cs="Calibri"/>
                <w:sz w:val="22"/>
                <w:szCs w:val="22"/>
              </w:rPr>
            </w:pPr>
            <w:r w:rsidRPr="00283D7C">
              <w:rPr>
                <w:rFonts w:ascii="Calibri" w:hAnsi="Calibri" w:cs="Calibri"/>
                <w:bCs/>
                <w:sz w:val="22"/>
                <w:szCs w:val="22"/>
              </w:rPr>
              <w:t>Ref.:</w:t>
            </w:r>
            <w:r w:rsidRPr="00283D7C">
              <w:rPr>
                <w:rFonts w:ascii="Calibri" w:hAnsi="Calibri" w:cs="Calibri"/>
                <w:b/>
                <w:sz w:val="22"/>
                <w:szCs w:val="22"/>
              </w:rPr>
              <w:t xml:space="preserve"> Circular</w:t>
            </w:r>
            <w:r w:rsidRPr="00283D7C">
              <w:rPr>
                <w:rFonts w:ascii="Calibri" w:hAnsi="Calibri" w:cs="Calibri"/>
                <w:b/>
                <w:sz w:val="22"/>
                <w:szCs w:val="22"/>
                <w:lang w:eastAsia="zh-CN"/>
              </w:rPr>
              <w:t xml:space="preserve"> CL015</w:t>
            </w:r>
            <w:r w:rsidRPr="00283D7C">
              <w:rPr>
                <w:rFonts w:ascii="Calibri" w:hAnsi="Calibri" w:cs="Calibri"/>
                <w:b/>
                <w:sz w:val="22"/>
                <w:szCs w:val="22"/>
              </w:rPr>
              <w:t xml:space="preserve"> de la BDT y Circular </w:t>
            </w:r>
            <w:r w:rsidRPr="00283D7C">
              <w:rPr>
                <w:rFonts w:ascii="Calibri" w:hAnsi="Calibri" w:cs="Calibri"/>
                <w:b/>
                <w:sz w:val="22"/>
                <w:szCs w:val="22"/>
                <w:lang w:eastAsia="zh-CN"/>
              </w:rPr>
              <w:t>51 de la</w:t>
            </w:r>
            <w:r w:rsidRPr="00283D7C">
              <w:rPr>
                <w:rFonts w:ascii="Calibri" w:hAnsi="Calibri" w:cs="Calibri"/>
                <w:b/>
                <w:sz w:val="22"/>
                <w:szCs w:val="22"/>
              </w:rPr>
              <w:t xml:space="preserve"> TSB</w:t>
            </w:r>
          </w:p>
        </w:tc>
      </w:tr>
      <w:tr w:rsidR="008D6E0A" w:rsidRPr="00283D7C" w:rsidTr="00582583">
        <w:tblPrEx>
          <w:tblCellMar>
            <w:left w:w="0" w:type="dxa"/>
            <w:right w:w="0" w:type="dxa"/>
          </w:tblCellMar>
          <w:tblLook w:val="0000" w:firstRow="0" w:lastRow="0" w:firstColumn="0" w:lastColumn="0" w:noHBand="0" w:noVBand="0"/>
        </w:tblPrEx>
        <w:trPr>
          <w:cantSplit/>
        </w:trPr>
        <w:tc>
          <w:tcPr>
            <w:tcW w:w="2566" w:type="dxa"/>
          </w:tcPr>
          <w:p w:rsidR="008D6E0A" w:rsidRPr="00283D7C" w:rsidRDefault="008D6E0A" w:rsidP="00B960D9">
            <w:pPr>
              <w:spacing w:before="10"/>
              <w:rPr>
                <w:rFonts w:ascii="Calibri" w:hAnsi="Calibri" w:cs="Calibri"/>
                <w:sz w:val="22"/>
                <w:szCs w:val="22"/>
              </w:rPr>
            </w:pPr>
          </w:p>
          <w:p w:rsidR="008D6E0A" w:rsidRPr="00283D7C" w:rsidRDefault="008D6E0A" w:rsidP="00B960D9">
            <w:pPr>
              <w:spacing w:before="10"/>
              <w:rPr>
                <w:rFonts w:ascii="Calibri" w:hAnsi="Calibri" w:cs="Calibri"/>
                <w:sz w:val="22"/>
                <w:szCs w:val="22"/>
              </w:rPr>
            </w:pPr>
          </w:p>
          <w:p w:rsidR="008D6E0A" w:rsidRPr="00283D7C" w:rsidRDefault="008D6E0A" w:rsidP="00B960D9">
            <w:pPr>
              <w:spacing w:before="10"/>
              <w:rPr>
                <w:rFonts w:ascii="Calibri" w:hAnsi="Calibri" w:cs="Calibri"/>
                <w:sz w:val="22"/>
                <w:szCs w:val="22"/>
              </w:rPr>
            </w:pPr>
          </w:p>
          <w:p w:rsidR="008D6E0A" w:rsidRPr="00283D7C" w:rsidRDefault="008D6E0A" w:rsidP="00B960D9">
            <w:pPr>
              <w:tabs>
                <w:tab w:val="clear" w:pos="794"/>
                <w:tab w:val="left" w:pos="141"/>
                <w:tab w:val="left" w:pos="4111"/>
              </w:tabs>
              <w:spacing w:before="0"/>
              <w:ind w:left="141" w:hanging="141"/>
              <w:rPr>
                <w:rFonts w:ascii="Calibri" w:hAnsi="Calibri" w:cs="Calibri"/>
                <w:sz w:val="22"/>
                <w:szCs w:val="22"/>
              </w:rPr>
            </w:pPr>
          </w:p>
        </w:tc>
        <w:tc>
          <w:tcPr>
            <w:tcW w:w="7233" w:type="dxa"/>
          </w:tcPr>
          <w:p w:rsidR="008D6E0A" w:rsidRPr="00283D7C" w:rsidRDefault="008D6E0A" w:rsidP="003D73A9">
            <w:pPr>
              <w:tabs>
                <w:tab w:val="clear" w:pos="794"/>
                <w:tab w:val="left" w:pos="284"/>
                <w:tab w:val="left" w:pos="4111"/>
              </w:tabs>
              <w:spacing w:before="0"/>
              <w:rPr>
                <w:rFonts w:ascii="Calibri" w:hAnsi="Calibri" w:cs="Calibri"/>
                <w:b/>
                <w:bCs/>
                <w:sz w:val="22"/>
                <w:szCs w:val="22"/>
              </w:rPr>
            </w:pPr>
            <w:r w:rsidRPr="00283D7C">
              <w:rPr>
                <w:rFonts w:ascii="Calibri" w:hAnsi="Calibri" w:cs="Calibri"/>
                <w:b/>
                <w:bCs/>
                <w:sz w:val="22"/>
                <w:szCs w:val="22"/>
              </w:rPr>
              <w:t>A:</w:t>
            </w:r>
          </w:p>
          <w:p w:rsidR="008D6E0A" w:rsidRPr="00283D7C" w:rsidRDefault="008D6E0A" w:rsidP="008D6E0A">
            <w:pPr>
              <w:numPr>
                <w:ilvl w:val="0"/>
                <w:numId w:val="5"/>
              </w:numPr>
              <w:tabs>
                <w:tab w:val="clear" w:pos="794"/>
                <w:tab w:val="left" w:pos="284"/>
                <w:tab w:val="left" w:pos="4111"/>
              </w:tabs>
              <w:overflowPunct/>
              <w:autoSpaceDE/>
              <w:autoSpaceDN/>
              <w:adjustRightInd/>
              <w:spacing w:before="0"/>
              <w:ind w:left="284" w:hanging="284"/>
              <w:textAlignment w:val="auto"/>
              <w:rPr>
                <w:rFonts w:ascii="Calibri" w:hAnsi="Calibri" w:cs="Calibri"/>
                <w:sz w:val="22"/>
                <w:szCs w:val="22"/>
              </w:rPr>
            </w:pPr>
            <w:r w:rsidRPr="00283D7C">
              <w:rPr>
                <w:rFonts w:ascii="Calibri" w:hAnsi="Calibri" w:cs="Calibri"/>
                <w:sz w:val="22"/>
                <w:szCs w:val="22"/>
              </w:rPr>
              <w:t>las Administraciones de los Estados Miembros de la Unión;</w:t>
            </w:r>
          </w:p>
          <w:p w:rsidR="008D6E0A" w:rsidRPr="00283D7C" w:rsidRDefault="008D6E0A" w:rsidP="008D6E0A">
            <w:pPr>
              <w:numPr>
                <w:ilvl w:val="0"/>
                <w:numId w:val="5"/>
              </w:numPr>
              <w:tabs>
                <w:tab w:val="clear" w:pos="794"/>
                <w:tab w:val="left" w:pos="284"/>
                <w:tab w:val="left" w:pos="4111"/>
              </w:tabs>
              <w:overflowPunct/>
              <w:autoSpaceDE/>
              <w:autoSpaceDN/>
              <w:adjustRightInd/>
              <w:spacing w:before="0"/>
              <w:ind w:left="284" w:hanging="284"/>
              <w:textAlignment w:val="auto"/>
              <w:rPr>
                <w:rFonts w:ascii="Calibri" w:hAnsi="Calibri" w:cs="Calibri"/>
                <w:sz w:val="22"/>
                <w:szCs w:val="22"/>
              </w:rPr>
            </w:pPr>
            <w:r w:rsidRPr="00283D7C">
              <w:rPr>
                <w:rFonts w:ascii="Calibri" w:hAnsi="Calibri" w:cs="Calibri"/>
                <w:sz w:val="22"/>
                <w:szCs w:val="22"/>
              </w:rPr>
              <w:t xml:space="preserve">los correspondientes Ministerios y organismos reguladores; </w:t>
            </w:r>
          </w:p>
          <w:p w:rsidR="008D6E0A" w:rsidRPr="00283D7C" w:rsidRDefault="008D6E0A" w:rsidP="008D6E0A">
            <w:pPr>
              <w:numPr>
                <w:ilvl w:val="0"/>
                <w:numId w:val="5"/>
              </w:numPr>
              <w:tabs>
                <w:tab w:val="clear" w:pos="794"/>
                <w:tab w:val="left" w:pos="284"/>
                <w:tab w:val="left" w:pos="4111"/>
              </w:tabs>
              <w:overflowPunct/>
              <w:autoSpaceDE/>
              <w:autoSpaceDN/>
              <w:adjustRightInd/>
              <w:spacing w:before="0"/>
              <w:ind w:left="425" w:hanging="425"/>
              <w:textAlignment w:val="auto"/>
              <w:rPr>
                <w:rFonts w:ascii="Calibri" w:hAnsi="Calibri" w:cs="Calibri"/>
                <w:sz w:val="22"/>
                <w:szCs w:val="22"/>
              </w:rPr>
            </w:pPr>
            <w:r w:rsidRPr="00283D7C">
              <w:rPr>
                <w:rFonts w:ascii="Calibri" w:hAnsi="Calibri" w:cs="Calibri"/>
                <w:sz w:val="22"/>
                <w:szCs w:val="22"/>
              </w:rPr>
              <w:t>los Miembros de Sector del UIT</w:t>
            </w:r>
            <w:r w:rsidRPr="00283D7C">
              <w:rPr>
                <w:rFonts w:ascii="Calibri" w:hAnsi="Calibri" w:cs="Calibri"/>
                <w:sz w:val="22"/>
                <w:szCs w:val="22"/>
              </w:rPr>
              <w:noBreakHyphen/>
              <w:t>T y el UIT-D;</w:t>
            </w:r>
          </w:p>
          <w:p w:rsidR="008D6E0A" w:rsidRPr="00283D7C" w:rsidRDefault="008D6E0A" w:rsidP="008D6E0A">
            <w:pPr>
              <w:numPr>
                <w:ilvl w:val="0"/>
                <w:numId w:val="5"/>
              </w:numPr>
              <w:tabs>
                <w:tab w:val="clear" w:pos="794"/>
                <w:tab w:val="clear" w:pos="1191"/>
                <w:tab w:val="clear" w:pos="1588"/>
                <w:tab w:val="clear" w:pos="1985"/>
                <w:tab w:val="left" w:pos="284"/>
              </w:tabs>
              <w:overflowPunct/>
              <w:autoSpaceDE/>
              <w:autoSpaceDN/>
              <w:adjustRightInd/>
              <w:spacing w:before="0"/>
              <w:ind w:left="425" w:hanging="425"/>
              <w:textAlignment w:val="auto"/>
              <w:rPr>
                <w:rFonts w:ascii="Calibri" w:hAnsi="Calibri" w:cs="Calibri"/>
                <w:sz w:val="22"/>
                <w:szCs w:val="22"/>
              </w:rPr>
            </w:pPr>
            <w:r w:rsidRPr="00283D7C">
              <w:rPr>
                <w:rFonts w:ascii="Calibri" w:hAnsi="Calibri" w:cs="Calibri"/>
                <w:sz w:val="22"/>
                <w:szCs w:val="22"/>
              </w:rPr>
              <w:t>los Asociados del UIT</w:t>
            </w:r>
            <w:r w:rsidRPr="00283D7C">
              <w:rPr>
                <w:rFonts w:ascii="Calibri" w:hAnsi="Calibri" w:cs="Calibri"/>
                <w:sz w:val="22"/>
                <w:szCs w:val="22"/>
              </w:rPr>
              <w:noBreakHyphen/>
              <w:t>T y el UIT-D, y</w:t>
            </w:r>
          </w:p>
          <w:p w:rsidR="008D6E0A" w:rsidRPr="00283D7C" w:rsidRDefault="008D6E0A" w:rsidP="0030104C">
            <w:pPr>
              <w:numPr>
                <w:ilvl w:val="0"/>
                <w:numId w:val="5"/>
              </w:numPr>
              <w:tabs>
                <w:tab w:val="clear" w:pos="794"/>
                <w:tab w:val="clear" w:pos="1191"/>
                <w:tab w:val="clear" w:pos="1588"/>
                <w:tab w:val="clear" w:pos="1985"/>
                <w:tab w:val="left" w:pos="284"/>
                <w:tab w:val="left" w:leader="dot" w:pos="8789"/>
                <w:tab w:val="right" w:pos="9639"/>
              </w:tabs>
              <w:overflowPunct/>
              <w:autoSpaceDE/>
              <w:autoSpaceDN/>
              <w:adjustRightInd/>
              <w:spacing w:before="0"/>
              <w:ind w:left="425" w:hanging="425"/>
              <w:textAlignment w:val="auto"/>
              <w:rPr>
                <w:rFonts w:ascii="Calibri" w:hAnsi="Calibri" w:cs="Calibri"/>
                <w:sz w:val="22"/>
                <w:szCs w:val="22"/>
              </w:rPr>
            </w:pPr>
            <w:r w:rsidRPr="00283D7C">
              <w:rPr>
                <w:rFonts w:ascii="Calibri" w:hAnsi="Calibri" w:cs="Calibri"/>
                <w:sz w:val="22"/>
                <w:szCs w:val="22"/>
              </w:rPr>
              <w:t>las Instituciones Académicas de la UIT</w:t>
            </w:r>
          </w:p>
          <w:p w:rsidR="008D6E0A" w:rsidRPr="00283D7C" w:rsidRDefault="008D6E0A" w:rsidP="002E4DE6">
            <w:pPr>
              <w:pStyle w:val="Tabletext0"/>
              <w:spacing w:before="120"/>
              <w:ind w:left="284" w:hanging="284"/>
              <w:rPr>
                <w:b/>
                <w:bCs/>
                <w:color w:val="000000"/>
                <w:szCs w:val="22"/>
              </w:rPr>
            </w:pPr>
            <w:r w:rsidRPr="00283D7C">
              <w:rPr>
                <w:b/>
                <w:bCs/>
                <w:color w:val="000000"/>
                <w:szCs w:val="22"/>
              </w:rPr>
              <w:t>Con copia a:</w:t>
            </w:r>
          </w:p>
          <w:p w:rsidR="008D6E0A" w:rsidRPr="00283D7C" w:rsidRDefault="008D6E0A" w:rsidP="00FE36C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color w:val="000000"/>
                <w:szCs w:val="22"/>
              </w:rPr>
            </w:pPr>
            <w:r w:rsidRPr="00283D7C">
              <w:rPr>
                <w:color w:val="000000"/>
                <w:szCs w:val="22"/>
              </w:rPr>
              <w:t>-</w:t>
            </w:r>
            <w:r w:rsidRPr="00283D7C">
              <w:rPr>
                <w:color w:val="000000"/>
                <w:szCs w:val="22"/>
              </w:rPr>
              <w:tab/>
              <w:t xml:space="preserve">los Presidentes y Vicepresidentes de las Comisiones de Estudio </w:t>
            </w:r>
            <w:r w:rsidR="006916BA" w:rsidRPr="00283D7C">
              <w:rPr>
                <w:color w:val="000000"/>
                <w:szCs w:val="22"/>
              </w:rPr>
              <w:br/>
            </w:r>
            <w:r w:rsidR="0030104C">
              <w:rPr>
                <w:color w:val="000000"/>
                <w:szCs w:val="22"/>
              </w:rPr>
              <w:t>del UIT-T y el UIT-D;</w:t>
            </w:r>
            <w:r w:rsidRPr="00283D7C">
              <w:rPr>
                <w:color w:val="000000"/>
                <w:szCs w:val="22"/>
              </w:rPr>
              <w:t xml:space="preserve"> y</w:t>
            </w:r>
          </w:p>
          <w:p w:rsidR="008D6E0A" w:rsidRPr="00283D7C" w:rsidRDefault="008D6E0A" w:rsidP="00FE36C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Cs w:val="22"/>
              </w:rPr>
            </w:pPr>
            <w:r w:rsidRPr="00283D7C">
              <w:rPr>
                <w:szCs w:val="22"/>
              </w:rPr>
              <w:t>-</w:t>
            </w:r>
            <w:r w:rsidRPr="00283D7C">
              <w:rPr>
                <w:szCs w:val="22"/>
              </w:rPr>
              <w:tab/>
              <w:t>el Director de la</w:t>
            </w:r>
            <w:r w:rsidR="0030104C">
              <w:rPr>
                <w:szCs w:val="22"/>
              </w:rPr>
              <w:t xml:space="preserve"> Oficina de Radiocomunicaciones</w:t>
            </w:r>
          </w:p>
          <w:p w:rsidR="008D6E0A" w:rsidRPr="00283D7C" w:rsidRDefault="008D6E0A" w:rsidP="002E4DE6">
            <w:pPr>
              <w:tabs>
                <w:tab w:val="clear" w:pos="794"/>
                <w:tab w:val="clear" w:pos="1191"/>
                <w:tab w:val="clear" w:pos="1588"/>
                <w:tab w:val="clear" w:pos="1985"/>
                <w:tab w:val="left" w:pos="284"/>
              </w:tabs>
              <w:spacing w:before="0" w:after="120"/>
              <w:rPr>
                <w:rFonts w:ascii="Calibri" w:hAnsi="Calibri" w:cs="Calibri"/>
                <w:sz w:val="22"/>
                <w:szCs w:val="22"/>
              </w:rPr>
            </w:pPr>
          </w:p>
        </w:tc>
      </w:tr>
    </w:tbl>
    <w:p w:rsidR="00EF4E9A" w:rsidRPr="00283D7C" w:rsidRDefault="00EF4E9A" w:rsidP="003D73A9">
      <w:pPr>
        <w:tabs>
          <w:tab w:val="clear" w:pos="794"/>
          <w:tab w:val="clear" w:pos="1191"/>
          <w:tab w:val="clear" w:pos="1588"/>
          <w:tab w:val="clear" w:pos="1985"/>
          <w:tab w:val="left" w:pos="2444"/>
        </w:tabs>
        <w:spacing w:before="0"/>
        <w:ind w:left="-108"/>
        <w:rPr>
          <w:rFonts w:ascii="Calibri" w:hAnsi="Calibri" w:cs="Calibri"/>
          <w:b/>
          <w:bCs/>
          <w:sz w:val="22"/>
          <w:szCs w:val="22"/>
        </w:rPr>
      </w:pPr>
    </w:p>
    <w:tbl>
      <w:tblPr>
        <w:tblW w:w="9781" w:type="dxa"/>
        <w:tblCellMar>
          <w:left w:w="0" w:type="dxa"/>
          <w:right w:w="0" w:type="dxa"/>
        </w:tblCellMar>
        <w:tblLook w:val="0000" w:firstRow="0" w:lastRow="0" w:firstColumn="0" w:lastColumn="0" w:noHBand="0" w:noVBand="0"/>
      </w:tblPr>
      <w:tblGrid>
        <w:gridCol w:w="1134"/>
        <w:gridCol w:w="8647"/>
      </w:tblGrid>
      <w:tr w:rsidR="00EF4E9A" w:rsidRPr="00283D7C" w:rsidTr="00D54B38">
        <w:trPr>
          <w:cantSplit/>
        </w:trPr>
        <w:tc>
          <w:tcPr>
            <w:tcW w:w="1134" w:type="dxa"/>
          </w:tcPr>
          <w:p w:rsidR="00EF4E9A" w:rsidRPr="00283D7C" w:rsidRDefault="00EF4E9A" w:rsidP="00D54B38">
            <w:pPr>
              <w:spacing w:before="40" w:after="40"/>
              <w:rPr>
                <w:rFonts w:ascii="Calibri" w:hAnsi="Calibri" w:cs="Calibri"/>
                <w:sz w:val="22"/>
                <w:szCs w:val="22"/>
              </w:rPr>
            </w:pPr>
            <w:r w:rsidRPr="00283D7C">
              <w:rPr>
                <w:rFonts w:ascii="Calibri" w:hAnsi="Calibri" w:cs="Calibri"/>
                <w:b/>
                <w:bCs/>
                <w:sz w:val="22"/>
                <w:szCs w:val="22"/>
              </w:rPr>
              <w:t>Asunto:</w:t>
            </w:r>
            <w:r w:rsidRPr="00283D7C">
              <w:rPr>
                <w:rFonts w:ascii="Calibri" w:hAnsi="Calibri" w:cs="Calibri"/>
                <w:sz w:val="22"/>
                <w:szCs w:val="22"/>
              </w:rPr>
              <w:tab/>
            </w:r>
          </w:p>
        </w:tc>
        <w:tc>
          <w:tcPr>
            <w:tcW w:w="8647" w:type="dxa"/>
          </w:tcPr>
          <w:p w:rsidR="00EF4E9A" w:rsidRPr="00283D7C" w:rsidRDefault="00EF4E9A" w:rsidP="00D54B38">
            <w:pPr>
              <w:pStyle w:val="Index1"/>
              <w:spacing w:before="40" w:after="40"/>
              <w:rPr>
                <w:rFonts w:ascii="Calibri" w:hAnsi="Calibri"/>
                <w:b/>
                <w:bCs/>
                <w:sz w:val="22"/>
                <w:szCs w:val="22"/>
                <w:lang w:eastAsia="zh-CN"/>
              </w:rPr>
            </w:pPr>
            <w:r w:rsidRPr="00283D7C">
              <w:rPr>
                <w:rFonts w:ascii="Calibri" w:hAnsi="Calibri"/>
                <w:b/>
                <w:bCs/>
                <w:sz w:val="22"/>
                <w:szCs w:val="22"/>
                <w:lang w:eastAsia="zh-CN"/>
              </w:rPr>
              <w:t xml:space="preserve">Taller de la UIT sobre </w:t>
            </w:r>
            <w:r w:rsidR="00D54B38" w:rsidRPr="00283D7C">
              <w:rPr>
                <w:rFonts w:ascii="Calibri" w:hAnsi="Calibri"/>
                <w:b/>
                <w:bCs/>
                <w:sz w:val="22"/>
                <w:szCs w:val="22"/>
                <w:lang w:eastAsia="zh-CN"/>
              </w:rPr>
              <w:t>"</w:t>
            </w:r>
            <w:r w:rsidRPr="00283D7C">
              <w:rPr>
                <w:rFonts w:ascii="Calibri" w:hAnsi="Calibri"/>
                <w:b/>
                <w:bCs/>
                <w:sz w:val="22"/>
                <w:szCs w:val="22"/>
                <w:lang w:eastAsia="zh-CN"/>
              </w:rPr>
              <w:t>El futuro de la televisión por cable</w:t>
            </w:r>
            <w:r w:rsidR="00D54B38" w:rsidRPr="00283D7C">
              <w:rPr>
                <w:rFonts w:ascii="Calibri" w:hAnsi="Calibri"/>
                <w:b/>
                <w:bCs/>
                <w:sz w:val="22"/>
                <w:szCs w:val="22"/>
                <w:lang w:eastAsia="zh-CN"/>
              </w:rPr>
              <w:t>"</w:t>
            </w:r>
            <w:r w:rsidRPr="00283D7C">
              <w:rPr>
                <w:rFonts w:ascii="Calibri" w:hAnsi="Calibri"/>
                <w:b/>
                <w:bCs/>
                <w:sz w:val="22"/>
                <w:szCs w:val="22"/>
                <w:lang w:eastAsia="zh-CN"/>
              </w:rPr>
              <w:t xml:space="preserve"> (Ginebra, Suiza, 25 - 26 de enero de 2018) </w:t>
            </w:r>
          </w:p>
        </w:tc>
      </w:tr>
    </w:tbl>
    <w:p w:rsidR="008D6E0A" w:rsidRPr="00283D7C" w:rsidRDefault="008D6E0A" w:rsidP="00D54B38">
      <w:pPr>
        <w:spacing w:before="360"/>
        <w:rPr>
          <w:sz w:val="22"/>
          <w:szCs w:val="22"/>
        </w:rPr>
      </w:pPr>
      <w:bookmarkStart w:id="0" w:name="StartTyping_E"/>
      <w:bookmarkEnd w:id="0"/>
      <w:r w:rsidRPr="00283D7C">
        <w:rPr>
          <w:sz w:val="22"/>
          <w:szCs w:val="22"/>
        </w:rPr>
        <w:t>Muy Señora mía/Muy Señor mío:</w:t>
      </w:r>
    </w:p>
    <w:p w:rsidR="008D6E0A" w:rsidRPr="00283D7C" w:rsidRDefault="008D6E0A" w:rsidP="00D54B38">
      <w:pPr>
        <w:rPr>
          <w:sz w:val="22"/>
          <w:szCs w:val="22"/>
          <w:lang w:eastAsia="zh-CN"/>
        </w:rPr>
      </w:pPr>
      <w:r w:rsidRPr="00283D7C">
        <w:rPr>
          <w:sz w:val="22"/>
          <w:szCs w:val="22"/>
          <w:lang w:eastAsia="zh-CN"/>
        </w:rPr>
        <w:t>Nos complace informarle de la celebración de un taller de dos días de duración sobre "</w:t>
      </w:r>
      <w:r w:rsidRPr="00283D7C">
        <w:rPr>
          <w:b/>
          <w:bCs/>
          <w:sz w:val="22"/>
          <w:szCs w:val="22"/>
          <w:lang w:eastAsia="zh-CN"/>
        </w:rPr>
        <w:t>El futuro de la televisión por cable</w:t>
      </w:r>
      <w:r w:rsidRPr="00283D7C">
        <w:rPr>
          <w:sz w:val="22"/>
          <w:szCs w:val="22"/>
          <w:lang w:eastAsia="zh-CN"/>
        </w:rPr>
        <w:t xml:space="preserve">" en la sede de la UIT en Ginebra (Suiza), los días 25 y 26 de enero de 2018. Este taller se enmarca en el contexto de la Iniciativa Regional para Europa titulada </w:t>
      </w:r>
      <w:r w:rsidR="00D54B38" w:rsidRPr="00283D7C">
        <w:rPr>
          <w:sz w:val="22"/>
          <w:szCs w:val="22"/>
          <w:lang w:eastAsia="zh-CN"/>
        </w:rPr>
        <w:t>"</w:t>
      </w:r>
      <w:r w:rsidRPr="00283D7C">
        <w:rPr>
          <w:sz w:val="22"/>
          <w:szCs w:val="22"/>
          <w:lang w:eastAsia="zh-CN"/>
        </w:rPr>
        <w:t>Infraestructura de banda ancha, radiodifusión y gestión del espectro</w:t>
      </w:r>
      <w:r w:rsidR="00D54B38" w:rsidRPr="00283D7C">
        <w:rPr>
          <w:sz w:val="22"/>
          <w:szCs w:val="22"/>
          <w:lang w:eastAsia="zh-CN"/>
        </w:rPr>
        <w:t>"</w:t>
      </w:r>
      <w:r w:rsidRPr="00283D7C">
        <w:rPr>
          <w:sz w:val="22"/>
          <w:szCs w:val="22"/>
          <w:lang w:eastAsia="zh-CN"/>
        </w:rPr>
        <w:t xml:space="preserve"> y aprobada por la CMDT-17, en virtud de la cual se proporcionará asistencia para evaluar la dinámica, los retos y las oportunidades en relación con diversas tecnologías de banda ancha en Europa, incluida la televisión por cable, a los países que lo necesiten. El taller en cuestión también brindará la oportunidad de analizar el proceso de normalización de la televisión por cable a escala regional e internacional y compartir prácticas idóneas y estudios de casos sobre la implantación de esta tecnología.</w:t>
      </w:r>
    </w:p>
    <w:p w:rsidR="008D6E0A" w:rsidRPr="00283D7C" w:rsidRDefault="008D6E0A" w:rsidP="00D54B38">
      <w:pPr>
        <w:rPr>
          <w:sz w:val="22"/>
          <w:szCs w:val="22"/>
          <w:lang w:eastAsia="zh-CN"/>
        </w:rPr>
      </w:pPr>
      <w:r w:rsidRPr="00283D7C">
        <w:rPr>
          <w:sz w:val="22"/>
          <w:szCs w:val="22"/>
          <w:lang w:eastAsia="zh-CN"/>
        </w:rPr>
        <w:t xml:space="preserve">El evento se celebrará inmediatamente después de la reunión de la </w:t>
      </w:r>
      <w:hyperlink r:id="rId9" w:history="1">
        <w:r w:rsidRPr="00283D7C">
          <w:rPr>
            <w:rStyle w:val="Hyperlink"/>
            <w:sz w:val="22"/>
            <w:szCs w:val="22"/>
            <w:lang w:eastAsia="zh-CN"/>
          </w:rPr>
          <w:t xml:space="preserve">Comisión de Estudio 9 </w:t>
        </w:r>
        <w:r w:rsidR="0062002E" w:rsidRPr="00283D7C">
          <w:rPr>
            <w:rStyle w:val="Hyperlink"/>
            <w:sz w:val="22"/>
            <w:szCs w:val="22"/>
            <w:lang w:eastAsia="zh-CN"/>
          </w:rPr>
          <w:t>del UIT</w:t>
        </w:r>
        <w:r w:rsidR="00AD4517">
          <w:rPr>
            <w:rStyle w:val="Hyperlink"/>
            <w:sz w:val="22"/>
            <w:szCs w:val="22"/>
            <w:lang w:eastAsia="zh-CN"/>
          </w:rPr>
          <w:t>-</w:t>
        </w:r>
        <w:r w:rsidR="0062002E" w:rsidRPr="00283D7C">
          <w:rPr>
            <w:rStyle w:val="Hyperlink"/>
            <w:sz w:val="22"/>
            <w:szCs w:val="22"/>
            <w:lang w:eastAsia="zh-CN"/>
          </w:rPr>
          <w:softHyphen/>
        </w:r>
        <w:r w:rsidRPr="00283D7C">
          <w:rPr>
            <w:rStyle w:val="Hyperlink"/>
            <w:sz w:val="22"/>
            <w:szCs w:val="22"/>
            <w:lang w:eastAsia="zh-CN"/>
          </w:rPr>
          <w:t>T</w:t>
        </w:r>
      </w:hyperlink>
      <w:r w:rsidRPr="00283D7C">
        <w:rPr>
          <w:sz w:val="22"/>
          <w:szCs w:val="22"/>
          <w:lang w:eastAsia="zh-CN"/>
        </w:rPr>
        <w:t xml:space="preserve"> (Cable y TV de banda ancha), que se celebrará del 22 al 30 de enero de 2018 (véase la </w:t>
      </w:r>
      <w:hyperlink r:id="rId10" w:history="1">
        <w:r w:rsidRPr="00283D7C">
          <w:rPr>
            <w:rStyle w:val="Hyperlink"/>
            <w:sz w:val="22"/>
            <w:szCs w:val="22"/>
            <w:lang w:eastAsia="zh-CN"/>
          </w:rPr>
          <w:t>Carta Colectiva 2/9</w:t>
        </w:r>
      </w:hyperlink>
      <w:r w:rsidRPr="00283D7C">
        <w:rPr>
          <w:sz w:val="22"/>
          <w:szCs w:val="22"/>
          <w:lang w:eastAsia="zh-CN"/>
        </w:rPr>
        <w:t xml:space="preserve"> de la TSB).</w:t>
      </w:r>
    </w:p>
    <w:p w:rsidR="008D6E0A" w:rsidRPr="00283D7C" w:rsidRDefault="008D6E0A" w:rsidP="00D54B38">
      <w:pPr>
        <w:rPr>
          <w:sz w:val="22"/>
          <w:szCs w:val="22"/>
          <w:lang w:eastAsia="zh-CN"/>
        </w:rPr>
      </w:pPr>
      <w:r w:rsidRPr="00283D7C">
        <w:rPr>
          <w:sz w:val="22"/>
          <w:szCs w:val="22"/>
          <w:lang w:eastAsia="zh-CN"/>
        </w:rPr>
        <w:t>La inscripción en el taller comenzará a las 08.30 horas del 25 de enero de 2018 y el evento en sí dará inicio a las 09.30 horas. En las pantallas situadas en la entrada del lugar de celebración se proyectará información detallada sobre la sala de reunión. Los debates se llevarán a cabo en inglés.</w:t>
      </w:r>
    </w:p>
    <w:p w:rsidR="008D6E0A" w:rsidRPr="00283D7C" w:rsidRDefault="008D6E0A" w:rsidP="00D54B38">
      <w:pPr>
        <w:keepLines/>
        <w:rPr>
          <w:sz w:val="22"/>
          <w:szCs w:val="22"/>
          <w:lang w:eastAsia="zh-CN"/>
        </w:rPr>
      </w:pPr>
      <w:r w:rsidRPr="00283D7C">
        <w:rPr>
          <w:sz w:val="22"/>
          <w:szCs w:val="22"/>
          <w:lang w:eastAsia="zh-CN"/>
        </w:rPr>
        <w:t xml:space="preserve">Pueden participar en este taller los Estados Miembros, los Miembros de Sector, los Asociados y las Instituciones Académicas de la UIT, y todas las personas procedentes de un Estado </w:t>
      </w:r>
      <w:r w:rsidR="00F9136A" w:rsidRPr="00283D7C">
        <w:rPr>
          <w:sz w:val="22"/>
          <w:szCs w:val="22"/>
          <w:lang w:eastAsia="zh-CN"/>
        </w:rPr>
        <w:t>Miembro de la </w:t>
      </w:r>
      <w:r w:rsidRPr="00283D7C">
        <w:rPr>
          <w:sz w:val="22"/>
          <w:szCs w:val="22"/>
          <w:lang w:eastAsia="zh-CN"/>
        </w:rPr>
        <w:t>UIT que deseen contribuir a los trabajos, incluidos miembros de organizaciones nacionales, regionales e internacionales. La participación en el evento es gratuita</w:t>
      </w:r>
      <w:r w:rsidR="00D54B38" w:rsidRPr="00283D7C">
        <w:rPr>
          <w:sz w:val="22"/>
          <w:szCs w:val="22"/>
          <w:lang w:eastAsia="zh-CN"/>
        </w:rPr>
        <w:t>.</w:t>
      </w:r>
    </w:p>
    <w:p w:rsidR="008D6E0A" w:rsidRPr="00283D7C" w:rsidRDefault="008D6E0A" w:rsidP="00D54B38">
      <w:pPr>
        <w:rPr>
          <w:sz w:val="22"/>
          <w:szCs w:val="22"/>
          <w:lang w:eastAsia="zh-CN"/>
        </w:rPr>
      </w:pPr>
      <w:r w:rsidRPr="00283D7C">
        <w:rPr>
          <w:sz w:val="22"/>
          <w:szCs w:val="22"/>
          <w:lang w:eastAsia="zh-CN"/>
        </w:rPr>
        <w:t xml:space="preserve">Entre los principales temas objeto de examen en el taller figuran las tendencias comerciales y el entorno propicio, la innovación tecnológica y la normalización internacional y regional. </w:t>
      </w:r>
    </w:p>
    <w:p w:rsidR="008D6E0A" w:rsidRPr="00283D7C" w:rsidRDefault="008D6E0A" w:rsidP="00D54B38">
      <w:pPr>
        <w:rPr>
          <w:sz w:val="22"/>
          <w:szCs w:val="22"/>
          <w:lang w:eastAsia="zh-CN"/>
        </w:rPr>
      </w:pPr>
      <w:r w:rsidRPr="00283D7C">
        <w:rPr>
          <w:sz w:val="22"/>
          <w:szCs w:val="22"/>
          <w:lang w:eastAsia="zh-CN"/>
        </w:rPr>
        <w:lastRenderedPageBreak/>
        <w:t xml:space="preserve">Además de secundar la Iniciativa Regional para Europa encaminada a respaldar a los países que precisan asistencia con temas vinculados a la televisión por cable, este evento tiene asimismo por objeto tender puentes entre los requisitos y las necesidades de varios países y los de la comunidad de normalización. En última instancia, también contribuirá al flujo de trabajo de las Comisiones de Estudio de la UIT, en especial: </w:t>
      </w:r>
    </w:p>
    <w:p w:rsidR="008D6E0A" w:rsidRPr="00283D7C" w:rsidRDefault="008D6E0A" w:rsidP="00D54B38">
      <w:pPr>
        <w:pStyle w:val="enumlev1"/>
        <w:rPr>
          <w:sz w:val="22"/>
          <w:szCs w:val="22"/>
          <w:lang w:eastAsia="zh-CN"/>
        </w:rPr>
      </w:pPr>
      <w:r w:rsidRPr="00283D7C">
        <w:rPr>
          <w:sz w:val="22"/>
          <w:szCs w:val="22"/>
          <w:lang w:eastAsia="zh-CN"/>
        </w:rPr>
        <w:t>–</w:t>
      </w:r>
      <w:r w:rsidRPr="00283D7C">
        <w:rPr>
          <w:sz w:val="22"/>
          <w:szCs w:val="22"/>
          <w:lang w:eastAsia="zh-CN"/>
        </w:rPr>
        <w:tab/>
        <w:t xml:space="preserve">la Comisión de Estudio 9 del UIT-T: </w:t>
      </w:r>
      <w:r w:rsidRPr="00283D7C">
        <w:rPr>
          <w:color w:val="000000"/>
          <w:sz w:val="22"/>
          <w:szCs w:val="22"/>
          <w:lang w:eastAsia="zh-CN"/>
        </w:rPr>
        <w:t>Cable y TV de banda ancha;</w:t>
      </w:r>
    </w:p>
    <w:p w:rsidR="008D6E0A" w:rsidRPr="00283D7C" w:rsidRDefault="008D6E0A" w:rsidP="00D54B38">
      <w:pPr>
        <w:pStyle w:val="enumlev1"/>
        <w:rPr>
          <w:sz w:val="22"/>
          <w:szCs w:val="22"/>
          <w:lang w:eastAsia="zh-CN"/>
        </w:rPr>
      </w:pPr>
      <w:r w:rsidRPr="00283D7C">
        <w:rPr>
          <w:sz w:val="22"/>
          <w:szCs w:val="22"/>
          <w:lang w:eastAsia="zh-CN"/>
        </w:rPr>
        <w:t>–</w:t>
      </w:r>
      <w:r w:rsidRPr="00283D7C">
        <w:rPr>
          <w:sz w:val="22"/>
          <w:szCs w:val="22"/>
          <w:lang w:eastAsia="zh-CN"/>
        </w:rPr>
        <w:tab/>
        <w:t>la Comisión de Estudio 1 del UIT-D: Entorno propicio para el desarrollo de las telecomunicaciones/TIC;</w:t>
      </w:r>
    </w:p>
    <w:p w:rsidR="008D6E0A" w:rsidRPr="00283D7C" w:rsidRDefault="008D6E0A" w:rsidP="00D54B38">
      <w:pPr>
        <w:pStyle w:val="enumlev1"/>
        <w:rPr>
          <w:sz w:val="22"/>
          <w:szCs w:val="22"/>
          <w:lang w:eastAsia="zh-CN"/>
        </w:rPr>
      </w:pPr>
      <w:r w:rsidRPr="00283D7C">
        <w:rPr>
          <w:sz w:val="22"/>
          <w:szCs w:val="22"/>
          <w:lang w:eastAsia="zh-CN"/>
        </w:rPr>
        <w:t>–</w:t>
      </w:r>
      <w:r w:rsidRPr="00283D7C">
        <w:rPr>
          <w:sz w:val="22"/>
          <w:szCs w:val="22"/>
          <w:lang w:eastAsia="zh-CN"/>
        </w:rPr>
        <w:tab/>
        <w:t>la Comisión de Estudio 2 del UIT-D: Servicios y aplicaciones de TIC e</w:t>
      </w:r>
      <w:r w:rsidR="005049C2">
        <w:rPr>
          <w:sz w:val="22"/>
          <w:szCs w:val="22"/>
          <w:lang w:eastAsia="zh-CN"/>
        </w:rPr>
        <w:t>n pro del desarrollo sostenible;</w:t>
      </w:r>
      <w:r w:rsidRPr="00283D7C">
        <w:rPr>
          <w:sz w:val="22"/>
          <w:szCs w:val="22"/>
          <w:lang w:eastAsia="zh-CN"/>
        </w:rPr>
        <w:t xml:space="preserve"> y</w:t>
      </w:r>
    </w:p>
    <w:p w:rsidR="008D6E0A" w:rsidRPr="00283D7C" w:rsidRDefault="008D6E0A" w:rsidP="00D54B38">
      <w:pPr>
        <w:pStyle w:val="enumlev1"/>
        <w:rPr>
          <w:sz w:val="22"/>
          <w:szCs w:val="22"/>
          <w:lang w:eastAsia="zh-CN"/>
        </w:rPr>
      </w:pPr>
      <w:r w:rsidRPr="00283D7C">
        <w:rPr>
          <w:sz w:val="22"/>
          <w:szCs w:val="22"/>
          <w:lang w:eastAsia="zh-CN"/>
        </w:rPr>
        <w:t>–</w:t>
      </w:r>
      <w:r w:rsidRPr="00283D7C">
        <w:rPr>
          <w:sz w:val="22"/>
          <w:szCs w:val="22"/>
          <w:lang w:eastAsia="zh-CN"/>
        </w:rPr>
        <w:tab/>
        <w:t>la Comisión de Estudio 6 del UIT-R: Servicio de radiodifusión.</w:t>
      </w:r>
    </w:p>
    <w:p w:rsidR="008D6E0A" w:rsidRPr="00283D7C" w:rsidRDefault="008D6E0A" w:rsidP="00D54B38">
      <w:pPr>
        <w:rPr>
          <w:sz w:val="22"/>
          <w:szCs w:val="22"/>
          <w:lang w:eastAsia="zh-CN"/>
        </w:rPr>
      </w:pPr>
      <w:r w:rsidRPr="00283D7C">
        <w:rPr>
          <w:sz w:val="22"/>
          <w:szCs w:val="22"/>
          <w:lang w:eastAsia="zh-CN"/>
        </w:rPr>
        <w:t xml:space="preserve">El </w:t>
      </w:r>
      <w:hyperlink w:anchor="_ANNEX_1_Draft" w:history="1">
        <w:r w:rsidRPr="00283D7C">
          <w:rPr>
            <w:rStyle w:val="Hyperlink"/>
            <w:b/>
            <w:bCs/>
            <w:sz w:val="22"/>
            <w:szCs w:val="22"/>
            <w:lang w:eastAsia="zh-CN"/>
          </w:rPr>
          <w:t>Anexo 1</w:t>
        </w:r>
      </w:hyperlink>
      <w:r w:rsidRPr="00283D7C">
        <w:rPr>
          <w:sz w:val="22"/>
          <w:szCs w:val="22"/>
          <w:lang w:eastAsia="zh-CN"/>
        </w:rPr>
        <w:t xml:space="preserve"> contiene el proyecto de programa de trabajo del taller, que también puede consultarse en el sitio web del evento de la UIT: </w:t>
      </w:r>
      <w:hyperlink r:id="rId11" w:history="1">
        <w:r w:rsidRPr="00283D7C">
          <w:rPr>
            <w:rStyle w:val="Hyperlink"/>
            <w:sz w:val="22"/>
            <w:szCs w:val="22"/>
          </w:rPr>
          <w:t>http://www.itu.int/en/ITU-D/Regional-Presence/Europe/Pages/Events/2018/FCTV/The-Future-of-Cable-TV.aspx</w:t>
        </w:r>
      </w:hyperlink>
      <w:r w:rsidRPr="00283D7C">
        <w:rPr>
          <w:sz w:val="22"/>
          <w:szCs w:val="22"/>
          <w:lang w:eastAsia="zh-CN"/>
        </w:rPr>
        <w:t>. Este sitio web se irá actualizando a medida que se vaya recibiendo información nueva o modificada.</w:t>
      </w:r>
    </w:p>
    <w:p w:rsidR="008D6E0A" w:rsidRPr="00283D7C" w:rsidRDefault="008D6E0A" w:rsidP="00D54B38">
      <w:pPr>
        <w:rPr>
          <w:sz w:val="22"/>
          <w:szCs w:val="22"/>
          <w:lang w:eastAsia="zh-CN"/>
        </w:rPr>
      </w:pPr>
      <w:r w:rsidRPr="00283D7C">
        <w:rPr>
          <w:sz w:val="22"/>
          <w:szCs w:val="22"/>
          <w:lang w:eastAsia="zh-CN"/>
        </w:rPr>
        <w:t xml:space="preserve">A todos los efectos útiles, se ha publicado una lista de hoteles recomendados y otros datos prácticos en: </w:t>
      </w:r>
      <w:hyperlink r:id="rId12" w:history="1">
        <w:r w:rsidRPr="00283D7C">
          <w:rPr>
            <w:rStyle w:val="Hyperlink"/>
            <w:sz w:val="22"/>
            <w:szCs w:val="22"/>
            <w:lang w:eastAsia="zh-CN"/>
          </w:rPr>
          <w:t>http://www.itu.int/en/delegates-corner/Pages/default.aspx</w:t>
        </w:r>
      </w:hyperlink>
      <w:r w:rsidR="0062002E" w:rsidRPr="00283D7C">
        <w:rPr>
          <w:sz w:val="22"/>
          <w:szCs w:val="22"/>
          <w:lang w:eastAsia="zh-CN"/>
        </w:rPr>
        <w:t>.</w:t>
      </w:r>
    </w:p>
    <w:p w:rsidR="008D6E0A" w:rsidRPr="00283D7C" w:rsidRDefault="008D6E0A" w:rsidP="00D54B38">
      <w:pPr>
        <w:rPr>
          <w:sz w:val="22"/>
          <w:szCs w:val="22"/>
        </w:rPr>
      </w:pPr>
      <w:r w:rsidRPr="00283D7C">
        <w:rPr>
          <w:bCs/>
          <w:sz w:val="22"/>
          <w:szCs w:val="22"/>
        </w:rPr>
        <w:t>Le recordamos</w:t>
      </w:r>
      <w:r w:rsidRPr="00283D7C">
        <w:rPr>
          <w:sz w:val="22"/>
          <w:szCs w:val="22"/>
        </w:rPr>
        <w:t xml:space="preserve"> que los ciudadanos de algunos países necesitan un visado para poder entrar y efectuar una estadía en Suiza. </w:t>
      </w:r>
      <w:r w:rsidRPr="00283D7C">
        <w:rPr>
          <w:b/>
          <w:bCs/>
          <w:sz w:val="22"/>
          <w:szCs w:val="22"/>
        </w:rPr>
        <w:t>El visado debe solicitarse al menos cuatro (4) semanas antes de la fecha de inicio del taller</w:t>
      </w:r>
      <w:r w:rsidRPr="00283D7C">
        <w:rPr>
          <w:sz w:val="22"/>
          <w:szCs w:val="22"/>
        </w:rPr>
        <w:t>, y obtenerse en la oficina (Embajada o Consulado) que representa a Suiza en su país, o, si no existiera dicha oficina en su país, en la más cercana al país de salida.</w:t>
      </w:r>
    </w:p>
    <w:p w:rsidR="008D6E0A" w:rsidRPr="00283D7C" w:rsidRDefault="008D6E0A" w:rsidP="00D54B38">
      <w:pPr>
        <w:rPr>
          <w:sz w:val="22"/>
          <w:szCs w:val="22"/>
        </w:rPr>
      </w:pPr>
      <w:r w:rsidRPr="00283D7C">
        <w:rPr>
          <w:sz w:val="22"/>
          <w:szCs w:val="22"/>
        </w:rPr>
        <w:t xml:space="preserve">En caso de necesidad y previa solicitud del correspondiente </w:t>
      </w:r>
      <w:r w:rsidRPr="00283D7C">
        <w:rPr>
          <w:b/>
          <w:bCs/>
          <w:sz w:val="22"/>
          <w:szCs w:val="22"/>
        </w:rPr>
        <w:t>Estado Miembro</w:t>
      </w:r>
      <w:r w:rsidRPr="00283D7C">
        <w:rPr>
          <w:sz w:val="22"/>
          <w:szCs w:val="22"/>
        </w:rPr>
        <w:t xml:space="preserve">, </w:t>
      </w:r>
      <w:r w:rsidRPr="00283D7C">
        <w:rPr>
          <w:b/>
          <w:bCs/>
          <w:sz w:val="22"/>
          <w:szCs w:val="22"/>
        </w:rPr>
        <w:t>Miembro de Sector</w:t>
      </w:r>
      <w:r w:rsidRPr="00283D7C">
        <w:rPr>
          <w:sz w:val="22"/>
          <w:szCs w:val="22"/>
        </w:rPr>
        <w:t xml:space="preserve">, </w:t>
      </w:r>
      <w:r w:rsidRPr="00283D7C">
        <w:rPr>
          <w:b/>
          <w:bCs/>
          <w:sz w:val="22"/>
          <w:szCs w:val="22"/>
        </w:rPr>
        <w:t>Asociado</w:t>
      </w:r>
      <w:r w:rsidRPr="00283D7C">
        <w:rPr>
          <w:sz w:val="22"/>
          <w:szCs w:val="22"/>
        </w:rPr>
        <w:t xml:space="preserve"> o </w:t>
      </w:r>
      <w:r w:rsidRPr="00283D7C">
        <w:rPr>
          <w:b/>
          <w:bCs/>
          <w:sz w:val="22"/>
          <w:szCs w:val="22"/>
        </w:rPr>
        <w:t>Institución Académica</w:t>
      </w:r>
      <w:r w:rsidRPr="00283D7C">
        <w:rPr>
          <w:sz w:val="22"/>
          <w:szCs w:val="22"/>
        </w:rPr>
        <w:t xml:space="preserve"> </w:t>
      </w:r>
      <w:r w:rsidRPr="00283D7C">
        <w:rPr>
          <w:b/>
          <w:bCs/>
          <w:sz w:val="22"/>
          <w:szCs w:val="22"/>
        </w:rPr>
        <w:t>de la UIT</w:t>
      </w:r>
      <w:r w:rsidRPr="00283D7C">
        <w:rPr>
          <w:sz w:val="22"/>
          <w:szCs w:val="22"/>
        </w:rPr>
        <w:t xml:space="preserve"> a la TSB, la Unión puede intervenir ante las autoridades suizas competentes para facilitar la expedición de ese visado, pero solamente durante el periodo de </w:t>
      </w:r>
      <w:r w:rsidRPr="00283D7C">
        <w:rPr>
          <w:b/>
          <w:bCs/>
          <w:sz w:val="22"/>
          <w:szCs w:val="22"/>
        </w:rPr>
        <w:t>cuatro</w:t>
      </w:r>
      <w:r w:rsidRPr="00283D7C">
        <w:rPr>
          <w:sz w:val="22"/>
          <w:szCs w:val="22"/>
        </w:rPr>
        <w:t xml:space="preserve"> semanas antes mencionado. Toda solicitud al respecto debe formularse por conducto de una carta oficial de la administración o entidad a la que usted representa, en la cual se especificará el nombre y las funciones, la fecha de nacimiento y el número de pasaporte, con sus fechas de expedición y expiración, de las personas para las que se solicita el visado. La carta debe ir acompañada de una copia de la notificación de confirmación de inscripción aprobada para el taller de la UIT correspondiente, y remitirse a la UIT con la indicación "</w:t>
      </w:r>
      <w:r w:rsidRPr="00283D7C">
        <w:rPr>
          <w:b/>
          <w:bCs/>
          <w:sz w:val="22"/>
          <w:szCs w:val="22"/>
        </w:rPr>
        <w:t>solicitud de visado</w:t>
      </w:r>
      <w:r w:rsidRPr="00283D7C">
        <w:rPr>
          <w:sz w:val="22"/>
          <w:szCs w:val="22"/>
        </w:rPr>
        <w:t>", por fax (+41 22 730 5853) o por correo electrónico (</w:t>
      </w:r>
      <w:hyperlink r:id="rId13" w:history="1">
        <w:r w:rsidRPr="00283D7C">
          <w:rPr>
            <w:rStyle w:val="Hyperlink"/>
            <w:sz w:val="22"/>
            <w:szCs w:val="22"/>
          </w:rPr>
          <w:t>tsbreg@itu.int</w:t>
        </w:r>
      </w:hyperlink>
      <w:r w:rsidRPr="00283D7C">
        <w:rPr>
          <w:sz w:val="22"/>
          <w:szCs w:val="22"/>
        </w:rPr>
        <w:t xml:space="preserve">). </w:t>
      </w:r>
      <w:r w:rsidRPr="00283D7C">
        <w:rPr>
          <w:b/>
          <w:bCs/>
          <w:sz w:val="22"/>
          <w:szCs w:val="22"/>
          <w:u w:val="single"/>
        </w:rPr>
        <w:t>Sírvase tomar nota de que la UIT puede prestar asistencia únicamente a los representantes de los Estados Miembros, Miembros de Sector, Asociados e Instituciones Académicas de la UIT</w:t>
      </w:r>
      <w:r w:rsidRPr="00283D7C">
        <w:rPr>
          <w:sz w:val="22"/>
          <w:szCs w:val="22"/>
        </w:rPr>
        <w:t>.</w:t>
      </w:r>
    </w:p>
    <w:p w:rsidR="008D6E0A" w:rsidRPr="00283D7C" w:rsidRDefault="008D6E0A" w:rsidP="00E1790B">
      <w:pPr>
        <w:rPr>
          <w:sz w:val="22"/>
          <w:szCs w:val="22"/>
          <w:lang w:eastAsia="zh-CN"/>
        </w:rPr>
      </w:pPr>
      <w:r w:rsidRPr="00283D7C">
        <w:rPr>
          <w:sz w:val="22"/>
          <w:szCs w:val="22"/>
          <w:lang w:eastAsia="zh-CN"/>
        </w:rPr>
        <w:t>Con objeto de que podamos adoptar las disposiciones necesarias para la organización del taller, le agradeceríamos se</w:t>
      </w:r>
      <w:r w:rsidR="00582583" w:rsidRPr="00283D7C">
        <w:rPr>
          <w:sz w:val="22"/>
          <w:szCs w:val="22"/>
          <w:lang w:eastAsia="zh-CN"/>
        </w:rPr>
        <w:t xml:space="preserve"> </w:t>
      </w:r>
      <w:hyperlink r:id="rId14" w:history="1">
        <w:r w:rsidR="00582583" w:rsidRPr="00283D7C">
          <w:rPr>
            <w:rStyle w:val="Hyperlink"/>
            <w:sz w:val="22"/>
            <w:szCs w:val="22"/>
            <w:lang w:eastAsia="zh-CN"/>
          </w:rPr>
          <w:t>inscribiese</w:t>
        </w:r>
      </w:hyperlink>
      <w:r w:rsidRPr="00283D7C">
        <w:rPr>
          <w:sz w:val="22"/>
          <w:szCs w:val="22"/>
          <w:lang w:eastAsia="zh-CN"/>
        </w:rPr>
        <w:t xml:space="preserve"> a través del formulario en línea (</w:t>
      </w:r>
      <w:hyperlink r:id="rId15" w:history="1">
        <w:r w:rsidRPr="00283D7C">
          <w:rPr>
            <w:rStyle w:val="Hyperlink"/>
            <w:sz w:val="22"/>
            <w:szCs w:val="22"/>
            <w:lang w:eastAsia="zh-CN"/>
          </w:rPr>
          <w:t>http://itu.int/reg/tmisc/3001025</w:t>
        </w:r>
      </w:hyperlink>
      <w:r w:rsidRPr="00283D7C">
        <w:rPr>
          <w:sz w:val="22"/>
          <w:szCs w:val="22"/>
          <w:lang w:eastAsia="zh-CN"/>
        </w:rPr>
        <w:t xml:space="preserve">) al que puede acceder desde la página web del evento </w:t>
      </w:r>
      <w:r w:rsidRPr="00283D7C">
        <w:rPr>
          <w:b/>
          <w:bCs/>
          <w:sz w:val="22"/>
          <w:szCs w:val="22"/>
          <w:lang w:eastAsia="zh-CN"/>
        </w:rPr>
        <w:t>a más tardar el 18 de enero de 2018.</w:t>
      </w:r>
      <w:r w:rsidRPr="00283D7C">
        <w:rPr>
          <w:sz w:val="22"/>
          <w:szCs w:val="22"/>
          <w:lang w:eastAsia="zh-CN"/>
        </w:rPr>
        <w:t xml:space="preserve"> </w:t>
      </w:r>
      <w:r w:rsidRPr="00283D7C">
        <w:rPr>
          <w:b/>
          <w:bCs/>
          <w:sz w:val="22"/>
          <w:szCs w:val="22"/>
          <w:u w:val="single"/>
        </w:rPr>
        <w:t>Sírvase tomar nota de que las preinscripciones en el taller se efectuarán exclusivamente en línea.</w:t>
      </w:r>
    </w:p>
    <w:p w:rsidR="008D6E0A" w:rsidRPr="00283D7C" w:rsidRDefault="008D6E0A" w:rsidP="00D854C5">
      <w:pPr>
        <w:keepLines/>
        <w:rPr>
          <w:rFonts w:cs="Calibri"/>
          <w:sz w:val="22"/>
          <w:szCs w:val="22"/>
        </w:rPr>
      </w:pPr>
      <w:r w:rsidRPr="00283D7C">
        <w:rPr>
          <w:sz w:val="22"/>
          <w:szCs w:val="22"/>
          <w:lang w:eastAsia="zh-CN"/>
        </w:rPr>
        <w:t xml:space="preserve">Si necesita más información, el Sr. Jaroslaw Ponder, Jefe de la Oficina de la UIT para Europa (correo-e: </w:t>
      </w:r>
      <w:hyperlink r:id="rId16" w:history="1">
        <w:r w:rsidRPr="00283D7C">
          <w:rPr>
            <w:rStyle w:val="Hyperlink"/>
            <w:sz w:val="22"/>
            <w:szCs w:val="22"/>
            <w:lang w:eastAsia="zh-CN"/>
          </w:rPr>
          <w:t>eurregion@itu.int</w:t>
        </w:r>
      </w:hyperlink>
      <w:r w:rsidRPr="00283D7C">
        <w:rPr>
          <w:sz w:val="22"/>
          <w:szCs w:val="22"/>
          <w:lang w:eastAsia="zh-CN"/>
        </w:rPr>
        <w:t xml:space="preserve">, teléfono: +41 22 730 5467), y el Sr. Stefano Polidori, </w:t>
      </w:r>
      <w:r w:rsidR="00D854C5" w:rsidRPr="00283D7C">
        <w:rPr>
          <w:sz w:val="22"/>
          <w:szCs w:val="22"/>
          <w:lang w:eastAsia="zh-CN"/>
        </w:rPr>
        <w:t>A</w:t>
      </w:r>
      <w:r w:rsidRPr="00283D7C">
        <w:rPr>
          <w:sz w:val="22"/>
          <w:szCs w:val="22"/>
          <w:lang w:eastAsia="zh-CN"/>
        </w:rPr>
        <w:t xml:space="preserve">sesor de la Comisión de Estudio 9 del UIT-T (correo-e: </w:t>
      </w:r>
      <w:hyperlink r:id="rId17" w:history="1">
        <w:r w:rsidRPr="00283D7C">
          <w:rPr>
            <w:rStyle w:val="Hyperlink"/>
            <w:sz w:val="22"/>
            <w:szCs w:val="22"/>
            <w:lang w:eastAsia="zh-CN"/>
          </w:rPr>
          <w:t>tsbsg9@itu.int</w:t>
        </w:r>
      </w:hyperlink>
      <w:r w:rsidRPr="00283D7C">
        <w:rPr>
          <w:sz w:val="22"/>
          <w:szCs w:val="22"/>
          <w:lang w:eastAsia="zh-CN"/>
        </w:rPr>
        <w:t xml:space="preserve">, teléfono: </w:t>
      </w:r>
      <w:r w:rsidRPr="00283D7C">
        <w:rPr>
          <w:rFonts w:cs="Calibri"/>
          <w:sz w:val="22"/>
          <w:szCs w:val="22"/>
        </w:rPr>
        <w:t>+ 41 22 730 5858), se mantienen a su entera disposición.</w:t>
      </w:r>
    </w:p>
    <w:p w:rsidR="008D6E0A" w:rsidRPr="00283D7C" w:rsidRDefault="008D6E0A" w:rsidP="00D54B38">
      <w:pPr>
        <w:rPr>
          <w:sz w:val="22"/>
          <w:szCs w:val="22"/>
          <w:lang w:eastAsia="zh-CN"/>
        </w:rPr>
      </w:pPr>
      <w:r w:rsidRPr="00283D7C">
        <w:rPr>
          <w:sz w:val="22"/>
          <w:szCs w:val="22"/>
          <w:lang w:eastAsia="zh-CN"/>
        </w:rPr>
        <w:t xml:space="preserve">Aguardamos con interés la activa participación de los representantes de su país en este taller. </w:t>
      </w:r>
    </w:p>
    <w:p w:rsidR="008D6E0A" w:rsidRPr="00283D7C" w:rsidRDefault="008D6E0A" w:rsidP="00283D7C">
      <w:pPr>
        <w:rPr>
          <w:sz w:val="22"/>
          <w:szCs w:val="22"/>
        </w:rPr>
      </w:pPr>
      <w:r w:rsidRPr="00283D7C">
        <w:rPr>
          <w:sz w:val="22"/>
          <w:szCs w:val="22"/>
        </w:rPr>
        <w:t>Atentamente</w:t>
      </w:r>
      <w:r w:rsidR="00283D7C">
        <w:rPr>
          <w:sz w:val="22"/>
          <w:szCs w:val="22"/>
        </w:rPr>
        <w:t>,</w:t>
      </w:r>
    </w:p>
    <w:tbl>
      <w:tblPr>
        <w:tblW w:w="0" w:type="auto"/>
        <w:tblLook w:val="04A0" w:firstRow="1" w:lastRow="0" w:firstColumn="1" w:lastColumn="0" w:noHBand="0" w:noVBand="1"/>
      </w:tblPr>
      <w:tblGrid>
        <w:gridCol w:w="4835"/>
        <w:gridCol w:w="4804"/>
      </w:tblGrid>
      <w:tr w:rsidR="008D6E0A" w:rsidRPr="00283D7C" w:rsidTr="00867284">
        <w:trPr>
          <w:trHeight w:val="1038"/>
        </w:trPr>
        <w:tc>
          <w:tcPr>
            <w:tcW w:w="5137" w:type="dxa"/>
            <w:shd w:val="clear" w:color="auto" w:fill="auto"/>
          </w:tcPr>
          <w:p w:rsidR="008D6E0A" w:rsidRPr="00283D7C" w:rsidRDefault="008D6E0A" w:rsidP="001A3851">
            <w:pPr>
              <w:tabs>
                <w:tab w:val="left" w:pos="1418"/>
                <w:tab w:val="left" w:pos="1702"/>
                <w:tab w:val="left" w:pos="2160"/>
              </w:tabs>
              <w:ind w:right="92"/>
              <w:jc w:val="both"/>
              <w:rPr>
                <w:rFonts w:ascii="Calibri" w:hAnsi="Calibri"/>
                <w:sz w:val="22"/>
                <w:szCs w:val="22"/>
              </w:rPr>
            </w:pPr>
            <w:r w:rsidRPr="00283D7C">
              <w:rPr>
                <w:rFonts w:ascii="Calibri" w:hAnsi="Calibri"/>
                <w:sz w:val="22"/>
                <w:szCs w:val="22"/>
              </w:rPr>
              <w:br/>
            </w:r>
            <w:r w:rsidR="00FE45CE" w:rsidRPr="00283D7C">
              <w:rPr>
                <w:rFonts w:ascii="Calibri" w:hAnsi="Calibri"/>
                <w:sz w:val="22"/>
                <w:szCs w:val="22"/>
              </w:rPr>
              <w:t>[Original firmado]</w:t>
            </w:r>
            <w:bookmarkStart w:id="1" w:name="_GoBack"/>
            <w:bookmarkEnd w:id="1"/>
          </w:p>
        </w:tc>
        <w:tc>
          <w:tcPr>
            <w:tcW w:w="5129" w:type="dxa"/>
            <w:shd w:val="clear" w:color="auto" w:fill="auto"/>
          </w:tcPr>
          <w:p w:rsidR="008D6E0A" w:rsidRPr="00283D7C" w:rsidRDefault="008D6E0A" w:rsidP="00867284">
            <w:pPr>
              <w:tabs>
                <w:tab w:val="left" w:pos="1418"/>
                <w:tab w:val="left" w:pos="1702"/>
                <w:tab w:val="left" w:pos="2160"/>
              </w:tabs>
              <w:ind w:right="92"/>
              <w:jc w:val="both"/>
              <w:rPr>
                <w:rFonts w:ascii="Calibri" w:hAnsi="Calibri"/>
                <w:sz w:val="22"/>
                <w:szCs w:val="22"/>
              </w:rPr>
            </w:pPr>
            <w:r w:rsidRPr="00283D7C">
              <w:rPr>
                <w:rFonts w:ascii="Calibri" w:hAnsi="Calibri"/>
                <w:sz w:val="22"/>
                <w:szCs w:val="22"/>
              </w:rPr>
              <w:br/>
              <w:t>[Original firmado]</w:t>
            </w:r>
          </w:p>
        </w:tc>
      </w:tr>
      <w:tr w:rsidR="008D6E0A" w:rsidRPr="00283D7C" w:rsidTr="00B12AE9">
        <w:tc>
          <w:tcPr>
            <w:tcW w:w="5137" w:type="dxa"/>
            <w:shd w:val="clear" w:color="auto" w:fill="auto"/>
          </w:tcPr>
          <w:p w:rsidR="008D6E0A" w:rsidRPr="00283D7C" w:rsidRDefault="008D6E0A" w:rsidP="00B211F4">
            <w:pPr>
              <w:spacing w:before="0"/>
              <w:ind w:right="306"/>
              <w:rPr>
                <w:rFonts w:ascii="Calibri" w:hAnsi="Calibri" w:cs="Calibri"/>
                <w:sz w:val="22"/>
                <w:szCs w:val="22"/>
              </w:rPr>
            </w:pPr>
            <w:r w:rsidRPr="00283D7C">
              <w:rPr>
                <w:rFonts w:ascii="Calibri" w:hAnsi="Calibri" w:cs="Arial"/>
                <w:sz w:val="22"/>
                <w:szCs w:val="22"/>
                <w:lang w:eastAsia="zh-CN"/>
              </w:rPr>
              <w:t>Chaesub Lee</w:t>
            </w:r>
            <w:r w:rsidRPr="00283D7C">
              <w:rPr>
                <w:rFonts w:ascii="Calibri" w:hAnsi="Calibri" w:cs="Calibri"/>
                <w:sz w:val="22"/>
                <w:szCs w:val="22"/>
              </w:rPr>
              <w:br/>
              <w:t>Director, Oficina de Normalización de las Telecomunicaciones (TSB)</w:t>
            </w:r>
          </w:p>
        </w:tc>
        <w:tc>
          <w:tcPr>
            <w:tcW w:w="5129" w:type="dxa"/>
            <w:shd w:val="clear" w:color="auto" w:fill="auto"/>
          </w:tcPr>
          <w:p w:rsidR="008D6E0A" w:rsidRPr="00283D7C" w:rsidRDefault="008D6E0A" w:rsidP="00B211F4">
            <w:pPr>
              <w:tabs>
                <w:tab w:val="left" w:pos="1418"/>
                <w:tab w:val="left" w:pos="1702"/>
                <w:tab w:val="left" w:pos="2160"/>
              </w:tabs>
              <w:spacing w:before="0"/>
              <w:ind w:right="91"/>
              <w:rPr>
                <w:rFonts w:ascii="Calibri" w:hAnsi="Calibri"/>
                <w:sz w:val="22"/>
                <w:szCs w:val="22"/>
              </w:rPr>
            </w:pPr>
            <w:r w:rsidRPr="00283D7C">
              <w:rPr>
                <w:rFonts w:ascii="Calibri" w:hAnsi="Calibri" w:cs="Calibri"/>
                <w:sz w:val="22"/>
                <w:szCs w:val="22"/>
              </w:rPr>
              <w:t>Brahima Sanou</w:t>
            </w:r>
            <w:r w:rsidRPr="00283D7C">
              <w:rPr>
                <w:rFonts w:ascii="Calibri" w:hAnsi="Calibri" w:cs="Calibri"/>
                <w:sz w:val="22"/>
                <w:szCs w:val="22"/>
              </w:rPr>
              <w:br/>
              <w:t>Director, Oficina de Desarrollo de las Telecomunicaciones (BDT)</w:t>
            </w:r>
          </w:p>
        </w:tc>
      </w:tr>
    </w:tbl>
    <w:p w:rsidR="008D6E0A" w:rsidRPr="00283D7C" w:rsidRDefault="008D6E0A" w:rsidP="00786A15">
      <w:pPr>
        <w:tabs>
          <w:tab w:val="left" w:pos="1418"/>
          <w:tab w:val="left" w:pos="1702"/>
          <w:tab w:val="left" w:pos="2160"/>
        </w:tabs>
        <w:spacing w:before="0"/>
        <w:ind w:right="91"/>
        <w:jc w:val="both"/>
        <w:rPr>
          <w:rFonts w:ascii="Calibri" w:hAnsi="Calibri" w:cs="Calibri"/>
          <w:sz w:val="22"/>
          <w:szCs w:val="22"/>
        </w:rPr>
      </w:pPr>
    </w:p>
    <w:p w:rsidR="008D6E0A" w:rsidRPr="00283D7C" w:rsidRDefault="008D6E0A" w:rsidP="00283D7C">
      <w:pPr>
        <w:tabs>
          <w:tab w:val="left" w:pos="1418"/>
          <w:tab w:val="left" w:pos="1702"/>
          <w:tab w:val="left" w:pos="2160"/>
        </w:tabs>
        <w:ind w:right="91"/>
        <w:jc w:val="both"/>
        <w:rPr>
          <w:rFonts w:ascii="Calibri" w:hAnsi="Calibri"/>
          <w:sz w:val="22"/>
          <w:szCs w:val="22"/>
          <w:lang w:val="en-US"/>
        </w:rPr>
      </w:pPr>
      <w:r w:rsidRPr="00283D7C">
        <w:rPr>
          <w:rFonts w:ascii="Calibri" w:hAnsi="Calibri" w:cs="Calibri"/>
          <w:b/>
          <w:bCs/>
          <w:sz w:val="22"/>
          <w:szCs w:val="22"/>
          <w:lang w:val="en-US"/>
        </w:rPr>
        <w:t>Anexo: 1</w:t>
      </w:r>
    </w:p>
    <w:p w:rsidR="008D6E0A" w:rsidRPr="006916BA" w:rsidRDefault="008D6E0A" w:rsidP="00F1682C">
      <w:pPr>
        <w:pStyle w:val="Heading2"/>
        <w:pageBreakBefore/>
        <w:tabs>
          <w:tab w:val="clear" w:pos="794"/>
        </w:tabs>
        <w:ind w:left="0" w:firstLine="0"/>
        <w:jc w:val="center"/>
        <w:rPr>
          <w:rFonts w:cs="Arial"/>
          <w:bCs/>
          <w:color w:val="31849B" w:themeColor="accent5" w:themeShade="BF"/>
          <w:sz w:val="22"/>
          <w:szCs w:val="22"/>
          <w:lang w:val="en-US"/>
        </w:rPr>
      </w:pPr>
      <w:bookmarkStart w:id="2" w:name="Duties"/>
      <w:bookmarkStart w:id="3" w:name="_ANNEX_1_Draft"/>
      <w:bookmarkEnd w:id="2"/>
      <w:bookmarkEnd w:id="3"/>
      <w:r w:rsidRPr="006916BA">
        <w:rPr>
          <w:rStyle w:val="LineNumber"/>
          <w:rFonts w:ascii="Calibri" w:hAnsi="Calibri"/>
          <w:lang w:val="en-US"/>
        </w:rPr>
        <w:lastRenderedPageBreak/>
        <w:t>ANEXO 1</w:t>
      </w:r>
      <w:r w:rsidRPr="006916BA">
        <w:rPr>
          <w:rStyle w:val="LineNumber"/>
          <w:rFonts w:ascii="Calibri" w:hAnsi="Calibri"/>
          <w:lang w:val="en-US"/>
        </w:rPr>
        <w:br/>
      </w:r>
      <w:r w:rsidRPr="006916BA">
        <w:rPr>
          <w:rFonts w:cs="Arial"/>
          <w:bCs/>
          <w:color w:val="31849B" w:themeColor="accent5" w:themeShade="BF"/>
          <w:sz w:val="22"/>
          <w:szCs w:val="22"/>
          <w:lang w:val="en-US"/>
        </w:rPr>
        <w:t>Draft Agenda</w:t>
      </w:r>
    </w:p>
    <w:p w:rsidR="008D6E0A" w:rsidRPr="00786A15" w:rsidRDefault="008D6E0A" w:rsidP="003710FB">
      <w:pPr>
        <w:jc w:val="center"/>
        <w:rPr>
          <w:rFonts w:cs="Arial"/>
          <w:b/>
          <w:bCs/>
          <w:color w:val="31849B" w:themeColor="accent5" w:themeShade="BF"/>
          <w:sz w:val="22"/>
          <w:szCs w:val="22"/>
          <w:lang w:val="en-US"/>
        </w:rPr>
      </w:pPr>
      <w:r w:rsidRPr="00786A15">
        <w:rPr>
          <w:rFonts w:cs="Arial"/>
          <w:b/>
          <w:bCs/>
          <w:color w:val="31849B" w:themeColor="accent5" w:themeShade="BF"/>
          <w:sz w:val="22"/>
          <w:szCs w:val="22"/>
          <w:lang w:val="en-US"/>
        </w:rPr>
        <w:t>Thursday, 25 January 2018</w:t>
      </w:r>
    </w:p>
    <w:tbl>
      <w:tblPr>
        <w:tblStyle w:val="ListTable2-Accent5"/>
        <w:tblW w:w="9497" w:type="dxa"/>
        <w:tblInd w:w="142" w:type="dxa"/>
        <w:tblLook w:val="04A0" w:firstRow="1" w:lastRow="0" w:firstColumn="1" w:lastColumn="0" w:noHBand="0" w:noVBand="1"/>
      </w:tblPr>
      <w:tblGrid>
        <w:gridCol w:w="1478"/>
        <w:gridCol w:w="8019"/>
      </w:tblGrid>
      <w:tr w:rsidR="008D6E0A" w:rsidRPr="00786A15" w:rsidTr="00221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Borders>
              <w:bottom w:val="single" w:sz="4" w:space="0" w:color="92CDDC" w:themeColor="accent5" w:themeTint="99"/>
            </w:tcBorders>
          </w:tcPr>
          <w:p w:rsidR="008D6E0A" w:rsidRPr="00786A15" w:rsidRDefault="008D6E0A" w:rsidP="003710FB">
            <w:pPr>
              <w:spacing w:after="120"/>
              <w:ind w:right="-958"/>
              <w:rPr>
                <w:b w:val="0"/>
                <w:bCs w:val="0"/>
                <w:color w:val="31849B" w:themeColor="accent5" w:themeShade="BF"/>
                <w:sz w:val="22"/>
                <w:lang w:val="en-US"/>
              </w:rPr>
            </w:pPr>
            <w:r w:rsidRPr="00786A15">
              <w:rPr>
                <w:rStyle w:val="PlaceholderText"/>
                <w:color w:val="31849B" w:themeColor="accent5" w:themeShade="BF"/>
                <w:sz w:val="22"/>
                <w:lang w:val="en-US"/>
              </w:rPr>
              <w:t xml:space="preserve">8:30 – 9:30 </w:t>
            </w:r>
          </w:p>
        </w:tc>
        <w:tc>
          <w:tcPr>
            <w:tcW w:w="8019" w:type="dxa"/>
            <w:tcBorders>
              <w:bottom w:val="single" w:sz="4" w:space="0" w:color="92CDDC" w:themeColor="accent5" w:themeTint="99"/>
            </w:tcBorders>
          </w:tcPr>
          <w:p w:rsidR="008D6E0A" w:rsidRPr="00786A15" w:rsidRDefault="008D6E0A" w:rsidP="00EC6155">
            <w:pPr>
              <w:spacing w:after="120"/>
              <w:ind w:right="-958"/>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2"/>
                <w:lang w:val="en-US"/>
              </w:rPr>
            </w:pPr>
            <w:r w:rsidRPr="00786A15">
              <w:rPr>
                <w:color w:val="31849B" w:themeColor="accent5" w:themeShade="BF"/>
                <w:sz w:val="22"/>
                <w:lang w:val="en-US"/>
              </w:rPr>
              <w:t>Registration</w:t>
            </w:r>
          </w:p>
        </w:tc>
      </w:tr>
      <w:tr w:rsidR="008D6E0A" w:rsidRPr="00FE45CE"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3710FB">
            <w:pPr>
              <w:spacing w:after="120"/>
              <w:ind w:right="-958"/>
              <w:rPr>
                <w:rStyle w:val="PlaceholderText"/>
                <w:bCs w:val="0"/>
                <w:color w:val="365F91"/>
                <w:sz w:val="22"/>
                <w:lang w:val="en-US"/>
              </w:rPr>
            </w:pPr>
            <w:r w:rsidRPr="00786A15">
              <w:rPr>
                <w:rStyle w:val="PlaceholderText"/>
                <w:bCs w:val="0"/>
                <w:color w:val="365F91"/>
                <w:sz w:val="22"/>
                <w:lang w:val="en-US"/>
              </w:rPr>
              <w:t>9:30 – 10:30</w:t>
            </w:r>
          </w:p>
        </w:tc>
        <w:tc>
          <w:tcPr>
            <w:tcW w:w="8019" w:type="dxa"/>
          </w:tcPr>
          <w:p w:rsidR="008D6E0A" w:rsidRPr="00786A15" w:rsidRDefault="008D6E0A" w:rsidP="00B24CBE">
            <w:pPr>
              <w:spacing w:after="120"/>
              <w:ind w:right="-958"/>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lang w:val="en-US"/>
              </w:rPr>
            </w:pPr>
            <w:r w:rsidRPr="00786A15">
              <w:rPr>
                <w:b/>
                <w:bCs/>
                <w:color w:val="31849B" w:themeColor="accent5" w:themeShade="BF"/>
                <w:sz w:val="22"/>
                <w:lang w:val="en-US"/>
              </w:rPr>
              <w:t>Welcome Remarks by ITU Official</w:t>
            </w:r>
          </w:p>
          <w:p w:rsidR="008D6E0A" w:rsidRPr="00786A15" w:rsidRDefault="008D6E0A" w:rsidP="00F60072">
            <w:pPr>
              <w:cnfStyle w:val="000000100000" w:firstRow="0" w:lastRow="0" w:firstColumn="0" w:lastColumn="0" w:oddVBand="0" w:evenVBand="0" w:oddHBand="1" w:evenHBand="0" w:firstRowFirstColumn="0" w:firstRowLastColumn="0" w:lastRowFirstColumn="0" w:lastRowLastColumn="0"/>
              <w:rPr>
                <w:b/>
                <w:bCs/>
                <w:color w:val="1F497D" w:themeColor="text2"/>
                <w:sz w:val="22"/>
                <w:lang w:val="en-US"/>
              </w:rPr>
            </w:pPr>
            <w:r w:rsidRPr="00786A15">
              <w:rPr>
                <w:b/>
                <w:bCs/>
                <w:color w:val="1F497D" w:themeColor="text2"/>
                <w:sz w:val="22"/>
                <w:lang w:val="en-US"/>
              </w:rPr>
              <w:t xml:space="preserve">KEYNOTE Address </w:t>
            </w:r>
          </w:p>
        </w:tc>
      </w:tr>
      <w:tr w:rsidR="008D6E0A" w:rsidRPr="00FE45CE" w:rsidTr="00221039">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7B5501">
            <w:pPr>
              <w:spacing w:after="120"/>
              <w:ind w:right="-958"/>
              <w:rPr>
                <w:b w:val="0"/>
                <w:bCs w:val="0"/>
                <w:color w:val="31849B" w:themeColor="accent5" w:themeShade="BF"/>
                <w:sz w:val="22"/>
                <w:lang w:val="en-US"/>
              </w:rPr>
            </w:pPr>
            <w:r w:rsidRPr="00786A15">
              <w:rPr>
                <w:rStyle w:val="PlaceholderText"/>
                <w:color w:val="31849B" w:themeColor="accent5" w:themeShade="BF"/>
                <w:sz w:val="22"/>
                <w:lang w:val="en-US"/>
              </w:rPr>
              <w:t>10:30 – 11:00</w:t>
            </w:r>
          </w:p>
        </w:tc>
        <w:tc>
          <w:tcPr>
            <w:tcW w:w="8019" w:type="dxa"/>
          </w:tcPr>
          <w:p w:rsidR="008D6E0A" w:rsidRPr="00786A15" w:rsidRDefault="008D6E0A" w:rsidP="00B24CBE">
            <w:pPr>
              <w:spacing w:after="120"/>
              <w:ind w:right="-958"/>
              <w:cnfStyle w:val="000000000000" w:firstRow="0" w:lastRow="0" w:firstColumn="0" w:lastColumn="0" w:oddVBand="0" w:evenVBand="0" w:oddHBand="0" w:evenHBand="0" w:firstRowFirstColumn="0" w:firstRowLastColumn="0" w:lastRowFirstColumn="0" w:lastRowLastColumn="0"/>
              <w:rPr>
                <w:b/>
                <w:bCs/>
                <w:color w:val="1F497D" w:themeColor="text2"/>
                <w:sz w:val="22"/>
                <w:lang w:val="en-US"/>
              </w:rPr>
            </w:pPr>
            <w:r w:rsidRPr="00786A15">
              <w:rPr>
                <w:b/>
                <w:bCs/>
                <w:color w:val="31849B" w:themeColor="accent5" w:themeShade="BF"/>
                <w:sz w:val="22"/>
                <w:lang w:val="en-US"/>
              </w:rPr>
              <w:t>Group Photo</w:t>
            </w:r>
            <w:r w:rsidRPr="00786A15">
              <w:rPr>
                <w:b/>
                <w:bCs/>
                <w:color w:val="1F497D" w:themeColor="text2"/>
                <w:sz w:val="22"/>
                <w:lang w:val="en-US"/>
              </w:rPr>
              <w:t xml:space="preserve"> </w:t>
            </w:r>
            <w:r w:rsidRPr="00786A15">
              <w:rPr>
                <w:b/>
                <w:bCs/>
                <w:color w:val="31849B" w:themeColor="accent5" w:themeShade="BF"/>
                <w:sz w:val="22"/>
                <w:lang w:val="en-US"/>
              </w:rPr>
              <w:t>and Coffee Break</w:t>
            </w:r>
          </w:p>
        </w:tc>
      </w:tr>
      <w:tr w:rsidR="008D6E0A" w:rsidRPr="00FE45CE" w:rsidTr="00221039">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7B5501">
            <w:pPr>
              <w:keepNext/>
              <w:spacing w:after="120"/>
              <w:ind w:right="-958"/>
              <w:rPr>
                <w:rStyle w:val="PlaceholderText"/>
                <w:bCs w:val="0"/>
                <w:color w:val="365F91"/>
                <w:sz w:val="22"/>
                <w:lang w:val="en-US"/>
              </w:rPr>
            </w:pPr>
            <w:r w:rsidRPr="00786A15">
              <w:rPr>
                <w:rStyle w:val="PlaceholderText"/>
                <w:bCs w:val="0"/>
                <w:color w:val="365F91"/>
                <w:sz w:val="22"/>
                <w:lang w:val="en-US"/>
              </w:rPr>
              <w:t>11:00 – 13:00</w:t>
            </w:r>
          </w:p>
        </w:tc>
        <w:tc>
          <w:tcPr>
            <w:tcW w:w="8019" w:type="dxa"/>
          </w:tcPr>
          <w:p w:rsidR="008D6E0A" w:rsidRPr="00786A15" w:rsidRDefault="008D6E0A" w:rsidP="00B24CBE">
            <w:pPr>
              <w:spacing w:after="120"/>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lang w:val="en-US"/>
              </w:rPr>
            </w:pPr>
            <w:r w:rsidRPr="00786A15">
              <w:rPr>
                <w:b/>
                <w:bCs/>
                <w:color w:val="31849B" w:themeColor="accent5" w:themeShade="BF"/>
                <w:sz w:val="22"/>
                <w:lang w:val="en-US"/>
              </w:rPr>
              <w:t>Session 1: Enabling Environment for Sustainable Growth and Deployment of Cable TV</w:t>
            </w:r>
          </w:p>
          <w:p w:rsidR="008D6E0A" w:rsidRPr="00786A15" w:rsidRDefault="008D6E0A" w:rsidP="00B24CBE">
            <w:pPr>
              <w:cnfStyle w:val="000000100000" w:firstRow="0" w:lastRow="0" w:firstColumn="0" w:lastColumn="0" w:oddVBand="0" w:evenVBand="0" w:oddHBand="1" w:evenHBand="0" w:firstRowFirstColumn="0" w:firstRowLastColumn="0" w:lastRowFirstColumn="0" w:lastRowLastColumn="0"/>
              <w:rPr>
                <w:color w:val="333333"/>
                <w:sz w:val="22"/>
                <w:lang w:val="en-US"/>
              </w:rPr>
            </w:pPr>
            <w:r w:rsidRPr="00786A15">
              <w:rPr>
                <w:b/>
                <w:bCs/>
                <w:i/>
                <w:iCs/>
                <w:color w:val="1F497D" w:themeColor="text2"/>
                <w:sz w:val="22"/>
                <w:lang w:val="en-US"/>
              </w:rPr>
              <w:t>Objectives:</w:t>
            </w:r>
            <w:r w:rsidRPr="00786A15">
              <w:rPr>
                <w:i/>
                <w:iCs/>
                <w:color w:val="1F497D" w:themeColor="text2"/>
                <w:sz w:val="22"/>
                <w:lang w:val="en-US"/>
              </w:rPr>
              <w:t xml:space="preserve"> This session will focus on the key enablers for successful and impactful cable TV roll out. Case studies in Europe will be presented.</w:t>
            </w:r>
          </w:p>
          <w:p w:rsidR="008D6E0A" w:rsidRPr="00786A15" w:rsidRDefault="008D6E0A" w:rsidP="007B39FF">
            <w:pPr>
              <w:cnfStyle w:val="000000100000" w:firstRow="0" w:lastRow="0" w:firstColumn="0" w:lastColumn="0" w:oddVBand="0" w:evenVBand="0" w:oddHBand="1" w:evenHBand="0" w:firstRowFirstColumn="0" w:firstRowLastColumn="0" w:lastRowFirstColumn="0" w:lastRowLastColumn="0"/>
              <w:rPr>
                <w:color w:val="1F497D" w:themeColor="text2"/>
                <w:sz w:val="22"/>
                <w:lang w:val="en-US"/>
              </w:rPr>
            </w:pPr>
            <w:r w:rsidRPr="00786A15">
              <w:rPr>
                <w:b/>
                <w:bCs/>
                <w:color w:val="1F497D" w:themeColor="text2"/>
                <w:sz w:val="22"/>
                <w:lang w:val="en-US"/>
              </w:rPr>
              <w:t xml:space="preserve">Presentations and Moderated Panel Discussion </w:t>
            </w:r>
          </w:p>
        </w:tc>
      </w:tr>
      <w:tr w:rsidR="008D6E0A" w:rsidRPr="00786A15" w:rsidTr="00221039">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7B5501">
            <w:pPr>
              <w:spacing w:after="120"/>
              <w:ind w:right="-958"/>
              <w:rPr>
                <w:rStyle w:val="PlaceholderText"/>
                <w:color w:val="365F91"/>
                <w:sz w:val="22"/>
                <w:lang w:val="en-US"/>
              </w:rPr>
            </w:pPr>
            <w:r w:rsidRPr="00786A15">
              <w:rPr>
                <w:rStyle w:val="PlaceholderText"/>
                <w:bCs w:val="0"/>
                <w:color w:val="365F91"/>
                <w:sz w:val="22"/>
                <w:lang w:val="en-US"/>
              </w:rPr>
              <w:t>13:00 – 14:00</w:t>
            </w:r>
          </w:p>
        </w:tc>
        <w:tc>
          <w:tcPr>
            <w:tcW w:w="8019" w:type="dxa"/>
          </w:tcPr>
          <w:p w:rsidR="008D6E0A" w:rsidRPr="00786A15" w:rsidRDefault="008D6E0A" w:rsidP="00B24CBE">
            <w:pPr>
              <w:spacing w:after="120"/>
              <w:ind w:right="-958"/>
              <w:cnfStyle w:val="000000000000" w:firstRow="0" w:lastRow="0" w:firstColumn="0" w:lastColumn="0" w:oddVBand="0" w:evenVBand="0" w:oddHBand="0" w:evenHBand="0" w:firstRowFirstColumn="0" w:firstRowLastColumn="0" w:lastRowFirstColumn="0" w:lastRowLastColumn="0"/>
              <w:rPr>
                <w:rStyle w:val="PlaceholderText"/>
                <w:b/>
                <w:color w:val="365F91"/>
                <w:sz w:val="22"/>
                <w:lang w:val="en-US"/>
              </w:rPr>
            </w:pPr>
            <w:r w:rsidRPr="00786A15">
              <w:rPr>
                <w:rStyle w:val="PlaceholderText"/>
                <w:b/>
                <w:bCs/>
                <w:color w:val="365F91"/>
                <w:sz w:val="22"/>
                <w:lang w:val="en-US"/>
              </w:rPr>
              <w:t>Lunch Break</w:t>
            </w:r>
          </w:p>
        </w:tc>
      </w:tr>
      <w:tr w:rsidR="008D6E0A" w:rsidRPr="00FE45CE"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B24CBE">
            <w:pPr>
              <w:spacing w:after="120"/>
              <w:ind w:right="-958"/>
              <w:rPr>
                <w:rStyle w:val="PlaceholderText"/>
                <w:bCs w:val="0"/>
                <w:color w:val="365F91"/>
                <w:sz w:val="22"/>
                <w:lang w:val="en-US"/>
              </w:rPr>
            </w:pPr>
            <w:r w:rsidRPr="00786A15">
              <w:rPr>
                <w:rStyle w:val="PlaceholderText"/>
                <w:bCs w:val="0"/>
                <w:color w:val="365F91"/>
                <w:sz w:val="22"/>
                <w:lang w:val="en-US"/>
              </w:rPr>
              <w:t>14:00 – 16:00</w:t>
            </w:r>
          </w:p>
        </w:tc>
        <w:tc>
          <w:tcPr>
            <w:tcW w:w="8019" w:type="dxa"/>
          </w:tcPr>
          <w:p w:rsidR="008D6E0A" w:rsidRPr="00786A15" w:rsidRDefault="008D6E0A" w:rsidP="00B24CBE">
            <w:pPr>
              <w:spacing w:after="120"/>
              <w:ind w:right="-958"/>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lang w:val="en-US"/>
              </w:rPr>
            </w:pPr>
            <w:r w:rsidRPr="00786A15">
              <w:rPr>
                <w:b/>
                <w:bCs/>
                <w:color w:val="31849B" w:themeColor="accent5" w:themeShade="BF"/>
                <w:sz w:val="22"/>
                <w:lang w:val="en-US"/>
              </w:rPr>
              <w:t>Session 2: Market Trends</w:t>
            </w:r>
            <w:r w:rsidRPr="00786A15">
              <w:rPr>
                <w:rFonts w:cs="Arial"/>
                <w:b/>
                <w:bCs/>
                <w:color w:val="31849B" w:themeColor="accent5" w:themeShade="BF"/>
                <w:sz w:val="22"/>
                <w:lang w:val="en-US"/>
              </w:rPr>
              <w:t xml:space="preserve"> and Business Models </w:t>
            </w:r>
          </w:p>
          <w:p w:rsidR="008D6E0A" w:rsidRPr="00786A15" w:rsidRDefault="008D6E0A" w:rsidP="00B24CBE">
            <w:pPr>
              <w:cnfStyle w:val="000000100000" w:firstRow="0" w:lastRow="0" w:firstColumn="0" w:lastColumn="0" w:oddVBand="0" w:evenVBand="0" w:oddHBand="1" w:evenHBand="0" w:firstRowFirstColumn="0" w:firstRowLastColumn="0" w:lastRowFirstColumn="0" w:lastRowLastColumn="0"/>
              <w:rPr>
                <w:color w:val="333333"/>
                <w:sz w:val="22"/>
                <w:lang w:val="en-US"/>
              </w:rPr>
            </w:pPr>
            <w:r w:rsidRPr="00786A15">
              <w:rPr>
                <w:b/>
                <w:bCs/>
                <w:i/>
                <w:iCs/>
                <w:color w:val="1F497D" w:themeColor="text2"/>
                <w:sz w:val="22"/>
                <w:lang w:val="en-US"/>
              </w:rPr>
              <w:t>Objectives:</w:t>
            </w:r>
            <w:r w:rsidRPr="00786A15">
              <w:rPr>
                <w:i/>
                <w:iCs/>
                <w:color w:val="1F497D" w:themeColor="text2"/>
                <w:sz w:val="22"/>
                <w:lang w:val="en-US"/>
              </w:rPr>
              <w:t xml:space="preserve"> This session will focus on the cable television emerging trends from a business perspective. Industry challenges and opportunities in both the developed and developing countries will be discussed.</w:t>
            </w:r>
          </w:p>
          <w:p w:rsidR="008D6E0A" w:rsidRPr="00786A15" w:rsidRDefault="008D6E0A" w:rsidP="00B24CBE">
            <w:pPr>
              <w:spacing w:after="120"/>
              <w:cnfStyle w:val="000000100000" w:firstRow="0" w:lastRow="0" w:firstColumn="0" w:lastColumn="0" w:oddVBand="0" w:evenVBand="0" w:oddHBand="1" w:evenHBand="0" w:firstRowFirstColumn="0" w:firstRowLastColumn="0" w:lastRowFirstColumn="0" w:lastRowLastColumn="0"/>
              <w:rPr>
                <w:color w:val="1F497D" w:themeColor="text2"/>
                <w:sz w:val="22"/>
                <w:lang w:val="en-US"/>
              </w:rPr>
            </w:pPr>
            <w:r w:rsidRPr="00786A15">
              <w:rPr>
                <w:b/>
                <w:bCs/>
                <w:color w:val="1F497D" w:themeColor="text2"/>
                <w:sz w:val="22"/>
                <w:lang w:val="en-US"/>
              </w:rPr>
              <w:t>Presentations and Moderated Panel Discussion</w:t>
            </w:r>
          </w:p>
        </w:tc>
      </w:tr>
      <w:tr w:rsidR="008D6E0A" w:rsidRPr="00786A15" w:rsidTr="00221039">
        <w:trPr>
          <w:trHeight w:val="237"/>
        </w:trPr>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B24CBE">
            <w:pPr>
              <w:spacing w:after="120"/>
              <w:ind w:right="-958"/>
              <w:rPr>
                <w:rStyle w:val="PlaceholderText"/>
                <w:color w:val="365F91"/>
                <w:sz w:val="22"/>
                <w:lang w:val="en-US"/>
              </w:rPr>
            </w:pPr>
            <w:r w:rsidRPr="00786A15">
              <w:rPr>
                <w:rStyle w:val="PlaceholderText"/>
                <w:color w:val="365F91"/>
                <w:sz w:val="22"/>
                <w:lang w:val="en-US"/>
              </w:rPr>
              <w:t>16:00 – 16:30</w:t>
            </w:r>
          </w:p>
        </w:tc>
        <w:tc>
          <w:tcPr>
            <w:tcW w:w="8019" w:type="dxa"/>
          </w:tcPr>
          <w:p w:rsidR="008D6E0A" w:rsidRPr="00786A15" w:rsidRDefault="008D6E0A" w:rsidP="00B24CBE">
            <w:pPr>
              <w:spacing w:after="120"/>
              <w:ind w:right="-958"/>
              <w:cnfStyle w:val="000000000000" w:firstRow="0" w:lastRow="0" w:firstColumn="0" w:lastColumn="0" w:oddVBand="0" w:evenVBand="0" w:oddHBand="0" w:evenHBand="0" w:firstRowFirstColumn="0" w:firstRowLastColumn="0" w:lastRowFirstColumn="0" w:lastRowLastColumn="0"/>
              <w:rPr>
                <w:b/>
                <w:bCs/>
                <w:color w:val="31849B" w:themeColor="accent5" w:themeShade="BF"/>
                <w:sz w:val="22"/>
                <w:lang w:val="en-US"/>
              </w:rPr>
            </w:pPr>
            <w:r w:rsidRPr="00786A15">
              <w:rPr>
                <w:b/>
                <w:bCs/>
                <w:color w:val="31849B" w:themeColor="accent5" w:themeShade="BF"/>
                <w:sz w:val="22"/>
                <w:lang w:val="en-US"/>
              </w:rPr>
              <w:t>Coffee Break</w:t>
            </w:r>
          </w:p>
        </w:tc>
      </w:tr>
      <w:tr w:rsidR="008D6E0A" w:rsidRPr="00FE45CE"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8D6E0A" w:rsidRPr="00786A15" w:rsidRDefault="008D6E0A" w:rsidP="00B24CBE">
            <w:pPr>
              <w:spacing w:after="120"/>
              <w:ind w:right="-958"/>
              <w:rPr>
                <w:color w:val="1F497D" w:themeColor="text2"/>
                <w:sz w:val="22"/>
                <w:lang w:val="en-US"/>
              </w:rPr>
            </w:pPr>
            <w:r w:rsidRPr="00786A15">
              <w:rPr>
                <w:rStyle w:val="PlaceholderText"/>
                <w:bCs w:val="0"/>
                <w:color w:val="365F91"/>
                <w:sz w:val="22"/>
                <w:lang w:val="en-US"/>
              </w:rPr>
              <w:t>16:30 – 18:00</w:t>
            </w:r>
          </w:p>
        </w:tc>
        <w:tc>
          <w:tcPr>
            <w:tcW w:w="8019" w:type="dxa"/>
          </w:tcPr>
          <w:p w:rsidR="008D6E0A" w:rsidRPr="00786A15" w:rsidRDefault="008D6E0A" w:rsidP="00B24CBE">
            <w:pPr>
              <w:spacing w:after="120"/>
              <w:ind w:right="-958"/>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lang w:val="en-US"/>
              </w:rPr>
            </w:pPr>
            <w:r w:rsidRPr="00786A15">
              <w:rPr>
                <w:b/>
                <w:bCs/>
                <w:color w:val="31849B" w:themeColor="accent5" w:themeShade="BF"/>
                <w:sz w:val="22"/>
                <w:lang w:val="en-US"/>
              </w:rPr>
              <w:t xml:space="preserve">Session 3: Evolving Technology: Innovation Driving Growth of Cable TV </w:t>
            </w:r>
          </w:p>
          <w:p w:rsidR="008D6E0A" w:rsidRPr="00786A15" w:rsidRDefault="008D6E0A" w:rsidP="00B24CBE">
            <w:pPr>
              <w:cnfStyle w:val="000000100000" w:firstRow="0" w:lastRow="0" w:firstColumn="0" w:lastColumn="0" w:oddVBand="0" w:evenVBand="0" w:oddHBand="1" w:evenHBand="0" w:firstRowFirstColumn="0" w:firstRowLastColumn="0" w:lastRowFirstColumn="0" w:lastRowLastColumn="0"/>
              <w:rPr>
                <w:color w:val="333333"/>
                <w:sz w:val="22"/>
                <w:lang w:val="en-US"/>
              </w:rPr>
            </w:pPr>
            <w:r w:rsidRPr="00786A15">
              <w:rPr>
                <w:b/>
                <w:bCs/>
                <w:i/>
                <w:iCs/>
                <w:color w:val="1F497D" w:themeColor="text2"/>
                <w:sz w:val="22"/>
                <w:lang w:val="en-US"/>
              </w:rPr>
              <w:t>Objectives:</w:t>
            </w:r>
            <w:r w:rsidRPr="00786A15">
              <w:rPr>
                <w:i/>
                <w:iCs/>
                <w:color w:val="1F497D" w:themeColor="text2"/>
                <w:sz w:val="22"/>
                <w:lang w:val="en-US"/>
              </w:rPr>
              <w:t xml:space="preserve"> This session will present latest technological innovation for the content delivery on integrated broadband cable networks, including new types of smart terminals able to provide integrated services, including advanced user interfaces.</w:t>
            </w:r>
          </w:p>
          <w:p w:rsidR="008D6E0A" w:rsidRPr="00786A15" w:rsidRDefault="008D6E0A" w:rsidP="00B24CBE">
            <w:pPr>
              <w:cnfStyle w:val="000000100000" w:firstRow="0" w:lastRow="0" w:firstColumn="0" w:lastColumn="0" w:oddVBand="0" w:evenVBand="0" w:oddHBand="1" w:evenHBand="0" w:firstRowFirstColumn="0" w:firstRowLastColumn="0" w:lastRowFirstColumn="0" w:lastRowLastColumn="0"/>
              <w:rPr>
                <w:b/>
                <w:bCs/>
                <w:color w:val="1F497D" w:themeColor="text2"/>
                <w:sz w:val="22"/>
                <w:lang w:val="en-US"/>
              </w:rPr>
            </w:pPr>
            <w:r w:rsidRPr="00786A15">
              <w:rPr>
                <w:b/>
                <w:bCs/>
                <w:color w:val="1F497D" w:themeColor="text2"/>
                <w:sz w:val="22"/>
                <w:lang w:val="en-US"/>
              </w:rPr>
              <w:t>Presentations and Moderated Panel Discussion</w:t>
            </w:r>
          </w:p>
        </w:tc>
      </w:tr>
    </w:tbl>
    <w:p w:rsidR="008D6E0A" w:rsidRPr="004E492D" w:rsidRDefault="008D6E0A" w:rsidP="003710FB">
      <w:pPr>
        <w:jc w:val="center"/>
        <w:rPr>
          <w:rFonts w:cs="Arial"/>
          <w:b/>
          <w:bCs/>
          <w:color w:val="31849B" w:themeColor="accent5" w:themeShade="BF"/>
          <w:sz w:val="22"/>
          <w:szCs w:val="22"/>
        </w:rPr>
      </w:pPr>
      <w:r w:rsidRPr="004E492D">
        <w:rPr>
          <w:rFonts w:cs="Arial"/>
          <w:b/>
          <w:bCs/>
          <w:color w:val="31849B" w:themeColor="accent5" w:themeShade="BF"/>
          <w:sz w:val="22"/>
          <w:szCs w:val="22"/>
        </w:rPr>
        <w:t xml:space="preserve">Friday, 26 </w:t>
      </w:r>
      <w:proofErr w:type="spellStart"/>
      <w:r w:rsidRPr="004E492D">
        <w:rPr>
          <w:rFonts w:cs="Arial"/>
          <w:b/>
          <w:bCs/>
          <w:color w:val="31849B" w:themeColor="accent5" w:themeShade="BF"/>
          <w:sz w:val="22"/>
          <w:szCs w:val="22"/>
        </w:rPr>
        <w:t>January</w:t>
      </w:r>
      <w:proofErr w:type="spellEnd"/>
      <w:r w:rsidRPr="004E492D">
        <w:rPr>
          <w:rFonts w:cs="Arial"/>
          <w:b/>
          <w:bCs/>
          <w:color w:val="31849B" w:themeColor="accent5" w:themeShade="BF"/>
          <w:sz w:val="22"/>
          <w:szCs w:val="22"/>
        </w:rPr>
        <w:t xml:space="preserve"> 2018</w:t>
      </w:r>
    </w:p>
    <w:tbl>
      <w:tblPr>
        <w:tblStyle w:val="ListTable2-Accent5"/>
        <w:tblW w:w="9644" w:type="dxa"/>
        <w:tblInd w:w="137" w:type="dxa"/>
        <w:tblLook w:val="04A0" w:firstRow="1" w:lastRow="0" w:firstColumn="1" w:lastColumn="0" w:noHBand="0" w:noVBand="1"/>
      </w:tblPr>
      <w:tblGrid>
        <w:gridCol w:w="1498"/>
        <w:gridCol w:w="8146"/>
      </w:tblGrid>
      <w:tr w:rsidR="008D6E0A" w:rsidRPr="00FE45CE" w:rsidTr="00221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92CDDC" w:themeColor="accent5" w:themeTint="99"/>
            </w:tcBorders>
            <w:shd w:val="clear" w:color="auto" w:fill="DAEEF3" w:themeFill="accent5" w:themeFillTint="33"/>
          </w:tcPr>
          <w:p w:rsidR="008D6E0A" w:rsidRPr="004E492D" w:rsidRDefault="008D6E0A" w:rsidP="00B24CBE">
            <w:pPr>
              <w:pStyle w:val="Event"/>
              <w:spacing w:before="120"/>
              <w:rPr>
                <w:rStyle w:val="PlaceholderText"/>
                <w:rFonts w:asciiTheme="minorHAnsi" w:hAnsiTheme="minorHAnsi"/>
                <w:color w:val="365F91"/>
                <w:sz w:val="22"/>
                <w:lang w:val="es-ES_tradnl"/>
              </w:rPr>
            </w:pPr>
            <w:r w:rsidRPr="004E492D">
              <w:rPr>
                <w:rStyle w:val="PlaceholderText"/>
                <w:rFonts w:asciiTheme="minorHAnsi" w:hAnsiTheme="minorHAnsi"/>
                <w:color w:val="365F91"/>
                <w:sz w:val="22"/>
                <w:lang w:val="es-ES_tradnl"/>
              </w:rPr>
              <w:t>09:30 – 11:30</w:t>
            </w:r>
          </w:p>
        </w:tc>
        <w:tc>
          <w:tcPr>
            <w:tcW w:w="8146" w:type="dxa"/>
            <w:tcBorders>
              <w:bottom w:val="single" w:sz="4" w:space="0" w:color="92CDDC" w:themeColor="accent5" w:themeTint="99"/>
            </w:tcBorders>
            <w:shd w:val="clear" w:color="auto" w:fill="DAEEF3" w:themeFill="accent5" w:themeFillTint="33"/>
          </w:tcPr>
          <w:p w:rsidR="008D6E0A" w:rsidRPr="006916BA" w:rsidRDefault="008D6E0A" w:rsidP="00B24CBE">
            <w:pPr>
              <w:spacing w:after="120"/>
              <w:ind w:right="-958"/>
              <w:cnfStyle w:val="100000000000" w:firstRow="1" w:lastRow="0" w:firstColumn="0" w:lastColumn="0" w:oddVBand="0" w:evenVBand="0" w:oddHBand="0" w:evenHBand="0" w:firstRowFirstColumn="0" w:firstRowLastColumn="0" w:lastRowFirstColumn="0" w:lastRowLastColumn="0"/>
              <w:rPr>
                <w:rFonts w:cs="Arial"/>
                <w:color w:val="31849B" w:themeColor="accent5" w:themeShade="BF"/>
                <w:sz w:val="22"/>
                <w:lang w:val="en-US"/>
              </w:rPr>
            </w:pPr>
            <w:r w:rsidRPr="006916BA">
              <w:rPr>
                <w:rFonts w:cs="Arial"/>
                <w:color w:val="31849B" w:themeColor="accent5" w:themeShade="BF"/>
                <w:sz w:val="22"/>
                <w:lang w:val="en-US"/>
              </w:rPr>
              <w:t>Session 4: Setting International Standards for Sustainable Growth of Cable TV</w:t>
            </w:r>
          </w:p>
          <w:p w:rsidR="008D6E0A" w:rsidRPr="006916BA" w:rsidRDefault="008D6E0A" w:rsidP="00B24CBE">
            <w:pPr>
              <w:cnfStyle w:val="100000000000" w:firstRow="1" w:lastRow="0" w:firstColumn="0" w:lastColumn="0" w:oddVBand="0" w:evenVBand="0" w:oddHBand="0" w:evenHBand="0" w:firstRowFirstColumn="0" w:firstRowLastColumn="0" w:lastRowFirstColumn="0" w:lastRowLastColumn="0"/>
              <w:rPr>
                <w:rFonts w:cs="Arial"/>
                <w:color w:val="333333"/>
                <w:sz w:val="22"/>
                <w:lang w:val="en-US"/>
              </w:rPr>
            </w:pPr>
            <w:r w:rsidRPr="006916BA">
              <w:rPr>
                <w:rFonts w:cs="Arial"/>
                <w:i/>
                <w:iCs/>
                <w:color w:val="1F497D" w:themeColor="text2"/>
                <w:sz w:val="22"/>
                <w:lang w:val="en-US"/>
              </w:rPr>
              <w:t xml:space="preserve">Objectives: </w:t>
            </w:r>
            <w:r w:rsidRPr="006916BA">
              <w:rPr>
                <w:rFonts w:cs="Arial"/>
                <w:b w:val="0"/>
                <w:bCs w:val="0"/>
                <w:i/>
                <w:iCs/>
                <w:color w:val="1F497D" w:themeColor="text2"/>
                <w:sz w:val="22"/>
                <w:lang w:val="en-US"/>
              </w:rPr>
              <w:t>This session will focus on regional and international standardization in the field of cable TV roll outs. The goal is to identify standardization gaps and brainstorm on standardization needs from the cable industry perspective.</w:t>
            </w:r>
          </w:p>
          <w:p w:rsidR="008D6E0A" w:rsidRPr="006916BA" w:rsidRDefault="008D6E0A" w:rsidP="00F60072">
            <w:pPr>
              <w:cnfStyle w:val="100000000000" w:firstRow="1" w:lastRow="0" w:firstColumn="0" w:lastColumn="0" w:oddVBand="0" w:evenVBand="0" w:oddHBand="0" w:evenHBand="0" w:firstRowFirstColumn="0" w:firstRowLastColumn="0" w:lastRowFirstColumn="0" w:lastRowLastColumn="0"/>
              <w:rPr>
                <w:rFonts w:cs="Arial"/>
                <w:b w:val="0"/>
                <w:bCs w:val="0"/>
                <w:color w:val="1F497D" w:themeColor="text2"/>
                <w:sz w:val="22"/>
                <w:lang w:val="en-US"/>
              </w:rPr>
            </w:pPr>
            <w:r w:rsidRPr="006916BA">
              <w:rPr>
                <w:color w:val="1F497D" w:themeColor="text2"/>
                <w:sz w:val="22"/>
                <w:lang w:val="en-US"/>
              </w:rPr>
              <w:t>Presentations and Moderated Panel Discussion</w:t>
            </w:r>
            <w:r w:rsidRPr="006916BA">
              <w:rPr>
                <w:rFonts w:cs="Arial"/>
                <w:color w:val="1F497D" w:themeColor="text2"/>
                <w:sz w:val="22"/>
                <w:lang w:val="en-US"/>
              </w:rPr>
              <w:t xml:space="preserve"> </w:t>
            </w:r>
          </w:p>
        </w:tc>
      </w:tr>
      <w:tr w:rsidR="008D6E0A" w:rsidRPr="004E492D"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92CDDC" w:themeColor="accent5" w:themeTint="99"/>
            </w:tcBorders>
            <w:shd w:val="clear" w:color="auto" w:fill="FFFFFF" w:themeFill="background1"/>
          </w:tcPr>
          <w:p w:rsidR="008D6E0A" w:rsidRPr="004E492D" w:rsidRDefault="008D6E0A" w:rsidP="00B24CBE">
            <w:pPr>
              <w:spacing w:after="120"/>
              <w:rPr>
                <w:b w:val="0"/>
                <w:bCs w:val="0"/>
                <w:color w:val="31849B" w:themeColor="accent5" w:themeShade="BF"/>
                <w:sz w:val="22"/>
              </w:rPr>
            </w:pPr>
            <w:r w:rsidRPr="004E492D">
              <w:rPr>
                <w:color w:val="31849B" w:themeColor="accent5" w:themeShade="BF"/>
                <w:sz w:val="22"/>
              </w:rPr>
              <w:t>11:30</w:t>
            </w:r>
            <w:r w:rsidRPr="004E492D">
              <w:rPr>
                <w:rStyle w:val="PlaceholderText"/>
                <w:color w:val="31849B" w:themeColor="accent5" w:themeShade="BF"/>
                <w:sz w:val="22"/>
              </w:rPr>
              <w:t xml:space="preserve"> – 12:00</w:t>
            </w:r>
          </w:p>
        </w:tc>
        <w:tc>
          <w:tcPr>
            <w:tcW w:w="8146" w:type="dxa"/>
            <w:tcBorders>
              <w:bottom w:val="single" w:sz="4" w:space="0" w:color="92CDDC" w:themeColor="accent5" w:themeTint="99"/>
            </w:tcBorders>
            <w:shd w:val="clear" w:color="auto" w:fill="FFFFFF" w:themeFill="background1"/>
          </w:tcPr>
          <w:p w:rsidR="008D6E0A" w:rsidRPr="004E492D" w:rsidRDefault="008D6E0A" w:rsidP="00B24CBE">
            <w:pPr>
              <w:spacing w:after="120"/>
              <w:cnfStyle w:val="000000100000" w:firstRow="0" w:lastRow="0" w:firstColumn="0" w:lastColumn="0" w:oddVBand="0" w:evenVBand="0" w:oddHBand="1" w:evenHBand="0" w:firstRowFirstColumn="0" w:firstRowLastColumn="0" w:lastRowFirstColumn="0" w:lastRowLastColumn="0"/>
              <w:rPr>
                <w:rFonts w:cs="Arial"/>
                <w:b/>
                <w:bCs/>
                <w:color w:val="1F497D" w:themeColor="text2"/>
                <w:sz w:val="22"/>
              </w:rPr>
            </w:pPr>
            <w:proofErr w:type="spellStart"/>
            <w:r w:rsidRPr="004E492D">
              <w:rPr>
                <w:rFonts w:cs="Arial"/>
                <w:b/>
                <w:bCs/>
                <w:color w:val="31849B" w:themeColor="accent5" w:themeShade="BF"/>
                <w:sz w:val="22"/>
              </w:rPr>
              <w:t>Coffee</w:t>
            </w:r>
            <w:proofErr w:type="spellEnd"/>
            <w:r w:rsidRPr="004E492D">
              <w:rPr>
                <w:rFonts w:cs="Arial"/>
                <w:b/>
                <w:bCs/>
                <w:color w:val="31849B" w:themeColor="accent5" w:themeShade="BF"/>
                <w:sz w:val="22"/>
              </w:rPr>
              <w:t xml:space="preserve"> Break</w:t>
            </w:r>
          </w:p>
        </w:tc>
      </w:tr>
      <w:tr w:rsidR="008D6E0A" w:rsidRPr="00FE45CE" w:rsidTr="00221039">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92CDDC" w:themeColor="accent5" w:themeTint="99"/>
            </w:tcBorders>
            <w:shd w:val="clear" w:color="auto" w:fill="DAEEF3" w:themeFill="accent5" w:themeFillTint="33"/>
          </w:tcPr>
          <w:p w:rsidR="008D6E0A" w:rsidRPr="004E492D" w:rsidRDefault="008D6E0A" w:rsidP="00B24CBE">
            <w:pPr>
              <w:pStyle w:val="Event"/>
              <w:spacing w:before="120"/>
              <w:rPr>
                <w:rStyle w:val="PlaceholderText"/>
                <w:rFonts w:asciiTheme="minorHAnsi" w:hAnsiTheme="minorHAnsi"/>
                <w:color w:val="365F91"/>
                <w:sz w:val="22"/>
                <w:lang w:val="es-ES_tradnl"/>
              </w:rPr>
            </w:pPr>
            <w:r w:rsidRPr="004E492D">
              <w:rPr>
                <w:rStyle w:val="PlaceholderText"/>
                <w:rFonts w:asciiTheme="minorHAnsi" w:hAnsiTheme="minorHAnsi"/>
                <w:color w:val="365F91"/>
                <w:sz w:val="22"/>
                <w:lang w:val="es-ES_tradnl"/>
              </w:rPr>
              <w:t>12:00 – 12:45</w:t>
            </w:r>
          </w:p>
        </w:tc>
        <w:tc>
          <w:tcPr>
            <w:tcW w:w="8146" w:type="dxa"/>
            <w:tcBorders>
              <w:bottom w:val="single" w:sz="4" w:space="0" w:color="92CDDC" w:themeColor="accent5" w:themeTint="99"/>
            </w:tcBorders>
            <w:shd w:val="clear" w:color="auto" w:fill="DAEEF3" w:themeFill="accent5" w:themeFillTint="33"/>
          </w:tcPr>
          <w:p w:rsidR="008D6E0A" w:rsidRPr="006916BA" w:rsidRDefault="008D6E0A" w:rsidP="00B24CBE">
            <w:pPr>
              <w:spacing w:after="120"/>
              <w:cnfStyle w:val="000000000000" w:firstRow="0" w:lastRow="0" w:firstColumn="0" w:lastColumn="0" w:oddVBand="0" w:evenVBand="0" w:oddHBand="0" w:evenHBand="0" w:firstRowFirstColumn="0" w:firstRowLastColumn="0" w:lastRowFirstColumn="0" w:lastRowLastColumn="0"/>
              <w:rPr>
                <w:rFonts w:cs="Arial"/>
                <w:b/>
                <w:bCs/>
                <w:color w:val="1F497D" w:themeColor="text2"/>
                <w:sz w:val="22"/>
                <w:lang w:val="en-US"/>
              </w:rPr>
            </w:pPr>
            <w:r w:rsidRPr="006916BA">
              <w:rPr>
                <w:rFonts w:cs="Arial"/>
                <w:b/>
                <w:bCs/>
                <w:color w:val="31849B" w:themeColor="accent5" w:themeShade="BF"/>
                <w:sz w:val="22"/>
                <w:lang w:val="en-US"/>
              </w:rPr>
              <w:t>Session 5: Way Forward</w:t>
            </w:r>
          </w:p>
          <w:p w:rsidR="008D6E0A" w:rsidRPr="006916BA" w:rsidRDefault="008D6E0A" w:rsidP="00F60072">
            <w:pPr>
              <w:cnfStyle w:val="000000000000" w:firstRow="0" w:lastRow="0" w:firstColumn="0" w:lastColumn="0" w:oddVBand="0" w:evenVBand="0" w:oddHBand="0" w:evenHBand="0" w:firstRowFirstColumn="0" w:firstRowLastColumn="0" w:lastRowFirstColumn="0" w:lastRowLastColumn="0"/>
              <w:rPr>
                <w:rFonts w:cs="Arial"/>
                <w:color w:val="1F497D" w:themeColor="text2"/>
                <w:sz w:val="22"/>
                <w:lang w:val="en-US"/>
              </w:rPr>
            </w:pPr>
            <w:r w:rsidRPr="006916BA">
              <w:rPr>
                <w:rFonts w:cs="Arial"/>
                <w:b/>
                <w:bCs/>
                <w:color w:val="1F497D" w:themeColor="text2"/>
                <w:sz w:val="22"/>
                <w:lang w:val="en-US"/>
              </w:rPr>
              <w:t xml:space="preserve">Panel Discussions </w:t>
            </w:r>
          </w:p>
        </w:tc>
      </w:tr>
      <w:tr w:rsidR="008D6E0A" w:rsidRPr="004E492D" w:rsidTr="00221039">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tcPr>
          <w:p w:rsidR="008D6E0A" w:rsidRPr="004E492D" w:rsidRDefault="008D6E0A" w:rsidP="00B24CBE">
            <w:pPr>
              <w:pStyle w:val="Event"/>
              <w:spacing w:before="120"/>
              <w:rPr>
                <w:rStyle w:val="PlaceholderText"/>
                <w:rFonts w:asciiTheme="minorHAnsi" w:hAnsiTheme="minorHAnsi"/>
                <w:color w:val="365F91"/>
                <w:sz w:val="22"/>
                <w:lang w:val="es-ES_tradnl"/>
              </w:rPr>
            </w:pPr>
            <w:r w:rsidRPr="004E492D">
              <w:rPr>
                <w:rStyle w:val="PlaceholderText"/>
                <w:rFonts w:asciiTheme="minorHAnsi" w:hAnsiTheme="minorHAnsi"/>
                <w:color w:val="365F91"/>
                <w:sz w:val="22"/>
                <w:lang w:val="es-ES_tradnl"/>
              </w:rPr>
              <w:t>12:45 – 13:00</w:t>
            </w:r>
          </w:p>
        </w:tc>
        <w:tc>
          <w:tcPr>
            <w:tcW w:w="8146" w:type="dxa"/>
            <w:shd w:val="clear" w:color="auto" w:fill="FFFFFF" w:themeFill="background1"/>
          </w:tcPr>
          <w:p w:rsidR="008D6E0A" w:rsidRPr="004E492D" w:rsidRDefault="008D6E0A" w:rsidP="00F60072">
            <w:pPr>
              <w:spacing w:after="120"/>
              <w:cnfStyle w:val="000000100000" w:firstRow="0" w:lastRow="0" w:firstColumn="0" w:lastColumn="0" w:oddVBand="0" w:evenVBand="0" w:oddHBand="1" w:evenHBand="0" w:firstRowFirstColumn="0" w:firstRowLastColumn="0" w:lastRowFirstColumn="0" w:lastRowLastColumn="0"/>
              <w:rPr>
                <w:rFonts w:cs="Arial"/>
                <w:b/>
                <w:bCs/>
                <w:color w:val="31849B" w:themeColor="accent5" w:themeShade="BF"/>
                <w:sz w:val="22"/>
              </w:rPr>
            </w:pPr>
            <w:proofErr w:type="spellStart"/>
            <w:r w:rsidRPr="004E492D">
              <w:rPr>
                <w:rFonts w:cs="Arial"/>
                <w:b/>
                <w:bCs/>
                <w:color w:val="31849B" w:themeColor="accent5" w:themeShade="BF"/>
                <w:sz w:val="22"/>
              </w:rPr>
              <w:t>Conclusion</w:t>
            </w:r>
            <w:proofErr w:type="spellEnd"/>
            <w:r w:rsidRPr="004E492D">
              <w:rPr>
                <w:rFonts w:cs="Arial"/>
                <w:b/>
                <w:bCs/>
                <w:color w:val="31849B" w:themeColor="accent5" w:themeShade="BF"/>
                <w:sz w:val="22"/>
              </w:rPr>
              <w:t xml:space="preserve"> and </w:t>
            </w:r>
            <w:proofErr w:type="spellStart"/>
            <w:r w:rsidRPr="004E492D">
              <w:rPr>
                <w:rFonts w:cs="Arial"/>
                <w:b/>
                <w:bCs/>
                <w:color w:val="31849B" w:themeColor="accent5" w:themeShade="BF"/>
                <w:sz w:val="22"/>
              </w:rPr>
              <w:t>Closing</w:t>
            </w:r>
            <w:proofErr w:type="spellEnd"/>
            <w:r w:rsidRPr="004E492D">
              <w:rPr>
                <w:rFonts w:cs="Arial"/>
                <w:b/>
                <w:bCs/>
                <w:color w:val="31849B" w:themeColor="accent5" w:themeShade="BF"/>
                <w:sz w:val="22"/>
              </w:rPr>
              <w:t xml:space="preserve"> </w:t>
            </w:r>
            <w:proofErr w:type="spellStart"/>
            <w:r w:rsidRPr="004E492D">
              <w:rPr>
                <w:rFonts w:cs="Arial"/>
                <w:b/>
                <w:bCs/>
                <w:color w:val="31849B" w:themeColor="accent5" w:themeShade="BF"/>
                <w:sz w:val="22"/>
              </w:rPr>
              <w:t>Ceremony</w:t>
            </w:r>
            <w:proofErr w:type="spellEnd"/>
          </w:p>
        </w:tc>
      </w:tr>
    </w:tbl>
    <w:p w:rsidR="004E492D" w:rsidRPr="004E492D" w:rsidRDefault="004E492D" w:rsidP="0032202E">
      <w:pPr>
        <w:pStyle w:val="Reasons"/>
        <w:rPr>
          <w:lang w:val="es-ES_tradnl"/>
        </w:rPr>
      </w:pPr>
    </w:p>
    <w:p w:rsidR="004E492D" w:rsidRPr="004E492D" w:rsidRDefault="004E492D">
      <w:pPr>
        <w:jc w:val="center"/>
      </w:pPr>
      <w:r w:rsidRPr="004E492D">
        <w:t>______________</w:t>
      </w:r>
    </w:p>
    <w:sectPr w:rsidR="004E492D" w:rsidRPr="004E492D" w:rsidSect="00B87E9E">
      <w:head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34" w:rsidRDefault="00F51334">
      <w:r>
        <w:separator/>
      </w:r>
    </w:p>
  </w:endnote>
  <w:endnote w:type="continuationSeparator" w:id="0">
    <w:p w:rsidR="00F51334" w:rsidRDefault="00F5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8D6E0A" w:rsidRDefault="0014464D" w:rsidP="00E1790B">
    <w:pPr>
      <w:pStyle w:val="FirstFooter"/>
      <w:ind w:left="-397" w:right="-397"/>
      <w:jc w:val="center"/>
      <w:rPr>
        <w:szCs w:val="18"/>
      </w:rPr>
    </w:pPr>
    <w:r w:rsidRPr="008D6E0A">
      <w:rPr>
        <w:szCs w:val="18"/>
      </w:rPr>
      <w:t xml:space="preserve">Unión Internacional de Telecomunicaciones • Place des </w:t>
    </w:r>
    <w:proofErr w:type="spellStart"/>
    <w:r w:rsidRPr="008D6E0A">
      <w:rPr>
        <w:szCs w:val="18"/>
      </w:rPr>
      <w:t>Nations</w:t>
    </w:r>
    <w:proofErr w:type="spellEnd"/>
    <w:r w:rsidRPr="008D6E0A">
      <w:rPr>
        <w:szCs w:val="18"/>
      </w:rPr>
      <w:t>, CH</w:t>
    </w:r>
    <w:r w:rsidRPr="008D6E0A">
      <w:rPr>
        <w:szCs w:val="18"/>
      </w:rPr>
      <w:noBreakHyphen/>
      <w:t xml:space="preserve">1211 Ginebra 20, Suiza </w:t>
    </w:r>
    <w:r w:rsidRPr="008D6E0A">
      <w:rPr>
        <w:szCs w:val="18"/>
      </w:rPr>
      <w:br/>
      <w:t>Tel</w:t>
    </w:r>
    <w:r w:rsidR="00D54B38">
      <w:rPr>
        <w:szCs w:val="18"/>
      </w:rPr>
      <w:t>.</w:t>
    </w:r>
    <w:r w:rsidRPr="008D6E0A">
      <w:rPr>
        <w:szCs w:val="18"/>
      </w:rPr>
      <w:t xml:space="preserve">: +41 22 730 5111 • Fax: +41 22 733 7256 • Correo-e: </w:t>
    </w:r>
    <w:hyperlink r:id="rId1" w:history="1">
      <w:r w:rsidR="00E1790B" w:rsidRPr="00E1790B">
        <w:rPr>
          <w:rStyle w:val="Hyperlink"/>
          <w:rFonts w:ascii="Calibri" w:hAnsi="Calibri"/>
          <w:szCs w:val="18"/>
        </w:rPr>
        <w:t>itumail@itu.int</w:t>
      </w:r>
    </w:hyperlink>
    <w:r w:rsidR="00E1790B" w:rsidRPr="00E1790B">
      <w:rPr>
        <w:rStyle w:val="Hyperlink"/>
        <w:rFonts w:ascii="Calibri" w:hAnsi="Calibri"/>
        <w:szCs w:val="18"/>
      </w:rPr>
      <w:t xml:space="preserve"> / bdtmail@itu.int</w:t>
    </w:r>
    <w:r w:rsidR="00E1790B" w:rsidRPr="00E1790B">
      <w:rPr>
        <w:rFonts w:ascii="Calibri" w:hAnsi="Calibri"/>
        <w:szCs w:val="18"/>
      </w:rPr>
      <w:t xml:space="preserve"> • </w:t>
    </w:r>
    <w:hyperlink r:id="rId2" w:history="1">
      <w:r w:rsidR="00E1790B" w:rsidRPr="00E1790B">
        <w:rPr>
          <w:rStyle w:val="Hyperlink"/>
          <w:rFonts w:ascii="Calibri" w:hAnsi="Calibri"/>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34" w:rsidRDefault="00F51334">
      <w:r>
        <w:t>____________________</w:t>
      </w:r>
    </w:p>
  </w:footnote>
  <w:footnote w:type="continuationSeparator" w:id="0">
    <w:p w:rsidR="00F51334" w:rsidRDefault="00F5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FE45CE">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p w:rsidR="00EC5C81" w:rsidRPr="00EC5C81" w:rsidRDefault="00EC5C81" w:rsidP="00F9136A">
    <w:pPr>
      <w:pStyle w:val="Header"/>
      <w:rPr>
        <w:sz w:val="18"/>
        <w:szCs w:val="18"/>
      </w:rPr>
    </w:pPr>
    <w:r w:rsidRPr="00EC5C81">
      <w:rPr>
        <w:rFonts w:ascii="Calibri" w:hAnsi="Calibri"/>
        <w:noProof/>
        <w:sz w:val="18"/>
        <w:szCs w:val="18"/>
      </w:rPr>
      <w:t xml:space="preserve">Circular </w:t>
    </w:r>
    <w:r w:rsidR="00F9136A" w:rsidRPr="00EC5C81">
      <w:rPr>
        <w:rFonts w:ascii="Calibri" w:hAnsi="Calibri"/>
        <w:noProof/>
        <w:sz w:val="18"/>
        <w:szCs w:val="18"/>
      </w:rPr>
      <w:t>51</w:t>
    </w:r>
    <w:r w:rsidR="00F9136A">
      <w:rPr>
        <w:rFonts w:ascii="Calibri" w:hAnsi="Calibri"/>
        <w:noProof/>
        <w:sz w:val="18"/>
        <w:szCs w:val="18"/>
      </w:rPr>
      <w:t xml:space="preserve"> </w:t>
    </w:r>
    <w:r w:rsidRPr="00EC5C81">
      <w:rPr>
        <w:rFonts w:ascii="Calibri" w:hAnsi="Calibri"/>
        <w:noProof/>
        <w:sz w:val="18"/>
        <w:szCs w:val="18"/>
      </w:rPr>
      <w:t>TSB  |  Circular CL015</w:t>
    </w:r>
    <w:r w:rsidR="00F9136A" w:rsidRPr="00F9136A">
      <w:rPr>
        <w:rFonts w:ascii="Calibri" w:hAnsi="Calibri"/>
        <w:noProof/>
        <w:sz w:val="18"/>
        <w:szCs w:val="18"/>
      </w:rPr>
      <w:t xml:space="preserve"> </w:t>
    </w:r>
    <w:r w:rsidR="00F9136A" w:rsidRPr="00EC5C81">
      <w:rPr>
        <w:rFonts w:ascii="Calibri" w:hAnsi="Calibri"/>
        <w:noProof/>
        <w:sz w:val="18"/>
        <w:szCs w:val="18"/>
      </w:rPr>
      <w:t>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CDD"/>
    <w:multiLevelType w:val="hybridMultilevel"/>
    <w:tmpl w:val="74E019AE"/>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0A"/>
    <w:rsid w:val="00002529"/>
    <w:rsid w:val="00085662"/>
    <w:rsid w:val="000C382F"/>
    <w:rsid w:val="001173CC"/>
    <w:rsid w:val="0014464D"/>
    <w:rsid w:val="001A3851"/>
    <w:rsid w:val="001A54CC"/>
    <w:rsid w:val="00257FB4"/>
    <w:rsid w:val="00283D7C"/>
    <w:rsid w:val="002860E0"/>
    <w:rsid w:val="002E496E"/>
    <w:rsid w:val="0030104C"/>
    <w:rsid w:val="00303D62"/>
    <w:rsid w:val="00335367"/>
    <w:rsid w:val="00370C2D"/>
    <w:rsid w:val="003D1E8D"/>
    <w:rsid w:val="003D673B"/>
    <w:rsid w:val="003F2855"/>
    <w:rsid w:val="00401C20"/>
    <w:rsid w:val="00476EA4"/>
    <w:rsid w:val="004A7957"/>
    <w:rsid w:val="004C4144"/>
    <w:rsid w:val="004E492D"/>
    <w:rsid w:val="005049C2"/>
    <w:rsid w:val="00557FD9"/>
    <w:rsid w:val="00582583"/>
    <w:rsid w:val="0062002E"/>
    <w:rsid w:val="006916BA"/>
    <w:rsid w:val="006969B4"/>
    <w:rsid w:val="006E4F7B"/>
    <w:rsid w:val="00781E2A"/>
    <w:rsid w:val="00786A15"/>
    <w:rsid w:val="007933A2"/>
    <w:rsid w:val="00814503"/>
    <w:rsid w:val="008258C2"/>
    <w:rsid w:val="008505BD"/>
    <w:rsid w:val="00850C78"/>
    <w:rsid w:val="00871572"/>
    <w:rsid w:val="00884D12"/>
    <w:rsid w:val="008C17AD"/>
    <w:rsid w:val="008D02CD"/>
    <w:rsid w:val="008D6E0A"/>
    <w:rsid w:val="0091370C"/>
    <w:rsid w:val="0095172A"/>
    <w:rsid w:val="009A0BA0"/>
    <w:rsid w:val="009C6A1E"/>
    <w:rsid w:val="00A54E47"/>
    <w:rsid w:val="00AB6E3A"/>
    <w:rsid w:val="00AD4517"/>
    <w:rsid w:val="00AE7093"/>
    <w:rsid w:val="00AF2790"/>
    <w:rsid w:val="00B422BC"/>
    <w:rsid w:val="00B43F77"/>
    <w:rsid w:val="00B55A3E"/>
    <w:rsid w:val="00B87E9E"/>
    <w:rsid w:val="00B95F0A"/>
    <w:rsid w:val="00B96180"/>
    <w:rsid w:val="00C116FE"/>
    <w:rsid w:val="00C17AC0"/>
    <w:rsid w:val="00C34772"/>
    <w:rsid w:val="00C5465A"/>
    <w:rsid w:val="00D54642"/>
    <w:rsid w:val="00D54B38"/>
    <w:rsid w:val="00D854C5"/>
    <w:rsid w:val="00DD77C9"/>
    <w:rsid w:val="00DF3538"/>
    <w:rsid w:val="00E1790B"/>
    <w:rsid w:val="00E839B0"/>
    <w:rsid w:val="00E92C09"/>
    <w:rsid w:val="00EC5C81"/>
    <w:rsid w:val="00EF4E9A"/>
    <w:rsid w:val="00F14380"/>
    <w:rsid w:val="00F51334"/>
    <w:rsid w:val="00F6461F"/>
    <w:rsid w:val="00F9136A"/>
    <w:rsid w:val="00FC1B27"/>
    <w:rsid w:val="00FC416A"/>
    <w:rsid w:val="00FD2B2D"/>
    <w:rsid w:val="00FE45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6A9120-9777-4E07-BCCE-F2EA82C3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PlaceholderText">
    <w:name w:val="Placeholder Text"/>
    <w:uiPriority w:val="99"/>
    <w:semiHidden/>
    <w:rsid w:val="008D6E0A"/>
    <w:rPr>
      <w:color w:val="808080"/>
    </w:rPr>
  </w:style>
  <w:style w:type="paragraph" w:customStyle="1" w:styleId="Event">
    <w:name w:val="Event"/>
    <w:basedOn w:val="Normal"/>
    <w:qFormat/>
    <w:rsid w:val="008D6E0A"/>
    <w:pPr>
      <w:tabs>
        <w:tab w:val="clear" w:pos="794"/>
        <w:tab w:val="clear" w:pos="1191"/>
        <w:tab w:val="clear" w:pos="1588"/>
        <w:tab w:val="clear" w:pos="1985"/>
      </w:tabs>
      <w:overflowPunct/>
      <w:autoSpaceDE/>
      <w:autoSpaceDN/>
      <w:adjustRightInd/>
      <w:spacing w:before="0" w:after="80"/>
      <w:textAlignment w:val="auto"/>
    </w:pPr>
    <w:rPr>
      <w:rFonts w:ascii="Calibri" w:eastAsia="Calibri" w:hAnsi="Calibri" w:cs="Arial"/>
      <w:sz w:val="18"/>
      <w:szCs w:val="22"/>
      <w:lang w:val="en-US"/>
    </w:rPr>
  </w:style>
  <w:style w:type="table" w:styleId="ListTable2-Accent5">
    <w:name w:val="List Table 2 Accent 5"/>
    <w:basedOn w:val="TableNormal"/>
    <w:uiPriority w:val="47"/>
    <w:rsid w:val="008D6E0A"/>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easons">
    <w:name w:val="Reasons"/>
    <w:basedOn w:val="Normal"/>
    <w:qFormat/>
    <w:rsid w:val="004E492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delegates-corner/Pages/default.aspx" TargetMode="External"/><Relationship Id="rId17" Type="http://schemas.openxmlformats.org/officeDocument/2006/relationships/hyperlink" Target="mailto:tsbsg9@itu.int" TargetMode="External"/><Relationship Id="rId2" Type="http://schemas.openxmlformats.org/officeDocument/2006/relationships/numbering" Target="numbering.xml"/><Relationship Id="rId16" Type="http://schemas.openxmlformats.org/officeDocument/2006/relationships/hyperlink" Target="mailto:eurregi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Europe/Pages/Events/2018/FCTV/The-Future-of-Cable-TV.aspx" TargetMode="External"/><Relationship Id="rId5" Type="http://schemas.openxmlformats.org/officeDocument/2006/relationships/webSettings" Target="webSettings.xml"/><Relationship Id="rId15" Type="http://schemas.openxmlformats.org/officeDocument/2006/relationships/hyperlink" Target="http://itu.int/reg/tmisc/3001025" TargetMode="External"/><Relationship Id="rId10" Type="http://schemas.openxmlformats.org/officeDocument/2006/relationships/hyperlink" Target="https://www.itu.int/md/T17-SG09-COL-0002/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studygroups/2017-2020/09/Pages/default.aspx" TargetMode="External"/><Relationship Id="rId14" Type="http://schemas.openxmlformats.org/officeDocument/2006/relationships/hyperlink" Target="https://www.itu.int/online/edrs/REGISTRATION/edrs.registration.form?_eventid=3001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007A-63FF-41E0-8FC5-8A265C1E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60</TotalTime>
  <Pages>3</Pages>
  <Words>1286</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8869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Osvath, Alexandra</cp:lastModifiedBy>
  <cp:revision>20</cp:revision>
  <cp:lastPrinted>2017-12-11T09:29:00Z</cp:lastPrinted>
  <dcterms:created xsi:type="dcterms:W3CDTF">2017-11-14T09:06:00Z</dcterms:created>
  <dcterms:modified xsi:type="dcterms:W3CDTF">2017-12-11T09:29:00Z</dcterms:modified>
</cp:coreProperties>
</file>