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107AFD" w:rsidRPr="0058773C" w:rsidTr="00CB634F">
        <w:trPr>
          <w:cantSplit/>
        </w:trPr>
        <w:tc>
          <w:tcPr>
            <w:tcW w:w="1418" w:type="dxa"/>
            <w:vAlign w:val="center"/>
          </w:tcPr>
          <w:p w:rsidR="00107AFD" w:rsidRPr="0058773C" w:rsidRDefault="00107AFD" w:rsidP="00C36E46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58773C">
              <w:rPr>
                <w:noProof/>
                <w:lang w:val="en-GB" w:eastAsia="zh-CN"/>
              </w:rPr>
              <w:drawing>
                <wp:inline distT="0" distB="0" distL="0" distR="0" wp14:anchorId="2194120C" wp14:editId="48850A6F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107AFD" w:rsidRPr="0058773C" w:rsidRDefault="00107AFD" w:rsidP="00C36E46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58773C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:rsidR="00107AFD" w:rsidRPr="0058773C" w:rsidRDefault="00107AFD" w:rsidP="00C36E46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58773C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58773C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:rsidR="00107AFD" w:rsidRPr="0058773C" w:rsidRDefault="00107AFD" w:rsidP="00C36E46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:rsidR="00107AFD" w:rsidRPr="0058773C" w:rsidRDefault="00107AFD" w:rsidP="00C36E46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</w:p>
    <w:p w:rsidR="009D51FA" w:rsidRPr="0058773C" w:rsidRDefault="00107AFD" w:rsidP="00C36E46">
      <w:pPr>
        <w:tabs>
          <w:tab w:val="clear" w:pos="794"/>
          <w:tab w:val="clear" w:pos="1191"/>
          <w:tab w:val="clear" w:pos="1588"/>
          <w:tab w:val="clear" w:pos="1985"/>
          <w:tab w:val="left" w:pos="4918"/>
          <w:tab w:val="left" w:pos="4962"/>
        </w:tabs>
      </w:pPr>
      <w:r w:rsidRPr="0058773C">
        <w:tab/>
      </w:r>
      <w:r w:rsidR="009D51FA" w:rsidRPr="0058773C">
        <w:t xml:space="preserve">Genève, le </w:t>
      </w:r>
      <w:r w:rsidR="002659D3">
        <w:t>12 juillet</w:t>
      </w:r>
      <w:r w:rsidR="004851AD">
        <w:t xml:space="preserve"> </w:t>
      </w:r>
      <w:r w:rsidR="000C3453" w:rsidRPr="0058773C">
        <w:t>2017</w:t>
      </w:r>
    </w:p>
    <w:p w:rsidR="009D51FA" w:rsidRPr="0058773C" w:rsidRDefault="009D51FA" w:rsidP="00C36E46">
      <w:pPr>
        <w:spacing w:before="0" w:after="24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321"/>
        <w:gridCol w:w="8"/>
      </w:tblGrid>
      <w:tr w:rsidR="009D51FA" w:rsidRPr="0058773C" w:rsidTr="0014552D">
        <w:trPr>
          <w:cantSplit/>
        </w:trPr>
        <w:tc>
          <w:tcPr>
            <w:tcW w:w="822" w:type="dxa"/>
          </w:tcPr>
          <w:p w:rsidR="009D51FA" w:rsidRPr="004851AD" w:rsidRDefault="009D51FA" w:rsidP="00C36E46">
            <w:pPr>
              <w:tabs>
                <w:tab w:val="left" w:pos="4111"/>
              </w:tabs>
              <w:spacing w:before="10"/>
              <w:rPr>
                <w:b/>
                <w:bCs/>
                <w:sz w:val="22"/>
              </w:rPr>
            </w:pPr>
            <w:r w:rsidRPr="004851AD">
              <w:rPr>
                <w:b/>
                <w:bCs/>
                <w:sz w:val="22"/>
              </w:rPr>
              <w:t>Réf.:</w:t>
            </w:r>
          </w:p>
        </w:tc>
        <w:tc>
          <w:tcPr>
            <w:tcW w:w="4055" w:type="dxa"/>
          </w:tcPr>
          <w:p w:rsidR="009D51FA" w:rsidRPr="0058773C" w:rsidRDefault="000C3453" w:rsidP="00C36E46">
            <w:pPr>
              <w:tabs>
                <w:tab w:val="left" w:pos="4111"/>
              </w:tabs>
              <w:spacing w:before="0"/>
              <w:rPr>
                <w:b/>
              </w:rPr>
            </w:pPr>
            <w:r w:rsidRPr="0058773C">
              <w:rPr>
                <w:b/>
              </w:rPr>
              <w:t xml:space="preserve">Circulaire TSB </w:t>
            </w:r>
            <w:r w:rsidR="00935EC5">
              <w:rPr>
                <w:b/>
              </w:rPr>
              <w:t>40</w:t>
            </w:r>
          </w:p>
          <w:p w:rsidR="009D51FA" w:rsidRPr="0058773C" w:rsidRDefault="008216A8" w:rsidP="00C36E46">
            <w:pPr>
              <w:tabs>
                <w:tab w:val="left" w:pos="4111"/>
              </w:tabs>
              <w:spacing w:before="0"/>
            </w:pPr>
            <w:r>
              <w:t>SG</w:t>
            </w:r>
            <w:r w:rsidR="00935EC5">
              <w:t>1</w:t>
            </w:r>
            <w:r w:rsidR="000C3453" w:rsidRPr="0058773C">
              <w:t>5/</w:t>
            </w:r>
            <w:r w:rsidR="00935EC5">
              <w:t>HO</w:t>
            </w:r>
          </w:p>
        </w:tc>
        <w:tc>
          <w:tcPr>
            <w:tcW w:w="5329" w:type="dxa"/>
            <w:gridSpan w:val="2"/>
          </w:tcPr>
          <w:p w:rsidR="009D51FA" w:rsidRPr="0058773C" w:rsidRDefault="009D51FA" w:rsidP="00C36E4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58773C">
              <w:t>-</w:t>
            </w:r>
            <w:r w:rsidRPr="0058773C">
              <w:tab/>
              <w:t>Aux administrations des Etats Membres de l</w:t>
            </w:r>
            <w:r w:rsidR="00167472" w:rsidRPr="0058773C">
              <w:t>'</w:t>
            </w:r>
            <w:r w:rsidRPr="0058773C">
              <w:t>Union</w:t>
            </w:r>
          </w:p>
          <w:p w:rsidR="000C3453" w:rsidRPr="0058773C" w:rsidRDefault="000C3453" w:rsidP="00C36E4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9D51FA" w:rsidRPr="0058773C" w:rsidTr="0014552D">
        <w:trPr>
          <w:cantSplit/>
        </w:trPr>
        <w:tc>
          <w:tcPr>
            <w:tcW w:w="822" w:type="dxa"/>
          </w:tcPr>
          <w:p w:rsidR="009D51FA" w:rsidRPr="0058773C" w:rsidRDefault="009D51FA" w:rsidP="00C36E46">
            <w:pPr>
              <w:tabs>
                <w:tab w:val="left" w:pos="4111"/>
              </w:tabs>
              <w:spacing w:before="10"/>
              <w:rPr>
                <w:sz w:val="22"/>
              </w:rPr>
            </w:pPr>
          </w:p>
          <w:p w:rsidR="009D51FA" w:rsidRPr="0058773C" w:rsidRDefault="009D51FA" w:rsidP="00C36E46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  <w:tab w:val="left" w:pos="4111"/>
              </w:tabs>
              <w:spacing w:before="10" w:after="0"/>
              <w:rPr>
                <w:sz w:val="24"/>
              </w:rPr>
            </w:pPr>
            <w:r w:rsidRPr="004851AD">
              <w:rPr>
                <w:b/>
                <w:bCs/>
                <w:sz w:val="24"/>
              </w:rPr>
              <w:t>Tél.:</w:t>
            </w:r>
            <w:r w:rsidRPr="0058773C">
              <w:rPr>
                <w:sz w:val="24"/>
              </w:rPr>
              <w:br/>
            </w:r>
            <w:r w:rsidRPr="004851AD">
              <w:rPr>
                <w:b/>
                <w:bCs/>
                <w:sz w:val="24"/>
              </w:rPr>
              <w:t>Fax:</w:t>
            </w:r>
            <w:r w:rsidRPr="0058773C">
              <w:rPr>
                <w:sz w:val="24"/>
              </w:rPr>
              <w:br/>
            </w:r>
            <w:r w:rsidRPr="004851AD">
              <w:rPr>
                <w:b/>
                <w:bCs/>
                <w:sz w:val="24"/>
              </w:rPr>
              <w:t>E-mail:</w:t>
            </w:r>
          </w:p>
        </w:tc>
        <w:tc>
          <w:tcPr>
            <w:tcW w:w="4055" w:type="dxa"/>
          </w:tcPr>
          <w:p w:rsidR="009D51FA" w:rsidRPr="0058773C" w:rsidRDefault="009D51FA" w:rsidP="00C36E46">
            <w:pPr>
              <w:tabs>
                <w:tab w:val="left" w:pos="4111"/>
              </w:tabs>
              <w:spacing w:before="0"/>
            </w:pPr>
          </w:p>
          <w:p w:rsidR="009D51FA" w:rsidRPr="0058773C" w:rsidRDefault="009D51FA" w:rsidP="00C36E46">
            <w:pPr>
              <w:pStyle w:val="Index1"/>
              <w:tabs>
                <w:tab w:val="left" w:pos="4111"/>
              </w:tabs>
              <w:spacing w:before="0"/>
            </w:pPr>
            <w:r w:rsidRPr="0058773C">
              <w:t>+41 22 730</w:t>
            </w:r>
            <w:r w:rsidR="000C3453" w:rsidRPr="0058773C">
              <w:t xml:space="preserve"> 63</w:t>
            </w:r>
            <w:r w:rsidR="00935EC5">
              <w:t>56</w:t>
            </w:r>
            <w:r w:rsidRPr="0058773C">
              <w:br/>
              <w:t>+41 22 730 5853</w:t>
            </w:r>
            <w:r w:rsidRPr="0058773C">
              <w:br/>
            </w:r>
            <w:hyperlink r:id="rId9" w:history="1">
              <w:r w:rsidR="00935EC5" w:rsidRPr="004D4B5E">
                <w:rPr>
                  <w:rStyle w:val="Hyperlink"/>
                </w:rPr>
                <w:t>tsbsg15@itu.int</w:t>
              </w:r>
            </w:hyperlink>
          </w:p>
        </w:tc>
        <w:tc>
          <w:tcPr>
            <w:tcW w:w="5329" w:type="dxa"/>
            <w:gridSpan w:val="2"/>
          </w:tcPr>
          <w:p w:rsidR="009D51FA" w:rsidRPr="0058773C" w:rsidRDefault="009D51FA" w:rsidP="00C36E46">
            <w:pPr>
              <w:tabs>
                <w:tab w:val="left" w:pos="4111"/>
              </w:tabs>
              <w:spacing w:before="0"/>
            </w:pPr>
            <w:r w:rsidRPr="0058773C">
              <w:rPr>
                <w:b/>
              </w:rPr>
              <w:t>Copie</w:t>
            </w:r>
            <w:r w:rsidRPr="0058773C">
              <w:t>:</w:t>
            </w:r>
          </w:p>
          <w:p w:rsidR="002659D3" w:rsidRDefault="002659D3" w:rsidP="00C36E4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 w:rsidRPr="0058773C">
              <w:t>-</w:t>
            </w:r>
            <w:r w:rsidRPr="0058773C">
              <w:tab/>
              <w:t>Aux Membres du Secteur UIT-T;</w:t>
            </w:r>
          </w:p>
          <w:p w:rsidR="002659D3" w:rsidRDefault="002659D3" w:rsidP="00C36E4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 w:rsidRPr="0058773C">
              <w:t>-</w:t>
            </w:r>
            <w:r w:rsidRPr="0058773C">
              <w:tab/>
              <w:t>Aux Associés de l'UIT-T;</w:t>
            </w:r>
          </w:p>
          <w:p w:rsidR="002659D3" w:rsidRDefault="002659D3" w:rsidP="00C36E4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 w:rsidRPr="0058773C">
              <w:t>-</w:t>
            </w:r>
            <w:r w:rsidRPr="0058773C">
              <w:tab/>
              <w:t>Aux établissements universitaires participant aux travaux de l'UIT</w:t>
            </w:r>
            <w:r w:rsidR="00163985">
              <w:t>;</w:t>
            </w:r>
          </w:p>
          <w:p w:rsidR="000C3453" w:rsidRPr="0058773C" w:rsidRDefault="000C3453" w:rsidP="00C36E4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 w:rsidRPr="0058773C">
              <w:t>-</w:t>
            </w:r>
            <w:r w:rsidRPr="0058773C">
              <w:tab/>
              <w:t xml:space="preserve">Aux Président et Vice-Présidents de la </w:t>
            </w:r>
            <w:r w:rsidRPr="0058773C">
              <w:br/>
              <w:t xml:space="preserve">Commission d'études </w:t>
            </w:r>
            <w:r w:rsidR="002659D3">
              <w:t>1</w:t>
            </w:r>
            <w:r w:rsidRPr="0058773C">
              <w:t>5</w:t>
            </w:r>
            <w:r w:rsidR="00BA0FA0">
              <w:t xml:space="preserve"> de l'UIT</w:t>
            </w:r>
            <w:r w:rsidR="00BA0FA0">
              <w:noBreakHyphen/>
              <w:t>T</w:t>
            </w:r>
            <w:r w:rsidRPr="0058773C">
              <w:t>;</w:t>
            </w:r>
          </w:p>
          <w:p w:rsidR="000C3453" w:rsidRPr="0058773C" w:rsidRDefault="000C3453" w:rsidP="00C36E4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 w:rsidRPr="0058773C">
              <w:t>-</w:t>
            </w:r>
            <w:r w:rsidRPr="0058773C">
              <w:tab/>
              <w:t>Au Directeur du Bureau de développement des télécommunications;</w:t>
            </w:r>
          </w:p>
          <w:p w:rsidR="009D51FA" w:rsidRPr="0058773C" w:rsidRDefault="000C3453" w:rsidP="00C36E4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18"/>
              </w:tabs>
              <w:spacing w:before="0"/>
              <w:ind w:left="218" w:hanging="218"/>
            </w:pPr>
            <w:r w:rsidRPr="0058773C">
              <w:t>-</w:t>
            </w:r>
            <w:r w:rsidRPr="0058773C">
              <w:tab/>
              <w:t>Au Directeur du Bureau des radiocommunications</w:t>
            </w:r>
          </w:p>
        </w:tc>
      </w:tr>
      <w:tr w:rsidR="009D51FA" w:rsidRPr="0058773C" w:rsidTr="0014552D">
        <w:trPr>
          <w:gridAfter w:val="1"/>
          <w:wAfter w:w="8" w:type="dxa"/>
          <w:cantSplit/>
          <w:trHeight w:val="680"/>
        </w:trPr>
        <w:tc>
          <w:tcPr>
            <w:tcW w:w="822" w:type="dxa"/>
          </w:tcPr>
          <w:p w:rsidR="009D51FA" w:rsidRPr="004851AD" w:rsidRDefault="009D51FA" w:rsidP="0014552D">
            <w:pPr>
              <w:tabs>
                <w:tab w:val="left" w:pos="4111"/>
              </w:tabs>
              <w:spacing w:before="360"/>
              <w:ind w:left="57"/>
              <w:rPr>
                <w:b/>
                <w:bCs/>
                <w:sz w:val="22"/>
              </w:rPr>
            </w:pPr>
            <w:r w:rsidRPr="004851AD">
              <w:rPr>
                <w:b/>
                <w:bCs/>
                <w:sz w:val="22"/>
              </w:rPr>
              <w:t>Objet:</w:t>
            </w:r>
          </w:p>
        </w:tc>
        <w:tc>
          <w:tcPr>
            <w:tcW w:w="9376" w:type="dxa"/>
            <w:gridSpan w:val="2"/>
          </w:tcPr>
          <w:p w:rsidR="009D51FA" w:rsidRPr="0058773C" w:rsidRDefault="000C3453" w:rsidP="0014552D">
            <w:pPr>
              <w:tabs>
                <w:tab w:val="left" w:pos="4111"/>
              </w:tabs>
              <w:spacing w:before="360"/>
              <w:ind w:left="57"/>
            </w:pPr>
            <w:r w:rsidRPr="0058773C">
              <w:rPr>
                <w:b/>
                <w:szCs w:val="24"/>
              </w:rPr>
              <w:t>Statut de</w:t>
            </w:r>
            <w:r w:rsidR="00BA0FA0">
              <w:rPr>
                <w:b/>
                <w:szCs w:val="24"/>
              </w:rPr>
              <w:t xml:space="preserve"> l'Amendement 2 à la Recommandation</w:t>
            </w:r>
            <w:r w:rsidRPr="0058773C">
              <w:rPr>
                <w:b/>
                <w:szCs w:val="24"/>
              </w:rPr>
              <w:t xml:space="preserve"> UIT-T </w:t>
            </w:r>
            <w:r w:rsidR="002659D3">
              <w:rPr>
                <w:b/>
                <w:szCs w:val="24"/>
              </w:rPr>
              <w:t>G.9700</w:t>
            </w:r>
            <w:r w:rsidR="002659D3">
              <w:rPr>
                <w:b/>
              </w:rPr>
              <w:t xml:space="preserve"> (2014</w:t>
            </w:r>
            <w:r w:rsidRPr="0058773C">
              <w:rPr>
                <w:b/>
              </w:rPr>
              <w:t>)</w:t>
            </w:r>
            <w:r w:rsidR="002659D3">
              <w:rPr>
                <w:b/>
              </w:rPr>
              <w:t xml:space="preserve"> et </w:t>
            </w:r>
            <w:r w:rsidR="00BA0FA0">
              <w:rPr>
                <w:b/>
              </w:rPr>
              <w:t xml:space="preserve">de la Recommandation </w:t>
            </w:r>
            <w:r w:rsidR="002659D3">
              <w:rPr>
                <w:b/>
              </w:rPr>
              <w:t>UIT-T G.9901</w:t>
            </w:r>
            <w:r w:rsidRPr="0058773C">
              <w:rPr>
                <w:b/>
              </w:rPr>
              <w:t xml:space="preserve"> </w:t>
            </w:r>
            <w:r w:rsidRPr="0058773C">
              <w:rPr>
                <w:b/>
                <w:szCs w:val="24"/>
              </w:rPr>
              <w:t xml:space="preserve">après la réunion de la Commission d'études </w:t>
            </w:r>
            <w:r w:rsidR="002659D3">
              <w:rPr>
                <w:b/>
                <w:szCs w:val="24"/>
              </w:rPr>
              <w:t>1</w:t>
            </w:r>
            <w:r w:rsidRPr="0058773C">
              <w:rPr>
                <w:b/>
                <w:szCs w:val="24"/>
              </w:rPr>
              <w:t xml:space="preserve">5 </w:t>
            </w:r>
            <w:r w:rsidR="00A3047D">
              <w:rPr>
                <w:b/>
                <w:szCs w:val="24"/>
              </w:rPr>
              <w:br/>
            </w:r>
            <w:r w:rsidRPr="0058773C">
              <w:rPr>
                <w:b/>
                <w:szCs w:val="24"/>
              </w:rPr>
              <w:t>de l'UIT-T</w:t>
            </w:r>
            <w:r w:rsidRPr="0058773C">
              <w:rPr>
                <w:b/>
              </w:rPr>
              <w:t xml:space="preserve"> (</w:t>
            </w:r>
            <w:r w:rsidR="002659D3">
              <w:rPr>
                <w:b/>
              </w:rPr>
              <w:t>19-30 juin</w:t>
            </w:r>
            <w:r w:rsidRPr="0058773C">
              <w:rPr>
                <w:b/>
              </w:rPr>
              <w:t xml:space="preserve"> 2017, Genève)</w:t>
            </w:r>
          </w:p>
        </w:tc>
      </w:tr>
    </w:tbl>
    <w:p w:rsidR="009D51FA" w:rsidRPr="0058773C" w:rsidRDefault="009D51FA" w:rsidP="00A3047D">
      <w:pPr>
        <w:spacing w:before="360"/>
      </w:pPr>
      <w:bookmarkStart w:id="0" w:name="text"/>
      <w:bookmarkEnd w:id="0"/>
      <w:r w:rsidRPr="0058773C">
        <w:t>Madame, Monsieur,</w:t>
      </w:r>
    </w:p>
    <w:p w:rsidR="00935EC5" w:rsidRDefault="000C3453" w:rsidP="0014552D">
      <w:pPr>
        <w:spacing w:after="360"/>
      </w:pPr>
      <w:r w:rsidRPr="0058773C">
        <w:rPr>
          <w:bCs/>
        </w:rPr>
        <w:t>1</w:t>
      </w:r>
      <w:r w:rsidRPr="0058773C">
        <w:tab/>
      </w:r>
      <w:r w:rsidR="00935EC5" w:rsidRPr="00935EC5">
        <w:t xml:space="preserve">Suite à la Circulaire TSB </w:t>
      </w:r>
      <w:hyperlink r:id="rId10" w:history="1">
        <w:r w:rsidR="00935EC5" w:rsidRPr="00C809B7">
          <w:rPr>
            <w:rStyle w:val="Hyperlink"/>
          </w:rPr>
          <w:t>2</w:t>
        </w:r>
      </w:hyperlink>
      <w:r w:rsidR="00935EC5">
        <w:t xml:space="preserve"> </w:t>
      </w:r>
      <w:r w:rsidR="00935EC5" w:rsidRPr="00935EC5">
        <w:t xml:space="preserve">du </w:t>
      </w:r>
      <w:r w:rsidR="00935EC5">
        <w:t>17 janvier 2017</w:t>
      </w:r>
      <w:r w:rsidR="00935EC5" w:rsidRPr="00935EC5">
        <w:t xml:space="preserve">, et conformément </w:t>
      </w:r>
      <w:r w:rsidR="00935EC5">
        <w:t xml:space="preserve">à la section 9 </w:t>
      </w:r>
      <w:r w:rsidR="00935EC5" w:rsidRPr="00935EC5">
        <w:t xml:space="preserve">de la Résolution 1 (Hammamet, 2016) de l'AMNT, j'ai l'honneur de vous informer que la Commission d'études </w:t>
      </w:r>
      <w:r w:rsidR="00935EC5">
        <w:t xml:space="preserve">15 </w:t>
      </w:r>
      <w:r w:rsidR="0014552D">
        <w:t>de l'UIT</w:t>
      </w:r>
      <w:r w:rsidR="0014552D" w:rsidRPr="00B853FC">
        <w:noBreakHyphen/>
      </w:r>
      <w:r w:rsidR="00935EC5" w:rsidRPr="00935EC5">
        <w:t xml:space="preserve">T est parvenue, durant sa séance plénière qui s'est tenue le 30 </w:t>
      </w:r>
      <w:r w:rsidR="00935EC5">
        <w:t xml:space="preserve">juin </w:t>
      </w:r>
      <w:r w:rsidR="00935EC5" w:rsidRPr="00935EC5">
        <w:t xml:space="preserve">2017, aux décisions suivantes concernant les </w:t>
      </w:r>
      <w:r w:rsidR="00935EC5">
        <w:t xml:space="preserve">deux </w:t>
      </w:r>
      <w:r w:rsidR="0014552D">
        <w:t>projets de Recommandation UIT</w:t>
      </w:r>
      <w:r w:rsidR="0014552D" w:rsidRPr="00B853FC">
        <w:noBreakHyphen/>
      </w:r>
      <w:r w:rsidR="00935EC5" w:rsidRPr="00935EC5">
        <w:t>T mentionnés ci-après: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6699"/>
        <w:gridCol w:w="1172"/>
      </w:tblGrid>
      <w:tr w:rsidR="000C3453" w:rsidRPr="0058773C" w:rsidTr="00163985">
        <w:trPr>
          <w:tblHeader/>
          <w:jc w:val="center"/>
        </w:trPr>
        <w:tc>
          <w:tcPr>
            <w:tcW w:w="1828" w:type="dxa"/>
            <w:tcBorders>
              <w:bottom w:val="single" w:sz="12" w:space="0" w:color="auto"/>
            </w:tcBorders>
          </w:tcPr>
          <w:p w:rsidR="000C3453" w:rsidRPr="0058773C" w:rsidRDefault="000C3453" w:rsidP="00C36E46">
            <w:pPr>
              <w:pStyle w:val="Tablehead0"/>
              <w:rPr>
                <w:lang w:val="fr-FR"/>
              </w:rPr>
            </w:pPr>
            <w:r w:rsidRPr="0058773C">
              <w:rPr>
                <w:lang w:val="fr-FR"/>
              </w:rPr>
              <w:t>Numéro</w:t>
            </w:r>
          </w:p>
        </w:tc>
        <w:tc>
          <w:tcPr>
            <w:tcW w:w="6699" w:type="dxa"/>
            <w:tcBorders>
              <w:bottom w:val="single" w:sz="12" w:space="0" w:color="auto"/>
            </w:tcBorders>
          </w:tcPr>
          <w:p w:rsidR="000C3453" w:rsidRPr="0058773C" w:rsidRDefault="000C3453" w:rsidP="00C36E46">
            <w:pPr>
              <w:pStyle w:val="Tablehead0"/>
              <w:rPr>
                <w:lang w:val="fr-FR"/>
              </w:rPr>
            </w:pPr>
            <w:r w:rsidRPr="0058773C">
              <w:rPr>
                <w:lang w:val="fr-FR"/>
              </w:rPr>
              <w:t>Titre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0C3453" w:rsidRPr="0058773C" w:rsidRDefault="000C3453" w:rsidP="00C36E46">
            <w:pPr>
              <w:pStyle w:val="Tablehead0"/>
              <w:rPr>
                <w:lang w:val="fr-FR"/>
              </w:rPr>
            </w:pPr>
            <w:r w:rsidRPr="0058773C">
              <w:rPr>
                <w:lang w:val="fr-FR"/>
              </w:rPr>
              <w:t>Décision</w:t>
            </w:r>
          </w:p>
        </w:tc>
      </w:tr>
      <w:tr w:rsidR="000C3453" w:rsidRPr="0058773C" w:rsidTr="00163985">
        <w:trPr>
          <w:cantSplit/>
          <w:jc w:val="center"/>
        </w:trPr>
        <w:tc>
          <w:tcPr>
            <w:tcW w:w="1828" w:type="dxa"/>
          </w:tcPr>
          <w:p w:rsidR="000C3453" w:rsidRPr="0058773C" w:rsidRDefault="000019A0" w:rsidP="00C36E46">
            <w:pPr>
              <w:pStyle w:val="Tabletext0"/>
              <w:jc w:val="center"/>
              <w:rPr>
                <w:lang w:val="fr-FR"/>
              </w:rPr>
            </w:pPr>
            <w:hyperlink r:id="rId11" w:history="1">
              <w:bookmarkStart w:id="1" w:name="lt_pId050"/>
              <w:r w:rsidR="002659D3" w:rsidRPr="002E08A9">
                <w:rPr>
                  <w:rStyle w:val="Hyperlink"/>
                  <w:bCs/>
                </w:rPr>
                <w:t>G.9700 (2014) Amd2</w:t>
              </w:r>
              <w:bookmarkEnd w:id="1"/>
            </w:hyperlink>
          </w:p>
        </w:tc>
        <w:tc>
          <w:tcPr>
            <w:tcW w:w="6699" w:type="dxa"/>
          </w:tcPr>
          <w:p w:rsidR="002659D3" w:rsidRPr="002659D3" w:rsidRDefault="002659D3" w:rsidP="00C36E46">
            <w:pPr>
              <w:pStyle w:val="Tabletext0"/>
              <w:rPr>
                <w:color w:val="000000"/>
                <w:lang w:val="fr-FR"/>
              </w:rPr>
            </w:pPr>
            <w:r w:rsidRPr="002659D3">
              <w:rPr>
                <w:color w:val="000000"/>
                <w:lang w:val="fr-FR"/>
              </w:rPr>
              <w:t xml:space="preserve">Accès rapide aux terminaux d'abonné (G.fast) – Spécification </w:t>
            </w:r>
          </w:p>
          <w:p w:rsidR="000C3453" w:rsidRPr="0058773C" w:rsidRDefault="002659D3" w:rsidP="00C36E46">
            <w:pPr>
              <w:pStyle w:val="Tabletext0"/>
              <w:rPr>
                <w:lang w:val="fr-FR"/>
              </w:rPr>
            </w:pPr>
            <w:r w:rsidRPr="002659D3">
              <w:rPr>
                <w:color w:val="000000"/>
                <w:lang w:val="fr-FR"/>
              </w:rPr>
              <w:t>de la densité spectrale de puissance</w:t>
            </w:r>
            <w:r>
              <w:rPr>
                <w:color w:val="000000"/>
                <w:lang w:val="fr-FR"/>
              </w:rPr>
              <w:t xml:space="preserve"> (2014) </w:t>
            </w:r>
            <w:r w:rsidR="00935EC5">
              <w:rPr>
                <w:color w:val="000000"/>
                <w:lang w:val="fr-FR"/>
              </w:rPr>
              <w:t xml:space="preserve">– </w:t>
            </w:r>
            <w:r>
              <w:rPr>
                <w:color w:val="000000"/>
                <w:lang w:val="fr-FR"/>
              </w:rPr>
              <w:t>Amendement</w:t>
            </w:r>
            <w:r w:rsidR="00935EC5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fr-FR"/>
              </w:rPr>
              <w:t>2</w:t>
            </w:r>
          </w:p>
        </w:tc>
        <w:tc>
          <w:tcPr>
            <w:tcW w:w="0" w:type="auto"/>
          </w:tcPr>
          <w:p w:rsidR="000C3453" w:rsidRPr="0058773C" w:rsidRDefault="000C3453" w:rsidP="00C36E46">
            <w:pPr>
              <w:pStyle w:val="Tabletext0"/>
              <w:rPr>
                <w:lang w:val="fr-FR"/>
              </w:rPr>
            </w:pPr>
            <w:r w:rsidRPr="0058773C">
              <w:rPr>
                <w:lang w:val="fr-FR"/>
              </w:rPr>
              <w:t>Approuvé</w:t>
            </w:r>
          </w:p>
        </w:tc>
      </w:tr>
      <w:bookmarkStart w:id="2" w:name="lt_pId053"/>
      <w:tr w:rsidR="000C3453" w:rsidRPr="0058773C" w:rsidTr="00163985">
        <w:trPr>
          <w:cantSplit/>
          <w:jc w:val="center"/>
        </w:trPr>
        <w:tc>
          <w:tcPr>
            <w:tcW w:w="1828" w:type="dxa"/>
          </w:tcPr>
          <w:p w:rsidR="000C3453" w:rsidRPr="008216A8" w:rsidRDefault="002659D3" w:rsidP="00163985">
            <w:pPr>
              <w:pStyle w:val="Tabletext0"/>
              <w:jc w:val="center"/>
              <w:rPr>
                <w:lang w:val="es-ES_tradnl"/>
              </w:rPr>
            </w:pPr>
            <w:r w:rsidRPr="00304610">
              <w:fldChar w:fldCharType="begin"/>
            </w:r>
            <w:r w:rsidRPr="00304610">
              <w:instrText xml:space="preserve"> HYPERLINK "http://www.itu.int/ITU-T/workprog/wp_item.aspx?isn=13379" </w:instrText>
            </w:r>
            <w:r w:rsidRPr="00304610">
              <w:fldChar w:fldCharType="separate"/>
            </w:r>
            <w:r w:rsidRPr="00304610">
              <w:rPr>
                <w:rStyle w:val="Hyperlink"/>
                <w:bCs/>
              </w:rPr>
              <w:t>G.9901</w:t>
            </w:r>
            <w:r w:rsidRPr="00304610">
              <w:fldChar w:fldCharType="end"/>
            </w:r>
            <w:r w:rsidR="00A3047D">
              <w:rPr>
                <w:bCs/>
              </w:rPr>
              <w:t xml:space="preserve"> (</w:t>
            </w:r>
            <w:r w:rsidR="00A3047D" w:rsidRPr="00A3047D">
              <w:rPr>
                <w:bCs/>
                <w:lang w:val="fr-FR"/>
              </w:rPr>
              <w:t>Ré</w:t>
            </w:r>
            <w:r w:rsidRPr="00A3047D">
              <w:rPr>
                <w:bCs/>
                <w:lang w:val="fr-FR"/>
              </w:rPr>
              <w:t>visée</w:t>
            </w:r>
            <w:r w:rsidRPr="00304610">
              <w:rPr>
                <w:bCs/>
              </w:rPr>
              <w:t>)</w:t>
            </w:r>
            <w:bookmarkEnd w:id="2"/>
          </w:p>
        </w:tc>
        <w:tc>
          <w:tcPr>
            <w:tcW w:w="6699" w:type="dxa"/>
          </w:tcPr>
          <w:p w:rsidR="000C3453" w:rsidRPr="0058773C" w:rsidRDefault="002659D3" w:rsidP="00C36E46">
            <w:pPr>
              <w:pStyle w:val="Tabletext0"/>
              <w:rPr>
                <w:lang w:val="fr-FR"/>
              </w:rPr>
            </w:pPr>
            <w:r w:rsidRPr="002659D3">
              <w:rPr>
                <w:lang w:val="fr-FR"/>
              </w:rPr>
              <w:t>Emetteurs-récepteurs de courants porteurs en ligne à multiplexage par répartition orthogonale de la fréquence à bande étroite – Spécification</w:t>
            </w:r>
            <w:r>
              <w:rPr>
                <w:lang w:val="fr-FR"/>
              </w:rPr>
              <w:t xml:space="preserve"> </w:t>
            </w:r>
            <w:r w:rsidRPr="002659D3">
              <w:rPr>
                <w:lang w:val="fr-FR"/>
              </w:rPr>
              <w:t>de la densité spectrale de puissance</w:t>
            </w:r>
          </w:p>
        </w:tc>
        <w:tc>
          <w:tcPr>
            <w:tcW w:w="0" w:type="auto"/>
          </w:tcPr>
          <w:p w:rsidR="000C3453" w:rsidRPr="0058773C" w:rsidRDefault="000C3453" w:rsidP="00C36E46">
            <w:pPr>
              <w:pStyle w:val="Tabletext0"/>
              <w:rPr>
                <w:lang w:val="fr-FR"/>
              </w:rPr>
            </w:pPr>
            <w:r w:rsidRPr="0058773C">
              <w:rPr>
                <w:lang w:val="fr-FR"/>
              </w:rPr>
              <w:t>Approuvé</w:t>
            </w:r>
          </w:p>
        </w:tc>
      </w:tr>
    </w:tbl>
    <w:p w:rsidR="004851AD" w:rsidRDefault="004851AD" w:rsidP="00C36E46">
      <w:r>
        <w:br w:type="page"/>
      </w:r>
    </w:p>
    <w:p w:rsidR="000C3453" w:rsidRPr="0058773C" w:rsidRDefault="000C3453" w:rsidP="00C36E46">
      <w:pPr>
        <w:spacing w:before="360"/>
      </w:pPr>
      <w:r w:rsidRPr="0058773C">
        <w:lastRenderedPageBreak/>
        <w:t>2</w:t>
      </w:r>
      <w:r w:rsidRPr="0058773C">
        <w:tab/>
        <w:t xml:space="preserve">Les renseignements existants sur les brevets sont accessibles en ligne sur </w:t>
      </w:r>
      <w:hyperlink r:id="rId12" w:history="1">
        <w:r w:rsidRPr="0058773C">
          <w:rPr>
            <w:rStyle w:val="Hyperlink"/>
          </w:rPr>
          <w:t>le site web de l'UIT</w:t>
        </w:r>
        <w:r w:rsidRPr="0058773C">
          <w:rPr>
            <w:rStyle w:val="Hyperlink"/>
          </w:rPr>
          <w:noBreakHyphen/>
          <w:t>T</w:t>
        </w:r>
      </w:hyperlink>
      <w:r w:rsidRPr="0058773C">
        <w:t>.</w:t>
      </w:r>
    </w:p>
    <w:p w:rsidR="000C3453" w:rsidRPr="0058773C" w:rsidRDefault="000C3453" w:rsidP="00C36E46">
      <w:r w:rsidRPr="0058773C">
        <w:t>3</w:t>
      </w:r>
      <w:r w:rsidRPr="0058773C">
        <w:tab/>
        <w:t>La version prépubliée de ces Recommandations sera prochainement disponible sur le site web de l'UIT-T, à l'adresse</w:t>
      </w:r>
      <w:r w:rsidR="00984DD7" w:rsidRPr="0058773C">
        <w:t>:</w:t>
      </w:r>
      <w:r w:rsidRPr="0058773C">
        <w:t xml:space="preserve"> </w:t>
      </w:r>
      <w:hyperlink r:id="rId13" w:history="1">
        <w:r w:rsidRPr="0058773C">
          <w:rPr>
            <w:rStyle w:val="Hyperlink"/>
          </w:rPr>
          <w:t>http://itu.int/itu-t/recommendations/</w:t>
        </w:r>
      </w:hyperlink>
      <w:r w:rsidRPr="0058773C">
        <w:t>.</w:t>
      </w:r>
    </w:p>
    <w:p w:rsidR="000C3453" w:rsidRPr="0058773C" w:rsidRDefault="000C3453" w:rsidP="00C36E46">
      <w:r w:rsidRPr="0058773C">
        <w:rPr>
          <w:bCs/>
        </w:rPr>
        <w:t>4</w:t>
      </w:r>
      <w:r w:rsidRPr="0058773C">
        <w:tab/>
        <w:t>L'UIT publiera ces Recommandations dès que possible.</w:t>
      </w:r>
    </w:p>
    <w:p w:rsidR="009D51FA" w:rsidRDefault="009D51FA" w:rsidP="00C36E46">
      <w:r w:rsidRPr="0058773C">
        <w:t>Veuillez agréer, Madame, Monsieur, l</w:t>
      </w:r>
      <w:r w:rsidR="00167472" w:rsidRPr="0058773C">
        <w:t>'</w:t>
      </w:r>
      <w:r w:rsidRPr="0058773C">
        <w:t>assurance de ma haute considération.</w:t>
      </w:r>
    </w:p>
    <w:p w:rsidR="00163985" w:rsidRPr="0058773C" w:rsidRDefault="00163985" w:rsidP="00C36E46">
      <w:bookmarkStart w:id="3" w:name="_GoBack"/>
    </w:p>
    <w:bookmarkEnd w:id="3"/>
    <w:p w:rsidR="00A5280F" w:rsidRPr="0058773C" w:rsidRDefault="00E835DA" w:rsidP="000019A0">
      <w:pPr>
        <w:spacing w:before="0"/>
        <w:ind w:right="-142"/>
      </w:pPr>
      <w:r w:rsidRPr="0058773C">
        <w:t>Chaesub Lee</w:t>
      </w:r>
      <w:r w:rsidR="009D51FA" w:rsidRPr="0058773C">
        <w:br/>
        <w:t>Directeur du Bureau de la</w:t>
      </w:r>
      <w:r w:rsidR="009D51FA" w:rsidRPr="0058773C">
        <w:br/>
        <w:t>normalisation des télécommunications</w:t>
      </w:r>
    </w:p>
    <w:sectPr w:rsidR="00A5280F" w:rsidRPr="0058773C" w:rsidSect="000538F0">
      <w:headerReference w:type="default" r:id="rId14"/>
      <w:footerReference w:type="first" r:id="rId15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916" w:rsidRDefault="004B5916">
      <w:r>
        <w:separator/>
      </w:r>
    </w:p>
  </w:endnote>
  <w:endnote w:type="continuationSeparator" w:id="0">
    <w:p w:rsidR="004B5916" w:rsidRDefault="004B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D53" w:rsidRPr="00F632E9" w:rsidRDefault="008D4D53" w:rsidP="006049F3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sz w:val="18"/>
        <w:szCs w:val="18"/>
        <w:lang w:val="fr-CH"/>
      </w:rPr>
    </w:pPr>
    <w:r w:rsidRPr="00F632E9">
      <w:rPr>
        <w:sz w:val="18"/>
        <w:szCs w:val="18"/>
        <w:lang w:val="fr-CH"/>
      </w:rPr>
      <w:t>Union internationale des télécommunications • Place des Nations, CH</w:t>
    </w:r>
    <w:r w:rsidRPr="00F632E9">
      <w:rPr>
        <w:sz w:val="18"/>
        <w:szCs w:val="18"/>
        <w:lang w:val="fr-CH"/>
      </w:rPr>
      <w:noBreakHyphen/>
      <w:t xml:space="preserve">1211 Genève 20, Suisse </w:t>
    </w:r>
    <w:r w:rsidRPr="00F632E9">
      <w:rPr>
        <w:sz w:val="18"/>
        <w:szCs w:val="18"/>
        <w:lang w:val="fr-CH"/>
      </w:rPr>
      <w:br/>
      <w:t>Tél</w:t>
    </w:r>
    <w:r w:rsidR="002659D3">
      <w:rPr>
        <w:sz w:val="18"/>
        <w:szCs w:val="18"/>
        <w:lang w:val="fr-CH"/>
      </w:rPr>
      <w:t>.</w:t>
    </w:r>
    <w:r w:rsidRPr="00F632E9">
      <w:rPr>
        <w:sz w:val="18"/>
        <w:szCs w:val="18"/>
        <w:lang w:val="fr-CH"/>
      </w:rPr>
      <w:t xml:space="preserve">: +41 22 730 5111 • Fax: +41 22 733 7256 • courriel: </w:t>
    </w:r>
    <w:hyperlink r:id="rId1" w:history="1">
      <w:r w:rsidRPr="00F632E9">
        <w:rPr>
          <w:rStyle w:val="Hyperlink"/>
          <w:sz w:val="18"/>
          <w:szCs w:val="18"/>
        </w:rPr>
        <w:t>itumail@itu.int</w:t>
      </w:r>
    </w:hyperlink>
    <w:r w:rsidRPr="00F632E9">
      <w:rPr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sz w:val="18"/>
          <w:szCs w:val="18"/>
        </w:rPr>
        <w:t>www.itu.int</w:t>
      </w:r>
    </w:hyperlink>
    <w:r w:rsidRPr="00F632E9">
      <w:rPr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916" w:rsidRDefault="004B5916">
      <w:r>
        <w:t>____________________</w:t>
      </w:r>
    </w:p>
  </w:footnote>
  <w:footnote w:type="continuationSeparator" w:id="0">
    <w:p w:rsidR="004B5916" w:rsidRDefault="004B5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D53" w:rsidRPr="008D4D53" w:rsidRDefault="008D4D53">
    <w:pPr>
      <w:pStyle w:val="Header"/>
      <w:rPr>
        <w:sz w:val="18"/>
        <w:szCs w:val="16"/>
      </w:rPr>
    </w:pPr>
    <w:r w:rsidRPr="008D4D53">
      <w:rPr>
        <w:sz w:val="18"/>
        <w:szCs w:val="16"/>
      </w:rPr>
      <w:t xml:space="preserve">- </w:t>
    </w:r>
    <w:sdt>
      <w:sdtPr>
        <w:rPr>
          <w:sz w:val="18"/>
          <w:szCs w:val="16"/>
        </w:rPr>
        <w:id w:val="16342206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D4D53">
          <w:rPr>
            <w:sz w:val="18"/>
            <w:szCs w:val="16"/>
          </w:rPr>
          <w:fldChar w:fldCharType="begin"/>
        </w:r>
        <w:r w:rsidRPr="008D4D53">
          <w:rPr>
            <w:sz w:val="18"/>
            <w:szCs w:val="16"/>
          </w:rPr>
          <w:instrText xml:space="preserve"> PAGE   \* MERGEFORMAT </w:instrText>
        </w:r>
        <w:r w:rsidRPr="008D4D53">
          <w:rPr>
            <w:sz w:val="18"/>
            <w:szCs w:val="16"/>
          </w:rPr>
          <w:fldChar w:fldCharType="separate"/>
        </w:r>
        <w:r w:rsidR="000019A0">
          <w:rPr>
            <w:noProof/>
            <w:sz w:val="18"/>
            <w:szCs w:val="16"/>
          </w:rPr>
          <w:t>2</w:t>
        </w:r>
        <w:r w:rsidRPr="008D4D53">
          <w:rPr>
            <w:noProof/>
            <w:sz w:val="18"/>
            <w:szCs w:val="16"/>
          </w:rPr>
          <w:fldChar w:fldCharType="end"/>
        </w:r>
        <w:r w:rsidRPr="008D4D53">
          <w:rPr>
            <w:noProof/>
            <w:sz w:val="18"/>
            <w:szCs w:val="16"/>
          </w:rPr>
          <w:t xml:space="preserve"> -</w:t>
        </w:r>
      </w:sdtContent>
    </w:sdt>
  </w:p>
  <w:p w:rsidR="00932461" w:rsidRPr="008D4D53" w:rsidRDefault="00932461">
    <w:pPr>
      <w:pStyle w:val="Header"/>
      <w:rPr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16"/>
    <w:rsid w:val="000019A0"/>
    <w:rsid w:val="000039EE"/>
    <w:rsid w:val="00005622"/>
    <w:rsid w:val="0002519E"/>
    <w:rsid w:val="00035B43"/>
    <w:rsid w:val="000538F0"/>
    <w:rsid w:val="000758B3"/>
    <w:rsid w:val="000A1894"/>
    <w:rsid w:val="000B0D96"/>
    <w:rsid w:val="000B59D8"/>
    <w:rsid w:val="000C3453"/>
    <w:rsid w:val="000C56BE"/>
    <w:rsid w:val="001026FD"/>
    <w:rsid w:val="00107AFD"/>
    <w:rsid w:val="00115DD7"/>
    <w:rsid w:val="0014552D"/>
    <w:rsid w:val="00163985"/>
    <w:rsid w:val="00167472"/>
    <w:rsid w:val="00167F92"/>
    <w:rsid w:val="00173738"/>
    <w:rsid w:val="001B79A3"/>
    <w:rsid w:val="002152A3"/>
    <w:rsid w:val="002659D3"/>
    <w:rsid w:val="002D14A7"/>
    <w:rsid w:val="00333A80"/>
    <w:rsid w:val="00360968"/>
    <w:rsid w:val="00364E95"/>
    <w:rsid w:val="00372875"/>
    <w:rsid w:val="003B1E80"/>
    <w:rsid w:val="003B66E8"/>
    <w:rsid w:val="004033F1"/>
    <w:rsid w:val="00414B0C"/>
    <w:rsid w:val="004257AC"/>
    <w:rsid w:val="0043711B"/>
    <w:rsid w:val="004851AD"/>
    <w:rsid w:val="004B5916"/>
    <w:rsid w:val="004B732E"/>
    <w:rsid w:val="004D51F4"/>
    <w:rsid w:val="004D64E0"/>
    <w:rsid w:val="0051210D"/>
    <w:rsid w:val="005136D2"/>
    <w:rsid w:val="00517A03"/>
    <w:rsid w:val="0058773C"/>
    <w:rsid w:val="005A1072"/>
    <w:rsid w:val="005A3DD9"/>
    <w:rsid w:val="005B1DFC"/>
    <w:rsid w:val="005E67B6"/>
    <w:rsid w:val="00601682"/>
    <w:rsid w:val="006049F3"/>
    <w:rsid w:val="006333F7"/>
    <w:rsid w:val="00644741"/>
    <w:rsid w:val="006A6FFE"/>
    <w:rsid w:val="006C5A91"/>
    <w:rsid w:val="006E2230"/>
    <w:rsid w:val="007003DA"/>
    <w:rsid w:val="00716BBC"/>
    <w:rsid w:val="007321BC"/>
    <w:rsid w:val="00760063"/>
    <w:rsid w:val="00775E4B"/>
    <w:rsid w:val="00790D56"/>
    <w:rsid w:val="0079553B"/>
    <w:rsid w:val="007A40FE"/>
    <w:rsid w:val="00802B39"/>
    <w:rsid w:val="00810105"/>
    <w:rsid w:val="008157E0"/>
    <w:rsid w:val="008216A8"/>
    <w:rsid w:val="00854E1D"/>
    <w:rsid w:val="00887FA6"/>
    <w:rsid w:val="008C4397"/>
    <w:rsid w:val="008C465A"/>
    <w:rsid w:val="008D4D53"/>
    <w:rsid w:val="008F2C9B"/>
    <w:rsid w:val="00923CD6"/>
    <w:rsid w:val="00932461"/>
    <w:rsid w:val="00935AA8"/>
    <w:rsid w:val="00935EC5"/>
    <w:rsid w:val="00971C9A"/>
    <w:rsid w:val="00984DD7"/>
    <w:rsid w:val="009D51FA"/>
    <w:rsid w:val="009F1E23"/>
    <w:rsid w:val="00A0771D"/>
    <w:rsid w:val="00A3047D"/>
    <w:rsid w:val="00A51537"/>
    <w:rsid w:val="00A5280F"/>
    <w:rsid w:val="00A60FC1"/>
    <w:rsid w:val="00A97C37"/>
    <w:rsid w:val="00AC37B5"/>
    <w:rsid w:val="00AD752F"/>
    <w:rsid w:val="00B133E7"/>
    <w:rsid w:val="00B27B41"/>
    <w:rsid w:val="00B322B6"/>
    <w:rsid w:val="00B8573E"/>
    <w:rsid w:val="00BA0FA0"/>
    <w:rsid w:val="00BB24C0"/>
    <w:rsid w:val="00BB49DE"/>
    <w:rsid w:val="00C26F2E"/>
    <w:rsid w:val="00C36E46"/>
    <w:rsid w:val="00C45376"/>
    <w:rsid w:val="00C9028F"/>
    <w:rsid w:val="00CA0416"/>
    <w:rsid w:val="00CB1125"/>
    <w:rsid w:val="00CD042E"/>
    <w:rsid w:val="00CF2560"/>
    <w:rsid w:val="00CF5B46"/>
    <w:rsid w:val="00D46B68"/>
    <w:rsid w:val="00D542A5"/>
    <w:rsid w:val="00D97564"/>
    <w:rsid w:val="00DC3D47"/>
    <w:rsid w:val="00DD77DA"/>
    <w:rsid w:val="00E06C61"/>
    <w:rsid w:val="00E13DB3"/>
    <w:rsid w:val="00E2408B"/>
    <w:rsid w:val="00E72AE1"/>
    <w:rsid w:val="00E835DA"/>
    <w:rsid w:val="00E83E45"/>
    <w:rsid w:val="00ED6A7A"/>
    <w:rsid w:val="00F346CE"/>
    <w:rsid w:val="00F34F98"/>
    <w:rsid w:val="00F40540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1A255948-A5D3-4E2F-BFE4-5F8E38BE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5D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aliases w:val="超级链接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customStyle="1" w:styleId="Tabletext0">
    <w:name w:val="Table_text"/>
    <w:basedOn w:val="Normal"/>
    <w:rsid w:val="000C345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hAnsi="Calibri"/>
      <w:lang w:val="en-GB"/>
    </w:rPr>
  </w:style>
  <w:style w:type="paragraph" w:customStyle="1" w:styleId="Tablehead0">
    <w:name w:val="Table_head"/>
    <w:basedOn w:val="Tabletext0"/>
    <w:next w:val="Tabletext0"/>
    <w:rsid w:val="000C3453"/>
    <w:pPr>
      <w:keepNext/>
      <w:spacing w:before="80" w:after="80"/>
      <w:jc w:val="center"/>
    </w:pPr>
    <w:rPr>
      <w:b/>
    </w:rPr>
  </w:style>
  <w:style w:type="character" w:styleId="FollowedHyperlink">
    <w:name w:val="FollowedHyperlink"/>
    <w:basedOn w:val="DefaultParagraphFont"/>
    <w:semiHidden/>
    <w:unhideWhenUsed/>
    <w:rsid w:val="004851A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35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tu.int/itu-t/recommend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net4/ipr/search.aspx?sector=ITU&amp;class=P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workprog/wp_item.aspx?isn=1345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T17-TSB-CIR-0002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5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dra\AppData\Roaming\Microsoft\Templates\POOL%20F%20-%20ITU\PF_TSBCIRC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C175-65E2-4141-953E-97B833C5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PF_TSBCIRC2.dotm</Template>
  <TotalTime>49</TotalTime>
  <Pages>2</Pages>
  <Words>297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/>
  <LinksUpToDate>false</LinksUpToDate>
  <CharactersWithSpaces>2407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subject/>
  <dc:creator>Alidra, Patricia</dc:creator>
  <cp:keywords/>
  <dc:description/>
  <cp:lastModifiedBy>Millet, Lia</cp:lastModifiedBy>
  <cp:revision>7</cp:revision>
  <cp:lastPrinted>2017-08-02T13:49:00Z</cp:lastPrinted>
  <dcterms:created xsi:type="dcterms:W3CDTF">2017-07-14T06:58:00Z</dcterms:created>
  <dcterms:modified xsi:type="dcterms:W3CDTF">2017-08-02T13:49:00Z</dcterms:modified>
</cp:coreProperties>
</file>