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1CA0742" wp14:editId="6E8565CF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88403A">
            <w:pPr>
              <w:pStyle w:val="Tabletext"/>
              <w:spacing w:before="480" w:after="120"/>
            </w:pPr>
            <w:r>
              <w:t xml:space="preserve">Geneva, </w:t>
            </w:r>
            <w:r w:rsidR="00091712">
              <w:t>9 May 2017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5C6C56" w:rsidRDefault="00932E45" w:rsidP="0088403A">
            <w:pPr>
              <w:pStyle w:val="Tabletext"/>
              <w:rPr>
                <w:rFonts w:ascii="Futura Lt BT" w:hAnsi="Futura Lt BT"/>
                <w:szCs w:val="24"/>
              </w:rPr>
            </w:pPr>
            <w:r w:rsidRPr="005C6C56">
              <w:rPr>
                <w:szCs w:val="24"/>
              </w:rPr>
              <w:t>Ref:</w:t>
            </w:r>
          </w:p>
        </w:tc>
        <w:tc>
          <w:tcPr>
            <w:tcW w:w="4244" w:type="dxa"/>
            <w:gridSpan w:val="2"/>
          </w:tcPr>
          <w:p w:rsidR="00932E45" w:rsidRPr="005C6C56" w:rsidRDefault="00932E45" w:rsidP="009B6449">
            <w:pPr>
              <w:pStyle w:val="Tabletext"/>
              <w:rPr>
                <w:b/>
                <w:szCs w:val="24"/>
              </w:rPr>
            </w:pPr>
            <w:r w:rsidRPr="005C6C56">
              <w:rPr>
                <w:b/>
                <w:szCs w:val="24"/>
              </w:rPr>
              <w:t xml:space="preserve">TSB Circular </w:t>
            </w:r>
            <w:r w:rsidR="005E3B8E" w:rsidRPr="005C6C56">
              <w:rPr>
                <w:b/>
                <w:szCs w:val="24"/>
              </w:rPr>
              <w:t>26</w:t>
            </w:r>
          </w:p>
          <w:p w:rsidR="00932E45" w:rsidRPr="005C6C56" w:rsidRDefault="005E3B8E" w:rsidP="00932E45">
            <w:pPr>
              <w:pStyle w:val="Tabletext"/>
              <w:rPr>
                <w:szCs w:val="24"/>
              </w:rPr>
            </w:pPr>
            <w:r w:rsidRPr="005C6C56">
              <w:rPr>
                <w:szCs w:val="24"/>
              </w:rPr>
              <w:t>TSB Workshops/MA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5C6C56" w:rsidRDefault="00932E45" w:rsidP="009B6449">
            <w:pPr>
              <w:pStyle w:val="Tabletext"/>
              <w:rPr>
                <w:szCs w:val="24"/>
              </w:rPr>
            </w:pPr>
            <w:r w:rsidRPr="005C6C56">
              <w:rPr>
                <w:szCs w:val="24"/>
              </w:rPr>
              <w:t>Contact:</w:t>
            </w:r>
          </w:p>
        </w:tc>
        <w:tc>
          <w:tcPr>
            <w:tcW w:w="4244" w:type="dxa"/>
            <w:gridSpan w:val="2"/>
          </w:tcPr>
          <w:p w:rsidR="00932E45" w:rsidRPr="005C6C56" w:rsidRDefault="005E3B8E" w:rsidP="009B6449">
            <w:pPr>
              <w:pStyle w:val="Tabletext"/>
              <w:rPr>
                <w:b/>
                <w:szCs w:val="24"/>
              </w:rPr>
            </w:pPr>
            <w:r w:rsidRPr="005C6C56">
              <w:rPr>
                <w:b/>
                <w:szCs w:val="24"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5C6C56" w:rsidRDefault="00932E45" w:rsidP="009B6449">
            <w:pPr>
              <w:pStyle w:val="Tabletext"/>
              <w:rPr>
                <w:szCs w:val="24"/>
              </w:rPr>
            </w:pPr>
            <w:r w:rsidRPr="005C6C56">
              <w:rPr>
                <w:szCs w:val="24"/>
              </w:rPr>
              <w:t>Tel:</w:t>
            </w:r>
          </w:p>
        </w:tc>
        <w:tc>
          <w:tcPr>
            <w:tcW w:w="4244" w:type="dxa"/>
            <w:gridSpan w:val="2"/>
          </w:tcPr>
          <w:p w:rsidR="00932E45" w:rsidRPr="005C6C56" w:rsidRDefault="00932E45" w:rsidP="009B6449">
            <w:pPr>
              <w:pStyle w:val="Tabletext"/>
              <w:rPr>
                <w:b/>
                <w:szCs w:val="24"/>
              </w:rPr>
            </w:pPr>
            <w:r w:rsidRPr="005C6C56">
              <w:rPr>
                <w:szCs w:val="24"/>
              </w:rPr>
              <w:t>+41 22 730</w:t>
            </w:r>
            <w:r w:rsidR="0024314F" w:rsidRPr="005C6C56">
              <w:rPr>
                <w:szCs w:val="24"/>
              </w:rPr>
              <w:t xml:space="preserve"> </w:t>
            </w:r>
            <w:r w:rsidR="005E3B8E" w:rsidRPr="005C6C56">
              <w:rPr>
                <w:szCs w:val="24"/>
              </w:rPr>
              <w:t>6828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5C6C56" w:rsidRDefault="00932E45" w:rsidP="009B6449">
            <w:pPr>
              <w:pStyle w:val="Tabletext"/>
              <w:rPr>
                <w:szCs w:val="24"/>
              </w:rPr>
            </w:pPr>
            <w:r w:rsidRPr="005C6C56">
              <w:rPr>
                <w:szCs w:val="24"/>
              </w:rPr>
              <w:t>Fax:</w:t>
            </w:r>
          </w:p>
        </w:tc>
        <w:tc>
          <w:tcPr>
            <w:tcW w:w="4244" w:type="dxa"/>
            <w:gridSpan w:val="2"/>
          </w:tcPr>
          <w:p w:rsidR="00932E45" w:rsidRPr="005C6C56" w:rsidRDefault="00932E45" w:rsidP="009B6449">
            <w:pPr>
              <w:pStyle w:val="Tabletext"/>
              <w:rPr>
                <w:b/>
                <w:szCs w:val="24"/>
              </w:rPr>
            </w:pPr>
            <w:r w:rsidRPr="005C6C56">
              <w:rPr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5C6C56" w:rsidRDefault="0087300D" w:rsidP="009B6449">
            <w:pPr>
              <w:pStyle w:val="Tabletext"/>
              <w:rPr>
                <w:szCs w:val="24"/>
              </w:rPr>
            </w:pPr>
            <w:r w:rsidRPr="005C6C56">
              <w:rPr>
                <w:szCs w:val="24"/>
              </w:rPr>
              <w:t>E-mail:</w:t>
            </w:r>
          </w:p>
        </w:tc>
        <w:tc>
          <w:tcPr>
            <w:tcW w:w="4244" w:type="dxa"/>
            <w:gridSpan w:val="2"/>
          </w:tcPr>
          <w:p w:rsidR="0087300D" w:rsidRPr="005C6C56" w:rsidRDefault="005C6C56" w:rsidP="009B6449">
            <w:pPr>
              <w:pStyle w:val="Tabletext"/>
              <w:rPr>
                <w:szCs w:val="24"/>
              </w:rPr>
            </w:pPr>
            <w:hyperlink r:id="rId9" w:history="1">
              <w:r w:rsidR="0087300D" w:rsidRPr="005C6C56">
                <w:rPr>
                  <w:rStyle w:val="Hyperlink"/>
                  <w:szCs w:val="24"/>
                </w:rPr>
                <w:t>tsbworkshops@itu.int</w:t>
              </w:r>
            </w:hyperlink>
            <w:r w:rsidR="0087300D" w:rsidRPr="005C6C56">
              <w:rPr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Chairman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5E3B8E" w:rsidRDefault="0087300D" w:rsidP="005E3B8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5E3B8E">
              <w:t xml:space="preserve">; </w:t>
            </w:r>
          </w:p>
          <w:p w:rsidR="005E3B8E" w:rsidRDefault="005E3B8E" w:rsidP="005E3B8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>To the ITU Regional Office for the Africa Region, Addis Ababa;</w:t>
            </w:r>
          </w:p>
          <w:p w:rsidR="0087300D" w:rsidRDefault="005E3B8E" w:rsidP="005E3B8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ITU Area Office, Harare, Zimbabwe</w:t>
            </w:r>
          </w:p>
          <w:p w:rsidR="005E3B8E" w:rsidRDefault="005E3B8E" w:rsidP="005E3B8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5E3B8E" w:rsidP="00C06C5D">
            <w:pPr>
              <w:pStyle w:val="Tabletext"/>
            </w:pPr>
            <w:r w:rsidRPr="005E3B8E">
              <w:rPr>
                <w:b/>
                <w:bCs/>
              </w:rPr>
              <w:t>ITU Workshop on Performance, QoS and QoE for Multimedia Services</w:t>
            </w:r>
            <w:r>
              <w:rPr>
                <w:b/>
                <w:bCs/>
              </w:rPr>
              <w:br/>
              <w:t>Johannesburg, South Africa, 24-25 July 2017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87300D" w:rsidRDefault="0087300D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  <w:t>I would lik</w:t>
      </w:r>
      <w:r w:rsidR="005E3B8E">
        <w:t xml:space="preserve">e to inform you that an </w:t>
      </w:r>
      <w:r w:rsidR="005E3B8E" w:rsidRPr="005E3B8E">
        <w:rPr>
          <w:b/>
          <w:bCs/>
        </w:rPr>
        <w:t>ITU Workshop on Performance, QoS and QoE for Multimedia Services</w:t>
      </w:r>
      <w:r w:rsidR="005E3B8E">
        <w:t xml:space="preserve"> will take place at the </w:t>
      </w:r>
      <w:r w:rsidR="005E3B8E" w:rsidRPr="000433E2">
        <w:t>“</w:t>
      </w:r>
      <w:hyperlink r:id="rId10" w:history="1">
        <w:r w:rsidR="005E3B8E" w:rsidRPr="000433E2">
          <w:rPr>
            <w:rStyle w:val="Hyperlink"/>
          </w:rPr>
          <w:t xml:space="preserve">Pivot Conference Venue, Southern Sun </w:t>
        </w:r>
        <w:proofErr w:type="spellStart"/>
        <w:r w:rsidR="005E3B8E" w:rsidRPr="000433E2">
          <w:rPr>
            <w:rStyle w:val="Hyperlink"/>
          </w:rPr>
          <w:t>Montecasino</w:t>
        </w:r>
        <w:proofErr w:type="spellEnd"/>
      </w:hyperlink>
      <w:r w:rsidR="005E3B8E" w:rsidRPr="000433E2">
        <w:t xml:space="preserve">” in </w:t>
      </w:r>
      <w:proofErr w:type="spellStart"/>
      <w:r w:rsidR="005E3B8E" w:rsidRPr="00627122">
        <w:rPr>
          <w:b/>
          <w:bCs/>
        </w:rPr>
        <w:t>Fourways</w:t>
      </w:r>
      <w:proofErr w:type="spellEnd"/>
      <w:r w:rsidR="005E3B8E" w:rsidRPr="00627122">
        <w:rPr>
          <w:b/>
          <w:bCs/>
        </w:rPr>
        <w:t>, Johannesburg, South Africa</w:t>
      </w:r>
      <w:r w:rsidR="005E3B8E">
        <w:rPr>
          <w:b/>
          <w:bCs/>
        </w:rPr>
        <w:t xml:space="preserve"> from 24</w:t>
      </w:r>
      <w:r w:rsidR="005E3B8E" w:rsidRPr="0062325C">
        <w:rPr>
          <w:b/>
          <w:bCs/>
        </w:rPr>
        <w:t xml:space="preserve"> </w:t>
      </w:r>
      <w:r w:rsidR="005E3B8E">
        <w:rPr>
          <w:b/>
          <w:bCs/>
        </w:rPr>
        <w:t>to 25 July </w:t>
      </w:r>
      <w:r w:rsidR="005E3B8E" w:rsidRPr="0062325C">
        <w:rPr>
          <w:b/>
          <w:bCs/>
        </w:rPr>
        <w:t>2017</w:t>
      </w:r>
      <w:r w:rsidR="005E3B8E" w:rsidRPr="005E3B8E">
        <w:rPr>
          <w:b/>
          <w:bCs/>
        </w:rPr>
        <w:t>,</w:t>
      </w:r>
      <w:r w:rsidRPr="005E3B8E">
        <w:rPr>
          <w:b/>
          <w:bCs/>
        </w:rPr>
        <w:t xml:space="preserve"> inclusive.</w:t>
      </w:r>
    </w:p>
    <w:p w:rsidR="005E3B8E" w:rsidRPr="00157C48" w:rsidRDefault="005E3B8E">
      <w:r w:rsidRPr="00157C48">
        <w:t xml:space="preserve">The </w:t>
      </w:r>
      <w:r w:rsidR="002039F3">
        <w:t>workshop</w:t>
      </w:r>
      <w:r w:rsidR="002039F3" w:rsidRPr="00157C48">
        <w:t xml:space="preserve"> </w:t>
      </w:r>
      <w:r w:rsidRPr="00157C48">
        <w:t xml:space="preserve">will be followed by the </w:t>
      </w:r>
      <w:r w:rsidRPr="004E1C8D">
        <w:t>34</w:t>
      </w:r>
      <w:r w:rsidRPr="004E1C8D">
        <w:rPr>
          <w:vertAlign w:val="superscript"/>
        </w:rPr>
        <w:t>th</w:t>
      </w:r>
      <w:r w:rsidRPr="004E1C8D">
        <w:t xml:space="preserve"> Meeting of the Quality of Service Development Group (QSDG) on </w:t>
      </w:r>
      <w:r w:rsidRPr="00157C48">
        <w:rPr>
          <w:b/>
          <w:bCs/>
        </w:rPr>
        <w:t>26 and 27 July (morning)</w:t>
      </w:r>
      <w:r w:rsidRPr="004E1C8D">
        <w:t xml:space="preserve">, </w:t>
      </w:r>
      <w:r w:rsidRPr="00157C48">
        <w:t xml:space="preserve">and a </w:t>
      </w:r>
      <w:r w:rsidRPr="004E1C8D">
        <w:t>Meeting of ITU-T Study Group 12 Regional Group for Africa (SG12RG-</w:t>
      </w:r>
      <w:r w:rsidR="00C06C5D" w:rsidRPr="004E1C8D">
        <w:t>AFR</w:t>
      </w:r>
      <w:r w:rsidRPr="004E1C8D">
        <w:t xml:space="preserve">) </w:t>
      </w:r>
      <w:r w:rsidR="00C06C5D" w:rsidRPr="004E1C8D">
        <w:t xml:space="preserve">and the associated Bridging the Standardization Gap (BSG) Hands-on Training Session </w:t>
      </w:r>
      <w:r w:rsidRPr="004E1C8D">
        <w:t xml:space="preserve">on </w:t>
      </w:r>
      <w:r w:rsidRPr="00157C48">
        <w:rPr>
          <w:b/>
          <w:bCs/>
        </w:rPr>
        <w:t>27 July (afternoon) and 28 July 2017 (full day)</w:t>
      </w:r>
      <w:r w:rsidRPr="00157C48">
        <w:t xml:space="preserve">. </w:t>
      </w:r>
    </w:p>
    <w:p w:rsidR="00C06C5D" w:rsidRDefault="00C06C5D">
      <w:r>
        <w:t>The events will be hosted by</w:t>
      </w:r>
      <w:r w:rsidRPr="00A40FB4">
        <w:t xml:space="preserve"> </w:t>
      </w:r>
      <w:proofErr w:type="spellStart"/>
      <w:r w:rsidRPr="00A40FB4">
        <w:rPr>
          <w:b/>
          <w:bCs/>
        </w:rPr>
        <w:t>InfoVista</w:t>
      </w:r>
      <w:proofErr w:type="spellEnd"/>
      <w:r w:rsidRPr="00A40FB4">
        <w:t xml:space="preserve"> with the </w:t>
      </w:r>
      <w:r>
        <w:t xml:space="preserve">kind </w:t>
      </w:r>
      <w:r w:rsidRPr="00A40FB4">
        <w:t xml:space="preserve">support of the </w:t>
      </w:r>
      <w:r w:rsidRPr="00A40FB4">
        <w:rPr>
          <w:b/>
          <w:bCs/>
        </w:rPr>
        <w:t>Department of Telecommunications and Postal Services (DTPS), Republic of South Africa</w:t>
      </w:r>
      <w:r w:rsidRPr="00A40FB4">
        <w:t xml:space="preserve"> and the </w:t>
      </w:r>
      <w:r w:rsidRPr="00A40FB4">
        <w:rPr>
          <w:b/>
          <w:bCs/>
        </w:rPr>
        <w:t>Southern Africa Telecommunications Association (SATA)</w:t>
      </w:r>
      <w:r>
        <w:t>.</w:t>
      </w:r>
    </w:p>
    <w:p w:rsidR="0087300D" w:rsidRDefault="0087300D" w:rsidP="00BC4F9A">
      <w:r>
        <w:t xml:space="preserve">The workshop will open at </w:t>
      </w:r>
      <w:r w:rsidR="005E3B8E">
        <w:t>0930</w:t>
      </w:r>
      <w:r>
        <w:t xml:space="preserve"> hour</w:t>
      </w:r>
      <w:r w:rsidR="00BC4F9A">
        <w:t>s on Monday, 24 July 2017</w:t>
      </w:r>
      <w:r w:rsidR="005A3191">
        <w:t>. Participant</w:t>
      </w:r>
      <w:r>
        <w:t xml:space="preserve"> registration will begin </w:t>
      </w:r>
      <w:r w:rsidRPr="00C06C5D">
        <w:t xml:space="preserve">at </w:t>
      </w:r>
      <w:r w:rsidRPr="004E1C8D">
        <w:t>0830 ho</w:t>
      </w:r>
      <w:r w:rsidR="005E3B8E" w:rsidRPr="004E1C8D">
        <w:t>urs</w:t>
      </w:r>
      <w:r w:rsidRPr="00C06C5D">
        <w:t>.</w:t>
      </w:r>
    </w:p>
    <w:p w:rsidR="0087300D" w:rsidRPr="009273EC" w:rsidRDefault="0087300D" w:rsidP="009273EC">
      <w:r>
        <w:rPr>
          <w:bCs/>
        </w:rPr>
        <w:t>2</w:t>
      </w:r>
      <w:r>
        <w:tab/>
        <w:t>Discussions will be held in English only.</w:t>
      </w:r>
    </w:p>
    <w:p w:rsidR="0087300D" w:rsidRDefault="0087300D">
      <w:r>
        <w:t>3</w:t>
      </w:r>
      <w:r>
        <w:tab/>
        <w:t xml:space="preserve">Participation </w:t>
      </w:r>
      <w:r w:rsidR="002039F3">
        <w:t xml:space="preserve">in the workshop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86146B">
        <w:t xml:space="preserve">is free of charge. </w:t>
      </w:r>
    </w:p>
    <w:p w:rsidR="0087300D" w:rsidRDefault="00C06C5D">
      <w:pPr>
        <w:pStyle w:val="Index1"/>
      </w:pPr>
      <w:r>
        <w:lastRenderedPageBreak/>
        <w:t>4</w:t>
      </w:r>
      <w:r w:rsidR="0087300D">
        <w:tab/>
        <w:t>Information relating to the workshop</w:t>
      </w:r>
      <w:r>
        <w:t>, including a draft programme and practical information for participants,</w:t>
      </w:r>
      <w:r w:rsidR="0087300D">
        <w:t xml:space="preserve"> will be available on the </w:t>
      </w:r>
      <w:r w:rsidR="005A3191">
        <w:t>event</w:t>
      </w:r>
      <w:r w:rsidR="0087300D">
        <w:t xml:space="preserve"> website at the following address: </w:t>
      </w:r>
      <w:hyperlink r:id="rId11" w:history="1">
        <w:r w:rsidRPr="006B50D9">
          <w:rPr>
            <w:rStyle w:val="Hyperlink"/>
          </w:rPr>
          <w:t>http://itu.int/en/ITU-T/Workshops-and-Seminars/qos/201707/</w:t>
        </w:r>
      </w:hyperlink>
      <w:r w:rsidR="0087300D">
        <w:t>.</w:t>
      </w:r>
      <w:r>
        <w:t xml:space="preserve"> </w:t>
      </w:r>
    </w:p>
    <w:p w:rsidR="0087300D" w:rsidRDefault="00BA12CB" w:rsidP="0086146B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 xml:space="preserve">To enable TSB to make the necessary arrangements concerning the organization of the workshop, I should be grateful if you would register via the online form </w:t>
      </w:r>
      <w:hyperlink r:id="rId12" w:history="1">
        <w:r w:rsidR="0086146B" w:rsidRPr="004A7968">
          <w:rPr>
            <w:rStyle w:val="Hyperlink"/>
          </w:rPr>
          <w:t>http://itu.int/reg/tmisc/3000974</w:t>
        </w:r>
      </w:hyperlink>
      <w:r w:rsidR="0087300D">
        <w:t xml:space="preserve"> as soon as possible, but </w:t>
      </w:r>
      <w:r w:rsidR="0086146B">
        <w:rPr>
          <w:b/>
        </w:rPr>
        <w:t>not later than 30 June 2017.</w:t>
      </w:r>
      <w:r w:rsidR="0087300D">
        <w:t xml:space="preserve"> 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D76AE1">
        <w:rPr>
          <w:b/>
          <w:bCs/>
        </w:rPr>
        <w:t>for</w:t>
      </w:r>
      <w:r w:rsidR="00D76AE1" w:rsidRPr="002B3EBC">
        <w:rPr>
          <w:b/>
          <w:bCs/>
        </w:rPr>
        <w:t xml:space="preserve"> </w:t>
      </w:r>
      <w:r w:rsidR="0087300D" w:rsidRPr="002B3EBC">
        <w:rPr>
          <w:b/>
          <w:bCs/>
        </w:rPr>
        <w:t xml:space="preserve">workshops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:rsidR="00BA12CB" w:rsidRPr="00D26A23" w:rsidRDefault="00BA12CB" w:rsidP="00692332">
      <w:r>
        <w:t>6</w:t>
      </w:r>
      <w:r>
        <w:tab/>
        <w:t xml:space="preserve">For information </w:t>
      </w:r>
      <w:r w:rsidR="00D47A71">
        <w:t>concerning</w:t>
      </w:r>
      <w:r>
        <w:t xml:space="preserve"> the meeting of SG12RG-AFR, including available fellowships, </w:t>
      </w:r>
      <w:r>
        <w:rPr>
          <w:rFonts w:cstheme="majorBidi"/>
        </w:rPr>
        <w:t xml:space="preserve">please refer to </w:t>
      </w:r>
      <w:r w:rsidRPr="00293E27">
        <w:rPr>
          <w:b/>
        </w:rPr>
        <w:t xml:space="preserve">TSB Collective letter </w:t>
      </w:r>
      <w:r>
        <w:rPr>
          <w:b/>
        </w:rPr>
        <w:t>1</w:t>
      </w:r>
      <w:r w:rsidRPr="00293E27">
        <w:rPr>
          <w:b/>
        </w:rPr>
        <w:t>/SG12RG-AFR</w:t>
      </w:r>
      <w:r w:rsidRPr="00D80A1A">
        <w:rPr>
          <w:bCs/>
        </w:rPr>
        <w:t xml:space="preserve"> at </w:t>
      </w:r>
      <w:hyperlink r:id="rId13" w:history="1">
        <w:r w:rsidRPr="00D80A1A">
          <w:rPr>
            <w:rStyle w:val="Hyperlink"/>
            <w:bCs/>
          </w:rPr>
          <w:t>https://www.itu.int/md/T17-SG12RG.AFR-COL-0001/en</w:t>
        </w:r>
      </w:hyperlink>
      <w:r>
        <w:rPr>
          <w:bCs/>
        </w:rPr>
        <w:t>.</w:t>
      </w:r>
    </w:p>
    <w:p w:rsidR="0087300D" w:rsidRDefault="00091712">
      <w:pPr>
        <w:pStyle w:val="BodyText2"/>
        <w:tabs>
          <w:tab w:val="clear" w:pos="794"/>
          <w:tab w:val="left" w:pos="1134"/>
        </w:tabs>
      </w:pPr>
      <w:r>
        <w:t>7</w:t>
      </w:r>
      <w:r w:rsidR="0087300D">
        <w:tab/>
        <w:t>I would remind you that citizens of some countries are required to obtain a visa in order to enter a</w:t>
      </w:r>
      <w:r w:rsidR="009C4861">
        <w:t>nd spend any time in South Africa</w:t>
      </w:r>
      <w:r w:rsidR="0087300D">
        <w:t xml:space="preserve">. </w:t>
      </w:r>
      <w:r w:rsidR="0087300D" w:rsidRPr="00C91490">
        <w:rPr>
          <w:b/>
          <w:bCs/>
        </w:rPr>
        <w:t xml:space="preserve">The visa must be requested at least </w:t>
      </w:r>
      <w:r w:rsidR="00917FF3">
        <w:rPr>
          <w:b/>
          <w:bCs/>
        </w:rPr>
        <w:t>four</w:t>
      </w:r>
      <w:r w:rsidR="0087300D">
        <w:rPr>
          <w:b/>
          <w:bCs/>
        </w:rPr>
        <w:t xml:space="preserve"> (</w:t>
      </w:r>
      <w:r w:rsidR="00917FF3">
        <w:rPr>
          <w:b/>
          <w:bCs/>
        </w:rPr>
        <w:t>4</w:t>
      </w:r>
      <w:r w:rsidR="0087300D">
        <w:rPr>
          <w:b/>
          <w:bCs/>
        </w:rPr>
        <w:t>)</w:t>
      </w:r>
      <w:r w:rsidR="0087300D" w:rsidRPr="00C91490">
        <w:rPr>
          <w:b/>
          <w:bCs/>
        </w:rPr>
        <w:t xml:space="preserve"> weeks before the date of beginning of the workshop</w:t>
      </w:r>
      <w:r w:rsidR="0087300D">
        <w:t xml:space="preserve"> and obtained from the office (embassy or con</w:t>
      </w:r>
      <w:r w:rsidR="0086146B">
        <w:t>sulate) representing South Africa</w:t>
      </w:r>
      <w:r w:rsidR="0087300D">
        <w:t xml:space="preserve"> in your country or, if there is no such office in your country, from the one that is closest to the country of departure.</w:t>
      </w:r>
      <w:r w:rsidR="00157C48">
        <w:t xml:space="preserve"> Please refer to </w:t>
      </w:r>
      <w:r w:rsidR="00157C48" w:rsidRPr="00293E27">
        <w:rPr>
          <w:b/>
        </w:rPr>
        <w:t xml:space="preserve">TSB Collective letter </w:t>
      </w:r>
      <w:r w:rsidR="00157C48">
        <w:rPr>
          <w:b/>
        </w:rPr>
        <w:t>1</w:t>
      </w:r>
      <w:r w:rsidR="00157C48" w:rsidRPr="00293E27">
        <w:rPr>
          <w:b/>
        </w:rPr>
        <w:t>/SG12RG-AFR</w:t>
      </w:r>
      <w:r w:rsidR="00157C48" w:rsidRPr="00D80A1A">
        <w:rPr>
          <w:bCs/>
        </w:rPr>
        <w:t xml:space="preserve"> at </w:t>
      </w:r>
      <w:hyperlink r:id="rId14" w:history="1">
        <w:r w:rsidR="00157C48" w:rsidRPr="00D80A1A">
          <w:rPr>
            <w:rStyle w:val="Hyperlink"/>
            <w:bCs/>
          </w:rPr>
          <w:t>https://www.itu.int/md/T17-SG12RG.AFR-COL-0001/en</w:t>
        </w:r>
      </w:hyperlink>
      <w:r w:rsidR="00157C48">
        <w:rPr>
          <w:bCs/>
        </w:rPr>
        <w:t xml:space="preserve"> for more information.</w:t>
      </w:r>
    </w:p>
    <w:p w:rsidR="00777A31" w:rsidRDefault="00777A31" w:rsidP="00777A31">
      <w:pPr>
        <w:spacing w:before="480"/>
        <w:ind w:right="92"/>
      </w:pPr>
      <w:r>
        <w:t>Yours faithfully,</w:t>
      </w:r>
    </w:p>
    <w:p w:rsidR="00777A31" w:rsidRDefault="00777A31" w:rsidP="00777A31">
      <w:pPr>
        <w:spacing w:before="0"/>
        <w:ind w:right="91"/>
      </w:pPr>
    </w:p>
    <w:p w:rsidR="0087300D" w:rsidRDefault="00F7771A" w:rsidP="00777A31">
      <w:pPr>
        <w:spacing w:before="0"/>
        <w:ind w:right="91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:rsidR="005A3191" w:rsidRPr="004E1C8D" w:rsidRDefault="005A3191" w:rsidP="004E1C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Style w:val="LineNumber"/>
          <w:rFonts w:cstheme="majorBidi"/>
          <w:bCs/>
        </w:rPr>
      </w:pPr>
      <w:bookmarkStart w:id="6" w:name="Duties"/>
      <w:bookmarkEnd w:id="6"/>
    </w:p>
    <w:sectPr w:rsidR="005A3191" w:rsidRPr="004E1C8D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AA" w:rsidRDefault="002B4CAA">
      <w:r>
        <w:separator/>
      </w:r>
    </w:p>
  </w:endnote>
  <w:endnote w:type="continuationSeparator" w:id="0">
    <w:p w:rsidR="002B4CAA" w:rsidRDefault="002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86146B" w:rsidP="0086146B">
    <w:pPr>
      <w:pStyle w:val="Footer"/>
      <w:rPr>
        <w:lang w:val="fr-CH"/>
      </w:rPr>
    </w:pPr>
    <w:r>
      <w:rPr>
        <w:lang w:val="fr-CH"/>
      </w:rPr>
      <w:t>ITU-T\BUREAU\CIRC\026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AA" w:rsidRDefault="002B4CAA">
      <w:r>
        <w:t>____________________</w:t>
      </w:r>
    </w:p>
  </w:footnote>
  <w:footnote w:type="continuationSeparator" w:id="0">
    <w:p w:rsidR="002B4CAA" w:rsidRDefault="002B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5C6C56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-4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E"/>
    <w:rsid w:val="0000612C"/>
    <w:rsid w:val="000069D4"/>
    <w:rsid w:val="000174AD"/>
    <w:rsid w:val="00091712"/>
    <w:rsid w:val="000A7D55"/>
    <w:rsid w:val="000C2E8E"/>
    <w:rsid w:val="000D49FB"/>
    <w:rsid w:val="000E0E7C"/>
    <w:rsid w:val="000F1B4B"/>
    <w:rsid w:val="001011FC"/>
    <w:rsid w:val="0012744F"/>
    <w:rsid w:val="0013103F"/>
    <w:rsid w:val="00156DFF"/>
    <w:rsid w:val="00156F66"/>
    <w:rsid w:val="00157C48"/>
    <w:rsid w:val="00182528"/>
    <w:rsid w:val="0018500B"/>
    <w:rsid w:val="00196A19"/>
    <w:rsid w:val="001C1DD9"/>
    <w:rsid w:val="00202DC1"/>
    <w:rsid w:val="002039F3"/>
    <w:rsid w:val="002116EE"/>
    <w:rsid w:val="00222D56"/>
    <w:rsid w:val="002309D8"/>
    <w:rsid w:val="0024314F"/>
    <w:rsid w:val="002A1FFE"/>
    <w:rsid w:val="002A7FE2"/>
    <w:rsid w:val="002B4CAA"/>
    <w:rsid w:val="002E1B4F"/>
    <w:rsid w:val="002F2E67"/>
    <w:rsid w:val="00307BE5"/>
    <w:rsid w:val="00315546"/>
    <w:rsid w:val="00323D71"/>
    <w:rsid w:val="00330567"/>
    <w:rsid w:val="00332E9D"/>
    <w:rsid w:val="00344BEA"/>
    <w:rsid w:val="00351DA5"/>
    <w:rsid w:val="00355D59"/>
    <w:rsid w:val="00386A9D"/>
    <w:rsid w:val="00391081"/>
    <w:rsid w:val="003B2789"/>
    <w:rsid w:val="003C13CE"/>
    <w:rsid w:val="003D38E3"/>
    <w:rsid w:val="003E2518"/>
    <w:rsid w:val="00426284"/>
    <w:rsid w:val="00456F33"/>
    <w:rsid w:val="004B1EF7"/>
    <w:rsid w:val="004B3FAD"/>
    <w:rsid w:val="004D0DCE"/>
    <w:rsid w:val="004E1C8D"/>
    <w:rsid w:val="00501DCA"/>
    <w:rsid w:val="00513A47"/>
    <w:rsid w:val="00521349"/>
    <w:rsid w:val="005408DF"/>
    <w:rsid w:val="00573344"/>
    <w:rsid w:val="00583F9B"/>
    <w:rsid w:val="005A3191"/>
    <w:rsid w:val="005C6C56"/>
    <w:rsid w:val="005E1223"/>
    <w:rsid w:val="005E3B8E"/>
    <w:rsid w:val="005E5C10"/>
    <w:rsid w:val="005F2C78"/>
    <w:rsid w:val="006144E4"/>
    <w:rsid w:val="00640A88"/>
    <w:rsid w:val="00642014"/>
    <w:rsid w:val="00650299"/>
    <w:rsid w:val="00655FC5"/>
    <w:rsid w:val="00692332"/>
    <w:rsid w:val="007422B4"/>
    <w:rsid w:val="00767230"/>
    <w:rsid w:val="00777A31"/>
    <w:rsid w:val="00787A3C"/>
    <w:rsid w:val="007D2F64"/>
    <w:rsid w:val="007D7EE3"/>
    <w:rsid w:val="00822581"/>
    <w:rsid w:val="008309DD"/>
    <w:rsid w:val="00830FBD"/>
    <w:rsid w:val="0083227A"/>
    <w:rsid w:val="0086146B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C26B8"/>
    <w:rsid w:val="008F39FA"/>
    <w:rsid w:val="00917FF3"/>
    <w:rsid w:val="009252B8"/>
    <w:rsid w:val="009273EC"/>
    <w:rsid w:val="00932E45"/>
    <w:rsid w:val="009539FD"/>
    <w:rsid w:val="00982084"/>
    <w:rsid w:val="00991A72"/>
    <w:rsid w:val="00995963"/>
    <w:rsid w:val="009B61EB"/>
    <w:rsid w:val="009B6449"/>
    <w:rsid w:val="009C2064"/>
    <w:rsid w:val="009C4861"/>
    <w:rsid w:val="009D1697"/>
    <w:rsid w:val="00A014F8"/>
    <w:rsid w:val="00A05E8D"/>
    <w:rsid w:val="00A11DCA"/>
    <w:rsid w:val="00A5173C"/>
    <w:rsid w:val="00A5354B"/>
    <w:rsid w:val="00A61AEF"/>
    <w:rsid w:val="00AB0FFD"/>
    <w:rsid w:val="00AD7192"/>
    <w:rsid w:val="00AE2E00"/>
    <w:rsid w:val="00AF173A"/>
    <w:rsid w:val="00B066A4"/>
    <w:rsid w:val="00B07A13"/>
    <w:rsid w:val="00B143E2"/>
    <w:rsid w:val="00B4279B"/>
    <w:rsid w:val="00B45FC9"/>
    <w:rsid w:val="00B83461"/>
    <w:rsid w:val="00BA12CB"/>
    <w:rsid w:val="00BC4F9A"/>
    <w:rsid w:val="00BC7CCF"/>
    <w:rsid w:val="00BE319C"/>
    <w:rsid w:val="00BE470B"/>
    <w:rsid w:val="00C06C5D"/>
    <w:rsid w:val="00C57A91"/>
    <w:rsid w:val="00C71357"/>
    <w:rsid w:val="00CC01C2"/>
    <w:rsid w:val="00CC3FC7"/>
    <w:rsid w:val="00CF21F2"/>
    <w:rsid w:val="00D02712"/>
    <w:rsid w:val="00D214D0"/>
    <w:rsid w:val="00D2180F"/>
    <w:rsid w:val="00D47A71"/>
    <w:rsid w:val="00D6546B"/>
    <w:rsid w:val="00D72604"/>
    <w:rsid w:val="00D76AE1"/>
    <w:rsid w:val="00D92FE5"/>
    <w:rsid w:val="00D97C31"/>
    <w:rsid w:val="00DC1CAB"/>
    <w:rsid w:val="00DD4BED"/>
    <w:rsid w:val="00DE069B"/>
    <w:rsid w:val="00DE39F0"/>
    <w:rsid w:val="00DF0AF3"/>
    <w:rsid w:val="00E0600D"/>
    <w:rsid w:val="00E27D7E"/>
    <w:rsid w:val="00E34935"/>
    <w:rsid w:val="00E42E13"/>
    <w:rsid w:val="00E6257C"/>
    <w:rsid w:val="00E63C59"/>
    <w:rsid w:val="00E95BDE"/>
    <w:rsid w:val="00F01D97"/>
    <w:rsid w:val="00F43EEB"/>
    <w:rsid w:val="00F5169C"/>
    <w:rsid w:val="00F54EF2"/>
    <w:rsid w:val="00F61D14"/>
    <w:rsid w:val="00F7771A"/>
    <w:rsid w:val="00FA124A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C3FBB5D-8F23-45EE-BC24-C842A67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E3B8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2RG.AFR-COL-000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7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Workshops-and-Seminars/qos/20170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sogosun.com/southern-sun-montecasino/meetings-events/the-piv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s://www.itu.int/md/T17-SG12RG.AFR-COL-0001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89EC-47D5-482D-8A74-8AD29497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8</TotalTime>
  <Pages>2</Pages>
  <Words>534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9</cp:revision>
  <cp:lastPrinted>2017-05-09T15:17:00Z</cp:lastPrinted>
  <dcterms:created xsi:type="dcterms:W3CDTF">2017-05-09T10:18:00Z</dcterms:created>
  <dcterms:modified xsi:type="dcterms:W3CDTF">2017-05-09T15:18:00Z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