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64606C">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Default="00A15845" w:rsidP="00F5412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p w:rsidR="00F5412E" w:rsidRPr="00A15845" w:rsidRDefault="00F5412E" w:rsidP="00F5412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5C39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5C39DF">
              <w:rPr>
                <w:rFonts w:eastAsiaTheme="minorEastAsia"/>
                <w:lang w:eastAsia="zh-CN"/>
              </w:rPr>
              <w:t>6</w:t>
            </w:r>
            <w:r w:rsidRPr="00425492">
              <w:rPr>
                <w:rFonts w:eastAsiaTheme="minorEastAsia" w:hint="cs"/>
                <w:rtl/>
                <w:lang w:eastAsia="zh-CN" w:bidi="ar-EG"/>
              </w:rPr>
              <w:t xml:space="preserve"> </w:t>
            </w:r>
            <w:r w:rsidR="005C39DF">
              <w:rPr>
                <w:rFonts w:eastAsiaTheme="minorEastAsia" w:hint="cs"/>
                <w:rtl/>
                <w:lang w:eastAsia="zh-CN" w:bidi="ar-EG"/>
              </w:rPr>
              <w:t>أبريل</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481BEB"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EG"/>
              </w:rPr>
            </w:pPr>
            <w:r w:rsidRPr="00481BEB">
              <w:rPr>
                <w:rFonts w:eastAsiaTheme="minorEastAsia" w:hint="cs"/>
                <w:b/>
                <w:bCs/>
                <w:rtl/>
                <w:lang w:eastAsia="zh-CN"/>
              </w:rPr>
              <w:t>المرجع:</w:t>
            </w:r>
          </w:p>
        </w:tc>
        <w:tc>
          <w:tcPr>
            <w:tcW w:w="1734" w:type="pct"/>
          </w:tcPr>
          <w:p w:rsidR="00A15845" w:rsidRPr="00481BEB" w:rsidRDefault="005C39DF" w:rsidP="005C39D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481BEB">
              <w:rPr>
                <w:rFonts w:eastAsiaTheme="minorEastAsia" w:hint="cs"/>
                <w:bCs/>
                <w:rtl/>
                <w:lang w:eastAsia="zh-CN" w:bidi="ar-EG"/>
              </w:rPr>
              <w:t xml:space="preserve">الرسالة المعممة </w:t>
            </w:r>
            <w:r w:rsidRPr="00481BEB">
              <w:rPr>
                <w:rFonts w:eastAsiaTheme="minorEastAsia"/>
                <w:b/>
                <w:lang w:eastAsia="zh-CN" w:bidi="ar-SY"/>
              </w:rPr>
              <w:t>TSB 017</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1132C8" w:rsidRDefault="00425492" w:rsidP="005664B0">
            <w:pPr>
              <w:tabs>
                <w:tab w:val="left" w:pos="284"/>
                <w:tab w:val="left" w:pos="4111"/>
              </w:tabs>
              <w:spacing w:before="40" w:line="340" w:lineRule="exact"/>
              <w:ind w:left="284" w:hanging="284"/>
              <w:rPr>
                <w:rtl/>
                <w:lang w:bidi="ar-EG"/>
              </w:rPr>
            </w:pPr>
            <w:r w:rsidRPr="0060203A">
              <w:rPr>
                <w:rFonts w:hint="cs"/>
                <w:rtl/>
              </w:rPr>
              <w:t>-</w:t>
            </w:r>
            <w:r w:rsidRPr="0060203A">
              <w:rPr>
                <w:rtl/>
              </w:rPr>
              <w:tab/>
            </w:r>
            <w:r w:rsidRPr="001132C8">
              <w:rPr>
                <w:rFonts w:hint="cs"/>
                <w:rtl/>
              </w:rPr>
              <w:t>إدارات الدول الأعضاء في الاتحاد</w:t>
            </w:r>
            <w:r w:rsidRPr="001132C8">
              <w:rPr>
                <w:rFonts w:hint="cs"/>
                <w:rtl/>
                <w:lang w:bidi="ar-EG"/>
              </w:rPr>
              <w:t>؛</w:t>
            </w:r>
          </w:p>
          <w:p w:rsidR="00425492" w:rsidRPr="00B509AE" w:rsidRDefault="00425492" w:rsidP="005664B0">
            <w:pPr>
              <w:tabs>
                <w:tab w:val="left" w:pos="284"/>
                <w:tab w:val="left" w:pos="4111"/>
              </w:tabs>
              <w:spacing w:before="40" w:line="340" w:lineRule="exact"/>
              <w:ind w:left="284" w:hanging="284"/>
              <w:rPr>
                <w:position w:val="4"/>
                <w:lang w:bidi="ar-EG"/>
              </w:rPr>
            </w:pPr>
            <w:r w:rsidRPr="00B509AE">
              <w:rPr>
                <w:rFonts w:hint="cs"/>
                <w:position w:val="4"/>
                <w:rtl/>
              </w:rPr>
              <w:t>-</w:t>
            </w:r>
            <w:r w:rsidRPr="00B509AE">
              <w:rPr>
                <w:position w:val="4"/>
                <w:rtl/>
              </w:rPr>
              <w:tab/>
            </w:r>
            <w:r w:rsidR="005C39DF" w:rsidRPr="00B509AE">
              <w:rPr>
                <w:rFonts w:hint="cs"/>
                <w:position w:val="4"/>
                <w:rtl/>
              </w:rPr>
              <w:t>أعضاء قطاع تقييس الاتصالات في الات‍حاد</w:t>
            </w:r>
            <w:r w:rsidRPr="00B509AE">
              <w:rPr>
                <w:rFonts w:hint="cs"/>
                <w:position w:val="4"/>
                <w:rtl/>
                <w:lang w:bidi="ar-EG"/>
              </w:rPr>
              <w:t>؛</w:t>
            </w:r>
          </w:p>
          <w:p w:rsidR="00425492" w:rsidRDefault="00425492" w:rsidP="005664B0">
            <w:pPr>
              <w:tabs>
                <w:tab w:val="left" w:pos="284"/>
                <w:tab w:val="left" w:pos="4111"/>
              </w:tabs>
              <w:spacing w:before="40" w:line="340" w:lineRule="exact"/>
              <w:ind w:left="284" w:hanging="284"/>
              <w:rPr>
                <w:lang w:bidi="ar-EG"/>
              </w:rPr>
            </w:pPr>
            <w:r w:rsidRPr="00B509AE">
              <w:rPr>
                <w:rFonts w:hint="cs"/>
                <w:position w:val="4"/>
                <w:rtl/>
              </w:rPr>
              <w:t>-</w:t>
            </w:r>
            <w:r w:rsidRPr="00B509AE">
              <w:rPr>
                <w:position w:val="4"/>
                <w:rtl/>
              </w:rPr>
              <w:tab/>
            </w:r>
            <w:r w:rsidRPr="00B509AE">
              <w:rPr>
                <w:rFonts w:hint="cs"/>
                <w:position w:val="4"/>
                <w:rtl/>
              </w:rPr>
              <w:t>المنتسبين إلى قطاع تقييس الاتصالات؛</w:t>
            </w:r>
          </w:p>
          <w:p w:rsidR="00425492" w:rsidRPr="00425492" w:rsidRDefault="00425492" w:rsidP="00E96684">
            <w:pPr>
              <w:tabs>
                <w:tab w:val="clear" w:pos="794"/>
                <w:tab w:val="left" w:pos="284"/>
                <w:tab w:val="left" w:pos="4111"/>
              </w:tabs>
              <w:spacing w:before="40" w:after="40" w:line="340" w:lineRule="exact"/>
              <w:ind w:left="284" w:hanging="284"/>
              <w:rPr>
                <w:lang w:bidi="ar-EG"/>
              </w:rPr>
            </w:pPr>
            <w:r w:rsidRPr="0060203A">
              <w:rPr>
                <w:rFonts w:hint="cs"/>
                <w:rtl/>
              </w:rPr>
              <w:t>-</w:t>
            </w:r>
            <w:r w:rsidRPr="0060203A">
              <w:rPr>
                <w:rtl/>
              </w:rPr>
              <w:tab/>
            </w:r>
            <w:r w:rsidRPr="0060203A">
              <w:rPr>
                <w:rFonts w:hint="cs"/>
                <w:rtl/>
              </w:rPr>
              <w:t>الهيئات الأكاديمية المنضمة إلى</w:t>
            </w:r>
            <w:r>
              <w:rPr>
                <w:rFonts w:hint="cs"/>
                <w:rtl/>
                <w:lang w:bidi="ar-EG"/>
              </w:rPr>
              <w:t xml:space="preserve"> الاتحاد</w:t>
            </w:r>
          </w:p>
        </w:tc>
      </w:tr>
      <w:tr w:rsidR="00A15845" w:rsidRPr="00A15845" w:rsidTr="00425492">
        <w:trPr>
          <w:cantSplit/>
          <w:trHeight w:val="340"/>
        </w:trPr>
        <w:tc>
          <w:tcPr>
            <w:tcW w:w="796" w:type="pct"/>
          </w:tcPr>
          <w:p w:rsidR="00A15845" w:rsidRPr="00481BEB"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481BEB">
              <w:rPr>
                <w:rFonts w:eastAsiaTheme="minorEastAsia" w:hint="cs"/>
                <w:b/>
                <w:bCs/>
                <w:rtl/>
                <w:lang w:eastAsia="zh-CN" w:bidi="ar-SY"/>
              </w:rPr>
              <w:t>الهاتف</w:t>
            </w:r>
            <w:r w:rsidRPr="00481BEB">
              <w:rPr>
                <w:rFonts w:eastAsiaTheme="minorEastAsia" w:hint="cs"/>
                <w:b/>
                <w:bCs/>
                <w:rtl/>
                <w:lang w:eastAsia="zh-CN"/>
              </w:rPr>
              <w:t>:</w:t>
            </w:r>
          </w:p>
        </w:tc>
        <w:tc>
          <w:tcPr>
            <w:tcW w:w="1734" w:type="pct"/>
          </w:tcPr>
          <w:p w:rsidR="00A15845" w:rsidRPr="00A15845" w:rsidRDefault="005C39D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84233C">
              <w:rPr>
                <w:lang w:val="en-GB"/>
              </w:rPr>
              <w:t>+41 22 730 5591</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481BEB"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481BEB">
              <w:rPr>
                <w:rFonts w:eastAsiaTheme="minorEastAsia" w:hint="cs"/>
                <w:b/>
                <w:bCs/>
                <w:rtl/>
                <w:lang w:eastAsia="zh-CN"/>
              </w:rPr>
              <w:t>الفاكس:</w:t>
            </w:r>
          </w:p>
        </w:tc>
        <w:tc>
          <w:tcPr>
            <w:tcW w:w="1734" w:type="pct"/>
          </w:tcPr>
          <w:p w:rsidR="00A15845" w:rsidRPr="00A15845" w:rsidRDefault="0042549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481BEB"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eastAsia="zh-CN" w:bidi="ar-SY"/>
              </w:rPr>
            </w:pPr>
            <w:r w:rsidRPr="00481BEB">
              <w:rPr>
                <w:rFonts w:eastAsiaTheme="minorEastAsia" w:hint="cs"/>
                <w:b/>
                <w:bCs/>
                <w:rtl/>
                <w:lang w:eastAsia="zh-CN"/>
              </w:rPr>
              <w:t>البريد الإلكتروني:</w:t>
            </w:r>
          </w:p>
        </w:tc>
        <w:tc>
          <w:tcPr>
            <w:tcW w:w="1734" w:type="pct"/>
          </w:tcPr>
          <w:p w:rsidR="00A15845" w:rsidRPr="00A15845" w:rsidRDefault="00A84130"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0" w:name="lt_pId030"/>
              <w:r w:rsidR="005C39DF" w:rsidRPr="00294417">
                <w:rPr>
                  <w:rStyle w:val="Hyperlink"/>
                  <w:rFonts w:asciiTheme="minorHAnsi" w:hAnsiTheme="minorHAnsi"/>
                </w:rPr>
                <w:t>tsbfgdfs@itu.int</w:t>
              </w:r>
              <w:bookmarkEnd w:id="0"/>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425492" w:rsidRPr="001132C8" w:rsidRDefault="00425492" w:rsidP="005664B0">
            <w:pPr>
              <w:tabs>
                <w:tab w:val="left" w:pos="284"/>
                <w:tab w:val="left" w:pos="4111"/>
              </w:tabs>
              <w:spacing w:before="40" w:line="340" w:lineRule="exact"/>
              <w:ind w:left="284" w:hanging="284"/>
              <w:rPr>
                <w:rtl/>
              </w:rPr>
            </w:pPr>
            <w:r w:rsidRPr="001132C8">
              <w:rPr>
                <w:rFonts w:hint="cs"/>
                <w:rtl/>
              </w:rPr>
              <w:t>-</w:t>
            </w:r>
            <w:r w:rsidRPr="001132C8">
              <w:rPr>
                <w:rtl/>
              </w:rPr>
              <w:tab/>
            </w:r>
            <w:r w:rsidR="005C39DF" w:rsidRPr="0084233C">
              <w:rPr>
                <w:rFonts w:hint="cs"/>
                <w:rtl/>
              </w:rPr>
              <w:t xml:space="preserve">رؤساء ل‍جان </w:t>
            </w:r>
            <w:r w:rsidR="005C39DF">
              <w:rPr>
                <w:rFonts w:hint="cs"/>
                <w:rtl/>
              </w:rPr>
              <w:t>ال</w:t>
            </w:r>
            <w:r w:rsidR="005C39DF" w:rsidRPr="0084233C">
              <w:rPr>
                <w:rFonts w:hint="cs"/>
                <w:rtl/>
              </w:rPr>
              <w:t>دراسات ونوابهم</w:t>
            </w:r>
            <w:r w:rsidRPr="001132C8">
              <w:rPr>
                <w:rFonts w:hint="cs"/>
                <w:rtl/>
              </w:rPr>
              <w:t>؛</w:t>
            </w:r>
          </w:p>
          <w:p w:rsidR="00425492" w:rsidRDefault="00425492" w:rsidP="005664B0">
            <w:pPr>
              <w:tabs>
                <w:tab w:val="left" w:pos="284"/>
                <w:tab w:val="left" w:pos="4111"/>
              </w:tabs>
              <w:spacing w:before="40" w:line="340" w:lineRule="exact"/>
              <w:ind w:left="284" w:hanging="284"/>
              <w:rPr>
                <w:rtl/>
              </w:rPr>
            </w:pPr>
            <w:r w:rsidRPr="0060203A">
              <w:rPr>
                <w:rFonts w:hint="cs"/>
                <w:rtl/>
              </w:rPr>
              <w:t>-</w:t>
            </w:r>
            <w:r w:rsidRPr="0060203A">
              <w:rPr>
                <w:rtl/>
              </w:rPr>
              <w:tab/>
            </w:r>
            <w:r w:rsidRPr="001132C8">
              <w:rPr>
                <w:rtl/>
              </w:rPr>
              <w:t>مدير مكتب تنمية الاتصالات</w:t>
            </w:r>
            <w:r>
              <w:rPr>
                <w:rFonts w:hint="cs"/>
                <w:rtl/>
              </w:rPr>
              <w:t>؛</w:t>
            </w:r>
          </w:p>
          <w:p w:rsidR="00A15845" w:rsidRPr="00A15845" w:rsidRDefault="00425492" w:rsidP="005664B0">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line="340" w:lineRule="exact"/>
              <w:ind w:left="284" w:hanging="284"/>
              <w:rPr>
                <w:rFonts w:eastAsiaTheme="minorEastAsia"/>
                <w:rtl/>
                <w:lang w:eastAsia="zh-CN"/>
              </w:rPr>
            </w:pPr>
            <w:r w:rsidRPr="0060203A">
              <w:rPr>
                <w:rFonts w:hint="cs"/>
                <w:rtl/>
              </w:rPr>
              <w:t>-</w:t>
            </w:r>
            <w:r w:rsidRPr="0060203A">
              <w:rPr>
                <w:rtl/>
              </w:rPr>
              <w:tab/>
            </w:r>
            <w:r w:rsidRPr="001132C8">
              <w:rPr>
                <w:rtl/>
              </w:rPr>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481BEB"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SY"/>
              </w:rPr>
            </w:pPr>
            <w:r w:rsidRPr="00481BEB">
              <w:rPr>
                <w:rFonts w:eastAsiaTheme="minorEastAsia" w:hint="cs"/>
                <w:b/>
                <w:bCs/>
                <w:rtl/>
                <w:lang w:eastAsia="zh-CN"/>
              </w:rPr>
              <w:t>الموضوع:</w:t>
            </w:r>
          </w:p>
        </w:tc>
        <w:tc>
          <w:tcPr>
            <w:tcW w:w="4204" w:type="pct"/>
            <w:gridSpan w:val="2"/>
          </w:tcPr>
          <w:p w:rsidR="00A15845" w:rsidRPr="00481BEB" w:rsidRDefault="005C39DF" w:rsidP="006725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rtl/>
                <w:lang w:eastAsia="zh-CN" w:bidi="ar-EG"/>
              </w:rPr>
            </w:pPr>
            <w:r w:rsidRPr="00481BEB">
              <w:rPr>
                <w:rFonts w:hint="cs"/>
                <w:position w:val="2"/>
                <w:rtl/>
                <w:lang w:bidi="ar-EG"/>
              </w:rPr>
              <w:t>نواتج ال</w:t>
            </w:r>
            <w:r w:rsidRPr="00481BEB">
              <w:rPr>
                <w:rFonts w:hint="cs"/>
                <w:position w:val="2"/>
                <w:rtl/>
              </w:rPr>
              <w:t xml:space="preserve">فريق المتخصص التابع لقطاع تقييس الاتصالات والمعني بالخدمات المالية </w:t>
            </w:r>
            <w:r w:rsidRPr="00481BEB">
              <w:rPr>
                <w:rFonts w:hint="cs"/>
                <w:rtl/>
              </w:rPr>
              <w:t>الرقمية</w:t>
            </w:r>
            <w:r w:rsidRPr="00481BEB">
              <w:rPr>
                <w:rFonts w:hint="eastAsia"/>
                <w:rtl/>
              </w:rPr>
              <w:t> </w:t>
            </w:r>
            <w:r w:rsidRPr="00481BEB">
              <w:t>(FG DFS</w:t>
            </w:r>
            <w:r w:rsidRPr="00481BEB">
              <w:rPr>
                <w:rFonts w:eastAsia="Malgun Gothic"/>
              </w:rPr>
              <w:t>)</w:t>
            </w:r>
          </w:p>
        </w:tc>
      </w:tr>
    </w:tbl>
    <w:p w:rsidR="00A15845" w:rsidRPr="00A15845" w:rsidRDefault="00A15845" w:rsidP="008518D7">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5A0BB3" w:rsidRDefault="00672503" w:rsidP="005A0BB3">
      <w:pPr>
        <w:rPr>
          <w:spacing w:val="2"/>
          <w:rtl/>
          <w:lang w:bidi="ar-EG"/>
        </w:rPr>
      </w:pPr>
      <w:r>
        <w:rPr>
          <w:rFonts w:hint="cs"/>
          <w:rtl/>
        </w:rPr>
        <w:t xml:space="preserve">يسعدني أن </w:t>
      </w:r>
      <w:r w:rsidR="00A76D16">
        <w:rPr>
          <w:rFonts w:hint="cs"/>
          <w:rtl/>
        </w:rPr>
        <w:t>أحيطكم علماً</w:t>
      </w:r>
      <w:r>
        <w:rPr>
          <w:rFonts w:hint="cs"/>
          <w:rtl/>
        </w:rPr>
        <w:t xml:space="preserve"> </w:t>
      </w:r>
      <w:r w:rsidR="00A76D16">
        <w:rPr>
          <w:rFonts w:hint="cs"/>
          <w:rtl/>
        </w:rPr>
        <w:t>ب</w:t>
      </w:r>
      <w:r>
        <w:rPr>
          <w:rFonts w:hint="cs"/>
          <w:rtl/>
        </w:rPr>
        <w:t>النواتج الرئيسية للفريق المتخصص التابع لقطاع تقييس الاتصالات والمعني بالخدمات المالية الرقمية.</w:t>
      </w:r>
    </w:p>
    <w:p w:rsidR="005A27EE" w:rsidRDefault="00672503" w:rsidP="005A0BB3">
      <w:pPr>
        <w:rPr>
          <w:spacing w:val="2"/>
          <w:rtl/>
          <w:lang w:bidi="ar-EG"/>
        </w:rPr>
      </w:pPr>
      <w:r>
        <w:rPr>
          <w:rFonts w:hint="cs"/>
          <w:rtl/>
        </w:rPr>
        <w:t xml:space="preserve">إن إتاحة النفاذ إلى الخدمات المالية المأمونة </w:t>
      </w:r>
      <w:r w:rsidR="00A76D16">
        <w:rPr>
          <w:rFonts w:hint="cs"/>
          <w:rtl/>
        </w:rPr>
        <w:t>و</w:t>
      </w:r>
      <w:r>
        <w:rPr>
          <w:rFonts w:hint="cs"/>
          <w:rtl/>
        </w:rPr>
        <w:t xml:space="preserve">عالية الجودة ضروري لتمكين الأشخاص من تحسين مستوى </w:t>
      </w:r>
      <w:r w:rsidR="00A76D16">
        <w:rPr>
          <w:rFonts w:hint="cs"/>
          <w:rtl/>
        </w:rPr>
        <w:t>م</w:t>
      </w:r>
      <w:r>
        <w:rPr>
          <w:rFonts w:hint="cs"/>
          <w:rtl/>
        </w:rPr>
        <w:t>عيش</w:t>
      </w:r>
      <w:r w:rsidR="00A76D16">
        <w:rPr>
          <w:rFonts w:hint="cs"/>
          <w:rtl/>
        </w:rPr>
        <w:t>ت</w:t>
      </w:r>
      <w:r>
        <w:rPr>
          <w:rFonts w:hint="cs"/>
          <w:rtl/>
        </w:rPr>
        <w:t>هم. فالخدمات المالية الرقمية</w:t>
      </w:r>
      <w:r w:rsidR="00E96684">
        <w:rPr>
          <w:rFonts w:hint="eastAsia"/>
          <w:rtl/>
        </w:rPr>
        <w:t> </w:t>
      </w:r>
      <w:r w:rsidR="00E04F35">
        <w:t>(</w:t>
      </w:r>
      <w:r w:rsidRPr="00DD5635">
        <w:rPr>
          <w:rFonts w:asciiTheme="minorHAnsi" w:hAnsiTheme="minorHAnsi"/>
          <w:szCs w:val="24"/>
        </w:rPr>
        <w:t>DFS</w:t>
      </w:r>
      <w:r w:rsidR="00E04F35">
        <w:t>)</w:t>
      </w:r>
      <w:r>
        <w:rPr>
          <w:rFonts w:hint="cs"/>
          <w:rtl/>
        </w:rPr>
        <w:t xml:space="preserve"> تنطوي على إمكانات كبيرة كفيلة بجعل الخدمات المالية</w:t>
      </w:r>
      <w:r w:rsidR="001046C7">
        <w:rPr>
          <w:rFonts w:hint="cs"/>
          <w:rtl/>
        </w:rPr>
        <w:t xml:space="preserve"> في متناول الفقراء والأشخاص غير</w:t>
      </w:r>
      <w:r w:rsidR="001046C7">
        <w:rPr>
          <w:rFonts w:hint="eastAsia"/>
          <w:rtl/>
        </w:rPr>
        <w:t> </w:t>
      </w:r>
      <w:r>
        <w:rPr>
          <w:rFonts w:hint="cs"/>
          <w:rtl/>
        </w:rPr>
        <w:t xml:space="preserve">المتعاملين مع المصارف باستعمال قنوات رقمية قادرة على خفض تكاليف تقديم الخدمات بنسبة </w:t>
      </w:r>
      <w:r>
        <w:t>90</w:t>
      </w:r>
      <w:r>
        <w:rPr>
          <w:rFonts w:hint="cs"/>
          <w:rtl/>
          <w:lang w:bidi="ar-EG"/>
        </w:rPr>
        <w:t xml:space="preserve"> في المائة</w:t>
      </w:r>
      <w:r w:rsidR="00E04F35">
        <w:rPr>
          <w:rFonts w:hint="cs"/>
          <w:rtl/>
        </w:rPr>
        <w:t>.</w:t>
      </w:r>
    </w:p>
    <w:p w:rsidR="00672503" w:rsidRPr="00080057" w:rsidRDefault="00672503" w:rsidP="005A27EE">
      <w:pPr>
        <w:rPr>
          <w:spacing w:val="2"/>
          <w:rtl/>
          <w:lang w:bidi="ar-EG"/>
        </w:rPr>
      </w:pPr>
      <w:r>
        <w:rPr>
          <w:rFonts w:hint="cs"/>
          <w:spacing w:val="2"/>
          <w:rtl/>
          <w:lang w:bidi="ar-EG"/>
        </w:rPr>
        <w:t xml:space="preserve">لقد حققت السلطات المالية التي تستفيد من الخدمات المالية الرقمية بغرض زيادة الشمول المالي نجاحاً كبيراً في بعض الأسواق. فعلى سبيل المثال، أدى اعتماد نظام </w:t>
      </w:r>
      <w:r w:rsidRPr="00DD5635">
        <w:rPr>
          <w:rFonts w:asciiTheme="minorHAnsi" w:hAnsiTheme="minorHAnsi"/>
          <w:szCs w:val="24"/>
        </w:rPr>
        <w:t>M-PESA</w:t>
      </w:r>
      <w:r w:rsidRPr="00E04F35">
        <w:rPr>
          <w:rFonts w:asciiTheme="minorHAnsi" w:hAnsiTheme="minorHAnsi" w:hint="cs"/>
          <w:sz w:val="30"/>
          <w:rtl/>
        </w:rPr>
        <w:t xml:space="preserve"> </w:t>
      </w:r>
      <w:r w:rsidRPr="006A658B">
        <w:rPr>
          <w:rFonts w:hint="cs"/>
          <w:spacing w:val="2"/>
          <w:rtl/>
          <w:lang w:bidi="ar-EG"/>
        </w:rPr>
        <w:t xml:space="preserve">في كينيا </w:t>
      </w:r>
      <w:r>
        <w:rPr>
          <w:rFonts w:hint="cs"/>
          <w:spacing w:val="2"/>
          <w:rtl/>
          <w:lang w:bidi="ar-EG"/>
        </w:rPr>
        <w:t xml:space="preserve">في عام </w:t>
      </w:r>
      <w:r>
        <w:rPr>
          <w:spacing w:val="2"/>
          <w:lang w:bidi="ar-EG"/>
        </w:rPr>
        <w:t>2006</w:t>
      </w:r>
      <w:r>
        <w:rPr>
          <w:rFonts w:hint="cs"/>
          <w:spacing w:val="2"/>
          <w:rtl/>
          <w:lang w:bidi="ar-EG"/>
        </w:rPr>
        <w:t xml:space="preserve"> إلى زيادة نسبة السكان الذين يستعملون الخدمات المالية الرسمية من </w:t>
      </w:r>
      <w:r>
        <w:rPr>
          <w:spacing w:val="2"/>
          <w:lang w:bidi="ar-EG"/>
        </w:rPr>
        <w:t>27,4</w:t>
      </w:r>
      <w:r>
        <w:rPr>
          <w:rFonts w:hint="cs"/>
          <w:spacing w:val="2"/>
          <w:rtl/>
          <w:lang w:bidi="ar-EG"/>
        </w:rPr>
        <w:t xml:space="preserve"> في المائة في عام </w:t>
      </w:r>
      <w:r>
        <w:rPr>
          <w:spacing w:val="2"/>
          <w:lang w:bidi="ar-EG"/>
        </w:rPr>
        <w:t>2006</w:t>
      </w:r>
      <w:r>
        <w:rPr>
          <w:rFonts w:hint="cs"/>
          <w:spacing w:val="2"/>
          <w:rtl/>
          <w:lang w:bidi="ar-EG"/>
        </w:rPr>
        <w:t xml:space="preserve"> إلى </w:t>
      </w:r>
      <w:r>
        <w:rPr>
          <w:spacing w:val="2"/>
          <w:lang w:bidi="ar-EG"/>
        </w:rPr>
        <w:t>75,3</w:t>
      </w:r>
      <w:r>
        <w:rPr>
          <w:rFonts w:hint="cs"/>
          <w:spacing w:val="2"/>
          <w:rtl/>
          <w:lang w:bidi="ar-EG"/>
        </w:rPr>
        <w:t xml:space="preserve"> في عام </w:t>
      </w:r>
      <w:r>
        <w:rPr>
          <w:spacing w:val="2"/>
          <w:lang w:bidi="ar-EG"/>
        </w:rPr>
        <w:t>2015</w:t>
      </w:r>
      <w:r w:rsidR="00E04F35">
        <w:rPr>
          <w:rFonts w:hint="cs"/>
          <w:spacing w:val="2"/>
          <w:rtl/>
          <w:lang w:bidi="ar-EG"/>
        </w:rPr>
        <w:t>.</w:t>
      </w:r>
    </w:p>
    <w:p w:rsidR="00672503" w:rsidRDefault="00672503" w:rsidP="004F0A81">
      <w:pPr>
        <w:rPr>
          <w:spacing w:val="2"/>
          <w:rtl/>
          <w:lang w:bidi="ar-EG"/>
        </w:rPr>
      </w:pPr>
      <w:r>
        <w:rPr>
          <w:rFonts w:hint="cs"/>
          <w:spacing w:val="2"/>
          <w:rtl/>
          <w:lang w:bidi="ar-EG"/>
        </w:rPr>
        <w:t xml:space="preserve">ورغم أن السلطات المالية في العديد من البلدان ترى الخدمات المالية الرقمية الآن بمثابة حجر الزاوية الذي تقوم عليه استراتيجياتها الرامية إلى زيادة الشمول المالي، فإن هذه السلطات تواجه تحديات جديدة يطرحها تنظيم هذه الخدمات والإشراف عليها. وأنشئ الفريق المتخصص التابع لقطاع تقييس الاتصالات والمعني بالخدمات المالية الرقمية </w:t>
      </w:r>
      <w:r w:rsidR="00E04F35">
        <w:rPr>
          <w:spacing w:val="2"/>
          <w:lang w:bidi="ar-EG"/>
        </w:rPr>
        <w:t>(</w:t>
      </w:r>
      <w:r w:rsidRPr="00294417">
        <w:rPr>
          <w:rFonts w:asciiTheme="minorHAnsi" w:hAnsiTheme="minorHAnsi"/>
          <w:szCs w:val="24"/>
        </w:rPr>
        <w:t>FG</w:t>
      </w:r>
      <w:r w:rsidR="004F0A81">
        <w:rPr>
          <w:rFonts w:asciiTheme="minorHAnsi" w:hAnsiTheme="minorHAnsi"/>
          <w:szCs w:val="24"/>
        </w:rPr>
        <w:t> </w:t>
      </w:r>
      <w:r w:rsidRPr="00294417">
        <w:rPr>
          <w:rFonts w:asciiTheme="minorHAnsi" w:hAnsiTheme="minorHAnsi"/>
          <w:szCs w:val="24"/>
        </w:rPr>
        <w:t>DFS</w:t>
      </w:r>
      <w:r w:rsidR="00E04F35">
        <w:rPr>
          <w:spacing w:val="2"/>
          <w:lang w:bidi="ar-EG"/>
        </w:rPr>
        <w:t>)</w:t>
      </w:r>
      <w:r>
        <w:rPr>
          <w:rFonts w:hint="cs"/>
          <w:spacing w:val="2"/>
          <w:rtl/>
          <w:lang w:bidi="ar-EG"/>
        </w:rPr>
        <w:t xml:space="preserve"> في عام</w:t>
      </w:r>
      <w:r w:rsidR="0045746E">
        <w:rPr>
          <w:rFonts w:hint="eastAsia"/>
          <w:spacing w:val="2"/>
          <w:rtl/>
          <w:lang w:bidi="ar-EG"/>
        </w:rPr>
        <w:t> </w:t>
      </w:r>
      <w:r w:rsidRPr="00294417">
        <w:rPr>
          <w:rFonts w:asciiTheme="minorHAnsi" w:hAnsiTheme="minorHAnsi"/>
          <w:szCs w:val="24"/>
        </w:rPr>
        <w:t>2014</w:t>
      </w:r>
      <w:r w:rsidRPr="00E04F35">
        <w:rPr>
          <w:rFonts w:asciiTheme="minorHAnsi" w:hAnsiTheme="minorHAnsi" w:hint="cs"/>
          <w:sz w:val="30"/>
          <w:rtl/>
        </w:rPr>
        <w:t xml:space="preserve"> </w:t>
      </w:r>
      <w:r w:rsidRPr="00030780">
        <w:rPr>
          <w:rFonts w:hint="cs"/>
          <w:spacing w:val="2"/>
          <w:rtl/>
          <w:lang w:bidi="ar-EG"/>
        </w:rPr>
        <w:t xml:space="preserve">بهدف </w:t>
      </w:r>
      <w:r>
        <w:rPr>
          <w:rFonts w:hint="cs"/>
          <w:spacing w:val="2"/>
          <w:rtl/>
          <w:lang w:bidi="ar-EG"/>
        </w:rPr>
        <w:t>مساعدة السلط</w:t>
      </w:r>
      <w:r w:rsidR="00E04F35">
        <w:rPr>
          <w:rFonts w:hint="cs"/>
          <w:spacing w:val="2"/>
          <w:rtl/>
          <w:lang w:bidi="ar-EG"/>
        </w:rPr>
        <w:t>ات على التغلب على هذه التحديات.</w:t>
      </w:r>
    </w:p>
    <w:p w:rsidR="00765FFE" w:rsidRDefault="00672503" w:rsidP="00765FFE">
      <w:pPr>
        <w:keepNext/>
        <w:keepLines/>
        <w:rPr>
          <w:spacing w:val="2"/>
          <w:rtl/>
          <w:lang w:bidi="ar-EG"/>
        </w:rPr>
      </w:pPr>
      <w:r>
        <w:rPr>
          <w:rFonts w:hint="cs"/>
          <w:spacing w:val="2"/>
          <w:rtl/>
          <w:lang w:bidi="ar-EG"/>
        </w:rPr>
        <w:lastRenderedPageBreak/>
        <w:t xml:space="preserve">واستند عمل الفريق المتخصص على تعاون ما يزيد على </w:t>
      </w:r>
      <w:r w:rsidRPr="00DD5635">
        <w:rPr>
          <w:rFonts w:asciiTheme="minorHAnsi" w:hAnsiTheme="minorHAnsi"/>
          <w:szCs w:val="24"/>
          <w:shd w:val="clear" w:color="auto" w:fill="FFFFFF"/>
        </w:rPr>
        <w:t>450</w:t>
      </w:r>
      <w:r w:rsidRPr="00E04F35">
        <w:rPr>
          <w:rFonts w:asciiTheme="minorHAnsi" w:hAnsiTheme="minorHAnsi" w:hint="cs"/>
          <w:sz w:val="30"/>
          <w:shd w:val="clear" w:color="auto" w:fill="FFFFFF"/>
          <w:rtl/>
        </w:rPr>
        <w:t xml:space="preserve"> </w:t>
      </w:r>
      <w:r w:rsidRPr="005A3EC4">
        <w:rPr>
          <w:rFonts w:hint="cs"/>
          <w:spacing w:val="2"/>
          <w:rtl/>
          <w:lang w:bidi="ar-EG"/>
        </w:rPr>
        <w:t xml:space="preserve">خبيراً من </w:t>
      </w:r>
      <w:r w:rsidRPr="005A3EC4">
        <w:rPr>
          <w:spacing w:val="2"/>
          <w:lang w:bidi="ar-EG"/>
        </w:rPr>
        <w:t>60</w:t>
      </w:r>
      <w:r w:rsidRPr="005A3EC4">
        <w:rPr>
          <w:rFonts w:hint="cs"/>
          <w:spacing w:val="2"/>
          <w:rtl/>
          <w:lang w:bidi="ar-EG"/>
        </w:rPr>
        <w:t xml:space="preserve"> منظمة </w:t>
      </w:r>
      <w:r>
        <w:rPr>
          <w:rFonts w:hint="cs"/>
          <w:spacing w:val="2"/>
          <w:rtl/>
          <w:lang w:bidi="ar-EG"/>
        </w:rPr>
        <w:t xml:space="preserve">من أكثر من </w:t>
      </w:r>
      <w:r w:rsidRPr="00E35098">
        <w:rPr>
          <w:spacing w:val="2"/>
          <w:lang w:bidi="ar-EG"/>
        </w:rPr>
        <w:t>30</w:t>
      </w:r>
      <w:r w:rsidRPr="00E35098">
        <w:rPr>
          <w:rFonts w:hint="cs"/>
          <w:spacing w:val="2"/>
          <w:rtl/>
          <w:lang w:bidi="ar-EG"/>
        </w:rPr>
        <w:t xml:space="preserve"> بلداً. </w:t>
      </w:r>
      <w:r>
        <w:rPr>
          <w:rFonts w:hint="cs"/>
          <w:spacing w:val="2"/>
          <w:rtl/>
          <w:lang w:bidi="ar-EG"/>
        </w:rPr>
        <w:t>وشكل هذا العمل المبادرة الأولى التي تلتقي فيها جميع الجهات الفاعلة العاملة من أجل تحقيق الشمول المالي وإقامة التعاون بين أصحاب المصلحة المعنيين بالخدمات المالية الرقمية، بمن فيهم منظمو الخدمات المالية و</w:t>
      </w:r>
      <w:r w:rsidR="00F51A22">
        <w:rPr>
          <w:rFonts w:hint="cs"/>
          <w:spacing w:val="2"/>
          <w:rtl/>
          <w:lang w:bidi="ar-EG"/>
        </w:rPr>
        <w:t xml:space="preserve">منظمو </w:t>
      </w:r>
      <w:r>
        <w:rPr>
          <w:rFonts w:hint="cs"/>
          <w:spacing w:val="2"/>
          <w:rtl/>
          <w:lang w:bidi="ar-EG"/>
        </w:rPr>
        <w:t>الاتصالات ومقدمو الخدمات المالية الرقمية وجمعيات الدفاع عن المستهلك والخبراء التقنيون في مجال الخدمات المالية الرقمية والمنظمات الإنمائية. ويسعى أصحاب المصلحة المذكورون إلى تحقيق الأهداف الرئيسية الأربعة المشتركة التالية:</w:t>
      </w:r>
    </w:p>
    <w:p w:rsidR="00672503" w:rsidRPr="00C67AFC" w:rsidRDefault="00672503" w:rsidP="00EA4C3A">
      <w:pPr>
        <w:pStyle w:val="enumlev1"/>
        <w:ind w:left="794" w:hanging="794"/>
        <w:rPr>
          <w:rtl/>
        </w:rPr>
      </w:pPr>
      <w:r>
        <w:rPr>
          <w:lang w:bidi="ar-SY"/>
        </w:rPr>
        <w:t>1</w:t>
      </w:r>
      <w:r>
        <w:rPr>
          <w:rtl/>
        </w:rPr>
        <w:tab/>
      </w:r>
      <w:r w:rsidRPr="00765FFE">
        <w:rPr>
          <w:rFonts w:hint="cs"/>
          <w:b/>
          <w:bCs/>
          <w:rtl/>
        </w:rPr>
        <w:t>زيادة</w:t>
      </w:r>
      <w:r w:rsidRPr="00765FFE">
        <w:rPr>
          <w:rFonts w:hint="cs"/>
          <w:rtl/>
        </w:rPr>
        <w:t xml:space="preserve"> التعاون بين سلطات الخدمات المالية وسلطات الاتصالات في مجال دعم الخدمات المالية الرقمية و</w:t>
      </w:r>
      <w:r w:rsidRPr="00765FFE">
        <w:rPr>
          <w:rFonts w:hint="cs"/>
          <w:b/>
          <w:bCs/>
          <w:rtl/>
        </w:rPr>
        <w:t>إضفاء طابع</w:t>
      </w:r>
      <w:r w:rsidRPr="00765FFE">
        <w:rPr>
          <w:rFonts w:hint="cs"/>
          <w:rtl/>
        </w:rPr>
        <w:t xml:space="preserve"> </w:t>
      </w:r>
      <w:r w:rsidRPr="00765FFE">
        <w:rPr>
          <w:rFonts w:hint="cs"/>
          <w:b/>
          <w:bCs/>
          <w:rtl/>
        </w:rPr>
        <w:t>رسمي</w:t>
      </w:r>
      <w:r w:rsidRPr="00765FFE">
        <w:rPr>
          <w:rFonts w:hint="cs"/>
          <w:rtl/>
        </w:rPr>
        <w:t xml:space="preserve"> </w:t>
      </w:r>
      <w:r w:rsidR="00AC5CFD" w:rsidRPr="00C67AFC">
        <w:rPr>
          <w:rFonts w:hint="cs"/>
          <w:rtl/>
        </w:rPr>
        <w:t>على هذا التعاون؛</w:t>
      </w:r>
    </w:p>
    <w:p w:rsidR="00672503" w:rsidRPr="005C3700" w:rsidRDefault="00672503" w:rsidP="00E04F35">
      <w:pPr>
        <w:pStyle w:val="enumlev1"/>
        <w:ind w:left="794" w:hanging="794"/>
        <w:rPr>
          <w:rtl/>
          <w:lang w:bidi="ar-SY"/>
        </w:rPr>
      </w:pPr>
      <w:r w:rsidRPr="005C3700">
        <w:rPr>
          <w:lang w:bidi="ar-SY"/>
        </w:rPr>
        <w:t>2</w:t>
      </w:r>
      <w:r w:rsidRPr="005C3700">
        <w:rPr>
          <w:rtl/>
        </w:rPr>
        <w:tab/>
      </w:r>
      <w:r w:rsidRPr="00173A8D">
        <w:rPr>
          <w:rFonts w:hint="cs"/>
          <w:b/>
          <w:bCs/>
          <w:rtl/>
          <w:lang w:bidi="ar-SY"/>
        </w:rPr>
        <w:t>تحديد</w:t>
      </w:r>
      <w:r>
        <w:rPr>
          <w:rFonts w:hint="cs"/>
          <w:rtl/>
          <w:lang w:bidi="ar-SY"/>
        </w:rPr>
        <w:t xml:space="preserve"> المشاكل الرئيسية التي تحد من ظهور أنظمة إيكولوجية للخدمات المالية الرقمية المأمونة والفع</w:t>
      </w:r>
      <w:r w:rsidR="00B73F6C">
        <w:rPr>
          <w:rFonts w:hint="cs"/>
          <w:rtl/>
          <w:lang w:bidi="ar-SY"/>
        </w:rPr>
        <w:t>ّ</w:t>
      </w:r>
      <w:r>
        <w:rPr>
          <w:rFonts w:hint="cs"/>
          <w:rtl/>
          <w:lang w:bidi="ar-SY"/>
        </w:rPr>
        <w:t>الة؛</w:t>
      </w:r>
    </w:p>
    <w:p w:rsidR="00672503" w:rsidRPr="005C3700" w:rsidRDefault="00672503" w:rsidP="00E04F35">
      <w:pPr>
        <w:pStyle w:val="enumlev1"/>
        <w:ind w:left="794" w:hanging="794"/>
        <w:rPr>
          <w:rtl/>
        </w:rPr>
      </w:pPr>
      <w:r w:rsidRPr="005C3700">
        <w:rPr>
          <w:lang w:bidi="ar-EG"/>
        </w:rPr>
        <w:t>3</w:t>
      </w:r>
      <w:r w:rsidRPr="005C3700">
        <w:rPr>
          <w:lang w:bidi="ar-EG"/>
        </w:rPr>
        <w:tab/>
      </w:r>
      <w:r w:rsidRPr="00F51A22">
        <w:rPr>
          <w:rFonts w:hint="cs"/>
          <w:b/>
          <w:bCs/>
          <w:rtl/>
        </w:rPr>
        <w:t>تحليل</w:t>
      </w:r>
      <w:r>
        <w:rPr>
          <w:rFonts w:hint="cs"/>
          <w:rtl/>
        </w:rPr>
        <w:t xml:space="preserve"> الطرق التي اتُّبعت لمعالجة هذه المشاكل الرئيسية في الممارسة العملية بغية استخلاص </w:t>
      </w:r>
      <w:r w:rsidR="00AC5CFD">
        <w:rPr>
          <w:rFonts w:hint="cs"/>
          <w:rtl/>
        </w:rPr>
        <w:t>أفضل الممارسات؛</w:t>
      </w:r>
    </w:p>
    <w:p w:rsidR="00672503" w:rsidRDefault="00672503" w:rsidP="00E04F35">
      <w:pPr>
        <w:pStyle w:val="enumlev1"/>
        <w:ind w:left="794" w:hanging="794"/>
        <w:rPr>
          <w:rtl/>
          <w:lang w:bidi="ar-EG"/>
        </w:rPr>
      </w:pPr>
      <w:r w:rsidRPr="00A82D13">
        <w:rPr>
          <w:lang w:bidi="ar-EG"/>
        </w:rPr>
        <w:t>4</w:t>
      </w:r>
      <w:r w:rsidRPr="00A82D13">
        <w:rPr>
          <w:lang w:bidi="ar-EG"/>
        </w:rPr>
        <w:tab/>
      </w:r>
      <w:r w:rsidRPr="00BD3DAB">
        <w:rPr>
          <w:rFonts w:hint="cs"/>
          <w:b/>
          <w:bCs/>
          <w:rtl/>
          <w:lang w:bidi="ar-EG"/>
        </w:rPr>
        <w:t>وضع</w:t>
      </w:r>
      <w:r>
        <w:rPr>
          <w:rFonts w:hint="cs"/>
          <w:rtl/>
          <w:lang w:bidi="ar-EG"/>
        </w:rPr>
        <w:t xml:space="preserve"> توصيات بشأن السياسة العامة لكي يسترشد بها القطاعان العام والخاص في جهودهما الرامية إلى تحفيز اعتماد </w:t>
      </w:r>
      <w:r w:rsidR="00AC5CFD">
        <w:rPr>
          <w:rFonts w:hint="cs"/>
          <w:rtl/>
          <w:lang w:bidi="ar-EG"/>
        </w:rPr>
        <w:t>الخدمات المالية الرقمية.</w:t>
      </w:r>
    </w:p>
    <w:p w:rsidR="00672503" w:rsidRDefault="00672503" w:rsidP="00C00307">
      <w:pPr>
        <w:rPr>
          <w:rtl/>
        </w:rPr>
      </w:pPr>
      <w:r>
        <w:rPr>
          <w:rFonts w:hint="cs"/>
          <w:rtl/>
        </w:rPr>
        <w:t>و</w:t>
      </w:r>
      <w:r w:rsidRPr="006169CE">
        <w:rPr>
          <w:rFonts w:hint="cs"/>
          <w:rtl/>
        </w:rPr>
        <w:t xml:space="preserve">بعد سنتين من المشاورات الموسعة، اختتم الفريق المتخصص أعماله </w:t>
      </w:r>
      <w:r>
        <w:rPr>
          <w:rFonts w:hint="cs"/>
          <w:rtl/>
        </w:rPr>
        <w:t xml:space="preserve">في مطلع عام </w:t>
      </w:r>
      <w:r>
        <w:t>2017</w:t>
      </w:r>
      <w:r>
        <w:rPr>
          <w:rFonts w:hint="cs"/>
          <w:rtl/>
        </w:rPr>
        <w:t xml:space="preserve"> </w:t>
      </w:r>
      <w:r w:rsidRPr="006169CE">
        <w:rPr>
          <w:rFonts w:hint="cs"/>
          <w:rtl/>
        </w:rPr>
        <w:t xml:space="preserve">بنشر </w:t>
      </w:r>
      <w:r w:rsidRPr="006169CE">
        <w:t>85</w:t>
      </w:r>
      <w:r w:rsidRPr="006169CE">
        <w:rPr>
          <w:rFonts w:hint="eastAsia"/>
          <w:rtl/>
        </w:rPr>
        <w:t> </w:t>
      </w:r>
      <w:r w:rsidRPr="006169CE">
        <w:rPr>
          <w:rFonts w:hint="cs"/>
          <w:rtl/>
        </w:rPr>
        <w:t xml:space="preserve">توصية </w:t>
      </w:r>
      <w:r>
        <w:rPr>
          <w:rFonts w:hint="cs"/>
          <w:rtl/>
        </w:rPr>
        <w:t>من التوصيات التقنية والتوصيات المتعلقة</w:t>
      </w:r>
      <w:r w:rsidRPr="006169CE">
        <w:rPr>
          <w:rFonts w:hint="cs"/>
          <w:rtl/>
        </w:rPr>
        <w:t xml:space="preserve"> </w:t>
      </w:r>
      <w:r>
        <w:rPr>
          <w:rFonts w:hint="cs"/>
          <w:rtl/>
        </w:rPr>
        <w:t>ب</w:t>
      </w:r>
      <w:r w:rsidRPr="006169CE">
        <w:rPr>
          <w:rFonts w:hint="cs"/>
          <w:rtl/>
        </w:rPr>
        <w:t>السياسة العامة و</w:t>
      </w:r>
      <w:r w:rsidRPr="006169CE">
        <w:t>28</w:t>
      </w:r>
      <w:r>
        <w:rPr>
          <w:rFonts w:hint="cs"/>
          <w:rtl/>
        </w:rPr>
        <w:t xml:space="preserve"> تقريراً مواضيعياً داعماً لها. ويمكن الاطلاع إلكترونياً على جميع التقارير </w:t>
      </w:r>
      <w:hyperlink r:id="rId12" w:history="1">
        <w:r w:rsidRPr="00AC5CFD">
          <w:rPr>
            <w:rStyle w:val="Hyperlink"/>
            <w:rFonts w:hint="cs"/>
            <w:rtl/>
          </w:rPr>
          <w:t>هنا</w:t>
        </w:r>
        <w:r w:rsidRPr="00AC5CFD">
          <w:rPr>
            <w:rStyle w:val="Hyperlink"/>
            <w:rFonts w:cs="Calibri"/>
            <w:position w:val="6"/>
            <w:sz w:val="18"/>
            <w:szCs w:val="18"/>
            <w:rtl/>
          </w:rPr>
          <w:footnoteReference w:id="1"/>
        </w:r>
      </w:hyperlink>
      <w:r w:rsidRPr="008C7909">
        <w:rPr>
          <w:rFonts w:hint="cs"/>
          <w:rtl/>
        </w:rPr>
        <w:t xml:space="preserve">. </w:t>
      </w:r>
      <w:r>
        <w:rPr>
          <w:rFonts w:hint="cs"/>
          <w:rtl/>
        </w:rPr>
        <w:t>ويتضمن الملحق</w:t>
      </w:r>
      <w:r w:rsidR="00C00307">
        <w:rPr>
          <w:rFonts w:hint="eastAsia"/>
          <w:rtl/>
        </w:rPr>
        <w:t> </w:t>
      </w:r>
      <w:r w:rsidRPr="00381E49">
        <w:rPr>
          <w:rFonts w:asciiTheme="minorHAnsi" w:hAnsiTheme="minorHAnsi"/>
          <w:szCs w:val="24"/>
        </w:rPr>
        <w:t>1</w:t>
      </w:r>
      <w:r w:rsidRPr="00C00307">
        <w:rPr>
          <w:rFonts w:asciiTheme="minorHAnsi" w:hAnsiTheme="minorHAnsi" w:hint="cs"/>
          <w:sz w:val="30"/>
          <w:rtl/>
        </w:rPr>
        <w:t xml:space="preserve"> </w:t>
      </w:r>
      <w:r w:rsidRPr="00863E6E">
        <w:rPr>
          <w:rFonts w:hint="cs"/>
          <w:rtl/>
        </w:rPr>
        <w:t xml:space="preserve">قائمة </w:t>
      </w:r>
      <w:r w:rsidR="00C00307">
        <w:rPr>
          <w:rFonts w:hint="cs"/>
          <w:rtl/>
        </w:rPr>
        <w:t>بالتقارير.</w:t>
      </w:r>
    </w:p>
    <w:p w:rsidR="00672503" w:rsidRDefault="00672503" w:rsidP="00672503">
      <w:pPr>
        <w:rPr>
          <w:rtl/>
        </w:rPr>
      </w:pPr>
      <w:r>
        <w:rPr>
          <w:rFonts w:hint="cs"/>
          <w:rtl/>
        </w:rPr>
        <w:t>والاتحاد واثق من أن أصحاب المصلحة المعنيين بالخدمات المالية الرقمية سيستعينون كثيراً بهذه المواد في أنشطتهم الرامية إل</w:t>
      </w:r>
      <w:r w:rsidR="00C00307">
        <w:rPr>
          <w:rFonts w:hint="cs"/>
          <w:rtl/>
        </w:rPr>
        <w:t>ى النهوض بالشمول المالي الرقمي.</w:t>
      </w:r>
    </w:p>
    <w:p w:rsidR="00672503" w:rsidRPr="00A82D13" w:rsidRDefault="00672503" w:rsidP="00C00307">
      <w:pPr>
        <w:rPr>
          <w:rtl/>
        </w:rPr>
      </w:pPr>
      <w:r>
        <w:rPr>
          <w:rFonts w:hint="cs"/>
          <w:rtl/>
        </w:rPr>
        <w:t>وإذا كنتم بحاجة إلى أيّ معلومات إضافية، فيرجى ألاّ تترددوا في الاتصال بالسيد فيجاي موري، مسؤول الاتصال المعني بالشمول المالي الرقمي في مكتب تقييس الاتصالات (</w:t>
      </w:r>
      <w:r w:rsidR="00074E20">
        <w:rPr>
          <w:rFonts w:hint="cs"/>
          <w:rtl/>
        </w:rPr>
        <w:t xml:space="preserve">عنوان </w:t>
      </w:r>
      <w:r>
        <w:rPr>
          <w:rFonts w:hint="cs"/>
          <w:rtl/>
        </w:rPr>
        <w:t xml:space="preserve">البريد الإلكتروني: </w:t>
      </w:r>
      <w:hyperlink r:id="rId13" w:history="1">
        <w:r w:rsidR="00C00307" w:rsidRPr="00DD5635">
          <w:rPr>
            <w:rStyle w:val="Hyperlink"/>
            <w:rFonts w:asciiTheme="minorHAnsi" w:hAnsiTheme="minorHAnsi"/>
            <w:szCs w:val="24"/>
          </w:rPr>
          <w:t>tsbfgdfs@itu.int</w:t>
        </w:r>
      </w:hyperlink>
      <w:r w:rsidR="003F579B">
        <w:rPr>
          <w:rFonts w:hint="cs"/>
          <w:rtl/>
        </w:rPr>
        <w:t>).</w:t>
      </w:r>
    </w:p>
    <w:p w:rsidR="00672503" w:rsidRDefault="00672503" w:rsidP="00672503">
      <w:pPr>
        <w:spacing w:before="240"/>
        <w:rPr>
          <w:lang w:bidi="ar-EG"/>
        </w:rPr>
      </w:pPr>
      <w:r w:rsidRPr="0098621E">
        <w:rPr>
          <w:rFonts w:hint="cs"/>
          <w:rtl/>
          <w:lang w:bidi="ar-EG"/>
        </w:rPr>
        <w:t>وتفضلوا بقبول فائق التقدير والاحترام.</w:t>
      </w:r>
    </w:p>
    <w:p w:rsidR="00A84130" w:rsidRDefault="00A84130" w:rsidP="00A84130">
      <w:pPr>
        <w:spacing w:before="0"/>
        <w:rPr>
          <w:lang w:bidi="ar-EG"/>
        </w:rPr>
      </w:pPr>
      <w:bookmarkStart w:id="1" w:name="_GoBack"/>
      <w:bookmarkEnd w:id="1"/>
    </w:p>
    <w:p w:rsidR="00672503" w:rsidRDefault="00672503" w:rsidP="00A84130">
      <w:pPr>
        <w:spacing w:before="80"/>
        <w:rPr>
          <w:rtl/>
        </w:rPr>
      </w:pPr>
      <w:r w:rsidRPr="005C3700">
        <w:rPr>
          <w:rFonts w:hint="cs"/>
          <w:rtl/>
        </w:rPr>
        <w:t>تشيساب </w:t>
      </w:r>
      <w:r w:rsidRPr="005C3700">
        <w:rPr>
          <w:rFonts w:hint="eastAsia"/>
          <w:rtl/>
        </w:rPr>
        <w:t>لي</w:t>
      </w:r>
      <w:r>
        <w:rPr>
          <w:rtl/>
          <w:lang w:bidi="ar-EG"/>
        </w:rPr>
        <w:br/>
      </w:r>
      <w:r w:rsidRPr="005C3700">
        <w:rPr>
          <w:rFonts w:hint="cs"/>
          <w:rtl/>
          <w:lang w:bidi="ar-EG"/>
        </w:rPr>
        <w:t>مدير مكتب تقييس الاتصالات</w:t>
      </w:r>
    </w:p>
    <w:p w:rsidR="00672503" w:rsidRDefault="00672503" w:rsidP="006725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tl/>
          <w:lang w:bidi="ar-EG"/>
        </w:rPr>
      </w:pPr>
      <w:r w:rsidRPr="00667B3D">
        <w:rPr>
          <w:rFonts w:hint="cs"/>
          <w:b/>
          <w:bCs/>
          <w:rtl/>
          <w:lang w:bidi="ar-EG"/>
        </w:rPr>
        <w:t>الملحقات:</w:t>
      </w:r>
      <w:r>
        <w:rPr>
          <w:rFonts w:hint="eastAsia"/>
          <w:rtl/>
          <w:lang w:bidi="ar-EG"/>
        </w:rPr>
        <w:t> </w:t>
      </w:r>
      <w:r>
        <w:rPr>
          <w:lang w:bidi="ar-EG"/>
        </w:rPr>
        <w:t>1</w:t>
      </w:r>
    </w:p>
    <w:p w:rsidR="00C00307" w:rsidRDefault="00C00307" w:rsidP="006725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tl/>
          <w:lang w:bidi="ar-EG"/>
        </w:rPr>
      </w:pPr>
      <w:r>
        <w:rPr>
          <w:rtl/>
          <w:lang w:bidi="ar-EG"/>
        </w:rPr>
        <w:br w:type="page"/>
      </w:r>
    </w:p>
    <w:p w:rsidR="00293317" w:rsidRPr="00293317" w:rsidRDefault="00293317" w:rsidP="00293317">
      <w:pPr>
        <w:keepNext/>
        <w:keepLines/>
        <w:tabs>
          <w:tab w:val="left" w:pos="1191"/>
          <w:tab w:val="left" w:pos="1588"/>
          <w:tab w:val="left" w:pos="1985"/>
        </w:tabs>
        <w:overflowPunct w:val="0"/>
        <w:autoSpaceDE w:val="0"/>
        <w:autoSpaceDN w:val="0"/>
        <w:bidi w:val="0"/>
        <w:adjustRightInd w:val="0"/>
        <w:spacing w:before="280" w:line="240" w:lineRule="auto"/>
        <w:jc w:val="center"/>
        <w:textAlignment w:val="baseline"/>
        <w:outlineLvl w:val="0"/>
        <w:rPr>
          <w:rFonts w:asciiTheme="minorHAnsi" w:hAnsiTheme="minorHAnsi" w:cs="Times New Roman"/>
          <w:b/>
          <w:szCs w:val="22"/>
          <w:lang w:val="en-GB"/>
        </w:rPr>
      </w:pPr>
      <w:bookmarkStart w:id="2" w:name="_Toc476650685"/>
      <w:r w:rsidRPr="00293317">
        <w:rPr>
          <w:rFonts w:asciiTheme="minorHAnsi" w:hAnsiTheme="minorHAnsi" w:cs="Times New Roman"/>
          <w:bCs/>
          <w:szCs w:val="22"/>
          <w:lang w:val="en-GB"/>
        </w:rPr>
        <w:t xml:space="preserve">ANNEX 1 </w:t>
      </w:r>
      <w:r w:rsidRPr="00293317">
        <w:rPr>
          <w:rFonts w:asciiTheme="minorHAnsi" w:hAnsiTheme="minorHAnsi" w:cs="Times New Roman"/>
          <w:bCs/>
          <w:szCs w:val="22"/>
          <w:lang w:val="en-GB"/>
        </w:rPr>
        <w:br/>
        <w:t>(to TSB Circular 17)</w:t>
      </w:r>
    </w:p>
    <w:p w:rsidR="00293317" w:rsidRPr="00293317" w:rsidRDefault="00293317" w:rsidP="00293317">
      <w:pPr>
        <w:keepNext/>
        <w:keepLines/>
        <w:tabs>
          <w:tab w:val="left" w:pos="1191"/>
          <w:tab w:val="left" w:pos="1588"/>
          <w:tab w:val="left" w:pos="1985"/>
        </w:tabs>
        <w:overflowPunct w:val="0"/>
        <w:autoSpaceDE w:val="0"/>
        <w:autoSpaceDN w:val="0"/>
        <w:bidi w:val="0"/>
        <w:adjustRightInd w:val="0"/>
        <w:spacing w:before="280" w:line="240" w:lineRule="auto"/>
        <w:jc w:val="center"/>
        <w:textAlignment w:val="baseline"/>
        <w:outlineLvl w:val="0"/>
        <w:rPr>
          <w:rFonts w:asciiTheme="minorHAnsi" w:hAnsiTheme="minorHAnsi" w:cs="Times New Roman"/>
          <w:b/>
          <w:szCs w:val="22"/>
          <w:lang w:val="en-GB"/>
        </w:rPr>
      </w:pPr>
      <w:r w:rsidRPr="00293317">
        <w:rPr>
          <w:rFonts w:asciiTheme="minorHAnsi" w:hAnsiTheme="minorHAnsi" w:cs="Times New Roman"/>
          <w:b/>
          <w:szCs w:val="22"/>
          <w:lang w:val="en-GB"/>
        </w:rPr>
        <w:t>Reports of ITU-T Focus Group Digital Financial Services</w:t>
      </w:r>
      <w:bookmarkEnd w:id="2"/>
    </w:p>
    <w:p w:rsidR="00293317" w:rsidRPr="00293317" w:rsidRDefault="00293317" w:rsidP="00293317">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Cs w:val="22"/>
          <w:lang w:val="en-GB" w:eastAsia="ja-JP"/>
        </w:rPr>
      </w:pPr>
    </w:p>
    <w:p w:rsidR="00293317" w:rsidRPr="00293317" w:rsidRDefault="00A84130" w:rsidP="00293317">
      <w:pPr>
        <w:numPr>
          <w:ilvl w:val="0"/>
          <w:numId w:val="13"/>
        </w:numPr>
        <w:tabs>
          <w:tab w:val="clear" w:pos="794"/>
          <w:tab w:val="left" w:pos="1191"/>
          <w:tab w:val="left" w:pos="1588"/>
          <w:tab w:val="left" w:pos="1985"/>
        </w:tabs>
        <w:overflowPunct w:val="0"/>
        <w:autoSpaceDE w:val="0"/>
        <w:autoSpaceDN w:val="0"/>
        <w:bidi w:val="0"/>
        <w:adjustRightInd w:val="0"/>
        <w:spacing w:before="0" w:after="120" w:line="240" w:lineRule="auto"/>
        <w:ind w:left="357" w:hanging="357"/>
        <w:jc w:val="left"/>
        <w:textAlignment w:val="baseline"/>
        <w:rPr>
          <w:rFonts w:asciiTheme="minorHAnsi" w:eastAsia="MS Mincho" w:hAnsiTheme="minorHAnsi" w:cs="Arial"/>
          <w:szCs w:val="22"/>
          <w:lang w:eastAsia="ja-JP"/>
        </w:rPr>
      </w:pPr>
      <w:hyperlink r:id="rId14" w:history="1">
        <w:r w:rsidR="00293317" w:rsidRPr="00293317">
          <w:rPr>
            <w:rFonts w:asciiTheme="minorHAnsi" w:eastAsia="MS Mincho" w:hAnsiTheme="minorHAnsi" w:cs="Times New Roman"/>
            <w:szCs w:val="22"/>
            <w:u w:val="single"/>
            <w:lang w:eastAsia="ja-JP"/>
          </w:rPr>
          <w:t>Executive Summary of Focus Group Digital Financial Services</w:t>
        </w:r>
      </w:hyperlink>
    </w:p>
    <w:p w:rsidR="00293317" w:rsidRPr="00293317" w:rsidRDefault="00A84130" w:rsidP="00293317">
      <w:pPr>
        <w:numPr>
          <w:ilvl w:val="0"/>
          <w:numId w:val="13"/>
        </w:numPr>
        <w:tabs>
          <w:tab w:val="clear" w:pos="794"/>
          <w:tab w:val="left" w:pos="1191"/>
          <w:tab w:val="left" w:pos="1588"/>
          <w:tab w:val="left" w:pos="1985"/>
        </w:tabs>
        <w:overflowPunct w:val="0"/>
        <w:autoSpaceDE w:val="0"/>
        <w:autoSpaceDN w:val="0"/>
        <w:bidi w:val="0"/>
        <w:adjustRightInd w:val="0"/>
        <w:spacing w:before="0" w:after="120" w:line="240" w:lineRule="auto"/>
        <w:ind w:left="357" w:hanging="357"/>
        <w:jc w:val="left"/>
        <w:textAlignment w:val="baseline"/>
        <w:rPr>
          <w:rFonts w:asciiTheme="minorHAnsi" w:eastAsia="MS Mincho" w:hAnsiTheme="minorHAnsi" w:cs="Arial"/>
          <w:szCs w:val="22"/>
          <w:lang w:eastAsia="ja-JP"/>
        </w:rPr>
      </w:pPr>
      <w:hyperlink r:id="rId15" w:history="1">
        <w:r w:rsidR="00293317" w:rsidRPr="00293317">
          <w:rPr>
            <w:rFonts w:asciiTheme="minorHAnsi" w:eastAsia="MS Mincho" w:hAnsiTheme="minorHAnsi" w:cs="Times New Roman"/>
            <w:szCs w:val="22"/>
            <w:u w:val="single"/>
            <w:lang w:eastAsia="ja-JP"/>
          </w:rPr>
          <w:t>FG DFS recommendations</w:t>
        </w:r>
      </w:hyperlink>
    </w:p>
    <w:p w:rsidR="00293317" w:rsidRPr="00293317" w:rsidRDefault="00293317" w:rsidP="00293317">
      <w:pPr>
        <w:numPr>
          <w:ilvl w:val="0"/>
          <w:numId w:val="13"/>
        </w:numPr>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Times New Roman"/>
          <w:szCs w:val="22"/>
          <w:lang w:eastAsia="ja-JP"/>
        </w:rPr>
      </w:pPr>
      <w:r w:rsidRPr="00293317">
        <w:rPr>
          <w:rFonts w:asciiTheme="minorHAnsi" w:eastAsia="MS Mincho" w:hAnsiTheme="minorHAnsi" w:cs="Times New Roman"/>
          <w:szCs w:val="22"/>
          <w:lang w:eastAsia="ja-JP"/>
        </w:rPr>
        <w:t>DFS Ecosystem Technical Reports</w:t>
      </w:r>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16" w:history="1">
        <w:r w:rsidR="00293317" w:rsidRPr="00293317">
          <w:rPr>
            <w:rFonts w:asciiTheme="minorHAnsi" w:eastAsia="MS Mincho" w:hAnsiTheme="minorHAnsi" w:cs="Times New Roman"/>
            <w:color w:val="3789BD"/>
            <w:szCs w:val="22"/>
            <w:u w:val="single"/>
            <w:bdr w:val="none" w:sz="0" w:space="0" w:color="auto" w:frame="1"/>
            <w:lang w:eastAsia="zh-CN"/>
          </w:rPr>
          <w:t>The Digital Financial Services Ecosystem</w:t>
        </w:r>
      </w:hyperlink>
      <w:r w:rsidR="00293317" w:rsidRPr="00293317">
        <w:rPr>
          <w:rFonts w:asciiTheme="minorHAnsi" w:eastAsia="MS Mincho" w:hAnsiTheme="minorHAnsi" w:cs="Arial"/>
          <w:color w:val="444444"/>
          <w:szCs w:val="22"/>
          <w:lang w:eastAsia="zh-CN"/>
        </w:rPr>
        <w:t>       </w:t>
      </w:r>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17" w:history="1">
        <w:r w:rsidR="00293317" w:rsidRPr="00293317">
          <w:rPr>
            <w:rFonts w:asciiTheme="minorHAnsi" w:eastAsia="MS Mincho" w:hAnsiTheme="minorHAnsi" w:cs="Times New Roman"/>
            <w:color w:val="3789BD"/>
            <w:szCs w:val="22"/>
            <w:u w:val="single"/>
            <w:bdr w:val="none" w:sz="0" w:space="0" w:color="auto" w:frame="1"/>
            <w:lang w:eastAsia="zh-CN"/>
          </w:rPr>
          <w:t>Regulation in the Digital Financial Services Ecosystem</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18" w:history="1">
        <w:r w:rsidR="00293317" w:rsidRPr="00293317">
          <w:rPr>
            <w:rFonts w:asciiTheme="minorHAnsi" w:eastAsia="MS Mincho" w:hAnsiTheme="minorHAnsi" w:cs="Times New Roman"/>
            <w:color w:val="3789BD"/>
            <w:szCs w:val="22"/>
            <w:u w:val="single"/>
            <w:bdr w:val="none" w:sz="0" w:space="0" w:color="auto" w:frame="1"/>
            <w:lang w:eastAsia="zh-CN"/>
          </w:rPr>
          <w:t>Review of National Identity Programs</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19" w:history="1">
        <w:r w:rsidR="00293317" w:rsidRPr="00293317">
          <w:rPr>
            <w:rFonts w:asciiTheme="minorHAnsi" w:eastAsia="MS Mincho" w:hAnsiTheme="minorHAnsi" w:cs="Times New Roman"/>
            <w:color w:val="3789BD"/>
            <w:szCs w:val="22"/>
            <w:u w:val="single"/>
            <w:bdr w:val="none" w:sz="0" w:space="0" w:color="auto" w:frame="1"/>
            <w:lang w:eastAsia="zh-CN"/>
          </w:rPr>
          <w:t>Enabling Merchant Payments Acceptance in the Digital Financial Ecosystems</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0" w:history="1">
        <w:r w:rsidR="00293317" w:rsidRPr="00293317">
          <w:rPr>
            <w:rFonts w:asciiTheme="minorHAnsi" w:eastAsia="MS Mincho" w:hAnsiTheme="minorHAnsi" w:cs="Times New Roman"/>
            <w:color w:val="3789BD"/>
            <w:szCs w:val="22"/>
            <w:u w:val="single"/>
            <w:bdr w:val="none" w:sz="0" w:space="0" w:color="auto" w:frame="1"/>
            <w:lang w:eastAsia="zh-CN"/>
          </w:rPr>
          <w:t>Merchant Data and Lending</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1" w:history="1">
        <w:r w:rsidR="00293317" w:rsidRPr="00293317">
          <w:rPr>
            <w:rFonts w:asciiTheme="minorHAnsi" w:eastAsia="MS Mincho" w:hAnsiTheme="minorHAnsi" w:cs="Times New Roman"/>
            <w:color w:val="3789BD"/>
            <w:szCs w:val="22"/>
            <w:u w:val="single"/>
            <w:bdr w:val="none" w:sz="0" w:space="0" w:color="auto" w:frame="1"/>
            <w:lang w:eastAsia="zh-CN"/>
          </w:rPr>
          <w:t>Impact of Agricultural Value Chains on Digital Liquidity</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2" w:history="1">
        <w:r w:rsidR="00293317" w:rsidRPr="00293317">
          <w:rPr>
            <w:rFonts w:asciiTheme="minorHAnsi" w:eastAsia="MS Mincho" w:hAnsiTheme="minorHAnsi" w:cs="Times New Roman"/>
            <w:color w:val="3789BD"/>
            <w:szCs w:val="22"/>
            <w:u w:val="single"/>
            <w:bdr w:val="none" w:sz="0" w:space="0" w:color="auto" w:frame="1"/>
            <w:lang w:eastAsia="zh-CN"/>
          </w:rPr>
          <w:t>Impact of social networks on digital liquidity</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3" w:history="1">
        <w:r w:rsidR="00293317" w:rsidRPr="00293317">
          <w:rPr>
            <w:rFonts w:asciiTheme="minorHAnsi" w:eastAsia="MS Mincho" w:hAnsiTheme="minorHAnsi" w:cs="Times New Roman"/>
            <w:color w:val="3789BD"/>
            <w:szCs w:val="22"/>
            <w:u w:val="single"/>
            <w:bdr w:val="none" w:sz="0" w:space="0" w:color="auto" w:frame="1"/>
            <w:lang w:eastAsia="zh-CN"/>
          </w:rPr>
          <w:t>The Role of Postal Networks in Digital Financial Services</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4" w:history="1">
        <w:r w:rsidR="00293317" w:rsidRPr="00293317">
          <w:rPr>
            <w:rFonts w:asciiTheme="minorHAnsi" w:eastAsia="MS Mincho" w:hAnsiTheme="minorHAnsi" w:cs="Times New Roman"/>
            <w:color w:val="3789BD"/>
            <w:szCs w:val="22"/>
            <w:u w:val="single"/>
            <w:bdr w:val="none" w:sz="0" w:space="0" w:color="auto" w:frame="1"/>
            <w:lang w:eastAsia="zh-CN"/>
          </w:rPr>
          <w:t>B2B and the DFS Ecosystem</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5" w:history="1">
        <w:r w:rsidR="00293317" w:rsidRPr="00293317">
          <w:rPr>
            <w:rFonts w:asciiTheme="minorHAnsi" w:eastAsia="MS Mincho" w:hAnsiTheme="minorHAnsi" w:cs="Times New Roman"/>
            <w:color w:val="3789BD"/>
            <w:szCs w:val="22"/>
            <w:u w:val="single"/>
            <w:bdr w:val="none" w:sz="0" w:space="0" w:color="auto" w:frame="1"/>
            <w:lang w:eastAsia="zh-CN"/>
          </w:rPr>
          <w:t>Bulk Payments and the DFS Ecosystem</w:t>
        </w:r>
      </w:hyperlink>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6" w:history="1">
        <w:r w:rsidR="00293317" w:rsidRPr="00293317">
          <w:rPr>
            <w:rFonts w:asciiTheme="minorHAnsi" w:eastAsia="MS Mincho" w:hAnsiTheme="minorHAnsi" w:cs="Times New Roman"/>
            <w:color w:val="3789BD"/>
            <w:szCs w:val="22"/>
            <w:u w:val="single"/>
            <w:bdr w:val="none" w:sz="0" w:space="0" w:color="auto" w:frame="1"/>
            <w:lang w:eastAsia="zh-CN"/>
          </w:rPr>
          <w:t>Over the counter transactions: A threat to or a facilitator for digital finance ecosystems?</w:t>
        </w:r>
      </w:hyperlink>
      <w:r w:rsidR="00293317" w:rsidRPr="00293317">
        <w:rPr>
          <w:rFonts w:asciiTheme="minorHAnsi" w:eastAsia="MS Mincho" w:hAnsiTheme="minorHAnsi" w:cs="Arial"/>
          <w:color w:val="444444"/>
          <w:szCs w:val="22"/>
          <w:lang w:eastAsia="zh-CN"/>
        </w:rPr>
        <w:t> </w:t>
      </w:r>
    </w:p>
    <w:p w:rsidR="00293317" w:rsidRPr="00293317" w:rsidRDefault="00A84130" w:rsidP="00293317">
      <w:pPr>
        <w:numPr>
          <w:ilvl w:val="0"/>
          <w:numId w:val="15"/>
        </w:numPr>
        <w:shd w:val="clear" w:color="auto" w:fill="FFFFFF"/>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Arial"/>
          <w:color w:val="444444"/>
          <w:szCs w:val="22"/>
          <w:lang w:eastAsia="zh-CN"/>
        </w:rPr>
      </w:pPr>
      <w:hyperlink r:id="rId27" w:history="1">
        <w:r w:rsidR="00293317" w:rsidRPr="00293317">
          <w:rPr>
            <w:rFonts w:asciiTheme="minorHAnsi" w:eastAsia="MS Mincho" w:hAnsiTheme="minorHAnsi" w:cs="Times New Roman"/>
            <w:color w:val="3789BD"/>
            <w:szCs w:val="22"/>
            <w:u w:val="single"/>
            <w:bdr w:val="none" w:sz="0" w:space="0" w:color="auto" w:frame="1"/>
            <w:lang w:eastAsia="zh-CN"/>
          </w:rPr>
          <w:t>DFS Glossary</w:t>
        </w:r>
      </w:hyperlink>
    </w:p>
    <w:p w:rsidR="00293317" w:rsidRPr="00293317" w:rsidRDefault="00293317" w:rsidP="00293317">
      <w:pPr>
        <w:shd w:val="clear" w:color="auto" w:fill="FFFFFF"/>
        <w:tabs>
          <w:tab w:val="clear" w:pos="794"/>
        </w:tabs>
        <w:bidi w:val="0"/>
        <w:spacing w:before="0" w:after="200" w:line="276" w:lineRule="auto"/>
        <w:ind w:left="720"/>
        <w:contextualSpacing/>
        <w:textAlignment w:val="baseline"/>
        <w:rPr>
          <w:rFonts w:asciiTheme="minorHAnsi" w:eastAsia="MS Mincho" w:hAnsiTheme="minorHAnsi" w:cs="Arial"/>
          <w:color w:val="444444"/>
          <w:szCs w:val="22"/>
          <w:lang w:eastAsia="zh-CN"/>
        </w:rPr>
      </w:pPr>
    </w:p>
    <w:p w:rsidR="00293317" w:rsidRPr="00293317" w:rsidRDefault="00293317" w:rsidP="00293317">
      <w:pPr>
        <w:numPr>
          <w:ilvl w:val="0"/>
          <w:numId w:val="13"/>
        </w:numPr>
        <w:tabs>
          <w:tab w:val="clear" w:pos="794"/>
          <w:tab w:val="left" w:pos="1191"/>
          <w:tab w:val="left" w:pos="1588"/>
          <w:tab w:val="left" w:pos="1985"/>
        </w:tabs>
        <w:overflowPunct w:val="0"/>
        <w:autoSpaceDE w:val="0"/>
        <w:autoSpaceDN w:val="0"/>
        <w:bidi w:val="0"/>
        <w:adjustRightInd w:val="0"/>
        <w:spacing w:before="0" w:after="200" w:line="276" w:lineRule="auto"/>
        <w:contextualSpacing/>
        <w:jc w:val="left"/>
        <w:textAlignment w:val="baseline"/>
        <w:rPr>
          <w:rFonts w:asciiTheme="minorHAnsi" w:eastAsia="MS Mincho" w:hAnsiTheme="minorHAnsi" w:cs="Times New Roman"/>
          <w:szCs w:val="22"/>
          <w:lang w:eastAsia="ja-JP"/>
        </w:rPr>
      </w:pPr>
      <w:r w:rsidRPr="00293317">
        <w:rPr>
          <w:rFonts w:asciiTheme="minorHAnsi" w:eastAsia="MS Mincho" w:hAnsiTheme="minorHAnsi" w:cs="Times New Roman"/>
          <w:szCs w:val="22"/>
          <w:lang w:eastAsia="ja-JP"/>
        </w:rPr>
        <w:t>Interoperability Technical Reports</w:t>
      </w:r>
    </w:p>
    <w:p w:rsidR="00293317" w:rsidRPr="00293317" w:rsidRDefault="00A84130" w:rsidP="00293317">
      <w:pPr>
        <w:numPr>
          <w:ilvl w:val="0"/>
          <w:numId w:val="14"/>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28" w:history="1">
        <w:r w:rsidR="00293317" w:rsidRPr="00293317">
          <w:rPr>
            <w:rFonts w:asciiTheme="minorHAnsi" w:hAnsiTheme="minorHAnsi" w:cs="Times New Roman"/>
            <w:color w:val="3789BD"/>
            <w:szCs w:val="22"/>
            <w:u w:val="single"/>
            <w:bdr w:val="none" w:sz="0" w:space="0" w:color="auto" w:frame="1"/>
            <w:lang w:val="en-GB"/>
          </w:rPr>
          <w:t>Cooperation frameworks between Authorities, Users and Providers for the development of the National Payments System</w:t>
        </w:r>
      </w:hyperlink>
    </w:p>
    <w:p w:rsidR="00293317" w:rsidRPr="00293317" w:rsidRDefault="00A84130" w:rsidP="00293317">
      <w:pPr>
        <w:numPr>
          <w:ilvl w:val="0"/>
          <w:numId w:val="14"/>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29" w:history="1">
        <w:r w:rsidR="00293317" w:rsidRPr="00293317">
          <w:rPr>
            <w:rFonts w:asciiTheme="minorHAnsi" w:hAnsiTheme="minorHAnsi" w:cs="Times New Roman"/>
            <w:color w:val="3789BD"/>
            <w:szCs w:val="22"/>
            <w:u w:val="single"/>
            <w:bdr w:val="none" w:sz="0" w:space="0" w:color="auto" w:frame="1"/>
            <w:lang w:val="en-GB"/>
          </w:rPr>
          <w:t>Payment System Oversight and Interoperability</w:t>
        </w:r>
      </w:hyperlink>
    </w:p>
    <w:p w:rsidR="00293317" w:rsidRPr="00293317" w:rsidRDefault="00A84130" w:rsidP="00293317">
      <w:pPr>
        <w:numPr>
          <w:ilvl w:val="0"/>
          <w:numId w:val="14"/>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0" w:history="1">
        <w:r w:rsidR="00293317" w:rsidRPr="00293317">
          <w:rPr>
            <w:rFonts w:asciiTheme="minorHAnsi" w:hAnsiTheme="minorHAnsi" w:cs="Times New Roman"/>
            <w:color w:val="3789BD"/>
            <w:szCs w:val="22"/>
            <w:u w:val="single"/>
            <w:bdr w:val="none" w:sz="0" w:space="0" w:color="auto" w:frame="1"/>
            <w:lang w:val="en-GB"/>
          </w:rPr>
          <w:t>Payment System Interoperability and Oversight: The International Dimension</w:t>
        </w:r>
      </w:hyperlink>
      <w:r w:rsidR="00293317" w:rsidRPr="00293317">
        <w:rPr>
          <w:rFonts w:asciiTheme="minorHAnsi" w:hAnsiTheme="minorHAnsi" w:cs="Times New Roman"/>
          <w:color w:val="444444"/>
          <w:szCs w:val="22"/>
          <w:lang w:val="en-GB"/>
        </w:rPr>
        <w:t>   </w:t>
      </w:r>
    </w:p>
    <w:p w:rsidR="00293317" w:rsidRPr="00293317" w:rsidRDefault="00A84130" w:rsidP="00293317">
      <w:pPr>
        <w:numPr>
          <w:ilvl w:val="0"/>
          <w:numId w:val="14"/>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1" w:history="1">
        <w:r w:rsidR="00293317" w:rsidRPr="00293317">
          <w:rPr>
            <w:rFonts w:asciiTheme="minorHAnsi" w:hAnsiTheme="minorHAnsi" w:cs="Times New Roman"/>
            <w:color w:val="3789BD"/>
            <w:szCs w:val="22"/>
            <w:u w:val="single"/>
            <w:bdr w:val="none" w:sz="0" w:space="0" w:color="auto" w:frame="1"/>
            <w:lang w:val="en-GB"/>
          </w:rPr>
          <w:t>Access to payment infrastructures</w:t>
        </w:r>
      </w:hyperlink>
    </w:p>
    <w:p w:rsidR="00293317" w:rsidRPr="00293317" w:rsidRDefault="00A84130" w:rsidP="00293317">
      <w:pPr>
        <w:numPr>
          <w:ilvl w:val="0"/>
          <w:numId w:val="14"/>
        </w:numPr>
        <w:shd w:val="clear" w:color="auto" w:fill="FFFFFF"/>
        <w:tabs>
          <w:tab w:val="clear" w:pos="794"/>
          <w:tab w:val="left" w:pos="1191"/>
          <w:tab w:val="left" w:pos="1588"/>
          <w:tab w:val="left" w:pos="1985"/>
        </w:tabs>
        <w:overflowPunct w:val="0"/>
        <w:autoSpaceDE w:val="0"/>
        <w:autoSpaceDN w:val="0"/>
        <w:bidi w:val="0"/>
        <w:adjustRightInd w:val="0"/>
        <w:spacing w:before="0" w:after="120" w:line="240" w:lineRule="auto"/>
        <w:ind w:left="714" w:hanging="357"/>
        <w:jc w:val="left"/>
        <w:textAlignment w:val="baseline"/>
        <w:rPr>
          <w:rFonts w:asciiTheme="minorHAnsi" w:hAnsiTheme="minorHAnsi" w:cs="Times New Roman"/>
          <w:color w:val="444444"/>
          <w:szCs w:val="22"/>
          <w:lang w:val="en-GB"/>
        </w:rPr>
      </w:pPr>
      <w:hyperlink r:id="rId32" w:history="1">
        <w:r w:rsidR="00293317" w:rsidRPr="00293317">
          <w:rPr>
            <w:rFonts w:asciiTheme="minorHAnsi" w:hAnsiTheme="minorHAnsi" w:cs="Times New Roman"/>
            <w:color w:val="3789BD"/>
            <w:szCs w:val="22"/>
            <w:u w:val="single"/>
            <w:bdr w:val="none" w:sz="0" w:space="0" w:color="auto" w:frame="1"/>
            <w:lang w:val="en-GB"/>
          </w:rPr>
          <w:t>The Regulator's Perspective on the Right Timing for Inducing Interoperability</w:t>
        </w:r>
      </w:hyperlink>
    </w:p>
    <w:p w:rsidR="00293317" w:rsidRPr="00293317" w:rsidRDefault="00293317" w:rsidP="00293317">
      <w:pPr>
        <w:numPr>
          <w:ilvl w:val="0"/>
          <w:numId w:val="13"/>
        </w:numPr>
        <w:tabs>
          <w:tab w:val="clear" w:pos="794"/>
          <w:tab w:val="left" w:pos="1191"/>
          <w:tab w:val="left" w:pos="1588"/>
          <w:tab w:val="left" w:pos="1985"/>
        </w:tabs>
        <w:overflowPunct w:val="0"/>
        <w:autoSpaceDE w:val="0"/>
        <w:autoSpaceDN w:val="0"/>
        <w:bidi w:val="0"/>
        <w:adjustRightInd w:val="0"/>
        <w:spacing w:before="240" w:after="200" w:line="276" w:lineRule="auto"/>
        <w:contextualSpacing/>
        <w:jc w:val="left"/>
        <w:textAlignment w:val="baseline"/>
        <w:rPr>
          <w:rFonts w:asciiTheme="minorHAnsi" w:eastAsia="MS Mincho" w:hAnsiTheme="minorHAnsi" w:cs="Times New Roman"/>
          <w:szCs w:val="22"/>
          <w:lang w:eastAsia="ja-JP"/>
        </w:rPr>
      </w:pPr>
      <w:r w:rsidRPr="00293317">
        <w:rPr>
          <w:rFonts w:asciiTheme="minorHAnsi" w:eastAsia="MS Mincho" w:hAnsiTheme="minorHAnsi" w:cs="Times New Roman"/>
          <w:szCs w:val="22"/>
          <w:lang w:eastAsia="ja-JP"/>
        </w:rPr>
        <w:t>Consumer Experience and Protection Technical Reports</w:t>
      </w:r>
    </w:p>
    <w:p w:rsidR="00293317" w:rsidRPr="00293317" w:rsidRDefault="00A84130" w:rsidP="00293317">
      <w:pPr>
        <w:numPr>
          <w:ilvl w:val="0"/>
          <w:numId w:val="16"/>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3" w:history="1">
        <w:r w:rsidR="00293317" w:rsidRPr="00293317">
          <w:rPr>
            <w:rFonts w:asciiTheme="minorHAnsi" w:hAnsiTheme="minorHAnsi" w:cs="Times New Roman"/>
            <w:color w:val="3789BD"/>
            <w:szCs w:val="22"/>
            <w:u w:val="single"/>
            <w:bdr w:val="none" w:sz="0" w:space="0" w:color="auto" w:frame="1"/>
            <w:lang w:val="en-GB"/>
          </w:rPr>
          <w:t>Commonly identified Consumer Protection themes for Digital Financial Services</w:t>
        </w:r>
      </w:hyperlink>
    </w:p>
    <w:p w:rsidR="00293317" w:rsidRPr="00293317" w:rsidRDefault="00A84130" w:rsidP="00293317">
      <w:pPr>
        <w:numPr>
          <w:ilvl w:val="0"/>
          <w:numId w:val="16"/>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4" w:history="1">
        <w:proofErr w:type="spellStart"/>
        <w:r w:rsidR="00293317" w:rsidRPr="00293317">
          <w:rPr>
            <w:rFonts w:asciiTheme="minorHAnsi" w:hAnsiTheme="minorHAnsi" w:cs="Times New Roman"/>
            <w:color w:val="3789BD"/>
            <w:szCs w:val="22"/>
            <w:u w:val="single"/>
            <w:bdr w:val="none" w:sz="0" w:space="0" w:color="auto" w:frame="1"/>
            <w:lang w:val="en-GB"/>
          </w:rPr>
          <w:t>QoS</w:t>
        </w:r>
        <w:proofErr w:type="spellEnd"/>
        <w:r w:rsidR="00293317" w:rsidRPr="00293317">
          <w:rPr>
            <w:rFonts w:asciiTheme="minorHAnsi" w:hAnsiTheme="minorHAnsi" w:cs="Times New Roman"/>
            <w:color w:val="3789BD"/>
            <w:szCs w:val="22"/>
            <w:u w:val="single"/>
            <w:bdr w:val="none" w:sz="0" w:space="0" w:color="auto" w:frame="1"/>
            <w:lang w:val="en-GB"/>
          </w:rPr>
          <w:t xml:space="preserve"> and </w:t>
        </w:r>
        <w:proofErr w:type="spellStart"/>
        <w:r w:rsidR="00293317" w:rsidRPr="00293317">
          <w:rPr>
            <w:rFonts w:asciiTheme="minorHAnsi" w:hAnsiTheme="minorHAnsi" w:cs="Times New Roman"/>
            <w:color w:val="3789BD"/>
            <w:szCs w:val="22"/>
            <w:u w:val="single"/>
            <w:bdr w:val="none" w:sz="0" w:space="0" w:color="auto" w:frame="1"/>
            <w:lang w:val="en-GB"/>
          </w:rPr>
          <w:t>QoE</w:t>
        </w:r>
        <w:proofErr w:type="spellEnd"/>
        <w:r w:rsidR="00293317" w:rsidRPr="00293317">
          <w:rPr>
            <w:rFonts w:asciiTheme="minorHAnsi" w:hAnsiTheme="minorHAnsi" w:cs="Times New Roman"/>
            <w:color w:val="3789BD"/>
            <w:szCs w:val="22"/>
            <w:u w:val="single"/>
            <w:bdr w:val="none" w:sz="0" w:space="0" w:color="auto" w:frame="1"/>
            <w:lang w:val="en-GB"/>
          </w:rPr>
          <w:t xml:space="preserve"> Aspects of Digital Financial Services</w:t>
        </w:r>
      </w:hyperlink>
    </w:p>
    <w:p w:rsidR="00293317" w:rsidRPr="00293317" w:rsidRDefault="00A84130" w:rsidP="00293317">
      <w:pPr>
        <w:numPr>
          <w:ilvl w:val="0"/>
          <w:numId w:val="16"/>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5" w:history="1">
        <w:r w:rsidR="00293317" w:rsidRPr="00293317">
          <w:rPr>
            <w:rFonts w:asciiTheme="minorHAnsi" w:hAnsiTheme="minorHAnsi" w:cs="Times New Roman"/>
            <w:color w:val="3789BD"/>
            <w:szCs w:val="22"/>
            <w:u w:val="single"/>
            <w:bdr w:val="none" w:sz="0" w:space="0" w:color="auto" w:frame="1"/>
            <w:lang w:val="en-GB"/>
          </w:rPr>
          <w:t>Review of DFS User Agreements in Africa: A Consumer Protection Perspective</w:t>
        </w:r>
      </w:hyperlink>
    </w:p>
    <w:p w:rsidR="00293317" w:rsidRPr="00293317" w:rsidRDefault="00293317" w:rsidP="00293317">
      <w:pPr>
        <w:numPr>
          <w:ilvl w:val="0"/>
          <w:numId w:val="13"/>
        </w:numPr>
        <w:tabs>
          <w:tab w:val="clear" w:pos="794"/>
          <w:tab w:val="left" w:pos="1191"/>
          <w:tab w:val="left" w:pos="1588"/>
          <w:tab w:val="left" w:pos="1985"/>
        </w:tabs>
        <w:overflowPunct w:val="0"/>
        <w:autoSpaceDE w:val="0"/>
        <w:autoSpaceDN w:val="0"/>
        <w:bidi w:val="0"/>
        <w:adjustRightInd w:val="0"/>
        <w:spacing w:before="240" w:after="200" w:line="276" w:lineRule="auto"/>
        <w:contextualSpacing/>
        <w:jc w:val="left"/>
        <w:textAlignment w:val="baseline"/>
        <w:rPr>
          <w:rFonts w:asciiTheme="minorHAnsi" w:eastAsia="MS Mincho" w:hAnsiTheme="minorHAnsi" w:cs="Times New Roman"/>
          <w:szCs w:val="22"/>
          <w:lang w:eastAsia="ja-JP"/>
        </w:rPr>
      </w:pPr>
      <w:r w:rsidRPr="00293317">
        <w:rPr>
          <w:rFonts w:asciiTheme="minorHAnsi" w:eastAsia="MS Mincho" w:hAnsiTheme="minorHAnsi" w:cs="Times New Roman"/>
          <w:szCs w:val="22"/>
          <w:lang w:eastAsia="ja-JP"/>
        </w:rPr>
        <w:t>Technology, Innovation and Competition Technical Reports</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6" w:history="1">
        <w:r w:rsidR="00293317" w:rsidRPr="00293317">
          <w:rPr>
            <w:rFonts w:asciiTheme="minorHAnsi" w:hAnsiTheme="minorHAnsi" w:cs="Times New Roman"/>
            <w:color w:val="3789BD"/>
            <w:szCs w:val="22"/>
            <w:u w:val="single"/>
            <w:bdr w:val="none" w:sz="0" w:space="0" w:color="auto" w:frame="1"/>
            <w:lang w:val="en-GB"/>
          </w:rPr>
          <w:t>Security Aspects of Digital Financial Services (DFS)</w:t>
        </w:r>
      </w:hyperlink>
      <w:r w:rsidR="00293317" w:rsidRPr="00293317">
        <w:rPr>
          <w:rFonts w:asciiTheme="minorHAnsi" w:hAnsiTheme="minorHAnsi" w:cs="Times New Roman"/>
          <w:color w:val="444444"/>
          <w:szCs w:val="22"/>
          <w:lang w:val="en-GB"/>
        </w:rPr>
        <w:t> </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7" w:history="1">
        <w:r w:rsidR="00293317" w:rsidRPr="00293317">
          <w:rPr>
            <w:rFonts w:asciiTheme="minorHAnsi" w:hAnsiTheme="minorHAnsi" w:cs="Times New Roman"/>
            <w:color w:val="3789BD"/>
            <w:szCs w:val="22"/>
            <w:u w:val="single"/>
            <w:bdr w:val="none" w:sz="0" w:space="0" w:color="auto" w:frame="1"/>
            <w:lang w:val="en-GB"/>
          </w:rPr>
          <w:t>Identity and Authentication</w:t>
        </w:r>
      </w:hyperlink>
      <w:r w:rsidR="00293317" w:rsidRPr="00293317">
        <w:rPr>
          <w:rFonts w:asciiTheme="minorHAnsi" w:hAnsiTheme="minorHAnsi" w:cs="Times New Roman"/>
          <w:color w:val="444444"/>
          <w:szCs w:val="22"/>
          <w:lang w:val="en-GB"/>
        </w:rPr>
        <w:t> </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8" w:history="1">
        <w:r w:rsidR="00293317" w:rsidRPr="00293317">
          <w:rPr>
            <w:rFonts w:asciiTheme="minorHAnsi" w:hAnsiTheme="minorHAnsi" w:cs="Times New Roman"/>
            <w:color w:val="3789BD"/>
            <w:szCs w:val="22"/>
            <w:u w:val="single"/>
            <w:bdr w:val="none" w:sz="0" w:space="0" w:color="auto" w:frame="1"/>
            <w:lang w:val="en-GB"/>
          </w:rPr>
          <w:t>DFS Vendor Platform Features</w:t>
        </w:r>
      </w:hyperlink>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39" w:history="1">
        <w:r w:rsidR="00293317" w:rsidRPr="00293317">
          <w:rPr>
            <w:rFonts w:asciiTheme="minorHAnsi" w:hAnsiTheme="minorHAnsi" w:cs="Times New Roman"/>
            <w:color w:val="3789BD"/>
            <w:szCs w:val="22"/>
            <w:u w:val="single"/>
            <w:bdr w:val="none" w:sz="0" w:space="0" w:color="auto" w:frame="1"/>
            <w:lang w:val="en-GB"/>
          </w:rPr>
          <w:t>Distributed Ledger Technologies and Financial Inclusion</w:t>
        </w:r>
      </w:hyperlink>
      <w:r w:rsidR="00293317" w:rsidRPr="00293317">
        <w:rPr>
          <w:rFonts w:asciiTheme="minorHAnsi" w:hAnsiTheme="minorHAnsi" w:cs="Times New Roman"/>
          <w:color w:val="3789BD"/>
          <w:szCs w:val="22"/>
          <w:u w:val="single"/>
          <w:bdr w:val="none" w:sz="0" w:space="0" w:color="auto" w:frame="1"/>
          <w:lang w:val="en-GB"/>
        </w:rPr>
        <w:t> </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40" w:history="1">
        <w:r w:rsidR="00293317" w:rsidRPr="00293317">
          <w:rPr>
            <w:rFonts w:asciiTheme="minorHAnsi" w:hAnsiTheme="minorHAnsi" w:cs="Times New Roman"/>
            <w:color w:val="3789BD"/>
            <w:szCs w:val="22"/>
            <w:u w:val="single"/>
            <w:bdr w:val="none" w:sz="0" w:space="0" w:color="auto" w:frame="1"/>
            <w:lang w:val="en-GB"/>
          </w:rPr>
          <w:t>Technology evolution and innovation in DFS</w:t>
        </w:r>
      </w:hyperlink>
      <w:r w:rsidR="00293317" w:rsidRPr="00293317">
        <w:rPr>
          <w:rFonts w:asciiTheme="minorHAnsi" w:hAnsiTheme="minorHAnsi" w:cs="Times New Roman"/>
          <w:color w:val="3789BD"/>
          <w:szCs w:val="22"/>
          <w:u w:val="single"/>
          <w:bdr w:val="none" w:sz="0" w:space="0" w:color="auto" w:frame="1"/>
          <w:lang w:val="en-GB"/>
        </w:rPr>
        <w:t> </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41" w:history="1">
        <w:r w:rsidR="00293317" w:rsidRPr="00293317">
          <w:rPr>
            <w:rFonts w:asciiTheme="minorHAnsi" w:hAnsiTheme="minorHAnsi" w:cs="Times New Roman"/>
            <w:color w:val="3789BD"/>
            <w:szCs w:val="22"/>
            <w:u w:val="single"/>
            <w:bdr w:val="none" w:sz="0" w:space="0" w:color="auto" w:frame="1"/>
            <w:lang w:val="en-GB"/>
          </w:rPr>
          <w:t>Competition Aspects of Digital Financial Services</w:t>
        </w:r>
      </w:hyperlink>
      <w:r w:rsidR="00293317" w:rsidRPr="00293317">
        <w:rPr>
          <w:rFonts w:asciiTheme="minorHAnsi" w:hAnsiTheme="minorHAnsi" w:cs="Times New Roman"/>
          <w:color w:val="3789BD"/>
          <w:szCs w:val="22"/>
          <w:u w:val="single"/>
          <w:bdr w:val="none" w:sz="0" w:space="0" w:color="auto" w:frame="1"/>
          <w:lang w:val="en-GB"/>
        </w:rPr>
        <w:t> </w:t>
      </w:r>
    </w:p>
    <w:p w:rsidR="00293317" w:rsidRPr="00293317" w:rsidRDefault="00A84130" w:rsidP="00293317">
      <w:pPr>
        <w:numPr>
          <w:ilvl w:val="0"/>
          <w:numId w:val="17"/>
        </w:numPr>
        <w:shd w:val="clear" w:color="auto" w:fill="FFFFFF"/>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444444"/>
          <w:szCs w:val="22"/>
          <w:lang w:val="en-GB"/>
        </w:rPr>
      </w:pPr>
      <w:hyperlink r:id="rId42" w:history="1">
        <w:r w:rsidR="00293317" w:rsidRPr="00293317">
          <w:rPr>
            <w:rFonts w:asciiTheme="minorHAnsi" w:hAnsiTheme="minorHAnsi" w:cs="Times New Roman"/>
            <w:color w:val="3789BD"/>
            <w:szCs w:val="22"/>
            <w:u w:val="single"/>
            <w:bdr w:val="none" w:sz="0" w:space="0" w:color="auto" w:frame="1"/>
            <w:lang w:val="en-GB"/>
          </w:rPr>
          <w:t>Mobile Handset Use in DFS</w:t>
        </w:r>
      </w:hyperlink>
      <w:r w:rsidR="00293317" w:rsidRPr="00293317">
        <w:rPr>
          <w:rFonts w:asciiTheme="minorHAnsi" w:hAnsiTheme="minorHAnsi" w:cs="Times New Roman"/>
          <w:color w:val="3789BD"/>
          <w:szCs w:val="22"/>
          <w:u w:val="single"/>
          <w:bdr w:val="none" w:sz="0" w:space="0" w:color="auto" w:frame="1"/>
          <w:lang w:val="en-GB"/>
        </w:rPr>
        <w:t> </w:t>
      </w:r>
    </w:p>
    <w:p w:rsidR="00293317" w:rsidRPr="003F579B" w:rsidRDefault="00293317" w:rsidP="00293317">
      <w:pPr>
        <w:shd w:val="clear" w:color="auto" w:fill="FFFFFF"/>
        <w:tabs>
          <w:tab w:val="clear" w:pos="794"/>
        </w:tabs>
        <w:bidi w:val="0"/>
        <w:spacing w:before="0" w:line="240" w:lineRule="auto"/>
        <w:ind w:left="720"/>
        <w:jc w:val="left"/>
        <w:textAlignment w:val="baseline"/>
        <w:rPr>
          <w:rFonts w:asciiTheme="minorHAnsi" w:hAnsiTheme="minorHAnsi" w:cs="Times New Roman"/>
          <w:color w:val="3789BD"/>
          <w:szCs w:val="22"/>
          <w:u w:val="single"/>
          <w:bdr w:val="none" w:sz="0" w:space="0" w:color="auto" w:frame="1"/>
        </w:rPr>
      </w:pPr>
    </w:p>
    <w:p w:rsidR="00672503" w:rsidRPr="00C97939" w:rsidRDefault="00672503" w:rsidP="00214B0E">
      <w:pPr>
        <w:spacing w:before="600"/>
        <w:jc w:val="center"/>
        <w:rPr>
          <w:rtl/>
          <w:lang w:val="en-GB" w:bidi="ar-EG"/>
        </w:rPr>
      </w:pPr>
      <w:r>
        <w:rPr>
          <w:rFonts w:hint="cs"/>
          <w:rtl/>
          <w:lang w:val="en-GB"/>
        </w:rPr>
        <w:t>___________</w:t>
      </w:r>
    </w:p>
    <w:sectPr w:rsidR="00672503" w:rsidRPr="00C97939" w:rsidSect="008B5B5D">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081" w:rsidRDefault="00BE2081" w:rsidP="00E07379">
      <w:pPr>
        <w:spacing w:before="0" w:line="240" w:lineRule="auto"/>
      </w:pPr>
      <w:r>
        <w:separator/>
      </w:r>
    </w:p>
  </w:endnote>
  <w:endnote w:type="continuationSeparator" w:id="0">
    <w:p w:rsidR="00BE2081" w:rsidRDefault="00BE208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72503" w:rsidRDefault="00214B0E" w:rsidP="00E01FD2">
    <w:pPr>
      <w:pStyle w:val="Footer"/>
      <w:tabs>
        <w:tab w:val="clear" w:pos="5812"/>
        <w:tab w:val="right" w:pos="5670"/>
      </w:tabs>
      <w:rPr>
        <w:lang w:val="fr-CH"/>
      </w:rPr>
    </w:pPr>
    <w:r>
      <w:fldChar w:fldCharType="begin"/>
    </w:r>
    <w:r w:rsidRPr="00672503">
      <w:rPr>
        <w:lang w:val="fr-CH"/>
      </w:rPr>
      <w:instrText xml:space="preserve"> FILENAME \p \* MERGEFORMAT </w:instrText>
    </w:r>
    <w:r>
      <w:fldChar w:fldCharType="separate"/>
    </w:r>
    <w:r w:rsidR="00672503" w:rsidRPr="00672503">
      <w:rPr>
        <w:noProof/>
        <w:lang w:val="fr-CH"/>
      </w:rPr>
      <w:t>P:\ARA\ITU-T\BUREAU\CIRC\000\017A.docx</w:t>
    </w:r>
    <w:r>
      <w:rPr>
        <w:noProof/>
      </w:rPr>
      <w:fldChar w:fldCharType="end"/>
    </w:r>
    <w:r w:rsidR="00E01FD2" w:rsidRPr="00672503">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081" w:rsidRDefault="00BE2081" w:rsidP="00E07379">
      <w:pPr>
        <w:spacing w:before="0" w:line="240" w:lineRule="auto"/>
      </w:pPr>
      <w:r>
        <w:separator/>
      </w:r>
    </w:p>
  </w:footnote>
  <w:footnote w:type="continuationSeparator" w:id="0">
    <w:p w:rsidR="00BE2081" w:rsidRDefault="00BE2081" w:rsidP="00E07379">
      <w:pPr>
        <w:spacing w:before="0" w:line="240" w:lineRule="auto"/>
      </w:pPr>
      <w:r>
        <w:continuationSeparator/>
      </w:r>
    </w:p>
  </w:footnote>
  <w:footnote w:id="1">
    <w:p w:rsidR="00672503" w:rsidRDefault="00672503" w:rsidP="00C00307">
      <w:pPr>
        <w:pStyle w:val="FootnoteText"/>
      </w:pPr>
      <w:r>
        <w:rPr>
          <w:rStyle w:val="FootnoteReference"/>
        </w:rPr>
        <w:footnoteRef/>
      </w:r>
      <w:r w:rsidR="00C00307">
        <w:rPr>
          <w:rtl/>
        </w:rPr>
        <w:tab/>
      </w:r>
      <w:r w:rsidRPr="00C00307">
        <w:rPr>
          <w:rFonts w:hint="cs"/>
          <w:rtl/>
        </w:rPr>
        <w:t xml:space="preserve">انظر </w:t>
      </w:r>
      <w:hyperlink r:id="rId1" w:history="1">
        <w:r w:rsidRPr="00C00307">
          <w:rPr>
            <w:rStyle w:val="Hyperlink"/>
            <w:sz w:val="20"/>
            <w:szCs w:val="26"/>
          </w:rPr>
          <w:t>http://www.itu.int/en/ITU-T/focusgroups/dfs/Pages/deliverables.aspx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15845" w:rsidP="00A15845">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84130">
      <w:rPr>
        <w:rStyle w:val="PageNumber"/>
        <w:noProof/>
      </w:rPr>
      <w:t>3</w:t>
    </w:r>
    <w:r w:rsidR="0022345D"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5"/>
  </w:num>
  <w:num w:numId="14">
    <w:abstractNumId w:val="12"/>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SA" w:vendorID="64" w:dllVersion="131078" w:nlCheck="1" w:checkStyle="0"/>
  <w:activeWritingStyle w:appName="MSWord" w:lang="ar-EG"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81"/>
    <w:rsid w:val="000124CC"/>
    <w:rsid w:val="00041F8B"/>
    <w:rsid w:val="00046444"/>
    <w:rsid w:val="0006023B"/>
    <w:rsid w:val="00074E20"/>
    <w:rsid w:val="0008638B"/>
    <w:rsid w:val="000867E6"/>
    <w:rsid w:val="00090574"/>
    <w:rsid w:val="00092FC2"/>
    <w:rsid w:val="000A1677"/>
    <w:rsid w:val="000B407F"/>
    <w:rsid w:val="000C13C2"/>
    <w:rsid w:val="000D4C64"/>
    <w:rsid w:val="000F0B1C"/>
    <w:rsid w:val="000F1D42"/>
    <w:rsid w:val="000F4D07"/>
    <w:rsid w:val="00102A03"/>
    <w:rsid w:val="001040A3"/>
    <w:rsid w:val="001046C7"/>
    <w:rsid w:val="00173915"/>
    <w:rsid w:val="00214B0E"/>
    <w:rsid w:val="0022345D"/>
    <w:rsid w:val="00225854"/>
    <w:rsid w:val="0023283D"/>
    <w:rsid w:val="00251DDE"/>
    <w:rsid w:val="00252E0C"/>
    <w:rsid w:val="00255982"/>
    <w:rsid w:val="00276881"/>
    <w:rsid w:val="002916BE"/>
    <w:rsid w:val="00293317"/>
    <w:rsid w:val="002978F4"/>
    <w:rsid w:val="002B028D"/>
    <w:rsid w:val="002B435E"/>
    <w:rsid w:val="002C4DAE"/>
    <w:rsid w:val="002D6669"/>
    <w:rsid w:val="002E6541"/>
    <w:rsid w:val="002F5560"/>
    <w:rsid w:val="0030486B"/>
    <w:rsid w:val="00310813"/>
    <w:rsid w:val="003231B9"/>
    <w:rsid w:val="003275AC"/>
    <w:rsid w:val="00333D29"/>
    <w:rsid w:val="003409F4"/>
    <w:rsid w:val="00357185"/>
    <w:rsid w:val="003A048F"/>
    <w:rsid w:val="003C106D"/>
    <w:rsid w:val="003C475F"/>
    <w:rsid w:val="003E4132"/>
    <w:rsid w:val="003F579B"/>
    <w:rsid w:val="003F678F"/>
    <w:rsid w:val="00425492"/>
    <w:rsid w:val="0042686F"/>
    <w:rsid w:val="004367CE"/>
    <w:rsid w:val="00443869"/>
    <w:rsid w:val="0045746E"/>
    <w:rsid w:val="004712C6"/>
    <w:rsid w:val="00481BEB"/>
    <w:rsid w:val="00497703"/>
    <w:rsid w:val="004D2677"/>
    <w:rsid w:val="004F0A81"/>
    <w:rsid w:val="004F0F06"/>
    <w:rsid w:val="00501E0E"/>
    <w:rsid w:val="005204D7"/>
    <w:rsid w:val="00530420"/>
    <w:rsid w:val="00552BC5"/>
    <w:rsid w:val="0055516A"/>
    <w:rsid w:val="0056374C"/>
    <w:rsid w:val="0056614F"/>
    <w:rsid w:val="005664B0"/>
    <w:rsid w:val="0057656F"/>
    <w:rsid w:val="00576731"/>
    <w:rsid w:val="0059285F"/>
    <w:rsid w:val="005A0BB3"/>
    <w:rsid w:val="005A24B1"/>
    <w:rsid w:val="005A27EE"/>
    <w:rsid w:val="005B7B8A"/>
    <w:rsid w:val="005C39DF"/>
    <w:rsid w:val="005D6476"/>
    <w:rsid w:val="005D6C0D"/>
    <w:rsid w:val="005E5283"/>
    <w:rsid w:val="005E58F5"/>
    <w:rsid w:val="0060103E"/>
    <w:rsid w:val="00606660"/>
    <w:rsid w:val="006157A3"/>
    <w:rsid w:val="00620E60"/>
    <w:rsid w:val="0063315A"/>
    <w:rsid w:val="0064606C"/>
    <w:rsid w:val="0065591D"/>
    <w:rsid w:val="00662C5A"/>
    <w:rsid w:val="00670AF5"/>
    <w:rsid w:val="00672503"/>
    <w:rsid w:val="006C1556"/>
    <w:rsid w:val="006F267F"/>
    <w:rsid w:val="006F63F7"/>
    <w:rsid w:val="006F6F03"/>
    <w:rsid w:val="00706D7A"/>
    <w:rsid w:val="00726AEC"/>
    <w:rsid w:val="007530CA"/>
    <w:rsid w:val="00765FFE"/>
    <w:rsid w:val="0079553D"/>
    <w:rsid w:val="007B01CC"/>
    <w:rsid w:val="007D4F32"/>
    <w:rsid w:val="007E7C6C"/>
    <w:rsid w:val="007F6238"/>
    <w:rsid w:val="007F646C"/>
    <w:rsid w:val="00801FCD"/>
    <w:rsid w:val="00803D7E"/>
    <w:rsid w:val="00803F08"/>
    <w:rsid w:val="008235CD"/>
    <w:rsid w:val="00823A07"/>
    <w:rsid w:val="00835FEC"/>
    <w:rsid w:val="008513CB"/>
    <w:rsid w:val="008518D7"/>
    <w:rsid w:val="00874D9C"/>
    <w:rsid w:val="008A1810"/>
    <w:rsid w:val="008B5B5D"/>
    <w:rsid w:val="008F032E"/>
    <w:rsid w:val="00917694"/>
    <w:rsid w:val="009263CD"/>
    <w:rsid w:val="00930E6D"/>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6D16"/>
    <w:rsid w:val="00A80E11"/>
    <w:rsid w:val="00A84130"/>
    <w:rsid w:val="00A97F94"/>
    <w:rsid w:val="00AB1309"/>
    <w:rsid w:val="00AC2C52"/>
    <w:rsid w:val="00AC5CFD"/>
    <w:rsid w:val="00AD1503"/>
    <w:rsid w:val="00AE7244"/>
    <w:rsid w:val="00AF3FEE"/>
    <w:rsid w:val="00B02F46"/>
    <w:rsid w:val="00B2000C"/>
    <w:rsid w:val="00B20ADE"/>
    <w:rsid w:val="00B23C4B"/>
    <w:rsid w:val="00B509AE"/>
    <w:rsid w:val="00B57DD5"/>
    <w:rsid w:val="00B66B9A"/>
    <w:rsid w:val="00B73F6C"/>
    <w:rsid w:val="00B82089"/>
    <w:rsid w:val="00B970AE"/>
    <w:rsid w:val="00BA1427"/>
    <w:rsid w:val="00BD0C50"/>
    <w:rsid w:val="00BE2081"/>
    <w:rsid w:val="00BE49D0"/>
    <w:rsid w:val="00BF2C38"/>
    <w:rsid w:val="00C00307"/>
    <w:rsid w:val="00C23331"/>
    <w:rsid w:val="00C265DA"/>
    <w:rsid w:val="00C442F2"/>
    <w:rsid w:val="00C674FE"/>
    <w:rsid w:val="00C67AFC"/>
    <w:rsid w:val="00C7297D"/>
    <w:rsid w:val="00C75633"/>
    <w:rsid w:val="00C8242E"/>
    <w:rsid w:val="00C82615"/>
    <w:rsid w:val="00C867DB"/>
    <w:rsid w:val="00C9793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1FD2"/>
    <w:rsid w:val="00E04F35"/>
    <w:rsid w:val="00E071BE"/>
    <w:rsid w:val="00E07379"/>
    <w:rsid w:val="00E14494"/>
    <w:rsid w:val="00E17033"/>
    <w:rsid w:val="00E22744"/>
    <w:rsid w:val="00E32189"/>
    <w:rsid w:val="00E45211"/>
    <w:rsid w:val="00E7380C"/>
    <w:rsid w:val="00E74BE7"/>
    <w:rsid w:val="00E86CC9"/>
    <w:rsid w:val="00E9140A"/>
    <w:rsid w:val="00E96624"/>
    <w:rsid w:val="00E96684"/>
    <w:rsid w:val="00EA4C3A"/>
    <w:rsid w:val="00F126F1"/>
    <w:rsid w:val="00F2106A"/>
    <w:rsid w:val="00F36D8B"/>
    <w:rsid w:val="00F401D0"/>
    <w:rsid w:val="00F45F2B"/>
    <w:rsid w:val="00F51A22"/>
    <w:rsid w:val="00F5412E"/>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4AA5FFB-B365-4E8D-83FD-7DBF9FAA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DE"/>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dfs@itu.int" TargetMode="External"/><Relationship Id="rId18" Type="http://schemas.openxmlformats.org/officeDocument/2006/relationships/hyperlink" Target="http://www.itu.int/en/ITU-T/focusgroups/dfs/Documents/09_2016/Review%20of%20National%20Identity%20Programs.pdf" TargetMode="External"/><Relationship Id="rId26" Type="http://schemas.openxmlformats.org/officeDocument/2006/relationships/hyperlink" Target="http://www.itu.int/en/ITU-T/focusgroups/dfs/Documents/12_2016/ITUFGDFS_REPORT%20ON%20OTC%20_11-2016.pdf" TargetMode="External"/><Relationship Id="rId39" Type="http://schemas.openxmlformats.org/officeDocument/2006/relationships/hyperlink" Target="http://www.itu.int/en/ITU-T/focusgroups/dfs/Documents/201703/ITU_FGDFS_Report-on-DLT-and-Financial-Inclusion.pdf" TargetMode="External"/><Relationship Id="rId3" Type="http://schemas.openxmlformats.org/officeDocument/2006/relationships/customXml" Target="../customXml/item3.xml"/><Relationship Id="rId21" Type="http://schemas.openxmlformats.org/officeDocument/2006/relationships/hyperlink" Target="http://www.itu.int/en/ITU-T/focusgroups/dfs/Documents/10_2016/10.Impact_of_Agricultural_Value_Chains_on_Digital_Liquidity.pdf" TargetMode="External"/><Relationship Id="rId34" Type="http://schemas.openxmlformats.org/officeDocument/2006/relationships/hyperlink" Target="http://www.itu.int/en/ITU-T/focusgroups/dfs/Documents/09_2016/FGDFSQoSReport.pdf" TargetMode="External"/><Relationship Id="rId42" Type="http://schemas.openxmlformats.org/officeDocument/2006/relationships/hyperlink" Target="http://www.itu.int/en/ITU-T/focusgroups/dfs/Documents/201703/ITU_FGDFS_Report-Mobile-Handset-Features.pdf"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en/ITU-T/focusgroups/dfs/Pages/deliverables.aspx" TargetMode="External"/><Relationship Id="rId17" Type="http://schemas.openxmlformats.org/officeDocument/2006/relationships/hyperlink" Target="http://www.itu.int/en/ITU-T/focusgroups/dfs/Documents/09_2016/Regulation%20and%20the%20DFS%20Ecosystem.pdf" TargetMode="External"/><Relationship Id="rId25" Type="http://schemas.openxmlformats.org/officeDocument/2006/relationships/hyperlink" Target="http://www.itu.int/en/ITU-T/focusgroups/dfs/Documents/10_2016/ITUFGDFS_REPORT%20ON%20Bulk%20Payments_11-2016.pdf" TargetMode="External"/><Relationship Id="rId33" Type="http://schemas.openxmlformats.org/officeDocument/2006/relationships/hyperlink" Target="http://www.itu.int/en/ITU-T/focusgroups/dfs/Documents/09_2016/ConsumerProtectionThemesForBestPractices.pdf" TargetMode="External"/><Relationship Id="rId38" Type="http://schemas.openxmlformats.org/officeDocument/2006/relationships/hyperlink" Target="http://www.itu.int/en/ITU-T/focusgroups/dfs/Documents/201702/ITU_FGDFS_Report-DFSVendorPlatform.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en/ITU-T/focusgroups/dfs/Documents/09_2016/FINAL%20ENDORSED%20ITU%20DFS%20Introduction%20Ecosystem%2028%20April%202016_formatted%20AM.pdf" TargetMode="External"/><Relationship Id="rId20" Type="http://schemas.openxmlformats.org/officeDocument/2006/relationships/hyperlink" Target="http://www.itu.int/en/ITU-T/focusgroups/dfs/Documents/10_2016/ITUFGDFS_REPORT_ON_Merchant%20Data_And_Lending-10-2016_final.pdf" TargetMode="External"/><Relationship Id="rId29" Type="http://schemas.openxmlformats.org/officeDocument/2006/relationships/hyperlink" Target="http://www.itu.int/en/ITU-T/focusgroups/dfs/Documents/10_2016/ITUFGDFS_REPORT%20ON%20Payment%20System%20Oversight%20and%20Interoperability.pdf" TargetMode="External"/><Relationship Id="rId41" Type="http://schemas.openxmlformats.org/officeDocument/2006/relationships/hyperlink" Target="http://www.itu.int/en/ITU-T/focusgroups/dfs/Documents/201703/ITU_FGDFS_Report-Competition-Aspects-of-DF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dfs@itu.int" TargetMode="External"/><Relationship Id="rId24" Type="http://schemas.openxmlformats.org/officeDocument/2006/relationships/hyperlink" Target="http://www.itu.int/en/ITU-T/focusgroups/dfs/Documents/10_2016/ITUFGDFS_REPORT%20ON%20B2BandDFSEcosystem-11-2016.pdf" TargetMode="External"/><Relationship Id="rId32" Type="http://schemas.openxmlformats.org/officeDocument/2006/relationships/hyperlink" Target="http://www.itu.int/en/ITU-T/focusgroups/dfs/Documents/201702/ITU_FGDFS_Report-Right-Timing-for-Inducing-Interoperability.pdf" TargetMode="External"/><Relationship Id="rId37" Type="http://schemas.openxmlformats.org/officeDocument/2006/relationships/hyperlink" Target="http://www.itu.int/en/ITU-T/studygroups/2017-2020/09/Documents/ITU_FGDFS_Report_IdentityandAuthentication.pdf" TargetMode="External"/><Relationship Id="rId40" Type="http://schemas.openxmlformats.org/officeDocument/2006/relationships/hyperlink" Target="http://www.itu.int/en/ITU-T/focusgroups/dfs/Documents/201703/ITU_FGDFS_Report-on-technology-evolution-and-innovation-in-DFS.pdf"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en/ITU-T/focusgroups/dfs/Documents/201703/ITU_FGDFS_Main-Recommendations.pdf" TargetMode="External"/><Relationship Id="rId23" Type="http://schemas.openxmlformats.org/officeDocument/2006/relationships/hyperlink" Target="http://www.itu.int/en/ITU-T/focusgroups/dfs/Documents/10_2016/The%20Role%20of%20Postal%20Networks%20in%20Digital%20Financial%20Services_Formatted.pdf" TargetMode="External"/><Relationship Id="rId28" Type="http://schemas.openxmlformats.org/officeDocument/2006/relationships/hyperlink" Target="http://www.itu.int/en/ITU-T/focusgroups/dfs/Documents/09_2016/Cooperation%20frameworks%20between%20Authorities%2c%20Users%20and%20Providers%20for%20the%20development%20of%20the%20National%20Payments%20System.pdf" TargetMode="External"/><Relationship Id="rId36" Type="http://schemas.openxmlformats.org/officeDocument/2006/relationships/hyperlink" Target="http://www.itu.int/en/ITU-T/studygroups/2017-2020/09/Documents/ITU_FGDFS_SecurityReport.pdf" TargetMode="External"/><Relationship Id="rId10" Type="http://schemas.openxmlformats.org/officeDocument/2006/relationships/image" Target="media/image1.png"/><Relationship Id="rId19" Type="http://schemas.openxmlformats.org/officeDocument/2006/relationships/hyperlink" Target="http://www.itu.int/en/ITU-T/focusgroups/dfs/Documents/09_2016/FINAL%20ENDORSED%20Enabling%20Merchant%20Payments%20Acceptance%2030%20May%202016_formatted%20AM.pdf" TargetMode="External"/><Relationship Id="rId31" Type="http://schemas.openxmlformats.org/officeDocument/2006/relationships/hyperlink" Target="http://www.itu.int/en/ITU-T/focusgroups/dfs/Documents/09_2016/Access%20to%20Payment%20Infrastructures.pdf"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T/focusgroups/dfs/Documents/201703/ITU_FGDFS_Executive-summary.pdf" TargetMode="External"/><Relationship Id="rId22" Type="http://schemas.openxmlformats.org/officeDocument/2006/relationships/hyperlink" Target="http://www.itu.int/en/ITU-T/focusgroups/dfs/Documents/10_2016/ITUFGDFS_REPORT-ON-Impact-of-Social-Networks-on-Digital-Liquidity-11-2016.pdf" TargetMode="External"/><Relationship Id="rId27" Type="http://schemas.openxmlformats.org/officeDocument/2006/relationships/hyperlink" Target="http://www.itu.int/en/ITU-T/focusgroups/dfs/Documents/201701/ITU_FGDFS_DFS-Glossary.pdf" TargetMode="External"/><Relationship Id="rId30" Type="http://schemas.openxmlformats.org/officeDocument/2006/relationships/hyperlink" Target="http://www.itu.int/en/ITU-T/focusgroups/dfs/Documents/10_2016/ITUFGDFS_REPORT%20ON%20Payment%20System%20InteroperabilityandOversightThe%20InternationalDimension-11-2016.pdf" TargetMode="External"/><Relationship Id="rId35" Type="http://schemas.openxmlformats.org/officeDocument/2006/relationships/hyperlink" Target="http://www.itu.int/en/ITU-T/focusgroups/dfs/Documents/01_2017/ITU_FGDFS_Report-on-Review-of-DFS-User-Agreements-in-Africa.pdf"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focusgroups/dfs/Pages/deliverabl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purl.org/dc/elements/1.1/"/>
    <ds:schemaRef ds:uri="996b2e75-67fd-4955-a3b0-5ab9934cb50b"/>
    <ds:schemaRef ds:uri="de10a323-94a9-4e93-88b4-ea964576960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9097B7-0E8B-4090-AB9F-8A06BAAF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141</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36</cp:revision>
  <cp:lastPrinted>2017-04-19T15:35:00Z</cp:lastPrinted>
  <dcterms:created xsi:type="dcterms:W3CDTF">2017-04-19T07:59:00Z</dcterms:created>
  <dcterms:modified xsi:type="dcterms:W3CDTF">2017-04-19T15:35:00Z</dcterms:modified>
  <cp:category>Conference document</cp:category>
</cp:coreProperties>
</file>