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ook w:val="0000" w:firstRow="0" w:lastRow="0" w:firstColumn="0" w:lastColumn="0" w:noHBand="0" w:noVBand="0"/>
      </w:tblPr>
      <w:tblGrid>
        <w:gridCol w:w="1385"/>
        <w:gridCol w:w="6074"/>
        <w:gridCol w:w="2180"/>
      </w:tblGrid>
      <w:tr w:rsidR="00521E65" w:rsidRPr="00521E65" w:rsidTr="00150BF1">
        <w:trPr>
          <w:cantSplit/>
          <w:trHeight w:val="1418"/>
        </w:trPr>
        <w:tc>
          <w:tcPr>
            <w:tcW w:w="718" w:type="pct"/>
          </w:tcPr>
          <w:p w:rsidR="00521E65" w:rsidRPr="00521E65" w:rsidRDefault="00521E65" w:rsidP="00150BF1">
            <w:pPr>
              <w:spacing w:before="0" w:line="240" w:lineRule="auto"/>
              <w:jc w:val="left"/>
              <w:rPr>
                <w:b/>
                <w:bCs/>
                <w:rtl/>
              </w:rPr>
            </w:pPr>
            <w:r w:rsidRPr="00521E65">
              <w:rPr>
                <w:noProof/>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2C152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2D4DDA" w:rsidRDefault="00521E65" w:rsidP="00150BF1">
            <w:pPr>
              <w:spacing w:before="0" w:line="240" w:lineRule="auto"/>
              <w:jc w:val="right"/>
              <w:rPr>
                <w:rFonts w:cstheme="minorBidi"/>
                <w:b/>
                <w:bCs/>
                <w:rtl/>
              </w:rPr>
            </w:pPr>
          </w:p>
        </w:tc>
      </w:tr>
    </w:tbl>
    <w:p w:rsidR="00521E65" w:rsidRPr="002176EC" w:rsidRDefault="00521E65" w:rsidP="0037244F">
      <w:pPr>
        <w:spacing w:before="0"/>
        <w:rPr>
          <w:sz w:val="10"/>
          <w:szCs w:val="18"/>
          <w:rtl/>
          <w:lang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521E65" w:rsidRPr="00521E65" w:rsidTr="0037244F">
        <w:trPr>
          <w:cantSplit/>
          <w:trHeight w:val="340"/>
        </w:trPr>
        <w:tc>
          <w:tcPr>
            <w:tcW w:w="796" w:type="pct"/>
          </w:tcPr>
          <w:p w:rsidR="00521E65" w:rsidRPr="00521E65" w:rsidRDefault="00521E65" w:rsidP="00643E02">
            <w:pPr>
              <w:spacing w:before="60" w:after="60" w:line="300" w:lineRule="exact"/>
              <w:jc w:val="left"/>
              <w:rPr>
                <w:lang w:bidi="ar-SY"/>
              </w:rPr>
            </w:pPr>
          </w:p>
        </w:tc>
        <w:tc>
          <w:tcPr>
            <w:tcW w:w="1734" w:type="pct"/>
          </w:tcPr>
          <w:p w:rsidR="00521E65" w:rsidRPr="00521E65" w:rsidRDefault="00521E65" w:rsidP="00643E02">
            <w:pPr>
              <w:spacing w:before="60" w:after="60" w:line="300" w:lineRule="exact"/>
              <w:jc w:val="left"/>
              <w:rPr>
                <w:b/>
                <w:lang w:bidi="ar-SY"/>
              </w:rPr>
            </w:pPr>
          </w:p>
        </w:tc>
        <w:tc>
          <w:tcPr>
            <w:tcW w:w="2470" w:type="pct"/>
          </w:tcPr>
          <w:p w:rsidR="00521E65" w:rsidRPr="006725D7" w:rsidRDefault="00521E65" w:rsidP="00AB2F01">
            <w:pPr>
              <w:spacing w:before="60" w:after="60" w:line="300" w:lineRule="exact"/>
              <w:jc w:val="left"/>
              <w:rPr>
                <w:rtl/>
                <w:lang w:val="en-GB"/>
              </w:rPr>
            </w:pPr>
            <w:r w:rsidRPr="00521E65">
              <w:rPr>
                <w:rFonts w:hint="cs"/>
                <w:rtl/>
              </w:rPr>
              <w:t xml:space="preserve">جنيف، </w:t>
            </w:r>
            <w:r w:rsidR="00AB2F01">
              <w:t>16</w:t>
            </w:r>
            <w:r w:rsidR="006725D7">
              <w:rPr>
                <w:rFonts w:hint="cs"/>
                <w:rtl/>
                <w:lang w:bidi="ar-EG"/>
              </w:rPr>
              <w:t xml:space="preserve"> </w:t>
            </w:r>
            <w:r w:rsidR="00AB2F01">
              <w:rPr>
                <w:rFonts w:hint="cs"/>
                <w:rtl/>
                <w:lang w:bidi="ar-EG"/>
              </w:rPr>
              <w:t>مايو</w:t>
            </w:r>
            <w:r w:rsidR="006725D7">
              <w:rPr>
                <w:rFonts w:hint="cs"/>
                <w:rtl/>
                <w:lang w:bidi="ar-EG"/>
              </w:rPr>
              <w:t xml:space="preserve"> </w:t>
            </w:r>
            <w:r w:rsidR="002D4DDA">
              <w:rPr>
                <w:lang w:val="en-GB" w:bidi="ar-EG"/>
              </w:rPr>
              <w:t>2017</w:t>
            </w:r>
          </w:p>
          <w:p w:rsidR="00521E65" w:rsidRPr="00521E65" w:rsidRDefault="00521E65" w:rsidP="002176EC">
            <w:pPr>
              <w:spacing w:before="0" w:line="300" w:lineRule="exact"/>
              <w:jc w:val="left"/>
              <w:rPr>
                <w:lang w:bidi="ar-SY"/>
              </w:rPr>
            </w:pPr>
          </w:p>
        </w:tc>
      </w:tr>
      <w:tr w:rsidR="00521E65" w:rsidRPr="00521E65" w:rsidTr="0037244F">
        <w:trPr>
          <w:cantSplit/>
          <w:trHeight w:val="340"/>
        </w:trPr>
        <w:tc>
          <w:tcPr>
            <w:tcW w:w="796" w:type="pct"/>
          </w:tcPr>
          <w:p w:rsidR="00521E65" w:rsidRPr="00521E65" w:rsidRDefault="00521E65" w:rsidP="00643E02">
            <w:pPr>
              <w:spacing w:before="60" w:after="60" w:line="300" w:lineRule="exact"/>
              <w:jc w:val="left"/>
              <w:rPr>
                <w:lang w:bidi="ar-SY"/>
              </w:rPr>
            </w:pPr>
            <w:r w:rsidRPr="00521E65">
              <w:rPr>
                <w:rFonts w:hint="cs"/>
                <w:rtl/>
              </w:rPr>
              <w:t>المرجع:</w:t>
            </w:r>
          </w:p>
        </w:tc>
        <w:tc>
          <w:tcPr>
            <w:tcW w:w="1734" w:type="pct"/>
          </w:tcPr>
          <w:p w:rsidR="00521E65" w:rsidRPr="00521E65" w:rsidRDefault="00521E65" w:rsidP="00AB2F01">
            <w:pPr>
              <w:spacing w:before="60" w:after="60" w:line="300" w:lineRule="exact"/>
              <w:jc w:val="left"/>
              <w:rPr>
                <w:bCs/>
                <w:rtl/>
              </w:rPr>
            </w:pPr>
            <w:r w:rsidRPr="00521E65">
              <w:rPr>
                <w:b/>
                <w:lang w:bidi="ar-SY"/>
              </w:rPr>
              <w:t>TSB Circular</w:t>
            </w:r>
            <w:r w:rsidR="002C1524">
              <w:rPr>
                <w:b/>
                <w:lang w:bidi="ar-SY"/>
              </w:rPr>
              <w:t> </w:t>
            </w:r>
            <w:r w:rsidR="00AB2F01">
              <w:rPr>
                <w:b/>
                <w:lang w:bidi="ar-SY"/>
              </w:rPr>
              <w:t>15</w:t>
            </w:r>
            <w:r w:rsidRPr="00521E65">
              <w:rPr>
                <w:b/>
                <w:lang w:bidi="ar-SY"/>
              </w:rPr>
              <w:br/>
            </w:r>
          </w:p>
        </w:tc>
        <w:tc>
          <w:tcPr>
            <w:tcW w:w="2470" w:type="pct"/>
            <w:vMerge w:val="restart"/>
          </w:tcPr>
          <w:p w:rsidR="006725D7" w:rsidRPr="00DE460B" w:rsidRDefault="006725D7" w:rsidP="00643E02">
            <w:pPr>
              <w:tabs>
                <w:tab w:val="clear" w:pos="1361"/>
                <w:tab w:val="clear" w:pos="1928"/>
                <w:tab w:val="clear" w:pos="2495"/>
                <w:tab w:val="left" w:pos="367"/>
              </w:tabs>
              <w:spacing w:before="60" w:after="60" w:line="300" w:lineRule="exact"/>
              <w:ind w:left="794" w:hanging="794"/>
              <w:jc w:val="left"/>
              <w:rPr>
                <w:b/>
                <w:bCs/>
                <w:rtl/>
              </w:rPr>
            </w:pPr>
            <w:r w:rsidRPr="00DE460B">
              <w:rPr>
                <w:rFonts w:hint="cs"/>
                <w:b/>
                <w:bCs/>
                <w:rtl/>
              </w:rPr>
              <w:t>إلى:</w:t>
            </w:r>
          </w:p>
          <w:p w:rsidR="00521E65" w:rsidRDefault="00521E65" w:rsidP="006725D7">
            <w:pPr>
              <w:tabs>
                <w:tab w:val="clear" w:pos="1361"/>
                <w:tab w:val="clear" w:pos="1928"/>
                <w:tab w:val="clear" w:pos="2495"/>
                <w:tab w:val="left" w:pos="367"/>
              </w:tabs>
              <w:spacing w:before="60" w:after="60" w:line="300" w:lineRule="exact"/>
              <w:ind w:left="794" w:hanging="794"/>
              <w:jc w:val="left"/>
              <w:rPr>
                <w:rtl/>
              </w:rPr>
            </w:pPr>
            <w:r w:rsidRPr="00521E65">
              <w:rPr>
                <w:rFonts w:hint="cs"/>
                <w:rtl/>
              </w:rPr>
              <w:t>-</w:t>
            </w:r>
            <w:r w:rsidRPr="00521E65">
              <w:rPr>
                <w:rtl/>
              </w:rPr>
              <w:tab/>
            </w:r>
            <w:r w:rsidRPr="00521E65">
              <w:rPr>
                <w:rFonts w:hint="cs"/>
                <w:rtl/>
              </w:rPr>
              <w:t>إدارات الدول الأعضاء في الاتحاد</w:t>
            </w:r>
            <w:r w:rsidR="006725D7">
              <w:rPr>
                <w:rFonts w:hint="cs"/>
                <w:rtl/>
              </w:rPr>
              <w:t>؛</w:t>
            </w:r>
          </w:p>
          <w:p w:rsidR="006725D7" w:rsidRDefault="006725D7" w:rsidP="006725D7">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rFonts w:hint="cs"/>
                <w:rtl/>
              </w:rPr>
              <w:t>أعضاء قطاع تقييس الاتصالات</w:t>
            </w:r>
            <w:r w:rsidR="00E42E61">
              <w:rPr>
                <w:rFonts w:hint="cs"/>
                <w:rtl/>
              </w:rPr>
              <w:t xml:space="preserve"> في الاتحاد</w:t>
            </w:r>
            <w:r>
              <w:rPr>
                <w:rFonts w:hint="cs"/>
                <w:rtl/>
              </w:rPr>
              <w:t>؛</w:t>
            </w:r>
          </w:p>
          <w:p w:rsidR="006725D7" w:rsidRDefault="006725D7" w:rsidP="006725D7">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rFonts w:hint="cs"/>
                <w:rtl/>
              </w:rPr>
              <w:t>المنتسبين إلى قطاع تقييس الاتصالات؛</w:t>
            </w:r>
          </w:p>
          <w:p w:rsidR="000E38DF" w:rsidRPr="00521E65" w:rsidRDefault="006725D7" w:rsidP="00EB52AE">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rFonts w:hint="cs"/>
                <w:rtl/>
              </w:rPr>
              <w:t>الهيئات الأكاديمية المنضمة إلى الاتحاد</w:t>
            </w:r>
          </w:p>
        </w:tc>
      </w:tr>
      <w:tr w:rsidR="00EB52AE" w:rsidRPr="00521E65" w:rsidTr="0037244F">
        <w:trPr>
          <w:cantSplit/>
          <w:trHeight w:val="340"/>
        </w:trPr>
        <w:tc>
          <w:tcPr>
            <w:tcW w:w="796" w:type="pct"/>
          </w:tcPr>
          <w:p w:rsidR="00EB52AE" w:rsidRPr="00521E65" w:rsidRDefault="00EB52AE" w:rsidP="00AB2F0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tl/>
                <w:lang w:bidi="ar-EG"/>
              </w:rPr>
            </w:pPr>
          </w:p>
        </w:tc>
        <w:tc>
          <w:tcPr>
            <w:tcW w:w="1734" w:type="pct"/>
          </w:tcPr>
          <w:p w:rsidR="00EB52AE" w:rsidRPr="005B1FA8" w:rsidRDefault="00EB52AE" w:rsidP="00EB52AE">
            <w:pPr>
              <w:spacing w:before="60" w:after="60" w:line="300" w:lineRule="exact"/>
              <w:jc w:val="left"/>
              <w:rPr>
                <w:b/>
                <w:bCs/>
                <w:lang w:bidi="ar-SY"/>
              </w:rPr>
            </w:pPr>
          </w:p>
        </w:tc>
        <w:tc>
          <w:tcPr>
            <w:tcW w:w="2470" w:type="pct"/>
            <w:vMerge/>
          </w:tcPr>
          <w:p w:rsidR="00EB52AE" w:rsidRPr="00DE460B" w:rsidRDefault="00EB52AE" w:rsidP="00643E02">
            <w:pPr>
              <w:tabs>
                <w:tab w:val="clear" w:pos="1361"/>
                <w:tab w:val="clear" w:pos="1928"/>
                <w:tab w:val="clear" w:pos="2495"/>
                <w:tab w:val="left" w:pos="367"/>
              </w:tabs>
              <w:spacing w:before="60" w:after="60" w:line="300" w:lineRule="exact"/>
              <w:ind w:left="794" w:hanging="794"/>
              <w:jc w:val="left"/>
              <w:rPr>
                <w:b/>
                <w:bCs/>
                <w:rtl/>
              </w:rPr>
            </w:pPr>
          </w:p>
        </w:tc>
      </w:tr>
      <w:tr w:rsidR="00521E65" w:rsidRPr="00521E65" w:rsidTr="0037244F">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lang w:bidi="ar-SY"/>
              </w:rPr>
              <w:t>الهاتف</w:t>
            </w:r>
            <w:r w:rsidRPr="00521E65">
              <w:rPr>
                <w:rFonts w:hint="cs"/>
                <w:rtl/>
              </w:rPr>
              <w:t>:</w:t>
            </w:r>
          </w:p>
        </w:tc>
        <w:tc>
          <w:tcPr>
            <w:tcW w:w="1734" w:type="pct"/>
          </w:tcPr>
          <w:p w:rsidR="00521E65" w:rsidRPr="00AB2F01" w:rsidRDefault="00EB52AE" w:rsidP="000D5E95">
            <w:pPr>
              <w:spacing w:before="60" w:after="60" w:line="300" w:lineRule="exact"/>
              <w:jc w:val="left"/>
              <w:rPr>
                <w:b/>
                <w:rtl/>
                <w:lang w:bidi="ar-SY"/>
              </w:rPr>
            </w:pPr>
            <w:r w:rsidRPr="00AB2F01">
              <w:rPr>
                <w:lang w:val="en-GB" w:bidi="ar-SY"/>
              </w:rPr>
              <w:t>+41</w:t>
            </w:r>
            <w:r w:rsidR="000D5E95" w:rsidRPr="00AB2F01">
              <w:rPr>
                <w:lang w:val="en-GB" w:bidi="ar-SY"/>
              </w:rPr>
              <w:t> </w:t>
            </w:r>
            <w:r w:rsidRPr="00AB2F01">
              <w:rPr>
                <w:lang w:val="en-GB" w:bidi="ar-SY"/>
              </w:rPr>
              <w:t>22</w:t>
            </w:r>
            <w:r w:rsidR="000D5E95" w:rsidRPr="00AB2F01">
              <w:rPr>
                <w:lang w:val="en-GB" w:bidi="ar-SY"/>
              </w:rPr>
              <w:t> </w:t>
            </w:r>
            <w:r w:rsidRPr="00AB2F01">
              <w:rPr>
                <w:lang w:val="en-GB" w:bidi="ar-SY"/>
              </w:rPr>
              <w:t>730</w:t>
            </w:r>
            <w:r w:rsidR="000D5E95" w:rsidRPr="00AB2F01">
              <w:rPr>
                <w:lang w:val="en-GB" w:bidi="ar-SY"/>
              </w:rPr>
              <w:t> </w:t>
            </w:r>
            <w:r w:rsidR="00AB2F01" w:rsidRPr="00AB2F01">
              <w:t>6805</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EB52AE" w:rsidRPr="00521E65" w:rsidTr="0037244F">
        <w:trPr>
          <w:cantSplit/>
          <w:trHeight w:val="340"/>
        </w:trPr>
        <w:tc>
          <w:tcPr>
            <w:tcW w:w="796" w:type="pct"/>
          </w:tcPr>
          <w:p w:rsidR="00EB52AE" w:rsidRPr="00521E65" w:rsidRDefault="00EB52AE" w:rsidP="00EB52AE">
            <w:pPr>
              <w:spacing w:before="60" w:after="60" w:line="300" w:lineRule="exact"/>
              <w:jc w:val="left"/>
              <w:rPr>
                <w:rtl/>
              </w:rPr>
            </w:pPr>
            <w:r w:rsidRPr="00521E65">
              <w:rPr>
                <w:rFonts w:hint="cs"/>
                <w:rtl/>
              </w:rPr>
              <w:t>الفاكس:</w:t>
            </w:r>
          </w:p>
        </w:tc>
        <w:tc>
          <w:tcPr>
            <w:tcW w:w="1734" w:type="pct"/>
          </w:tcPr>
          <w:p w:rsidR="00EB52AE" w:rsidRPr="00AB2F01" w:rsidRDefault="00EB52AE" w:rsidP="000D5E95">
            <w:pPr>
              <w:spacing w:before="60" w:after="60" w:line="300" w:lineRule="exact"/>
              <w:jc w:val="left"/>
              <w:rPr>
                <w:b/>
                <w:lang w:bidi="ar-SY"/>
              </w:rPr>
            </w:pPr>
            <w:r w:rsidRPr="00AB2F01">
              <w:rPr>
                <w:lang w:val="en-GB" w:bidi="ar-SY"/>
              </w:rPr>
              <w:t>+41</w:t>
            </w:r>
            <w:r w:rsidR="000D5E95" w:rsidRPr="00AB2F01">
              <w:rPr>
                <w:lang w:val="en-GB" w:bidi="ar-SY"/>
              </w:rPr>
              <w:t> </w:t>
            </w:r>
            <w:r w:rsidRPr="00AB2F01">
              <w:rPr>
                <w:lang w:val="en-GB" w:bidi="ar-SY"/>
              </w:rPr>
              <w:t>22</w:t>
            </w:r>
            <w:r w:rsidR="000D5E95" w:rsidRPr="00AB2F01">
              <w:rPr>
                <w:lang w:val="en-GB" w:bidi="ar-SY"/>
              </w:rPr>
              <w:t> </w:t>
            </w:r>
            <w:r w:rsidRPr="00AB2F01">
              <w:rPr>
                <w:lang w:val="en-GB" w:bidi="ar-SY"/>
              </w:rPr>
              <w:t>730</w:t>
            </w:r>
            <w:r w:rsidR="000D5E95" w:rsidRPr="00AB2F01">
              <w:rPr>
                <w:lang w:val="en-GB" w:bidi="ar-SY"/>
              </w:rPr>
              <w:t> </w:t>
            </w:r>
            <w:r w:rsidRPr="00AB2F01">
              <w:rPr>
                <w:lang w:val="en-GB" w:bidi="ar-SY"/>
              </w:rPr>
              <w:t>5853</w:t>
            </w:r>
          </w:p>
        </w:tc>
        <w:tc>
          <w:tcPr>
            <w:tcW w:w="2470" w:type="pct"/>
            <w:vMerge/>
          </w:tcPr>
          <w:p w:rsidR="00EB52AE" w:rsidRPr="00521E65" w:rsidRDefault="00EB52AE" w:rsidP="00EB52AE">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EB52AE" w:rsidRPr="00521E65" w:rsidTr="0037244F">
        <w:trPr>
          <w:cantSplit/>
        </w:trPr>
        <w:tc>
          <w:tcPr>
            <w:tcW w:w="796" w:type="pct"/>
          </w:tcPr>
          <w:p w:rsidR="00EB52AE" w:rsidRPr="00521E65" w:rsidRDefault="00EB52AE" w:rsidP="00EB52AE">
            <w:pPr>
              <w:spacing w:before="60" w:after="60" w:line="300" w:lineRule="exact"/>
              <w:jc w:val="left"/>
              <w:rPr>
                <w:lang w:bidi="ar-SY"/>
              </w:rPr>
            </w:pPr>
            <w:r w:rsidRPr="00EB52AE">
              <w:rPr>
                <w:rFonts w:hint="cs"/>
                <w:rtl/>
                <w:lang w:bidi="ar-SY"/>
              </w:rPr>
              <w:t>البريد</w:t>
            </w:r>
            <w:r w:rsidRPr="00EB52AE">
              <w:rPr>
                <w:rtl/>
                <w:lang w:bidi="ar-SY"/>
              </w:rPr>
              <w:t xml:space="preserve"> </w:t>
            </w:r>
            <w:r w:rsidRPr="00EB52AE">
              <w:rPr>
                <w:rFonts w:hint="cs"/>
                <w:rtl/>
                <w:lang w:bidi="ar-SY"/>
              </w:rPr>
              <w:t>الإلكتروني</w:t>
            </w:r>
            <w:r w:rsidRPr="00EB52AE">
              <w:rPr>
                <w:rtl/>
                <w:lang w:bidi="ar-SY"/>
              </w:rPr>
              <w:t>:</w:t>
            </w:r>
          </w:p>
        </w:tc>
        <w:tc>
          <w:tcPr>
            <w:tcW w:w="1734" w:type="pct"/>
          </w:tcPr>
          <w:p w:rsidR="00EB52AE" w:rsidRPr="00AB2F01" w:rsidRDefault="00FE2B39" w:rsidP="00AB2F01">
            <w:pPr>
              <w:tabs>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tl/>
                <w:lang w:bidi="ar-EG"/>
              </w:rPr>
            </w:pPr>
            <w:hyperlink r:id="rId9" w:history="1">
              <w:bookmarkStart w:id="0" w:name="lt_pId034"/>
              <w:r w:rsidR="00AB2F01" w:rsidRPr="00AB2F01">
                <w:rPr>
                  <w:rStyle w:val="Hyperlink"/>
                </w:rPr>
                <w:t>tsbsg16@itu.int</w:t>
              </w:r>
              <w:bookmarkEnd w:id="0"/>
            </w:hyperlink>
          </w:p>
        </w:tc>
        <w:tc>
          <w:tcPr>
            <w:tcW w:w="2470" w:type="pct"/>
          </w:tcPr>
          <w:p w:rsidR="00EB52AE" w:rsidRPr="00521E65" w:rsidRDefault="00EB52AE" w:rsidP="00EB52AE">
            <w:pPr>
              <w:tabs>
                <w:tab w:val="clear" w:pos="1361"/>
                <w:tab w:val="clear" w:pos="1928"/>
                <w:tab w:val="clear" w:pos="2495"/>
                <w:tab w:val="left" w:pos="367"/>
              </w:tabs>
              <w:spacing w:before="60" w:after="60" w:line="300" w:lineRule="exact"/>
              <w:ind w:left="794" w:hanging="794"/>
              <w:jc w:val="left"/>
              <w:rPr>
                <w:b/>
                <w:bCs/>
                <w:rtl/>
              </w:rPr>
            </w:pPr>
            <w:r w:rsidRPr="00521E65">
              <w:rPr>
                <w:rFonts w:hint="cs"/>
                <w:b/>
                <w:bCs/>
                <w:rtl/>
              </w:rPr>
              <w:t>نسخة إلى:</w:t>
            </w:r>
          </w:p>
          <w:p w:rsidR="00EB52AE" w:rsidRPr="006725D7" w:rsidRDefault="00EB52AE" w:rsidP="00EB52AE">
            <w:pPr>
              <w:tabs>
                <w:tab w:val="clear" w:pos="1361"/>
                <w:tab w:val="clear" w:pos="1928"/>
                <w:tab w:val="clear" w:pos="2495"/>
                <w:tab w:val="left" w:pos="367"/>
              </w:tabs>
              <w:spacing w:before="60" w:after="60" w:line="300" w:lineRule="exact"/>
              <w:ind w:left="794" w:hanging="794"/>
              <w:jc w:val="left"/>
              <w:rPr>
                <w:rtl/>
                <w:lang w:bidi="ar-EG"/>
              </w:rPr>
            </w:pPr>
            <w:r w:rsidRPr="006725D7">
              <w:rPr>
                <w:rFonts w:hint="cs"/>
                <w:rtl/>
              </w:rPr>
              <w:t>-</w:t>
            </w:r>
            <w:r w:rsidRPr="006725D7">
              <w:rPr>
                <w:rtl/>
              </w:rPr>
              <w:tab/>
            </w:r>
            <w:r>
              <w:rPr>
                <w:rFonts w:hint="cs"/>
                <w:rtl/>
              </w:rPr>
              <w:t>رؤساء ل‍جان الدراسات ل</w:t>
            </w:r>
            <w:r w:rsidRPr="006725D7">
              <w:rPr>
                <w:rFonts w:hint="cs"/>
                <w:rtl/>
              </w:rPr>
              <w:t>قطاع تقييس الاتصالات ونواب</w:t>
            </w:r>
            <w:r w:rsidRPr="006725D7">
              <w:rPr>
                <w:rFonts w:hint="cs"/>
                <w:rtl/>
                <w:lang w:bidi="ar-EG"/>
              </w:rPr>
              <w:t>‍</w:t>
            </w:r>
            <w:r w:rsidRPr="006725D7">
              <w:rPr>
                <w:rFonts w:hint="cs"/>
                <w:rtl/>
              </w:rPr>
              <w:t>هم؛</w:t>
            </w:r>
          </w:p>
          <w:p w:rsidR="00EB52AE" w:rsidRPr="006725D7" w:rsidRDefault="00EB52AE" w:rsidP="00EB52AE">
            <w:pPr>
              <w:tabs>
                <w:tab w:val="clear" w:pos="1361"/>
                <w:tab w:val="clear" w:pos="1928"/>
                <w:tab w:val="clear" w:pos="2495"/>
                <w:tab w:val="left" w:pos="367"/>
              </w:tabs>
              <w:spacing w:before="60" w:after="60" w:line="300" w:lineRule="exact"/>
              <w:ind w:left="794" w:hanging="794"/>
              <w:jc w:val="left"/>
              <w:rPr>
                <w:rtl/>
                <w:lang w:bidi="ar-EG"/>
              </w:rPr>
            </w:pPr>
            <w:r w:rsidRPr="006725D7">
              <w:rPr>
                <w:rFonts w:hint="cs"/>
                <w:rtl/>
              </w:rPr>
              <w:t>-</w:t>
            </w:r>
            <w:r w:rsidRPr="006725D7">
              <w:rPr>
                <w:rtl/>
              </w:rPr>
              <w:tab/>
              <w:t>مدير مكتب تنمية الاتصالات</w:t>
            </w:r>
            <w:r w:rsidRPr="006725D7">
              <w:rPr>
                <w:rFonts w:hint="cs"/>
                <w:rtl/>
              </w:rPr>
              <w:t>؛</w:t>
            </w:r>
          </w:p>
          <w:p w:rsidR="00EB52AE" w:rsidRPr="00521E65" w:rsidRDefault="00EB52AE" w:rsidP="00BC1C60">
            <w:pPr>
              <w:tabs>
                <w:tab w:val="clear" w:pos="1361"/>
                <w:tab w:val="clear" w:pos="1928"/>
                <w:tab w:val="clear" w:pos="2495"/>
                <w:tab w:val="left" w:pos="367"/>
              </w:tabs>
              <w:spacing w:before="60" w:after="60" w:line="300" w:lineRule="exact"/>
              <w:ind w:left="794" w:hanging="794"/>
              <w:jc w:val="left"/>
              <w:rPr>
                <w:rtl/>
              </w:rPr>
            </w:pPr>
            <w:r w:rsidRPr="006725D7">
              <w:rPr>
                <w:rFonts w:hint="cs"/>
                <w:rtl/>
              </w:rPr>
              <w:t>-</w:t>
            </w:r>
            <w:r w:rsidRPr="006725D7">
              <w:rPr>
                <w:rtl/>
              </w:rPr>
              <w:tab/>
              <w:t>مدير مكتب الاتصالات الراديوية</w:t>
            </w:r>
          </w:p>
        </w:tc>
      </w:tr>
      <w:tr w:rsidR="00EB52AE" w:rsidRPr="00521E65" w:rsidTr="0037244F">
        <w:trPr>
          <w:cantSplit/>
        </w:trPr>
        <w:tc>
          <w:tcPr>
            <w:tcW w:w="796" w:type="pct"/>
          </w:tcPr>
          <w:p w:rsidR="00EB52AE" w:rsidRPr="00521E65" w:rsidRDefault="00EB52AE" w:rsidP="0037244F">
            <w:pPr>
              <w:spacing w:before="0" w:line="280" w:lineRule="exact"/>
              <w:jc w:val="left"/>
              <w:rPr>
                <w:rtl/>
                <w:lang w:bidi="ar-SY"/>
              </w:rPr>
            </w:pPr>
          </w:p>
        </w:tc>
        <w:tc>
          <w:tcPr>
            <w:tcW w:w="1734" w:type="pct"/>
          </w:tcPr>
          <w:p w:rsidR="00EB52AE" w:rsidRPr="00521E65" w:rsidRDefault="00EB52AE" w:rsidP="0037244F">
            <w:pPr>
              <w:spacing w:before="0" w:line="280" w:lineRule="exact"/>
              <w:jc w:val="left"/>
              <w:rPr>
                <w:lang w:bidi="ar-SY"/>
              </w:rPr>
            </w:pPr>
          </w:p>
        </w:tc>
        <w:tc>
          <w:tcPr>
            <w:tcW w:w="2470" w:type="pct"/>
          </w:tcPr>
          <w:p w:rsidR="00EB52AE" w:rsidRPr="00521E65" w:rsidRDefault="00EB52AE" w:rsidP="0037244F">
            <w:pPr>
              <w:spacing w:before="0" w:line="280" w:lineRule="exact"/>
              <w:jc w:val="left"/>
              <w:rPr>
                <w:b/>
                <w:bCs/>
                <w:rtl/>
                <w:lang w:bidi="ar-EG"/>
              </w:rPr>
            </w:pPr>
          </w:p>
        </w:tc>
      </w:tr>
      <w:tr w:rsidR="00EB52AE" w:rsidRPr="00521E65" w:rsidTr="0037244F">
        <w:trPr>
          <w:cantSplit/>
        </w:trPr>
        <w:tc>
          <w:tcPr>
            <w:tcW w:w="796" w:type="pct"/>
          </w:tcPr>
          <w:p w:rsidR="00EB52AE" w:rsidRPr="00521E65" w:rsidRDefault="00EB52AE" w:rsidP="00007DE4">
            <w:pPr>
              <w:spacing w:before="60" w:after="60"/>
              <w:jc w:val="left"/>
              <w:rPr>
                <w:rtl/>
                <w:lang w:bidi="ar-SY"/>
              </w:rPr>
            </w:pPr>
            <w:r w:rsidRPr="00521E65">
              <w:rPr>
                <w:rFonts w:hint="cs"/>
                <w:rtl/>
              </w:rPr>
              <w:t>الموضوع:</w:t>
            </w:r>
          </w:p>
        </w:tc>
        <w:tc>
          <w:tcPr>
            <w:tcW w:w="4204" w:type="pct"/>
            <w:gridSpan w:val="2"/>
          </w:tcPr>
          <w:p w:rsidR="00EB52AE" w:rsidRPr="00144290" w:rsidRDefault="005026FF" w:rsidP="00144290">
            <w:pPr>
              <w:spacing w:before="60" w:after="60"/>
              <w:ind w:left="57" w:right="57"/>
              <w:rPr>
                <w:b/>
                <w:bCs/>
                <w:rtl/>
                <w:lang w:bidi="ar-EG"/>
              </w:rPr>
            </w:pPr>
            <w:r>
              <w:rPr>
                <w:rFonts w:hint="cs"/>
                <w:b/>
                <w:bCs/>
                <w:rtl/>
              </w:rPr>
              <w:t>نشاط التنسيق المشترك الجديد بشأن جوانب الوسائط المتعددة في الخدمات الإلكترونية</w:t>
            </w:r>
          </w:p>
        </w:tc>
      </w:tr>
    </w:tbl>
    <w:p w:rsidR="00521E65" w:rsidRPr="00054C70" w:rsidRDefault="00521E65" w:rsidP="003C4305">
      <w:pPr>
        <w:pStyle w:val="Normalaftertitle"/>
        <w:spacing w:line="182" w:lineRule="auto"/>
        <w:rPr>
          <w:rtl/>
        </w:rPr>
      </w:pPr>
      <w:r w:rsidRPr="00054C70">
        <w:rPr>
          <w:rFonts w:hint="cs"/>
          <w:rtl/>
        </w:rPr>
        <w:t>حضرات السادة والسيدات،</w:t>
      </w:r>
    </w:p>
    <w:p w:rsidR="00521E65" w:rsidRPr="00054C70" w:rsidRDefault="00521E65" w:rsidP="003C4305">
      <w:pPr>
        <w:spacing w:line="182" w:lineRule="auto"/>
        <w:rPr>
          <w:rtl/>
        </w:rPr>
      </w:pPr>
      <w:r w:rsidRPr="00054C70">
        <w:rPr>
          <w:rFonts w:hint="cs"/>
          <w:rtl/>
        </w:rPr>
        <w:t>ت</w:t>
      </w:r>
      <w:r w:rsidRPr="00054C70">
        <w:rPr>
          <w:rFonts w:hint="cs"/>
          <w:rtl/>
          <w:lang w:bidi="ar-EG"/>
        </w:rPr>
        <w:t>‍</w:t>
      </w:r>
      <w:r w:rsidRPr="00054C70">
        <w:rPr>
          <w:rFonts w:hint="cs"/>
          <w:rtl/>
        </w:rPr>
        <w:t>حية طيبة وبعد،</w:t>
      </w:r>
    </w:p>
    <w:p w:rsidR="005E7619" w:rsidRDefault="005E7619" w:rsidP="003C4305">
      <w:pPr>
        <w:spacing w:line="182" w:lineRule="auto"/>
        <w:rPr>
          <w:rtl/>
          <w:lang w:bidi="ar-EG"/>
        </w:rPr>
      </w:pPr>
      <w:r w:rsidRPr="00054C70">
        <w:rPr>
          <w:lang w:bidi="ar-EG"/>
        </w:rPr>
        <w:t>1</w:t>
      </w:r>
      <w:r w:rsidRPr="00054C70">
        <w:rPr>
          <w:lang w:bidi="ar-EG"/>
        </w:rPr>
        <w:tab/>
      </w:r>
      <w:r w:rsidR="005026FF">
        <w:rPr>
          <w:rFonts w:hint="cs"/>
          <w:rtl/>
          <w:lang w:bidi="ar-EG"/>
        </w:rPr>
        <w:t>يسرني أن أخطركم بأن لجنة الدراسات </w:t>
      </w:r>
      <w:r w:rsidR="005026FF">
        <w:rPr>
          <w:lang w:bidi="ar-EG"/>
        </w:rPr>
        <w:t>16</w:t>
      </w:r>
      <w:r w:rsidR="005026FF">
        <w:rPr>
          <w:rFonts w:hint="cs"/>
          <w:rtl/>
          <w:lang w:bidi="ar-EG"/>
        </w:rPr>
        <w:t xml:space="preserve"> لقطاع تقييس الاتصالات وافقت في اجتماعها المنعقد في يناير</w:t>
      </w:r>
      <w:r w:rsidR="005026FF">
        <w:rPr>
          <w:rFonts w:hint="eastAsia"/>
          <w:rtl/>
          <w:lang w:bidi="ar-EG"/>
        </w:rPr>
        <w:t> </w:t>
      </w:r>
      <w:r w:rsidR="005026FF">
        <w:rPr>
          <w:lang w:bidi="ar-EG"/>
        </w:rPr>
        <w:t>2017</w:t>
      </w:r>
      <w:r w:rsidR="005026FF">
        <w:rPr>
          <w:rFonts w:hint="cs"/>
          <w:rtl/>
          <w:lang w:bidi="ar-EG"/>
        </w:rPr>
        <w:t xml:space="preserve"> على إنشاء نشاط التنسيق المشترك بشأن جوانب الوسائط المتعددة في الخدمات الإلكترونية على أن تكون لجنته الرئيسية لجنة الدراسات</w:t>
      </w:r>
      <w:r w:rsidR="005026FF">
        <w:rPr>
          <w:rFonts w:hint="eastAsia"/>
          <w:rtl/>
          <w:lang w:bidi="ar-EG"/>
        </w:rPr>
        <w:t> </w:t>
      </w:r>
      <w:r w:rsidR="005026FF">
        <w:rPr>
          <w:lang w:bidi="ar-EG"/>
        </w:rPr>
        <w:t>16</w:t>
      </w:r>
      <w:r w:rsidR="005026FF">
        <w:rPr>
          <w:rFonts w:hint="cs"/>
          <w:rtl/>
          <w:lang w:bidi="ar-EG"/>
        </w:rPr>
        <w:t xml:space="preserve"> بالاختصاصات الواردة في الملحق </w:t>
      </w:r>
      <w:r w:rsidR="0078719D">
        <w:rPr>
          <w:lang w:bidi="ar-EG"/>
        </w:rPr>
        <w:t>1</w:t>
      </w:r>
      <w:r w:rsidR="0078719D">
        <w:rPr>
          <w:rFonts w:hint="cs"/>
          <w:rtl/>
          <w:lang w:bidi="ar-EG"/>
        </w:rPr>
        <w:t>.</w:t>
      </w:r>
    </w:p>
    <w:p w:rsidR="005E7983" w:rsidRDefault="0078719D" w:rsidP="003C4305">
      <w:pPr>
        <w:spacing w:line="182" w:lineRule="auto"/>
        <w:rPr>
          <w:rtl/>
          <w:lang w:bidi="ar-EG"/>
        </w:rPr>
      </w:pPr>
      <w:r>
        <w:rPr>
          <w:rFonts w:hint="cs"/>
          <w:rtl/>
          <w:lang w:bidi="ar-EG"/>
        </w:rPr>
        <w:t xml:space="preserve">وتم تعيين السيد مهند المغربل من </w:t>
      </w:r>
      <w:r w:rsidR="00A7789C">
        <w:rPr>
          <w:rFonts w:hint="cs"/>
          <w:rtl/>
          <w:lang w:bidi="ar-EG"/>
        </w:rPr>
        <w:t xml:space="preserve">الجهاز القومي لتنظيم الاتصالات </w:t>
      </w:r>
      <w:r w:rsidR="00A7789C" w:rsidRPr="00A7789C">
        <w:rPr>
          <w:lang w:bidi="ar-EG"/>
        </w:rPr>
        <w:t>(</w:t>
      </w:r>
      <w:r w:rsidR="00A7789C" w:rsidRPr="00CE5D70">
        <w:rPr>
          <w:lang w:bidi="ar-EG"/>
        </w:rPr>
        <w:t>NTRA</w:t>
      </w:r>
      <w:r w:rsidR="00A7789C" w:rsidRPr="00A7789C">
        <w:rPr>
          <w:lang w:bidi="ar-EG"/>
        </w:rPr>
        <w:t>)</w:t>
      </w:r>
      <w:r>
        <w:rPr>
          <w:rFonts w:hint="cs"/>
          <w:rtl/>
          <w:lang w:bidi="ar-EG"/>
        </w:rPr>
        <w:t xml:space="preserve">، </w:t>
      </w:r>
      <w:r w:rsidR="00A7789C">
        <w:rPr>
          <w:rFonts w:hint="cs"/>
          <w:rtl/>
          <w:lang w:bidi="ar-EG"/>
        </w:rPr>
        <w:t>مصر</w:t>
      </w:r>
      <w:r>
        <w:rPr>
          <w:rFonts w:hint="cs"/>
          <w:rtl/>
          <w:lang w:bidi="ar-EG"/>
        </w:rPr>
        <w:t>، رئيساً لنشاط التنسيق المشترك هذا.</w:t>
      </w:r>
    </w:p>
    <w:p w:rsidR="00C45650" w:rsidRPr="00054C70" w:rsidRDefault="005E7619" w:rsidP="003C4305">
      <w:pPr>
        <w:spacing w:line="182" w:lineRule="auto"/>
        <w:rPr>
          <w:rtl/>
          <w:lang w:bidi="ar-SY"/>
        </w:rPr>
      </w:pPr>
      <w:r w:rsidRPr="00054C70">
        <w:rPr>
          <w:lang w:bidi="ar-EG"/>
        </w:rPr>
        <w:t>2</w:t>
      </w:r>
      <w:r w:rsidRPr="00054C70">
        <w:rPr>
          <w:lang w:bidi="ar-EG"/>
        </w:rPr>
        <w:tab/>
      </w:r>
      <w:r w:rsidR="0078719D">
        <w:rPr>
          <w:rFonts w:hint="cs"/>
          <w:rtl/>
        </w:rPr>
        <w:t xml:space="preserve">ويتمثل دور نشاط التنسيق المشترك في مراقبة وتنسيق الموضوعات التنظيمية المتعلقة بجوانب </w:t>
      </w:r>
      <w:r w:rsidR="0078719D">
        <w:rPr>
          <w:rFonts w:hint="cs"/>
          <w:rtl/>
          <w:lang w:bidi="ar-EG"/>
        </w:rPr>
        <w:t>الوسائط المتعددة في الخدمات الإلكترونية داخل الاتحاد وخارجه، خاصةً الموضوعات الخاصة بالتقييس مع مراعاة العمل المضطلع به في المنظمات المعنية بوضع المعايير</w:t>
      </w:r>
      <w:r w:rsidR="00CE5D70">
        <w:rPr>
          <w:rFonts w:hint="eastAsia"/>
          <w:rtl/>
          <w:lang w:bidi="ar-EG"/>
        </w:rPr>
        <w:t> </w:t>
      </w:r>
      <w:r w:rsidR="00CE5D70">
        <w:rPr>
          <w:lang w:bidi="ar-EG"/>
        </w:rPr>
        <w:t>(SDO)</w:t>
      </w:r>
      <w:r w:rsidR="0078719D">
        <w:rPr>
          <w:rFonts w:hint="cs"/>
          <w:rtl/>
          <w:lang w:bidi="ar-EG"/>
        </w:rPr>
        <w:t xml:space="preserve"> والمنتديات والاتحادات الأخرى.</w:t>
      </w:r>
      <w:r w:rsidR="0078719D" w:rsidRPr="00054C70">
        <w:rPr>
          <w:rtl/>
          <w:lang w:bidi="ar-SY"/>
        </w:rPr>
        <w:t xml:space="preserve"> </w:t>
      </w:r>
    </w:p>
    <w:p w:rsidR="005E7619" w:rsidRDefault="005E7619" w:rsidP="003C4305">
      <w:pPr>
        <w:spacing w:line="182" w:lineRule="auto"/>
        <w:rPr>
          <w:rtl/>
          <w:lang w:bidi="ar-EG"/>
        </w:rPr>
      </w:pPr>
      <w:r w:rsidRPr="00054C70">
        <w:rPr>
          <w:lang w:bidi="ar-EG"/>
        </w:rPr>
        <w:t>3</w:t>
      </w:r>
      <w:r w:rsidRPr="00054C70">
        <w:rPr>
          <w:lang w:bidi="ar-EG"/>
        </w:rPr>
        <w:tab/>
      </w:r>
      <w:r w:rsidR="0078719D">
        <w:rPr>
          <w:rFonts w:hint="cs"/>
          <w:rtl/>
        </w:rPr>
        <w:t xml:space="preserve">ومن المقرر عقد الاجتماع الأول لنشاط التنسيق المشترك الجديد في ماكاو، الصين، يوم </w:t>
      </w:r>
      <w:r w:rsidR="0078719D">
        <w:t>19</w:t>
      </w:r>
      <w:r w:rsidR="0078719D">
        <w:rPr>
          <w:rFonts w:hint="cs"/>
          <w:rtl/>
          <w:lang w:bidi="ar-EG"/>
        </w:rPr>
        <w:t xml:space="preserve"> أكتوبر </w:t>
      </w:r>
      <w:r w:rsidR="0078719D">
        <w:rPr>
          <w:lang w:bidi="ar-EG"/>
        </w:rPr>
        <w:t>2017</w:t>
      </w:r>
      <w:r w:rsidR="0078719D">
        <w:rPr>
          <w:rFonts w:hint="cs"/>
          <w:rtl/>
          <w:lang w:bidi="ar-EG"/>
        </w:rPr>
        <w:t>، بالتعاقب مع اجتماع لجنة الدراسات </w:t>
      </w:r>
      <w:r w:rsidR="0078719D">
        <w:rPr>
          <w:lang w:bidi="ar-EG"/>
        </w:rPr>
        <w:t>16</w:t>
      </w:r>
      <w:r w:rsidR="0078719D">
        <w:rPr>
          <w:rFonts w:hint="cs"/>
          <w:rtl/>
          <w:lang w:bidi="ar-EG"/>
        </w:rPr>
        <w:t xml:space="preserve"> لقطاع تقييس الاتصالات المقرر عقده في جنيف في الفترة من </w:t>
      </w:r>
      <w:r w:rsidR="0078719D">
        <w:rPr>
          <w:lang w:bidi="ar-EG"/>
        </w:rPr>
        <w:t>16</w:t>
      </w:r>
      <w:r w:rsidR="0078719D">
        <w:rPr>
          <w:rFonts w:hint="cs"/>
          <w:rtl/>
          <w:lang w:bidi="ar-EG"/>
        </w:rPr>
        <w:t xml:space="preserve"> إلى </w:t>
      </w:r>
      <w:r w:rsidR="0078719D">
        <w:rPr>
          <w:lang w:bidi="ar-EG"/>
        </w:rPr>
        <w:t>27</w:t>
      </w:r>
      <w:r w:rsidR="0078719D">
        <w:rPr>
          <w:rFonts w:hint="cs"/>
          <w:rtl/>
          <w:lang w:bidi="ar-EG"/>
        </w:rPr>
        <w:t xml:space="preserve"> أكتوبر </w:t>
      </w:r>
      <w:r w:rsidR="0078719D">
        <w:rPr>
          <w:lang w:bidi="ar-EG"/>
        </w:rPr>
        <w:t>2017</w:t>
      </w:r>
      <w:r w:rsidR="0078719D">
        <w:rPr>
          <w:rFonts w:hint="cs"/>
          <w:rtl/>
          <w:lang w:bidi="ar-EG"/>
        </w:rPr>
        <w:t>. ومرفق مشروع جدول أعمال الاجتماع في الملحق </w:t>
      </w:r>
      <w:r w:rsidR="0078719D">
        <w:rPr>
          <w:lang w:bidi="ar-EG"/>
        </w:rPr>
        <w:t>2</w:t>
      </w:r>
      <w:r w:rsidR="0078719D">
        <w:rPr>
          <w:rFonts w:hint="cs"/>
          <w:rtl/>
          <w:lang w:bidi="ar-EG"/>
        </w:rPr>
        <w:t xml:space="preserve"> بهذه الرسالة المعممة.</w:t>
      </w:r>
    </w:p>
    <w:p w:rsidR="005E7619" w:rsidRPr="003C4305" w:rsidRDefault="005E7619" w:rsidP="003C4305">
      <w:pPr>
        <w:keepNext/>
        <w:keepLines/>
        <w:spacing w:line="182" w:lineRule="auto"/>
        <w:rPr>
          <w:spacing w:val="-4"/>
          <w:rtl/>
        </w:rPr>
      </w:pPr>
      <w:r w:rsidRPr="003C4305">
        <w:rPr>
          <w:spacing w:val="-4"/>
          <w:lang w:bidi="ar-EG"/>
        </w:rPr>
        <w:t>4</w:t>
      </w:r>
      <w:r w:rsidRPr="003C4305">
        <w:rPr>
          <w:rFonts w:hint="cs"/>
          <w:spacing w:val="-4"/>
          <w:rtl/>
          <w:lang w:bidi="ar-EG"/>
        </w:rPr>
        <w:tab/>
      </w:r>
      <w:r w:rsidR="0078719D" w:rsidRPr="003C4305">
        <w:rPr>
          <w:rFonts w:hint="cs"/>
          <w:spacing w:val="-4"/>
          <w:rtl/>
        </w:rPr>
        <w:t xml:space="preserve">وتم تأسيس صفحة ويب لنشاط التنسيق المشترك الجديد ويمكن زيارتها على العنوان </w:t>
      </w:r>
      <w:hyperlink r:id="rId10" w:history="1">
        <w:r w:rsidR="00C45650" w:rsidRPr="003C4305">
          <w:rPr>
            <w:rStyle w:val="Hyperlink"/>
            <w:spacing w:val="-4"/>
          </w:rPr>
          <w:t>http://itu.int/en/ITU-T/jca/mmes</w:t>
        </w:r>
      </w:hyperlink>
      <w:r w:rsidR="00C45650" w:rsidRPr="003C4305">
        <w:rPr>
          <w:rStyle w:val="Hyperlink"/>
          <w:rFonts w:hint="cs"/>
          <w:spacing w:val="-4"/>
          <w:u w:val="none"/>
          <w:rtl/>
        </w:rPr>
        <w:t>.</w:t>
      </w:r>
    </w:p>
    <w:p w:rsidR="00706D7A" w:rsidRDefault="00521E65" w:rsidP="003C4305">
      <w:pPr>
        <w:spacing w:before="240" w:line="182" w:lineRule="auto"/>
        <w:rPr>
          <w:lang w:bidi="ar-EG"/>
        </w:rPr>
      </w:pPr>
      <w:bookmarkStart w:id="1" w:name="_GoBack"/>
      <w:bookmarkEnd w:id="1"/>
      <w:r w:rsidRPr="00054C70">
        <w:rPr>
          <w:rFonts w:hint="cs"/>
          <w:rtl/>
          <w:lang w:bidi="ar-EG"/>
        </w:rPr>
        <w:t>وتفضلوا بقبول فائق التقدير والاحترام.</w:t>
      </w:r>
    </w:p>
    <w:p w:rsidR="00B24077" w:rsidRDefault="00B24077" w:rsidP="00B24077">
      <w:pPr>
        <w:spacing w:before="0" w:line="182" w:lineRule="auto"/>
        <w:rPr>
          <w:rtl/>
          <w:lang w:bidi="ar-EG"/>
        </w:rPr>
      </w:pPr>
    </w:p>
    <w:p w:rsidR="00043601" w:rsidRDefault="00521E65" w:rsidP="00B24077">
      <w:pPr>
        <w:spacing w:before="0" w:line="182" w:lineRule="auto"/>
        <w:jc w:val="left"/>
        <w:rPr>
          <w:rtl/>
          <w:lang w:val="en-GB" w:eastAsia="en-US"/>
        </w:rPr>
      </w:pPr>
      <w:r w:rsidRPr="00054C70">
        <w:rPr>
          <w:rFonts w:hint="cs"/>
          <w:rtl/>
          <w:lang w:bidi="ar-SY"/>
        </w:rPr>
        <w:t>تشيساب</w:t>
      </w:r>
      <w:r w:rsidRPr="00054C70">
        <w:rPr>
          <w:rtl/>
          <w:lang w:bidi="ar-SY"/>
        </w:rPr>
        <w:t xml:space="preserve"> </w:t>
      </w:r>
      <w:r w:rsidRPr="00054C70">
        <w:rPr>
          <w:rFonts w:hint="cs"/>
          <w:rtl/>
          <w:lang w:bidi="ar-SY"/>
        </w:rPr>
        <w:t>لي</w:t>
      </w:r>
      <w:r w:rsidRPr="00054C70">
        <w:rPr>
          <w:rtl/>
          <w:lang w:bidi="ar-SY"/>
        </w:rPr>
        <w:br/>
      </w:r>
      <w:r w:rsidRPr="00054C70">
        <w:rPr>
          <w:rFonts w:hint="cs"/>
          <w:rtl/>
          <w:lang w:bidi="ar-SY"/>
        </w:rPr>
        <w:t>مدير</w:t>
      </w:r>
      <w:r w:rsidRPr="00054C70">
        <w:rPr>
          <w:rtl/>
          <w:lang w:bidi="ar-SY"/>
        </w:rPr>
        <w:t xml:space="preserve"> </w:t>
      </w:r>
      <w:r w:rsidRPr="00054C70">
        <w:rPr>
          <w:rFonts w:hint="cs"/>
          <w:rtl/>
          <w:lang w:bidi="ar-SY"/>
        </w:rPr>
        <w:t>مكتب</w:t>
      </w:r>
      <w:r w:rsidRPr="00054C70">
        <w:rPr>
          <w:rtl/>
          <w:lang w:bidi="ar-SY"/>
        </w:rPr>
        <w:t xml:space="preserve"> </w:t>
      </w:r>
      <w:r w:rsidRPr="00054C70">
        <w:rPr>
          <w:rFonts w:hint="cs"/>
          <w:rtl/>
          <w:lang w:bidi="ar-SY"/>
        </w:rPr>
        <w:t>تقييس</w:t>
      </w:r>
      <w:r w:rsidRPr="00054C70">
        <w:rPr>
          <w:rtl/>
          <w:lang w:bidi="ar-SY"/>
        </w:rPr>
        <w:t xml:space="preserve"> </w:t>
      </w:r>
      <w:r w:rsidRPr="00054C70">
        <w:rPr>
          <w:rFonts w:hint="cs"/>
          <w:rtl/>
          <w:lang w:bidi="ar-SY"/>
        </w:rPr>
        <w:t>الاتصالات</w:t>
      </w:r>
    </w:p>
    <w:p w:rsidR="0024355A" w:rsidRDefault="00F4489E" w:rsidP="003C4305">
      <w:pPr>
        <w:spacing w:line="182" w:lineRule="auto"/>
        <w:jc w:val="left"/>
        <w:rPr>
          <w:rtl/>
          <w:lang w:eastAsia="en-US"/>
        </w:rPr>
      </w:pPr>
      <w:r w:rsidRPr="00F4489E">
        <w:rPr>
          <w:rFonts w:hint="cs"/>
          <w:b/>
          <w:bCs/>
          <w:rtl/>
          <w:lang w:val="en-GB" w:eastAsia="en-US"/>
        </w:rPr>
        <w:lastRenderedPageBreak/>
        <w:t>الملحقات</w:t>
      </w:r>
      <w:r>
        <w:rPr>
          <w:rFonts w:hint="cs"/>
          <w:rtl/>
          <w:lang w:val="en-GB" w:eastAsia="en-US"/>
        </w:rPr>
        <w:t xml:space="preserve">: </w:t>
      </w:r>
      <w:r>
        <w:rPr>
          <w:lang w:eastAsia="en-US"/>
        </w:rPr>
        <w:t>2</w:t>
      </w:r>
      <w:r w:rsidR="0024355A">
        <w:rPr>
          <w:rtl/>
          <w:lang w:eastAsia="en-US"/>
        </w:rPr>
        <w:br w:type="page"/>
      </w:r>
    </w:p>
    <w:p w:rsidR="0024355A" w:rsidRDefault="003C4305" w:rsidP="00CE5D70">
      <w:pPr>
        <w:pStyle w:val="AnnexNo"/>
        <w:rPr>
          <w:rtl/>
          <w:lang w:eastAsia="en-US" w:bidi="ar-SA"/>
        </w:rPr>
      </w:pPr>
      <w:r>
        <w:rPr>
          <w:rFonts w:hint="cs"/>
          <w:rtl/>
          <w:lang w:eastAsia="en-US"/>
        </w:rPr>
        <w:lastRenderedPageBreak/>
        <w:t>الملحق </w:t>
      </w:r>
      <w:r>
        <w:rPr>
          <w:lang w:eastAsia="en-US"/>
        </w:rPr>
        <w:t>1</w:t>
      </w:r>
      <w:r w:rsidR="0024355A">
        <w:rPr>
          <w:rtl/>
          <w:lang w:eastAsia="en-US"/>
        </w:rPr>
        <w:br/>
      </w:r>
      <w:r w:rsidR="0024355A">
        <w:rPr>
          <w:rFonts w:hint="cs"/>
          <w:rtl/>
        </w:rPr>
        <w:t>(</w:t>
      </w:r>
      <w:r w:rsidR="0024355A">
        <w:rPr>
          <w:rtl/>
        </w:rPr>
        <w:t xml:space="preserve">بالرسالة </w:t>
      </w:r>
      <w:r>
        <w:rPr>
          <w:rFonts w:hint="cs"/>
          <w:rtl/>
        </w:rPr>
        <w:t>المعممة</w:t>
      </w:r>
      <w:r w:rsidR="0024355A">
        <w:rPr>
          <w:rtl/>
        </w:rPr>
        <w:t xml:space="preserve"> </w:t>
      </w:r>
      <w:r w:rsidR="0024355A">
        <w:t>15</w:t>
      </w:r>
      <w:r w:rsidR="0024355A">
        <w:rPr>
          <w:rtl/>
        </w:rPr>
        <w:t xml:space="preserve"> </w:t>
      </w:r>
      <w:r>
        <w:rPr>
          <w:rFonts w:hint="cs"/>
          <w:rtl/>
        </w:rPr>
        <w:t>لمكتب</w:t>
      </w:r>
      <w:r w:rsidR="0024355A">
        <w:rPr>
          <w:rtl/>
        </w:rPr>
        <w:t xml:space="preserve"> تقييس الاتصالات</w:t>
      </w:r>
      <w:r w:rsidR="00CE5D70">
        <w:rPr>
          <w:rFonts w:hint="cs"/>
          <w:rtl/>
        </w:rPr>
        <w:t>)</w:t>
      </w:r>
    </w:p>
    <w:p w:rsidR="0024355A" w:rsidRDefault="003C4305" w:rsidP="00D00679">
      <w:pPr>
        <w:pStyle w:val="Annextitle"/>
        <w:rPr>
          <w:rtl/>
          <w:lang w:eastAsia="en-US" w:bidi="ar-SA"/>
        </w:rPr>
      </w:pPr>
      <w:r>
        <w:rPr>
          <w:rFonts w:hint="cs"/>
          <w:rtl/>
          <w:lang w:eastAsia="en-US" w:bidi="ar-SA"/>
        </w:rPr>
        <w:t xml:space="preserve">اختصاصات </w:t>
      </w:r>
      <w:r w:rsidRPr="003C4305">
        <w:rPr>
          <w:rFonts w:hint="cs"/>
          <w:rtl/>
          <w:lang w:eastAsia="en-US"/>
        </w:rPr>
        <w:t xml:space="preserve">نشاط التنسيق المشترك </w:t>
      </w:r>
      <w:r w:rsidR="00D00679">
        <w:rPr>
          <w:rtl/>
          <w:lang w:eastAsia="en-US"/>
        </w:rPr>
        <w:br/>
      </w:r>
      <w:r w:rsidRPr="003C4305">
        <w:rPr>
          <w:rFonts w:hint="cs"/>
          <w:rtl/>
          <w:lang w:eastAsia="en-US"/>
        </w:rPr>
        <w:t>بشأن جوانب الوسائط المتعددة في الخدمات الإلكترونية</w:t>
      </w:r>
    </w:p>
    <w:p w:rsidR="0024355A" w:rsidRPr="0024355A" w:rsidRDefault="0024355A" w:rsidP="003C4305">
      <w:pPr>
        <w:pStyle w:val="Heading1"/>
        <w:rPr>
          <w:rtl/>
        </w:rPr>
      </w:pPr>
      <w:r w:rsidRPr="0024355A">
        <w:t>1</w:t>
      </w:r>
      <w:r w:rsidRPr="0024355A">
        <w:rPr>
          <w:rtl/>
        </w:rPr>
        <w:tab/>
      </w:r>
      <w:r w:rsidR="003C4305">
        <w:rPr>
          <w:rFonts w:hint="cs"/>
          <w:rtl/>
        </w:rPr>
        <w:t>نطاق العمل</w:t>
      </w:r>
    </w:p>
    <w:p w:rsidR="0024355A" w:rsidRDefault="003C4305" w:rsidP="00CE5D70">
      <w:pPr>
        <w:rPr>
          <w:rtl/>
          <w:lang w:eastAsia="en-US"/>
        </w:rPr>
      </w:pPr>
      <w:r w:rsidRPr="003C4305">
        <w:rPr>
          <w:rFonts w:hint="cs"/>
          <w:rtl/>
          <w:lang w:eastAsia="en-US"/>
        </w:rPr>
        <w:t xml:space="preserve">يتمثل دور نشاط التنسيق المشترك في مراقبة وتنسيق الموضوعات التنظيمية المتعلقة بجوانب </w:t>
      </w:r>
      <w:r w:rsidRPr="003C4305">
        <w:rPr>
          <w:rFonts w:hint="cs"/>
          <w:rtl/>
          <w:lang w:eastAsia="en-US" w:bidi="ar-EG"/>
        </w:rPr>
        <w:t>الوسائط المتعددة في الخدمات الإلكترونية داخل الاتحاد وخارجه، خاصةً الموضوعات الخاصة بالتقييس مع مراعاة العمل المضطلع به في المنظمات المعنية بوضع المعايير</w:t>
      </w:r>
      <w:r w:rsidR="00CE5D70">
        <w:rPr>
          <w:rFonts w:hint="eastAsia"/>
          <w:rtl/>
          <w:lang w:eastAsia="en-US" w:bidi="ar-EG"/>
        </w:rPr>
        <w:t> </w:t>
      </w:r>
      <w:r w:rsidR="00CE5D70">
        <w:rPr>
          <w:lang w:eastAsia="en-US" w:bidi="ar-EG"/>
        </w:rPr>
        <w:t>(SDO)</w:t>
      </w:r>
      <w:r w:rsidR="00CE5D70">
        <w:rPr>
          <w:rFonts w:hint="cs"/>
          <w:rtl/>
          <w:lang w:eastAsia="en-US" w:bidi="ar-EG"/>
        </w:rPr>
        <w:t xml:space="preserve"> </w:t>
      </w:r>
      <w:r w:rsidRPr="003C4305">
        <w:rPr>
          <w:rFonts w:hint="cs"/>
          <w:rtl/>
          <w:lang w:eastAsia="en-US" w:bidi="ar-EG"/>
        </w:rPr>
        <w:t>والمنتديات والاتحادات الأخرى.</w:t>
      </w:r>
    </w:p>
    <w:p w:rsidR="00B90647" w:rsidRPr="003C4305" w:rsidRDefault="003C4305" w:rsidP="00F26D4B">
      <w:pPr>
        <w:pStyle w:val="enumlev1"/>
        <w:spacing w:before="120"/>
        <w:rPr>
          <w:i/>
          <w:iCs/>
          <w:rtl/>
        </w:rPr>
      </w:pPr>
      <w:r w:rsidRPr="003C4305">
        <w:rPr>
          <w:i/>
          <w:iCs/>
          <w:rtl/>
        </w:rPr>
        <w:tab/>
      </w:r>
      <w:r w:rsidR="002D2D2F" w:rsidRPr="003C4305">
        <w:rPr>
          <w:rFonts w:hint="cs"/>
          <w:i/>
          <w:iCs/>
          <w:rtl/>
        </w:rPr>
        <w:t xml:space="preserve">الخدمات الإلكترونية: </w:t>
      </w:r>
      <w:r w:rsidRPr="003C4305">
        <w:rPr>
          <w:rFonts w:hint="cs"/>
          <w:i/>
          <w:iCs/>
          <w:rtl/>
        </w:rPr>
        <w:t>بالنسبة لنطاق عمل</w:t>
      </w:r>
      <w:r w:rsidRPr="003C4305">
        <w:rPr>
          <w:rFonts w:hint="cs"/>
          <w:i/>
          <w:iCs/>
          <w:rtl/>
          <w:lang w:eastAsia="en-US" w:bidi="ar-EG"/>
        </w:rPr>
        <w:t xml:space="preserve"> نشاط التنسيق المشترك بشأن جوانب الوسائط المتعددة في</w:t>
      </w:r>
      <w:r>
        <w:rPr>
          <w:rFonts w:hint="eastAsia"/>
          <w:i/>
          <w:iCs/>
          <w:rtl/>
          <w:lang w:eastAsia="en-US" w:bidi="ar-EG"/>
        </w:rPr>
        <w:t> </w:t>
      </w:r>
      <w:r w:rsidRPr="003C4305">
        <w:rPr>
          <w:rFonts w:hint="cs"/>
          <w:i/>
          <w:iCs/>
          <w:rtl/>
          <w:lang w:eastAsia="en-US" w:bidi="ar-EG"/>
        </w:rPr>
        <w:t>الخدمات الإلكترونية</w:t>
      </w:r>
      <w:r>
        <w:rPr>
          <w:rFonts w:hint="cs"/>
          <w:i/>
          <w:iCs/>
          <w:rtl/>
          <w:lang w:eastAsia="en-US" w:bidi="ar-EG"/>
        </w:rPr>
        <w:t>،</w:t>
      </w:r>
      <w:r>
        <w:rPr>
          <w:rFonts w:hint="cs"/>
          <w:i/>
          <w:iCs/>
          <w:rtl/>
        </w:rPr>
        <w:t xml:space="preserve"> </w:t>
      </w:r>
      <w:r w:rsidR="00B90647" w:rsidRPr="003C4305">
        <w:rPr>
          <w:rFonts w:hint="cs"/>
          <w:i/>
          <w:iCs/>
          <w:rtl/>
        </w:rPr>
        <w:t>تعرف الخدمات الإلكترونية بأنها الاستعمال المشترك للاتصالات الإلكترونية وتكنولوجيا المعلومات (بيانات الوسائط المتعددة الرقمية التي تجمع وتعالج وترسل وتخزن وتسترجع إلكترونيا</w:t>
      </w:r>
      <w:r w:rsidR="00CE5D70">
        <w:rPr>
          <w:rFonts w:hint="cs"/>
          <w:i/>
          <w:iCs/>
          <w:rtl/>
        </w:rPr>
        <w:t>ً</w:t>
      </w:r>
      <w:r w:rsidR="00B90647" w:rsidRPr="003C4305">
        <w:rPr>
          <w:rFonts w:hint="cs"/>
          <w:i/>
          <w:iCs/>
          <w:rtl/>
        </w:rPr>
        <w:t>) من أجل توفير الخدمات في</w:t>
      </w:r>
      <w:r>
        <w:rPr>
          <w:rFonts w:hint="eastAsia"/>
          <w:i/>
          <w:iCs/>
          <w:rtl/>
        </w:rPr>
        <w:t> </w:t>
      </w:r>
      <w:r w:rsidR="00B90647" w:rsidRPr="003C4305">
        <w:rPr>
          <w:rFonts w:hint="cs"/>
          <w:i/>
          <w:iCs/>
          <w:rtl/>
        </w:rPr>
        <w:t>مجال محدد في</w:t>
      </w:r>
      <w:r>
        <w:rPr>
          <w:rFonts w:hint="eastAsia"/>
          <w:i/>
          <w:iCs/>
          <w:rtl/>
        </w:rPr>
        <w:t> </w:t>
      </w:r>
      <w:r w:rsidR="00B90647" w:rsidRPr="003C4305">
        <w:rPr>
          <w:rFonts w:hint="cs"/>
          <w:i/>
          <w:iCs/>
          <w:rtl/>
        </w:rPr>
        <w:t xml:space="preserve">الصناعة، مثل الرعاية الصحية والتعليم والإدارة والتجارة والنقل والترفيه، وما إلى ذلك. ويمكن توزيع وتوصيل الخدمات الإلكترونية عبر مجموعة كبيرة من القنوات القادرة على نقل معلومات الوسائط المتعددة، مثل الإنترنت والشبكات الكبلية وشبكات الجيل التالي والشبكات </w:t>
      </w:r>
      <w:r w:rsidR="00B90647" w:rsidRPr="003C4305">
        <w:rPr>
          <w:i/>
          <w:iCs/>
        </w:rPr>
        <w:t>GSTN</w:t>
      </w:r>
      <w:r w:rsidR="00B90647" w:rsidRPr="003C4305">
        <w:rPr>
          <w:rFonts w:hint="cs"/>
          <w:i/>
          <w:iCs/>
          <w:rtl/>
        </w:rPr>
        <w:t xml:space="preserve"> والاتصالات المتنقلة الدولية</w:t>
      </w:r>
      <w:r w:rsidR="00F26D4B">
        <w:rPr>
          <w:rFonts w:hint="cs"/>
          <w:i/>
          <w:iCs/>
          <w:rtl/>
        </w:rPr>
        <w:t>-</w:t>
      </w:r>
      <w:r w:rsidR="00B90647" w:rsidRPr="003C4305">
        <w:rPr>
          <w:i/>
          <w:iCs/>
        </w:rPr>
        <w:t>2020</w:t>
      </w:r>
      <w:r w:rsidR="00B90647" w:rsidRPr="003C4305">
        <w:rPr>
          <w:rFonts w:hint="cs"/>
          <w:i/>
          <w:iCs/>
          <w:rtl/>
        </w:rPr>
        <w:t xml:space="preserve"> وشبكات المستقبل والشبكات اللاسلكية.</w:t>
      </w:r>
    </w:p>
    <w:p w:rsidR="002D2D2F" w:rsidRPr="00B90647" w:rsidRDefault="003C4305" w:rsidP="003C4305">
      <w:pPr>
        <w:rPr>
          <w:rtl/>
          <w:lang w:bidi="ar-EG"/>
        </w:rPr>
      </w:pPr>
      <w:r>
        <w:rPr>
          <w:rFonts w:hint="cs"/>
          <w:rtl/>
          <w:lang w:bidi="ar-EG"/>
        </w:rPr>
        <w:t>ويعمل نشاط التنسيق المشترك طبقاً لأحكام الفقرة </w:t>
      </w:r>
      <w:r>
        <w:rPr>
          <w:lang w:bidi="ar-EG"/>
        </w:rPr>
        <w:t>2.2</w:t>
      </w:r>
      <w:r>
        <w:rPr>
          <w:rFonts w:hint="cs"/>
          <w:rtl/>
          <w:lang w:bidi="ar-EG"/>
        </w:rPr>
        <w:t xml:space="preserve"> من التوصية </w:t>
      </w:r>
      <w:r>
        <w:rPr>
          <w:lang w:bidi="ar-EG"/>
        </w:rPr>
        <w:t>ITU</w:t>
      </w:r>
      <w:r>
        <w:rPr>
          <w:lang w:bidi="ar-EG"/>
        </w:rPr>
        <w:noBreakHyphen/>
        <w:t>T A.1</w:t>
      </w:r>
      <w:r>
        <w:rPr>
          <w:rFonts w:hint="cs"/>
          <w:rtl/>
          <w:lang w:bidi="ar-EG"/>
        </w:rPr>
        <w:t>.</w:t>
      </w:r>
    </w:p>
    <w:p w:rsidR="002D2D2F" w:rsidRPr="0024355A" w:rsidRDefault="002D2D2F" w:rsidP="003C4305">
      <w:pPr>
        <w:pStyle w:val="Heading1"/>
        <w:rPr>
          <w:rtl/>
        </w:rPr>
      </w:pPr>
      <w:r>
        <w:t>2</w:t>
      </w:r>
      <w:r w:rsidRPr="0024355A">
        <w:rPr>
          <w:rtl/>
        </w:rPr>
        <w:tab/>
      </w:r>
      <w:r w:rsidR="003C4305">
        <w:rPr>
          <w:rFonts w:hint="cs"/>
          <w:rtl/>
        </w:rPr>
        <w:t>الدوافع</w:t>
      </w:r>
    </w:p>
    <w:p w:rsidR="002D2D2F" w:rsidRDefault="003C4305" w:rsidP="00105227">
      <w:pPr>
        <w:rPr>
          <w:rtl/>
          <w:lang w:eastAsia="en-US" w:bidi="ar-EG"/>
        </w:rPr>
      </w:pPr>
      <w:r>
        <w:rPr>
          <w:rFonts w:hint="cs"/>
          <w:rtl/>
          <w:lang w:eastAsia="en-US"/>
        </w:rPr>
        <w:t>مع ظهور الشبكة العالمية </w:t>
      </w:r>
      <w:r>
        <w:rPr>
          <w:lang w:eastAsia="en-US"/>
        </w:rPr>
        <w:t>(Web)</w:t>
      </w:r>
      <w:r>
        <w:rPr>
          <w:rFonts w:hint="cs"/>
          <w:rtl/>
          <w:lang w:eastAsia="en-US" w:bidi="ar-EG"/>
        </w:rPr>
        <w:t xml:space="preserve"> وشبكة الإنترنت أصبحت الوسائط المتعددة تلامس جميع جوانب معيشتنا تقريباً. وبوصفها لجنة الدراسات الرئيسية المعنية بجوانب الوسائط المتعددة في الخدمات الإلكترونية</w:t>
      </w:r>
      <w:r w:rsidR="00105227">
        <w:rPr>
          <w:rFonts w:hint="cs"/>
          <w:rtl/>
          <w:lang w:eastAsia="en-US" w:bidi="ar-EG"/>
        </w:rPr>
        <w:t>، ظلت مسائل لجنة الدراسات </w:t>
      </w:r>
      <w:r w:rsidR="00105227">
        <w:rPr>
          <w:lang w:eastAsia="en-US" w:bidi="ar-EG"/>
        </w:rPr>
        <w:t>16</w:t>
      </w:r>
      <w:r w:rsidR="00105227">
        <w:rPr>
          <w:rFonts w:hint="cs"/>
          <w:rtl/>
          <w:lang w:eastAsia="en-US" w:bidi="ar-EG"/>
        </w:rPr>
        <w:t xml:space="preserve"> تعمل ولا تزال في</w:t>
      </w:r>
      <w:r w:rsidR="00105227">
        <w:rPr>
          <w:rFonts w:hint="eastAsia"/>
          <w:rtl/>
          <w:lang w:eastAsia="en-US" w:bidi="ar-EG"/>
        </w:rPr>
        <w:t> </w:t>
      </w:r>
      <w:r w:rsidR="00105227">
        <w:rPr>
          <w:rFonts w:hint="cs"/>
          <w:rtl/>
          <w:lang w:eastAsia="en-US" w:bidi="ar-EG"/>
        </w:rPr>
        <w:t>المجالات الرئيسية للوسائط المتعددة مثل الصحة الإلكترونية وإمكانية النفاذ وأنظمة النقل الذكية والعوامل البشرية وتلفزيون بروتوكول الإنترنت والأنظمة المتقدمة لتوصيل المحتوى مثل بيئات الانغماس الحية </w:t>
      </w:r>
      <w:r w:rsidR="00105227">
        <w:rPr>
          <w:lang w:eastAsia="en-US" w:bidi="ar-EG"/>
        </w:rPr>
        <w:t>(ILE)</w:t>
      </w:r>
      <w:r w:rsidR="00105227">
        <w:rPr>
          <w:rFonts w:hint="cs"/>
          <w:rtl/>
          <w:lang w:eastAsia="en-US" w:bidi="ar-EG"/>
        </w:rPr>
        <w:t>.</w:t>
      </w:r>
    </w:p>
    <w:p w:rsidR="002D2D2F" w:rsidRDefault="00105227" w:rsidP="00105227">
      <w:pPr>
        <w:rPr>
          <w:rtl/>
          <w:lang w:eastAsia="en-US" w:bidi="ar-EG"/>
        </w:rPr>
      </w:pPr>
      <w:r>
        <w:rPr>
          <w:rFonts w:hint="cs"/>
          <w:rtl/>
          <w:lang w:eastAsia="en-US" w:bidi="ar-EG"/>
        </w:rPr>
        <w:t>ومن المسلم به بالتأكيد أن أي خدمة إلكترونية ستتضمن بعض عناصر الوضوح في الطب عن بُعد وعناصر الألعاب في</w:t>
      </w:r>
      <w:r>
        <w:rPr>
          <w:rFonts w:hint="eastAsia"/>
          <w:rtl/>
          <w:lang w:eastAsia="en-US" w:bidi="ar-EG"/>
        </w:rPr>
        <w:t> </w:t>
      </w:r>
      <w:r>
        <w:rPr>
          <w:rFonts w:hint="cs"/>
          <w:rtl/>
          <w:lang w:eastAsia="en-US" w:bidi="ar-EG"/>
        </w:rPr>
        <w:t>التعليم والمراقبة الفيديوية لأغراض السلامة العامة واستعمال فيديوهات الهواتف الذكية في قياس نبض القلب. ومع تنافس التكنولوجيا والخدمات المختلفة، يمكن ملاحظة العديد من المجالات المتداخلة فيما بينها.</w:t>
      </w:r>
    </w:p>
    <w:p w:rsidR="002D2D2F" w:rsidRDefault="00105227" w:rsidP="00105227">
      <w:pPr>
        <w:rPr>
          <w:rtl/>
          <w:lang w:eastAsia="en-US"/>
        </w:rPr>
      </w:pPr>
      <w:r>
        <w:rPr>
          <w:rFonts w:hint="cs"/>
          <w:rtl/>
          <w:lang w:eastAsia="en-US"/>
        </w:rPr>
        <w:t xml:space="preserve">وبوصفها </w:t>
      </w:r>
      <w:r>
        <w:rPr>
          <w:rFonts w:hint="cs"/>
          <w:rtl/>
          <w:lang w:eastAsia="en-US" w:bidi="ar-EG"/>
        </w:rPr>
        <w:t>لجنة الدراسات الرئيسية المعنية بجوانب الوسائط المتعددة في الخدمات الإلكترونية، أقرت لجنة الدراسات </w:t>
      </w:r>
      <w:r>
        <w:rPr>
          <w:lang w:eastAsia="en-US" w:bidi="ar-EG"/>
        </w:rPr>
        <w:t>16</w:t>
      </w:r>
      <w:r>
        <w:rPr>
          <w:rFonts w:hint="cs"/>
          <w:rtl/>
          <w:lang w:eastAsia="en-US" w:bidi="ar-EG"/>
        </w:rPr>
        <w:t xml:space="preserve"> بأن التنسيق بين الأفرقة المختلفة العاملة في هذا المجال أمر مرغوب فيه من أجل تحقيق الكفاءة والتقدم لهذه التكنولوجيا.</w:t>
      </w:r>
    </w:p>
    <w:p w:rsidR="002D2D2F" w:rsidRPr="0024355A" w:rsidRDefault="002D2D2F" w:rsidP="00105227">
      <w:pPr>
        <w:pStyle w:val="Heading1"/>
        <w:rPr>
          <w:rtl/>
        </w:rPr>
      </w:pPr>
      <w:r>
        <w:t>3</w:t>
      </w:r>
      <w:r w:rsidRPr="0024355A">
        <w:rPr>
          <w:rtl/>
        </w:rPr>
        <w:tab/>
      </w:r>
      <w:r w:rsidR="00105227">
        <w:rPr>
          <w:rFonts w:hint="cs"/>
          <w:rtl/>
        </w:rPr>
        <w:t>الأساس المنطقي</w:t>
      </w:r>
    </w:p>
    <w:p w:rsidR="002D2D2F" w:rsidRDefault="002D2D2F" w:rsidP="00105227">
      <w:pPr>
        <w:pStyle w:val="enumlev1"/>
        <w:rPr>
          <w:rtl/>
          <w:lang w:eastAsia="en-US"/>
        </w:rPr>
      </w:pPr>
      <w:r>
        <w:rPr>
          <w:rFonts w:hint="cs"/>
          <w:rtl/>
          <w:lang w:eastAsia="en-US"/>
        </w:rPr>
        <w:t>-</w:t>
      </w:r>
      <w:r>
        <w:rPr>
          <w:rFonts w:hint="cs"/>
          <w:rtl/>
          <w:lang w:eastAsia="en-US"/>
        </w:rPr>
        <w:tab/>
      </w:r>
      <w:r w:rsidR="00105227">
        <w:rPr>
          <w:rFonts w:hint="cs"/>
          <w:rtl/>
          <w:lang w:eastAsia="en-US"/>
        </w:rPr>
        <w:t>تجديد أن الموضوعات الحالية وتعقدها في قطاعات رئيس الاتصالات/الاتصالات الراديوية/تنمية الاتصالات تعتبر شواغل هامة ل</w:t>
      </w:r>
      <w:r w:rsidR="00105227" w:rsidRPr="00105227">
        <w:rPr>
          <w:rFonts w:hint="cs"/>
          <w:rtl/>
          <w:lang w:eastAsia="en-US"/>
        </w:rPr>
        <w:t>نشاط التنسيق المشترك بشأن جوانب الوسائط المتعددة في الخدمات الإلكترونية</w:t>
      </w:r>
      <w:r w:rsidR="00105227">
        <w:rPr>
          <w:rFonts w:hint="cs"/>
          <w:rtl/>
          <w:lang w:eastAsia="en-US"/>
        </w:rPr>
        <w:t>، مثل الإذاعة المتقدمة في</w:t>
      </w:r>
      <w:r w:rsidR="00105227">
        <w:rPr>
          <w:rFonts w:hint="eastAsia"/>
          <w:rtl/>
          <w:lang w:eastAsia="en-US"/>
        </w:rPr>
        <w:t> </w:t>
      </w:r>
      <w:r w:rsidR="00105227">
        <w:rPr>
          <w:rFonts w:hint="cs"/>
          <w:rtl/>
          <w:lang w:eastAsia="en-US"/>
        </w:rPr>
        <w:t>الإذاعة المتكاملة وتلفزيون النطاق العريض </w:t>
      </w:r>
      <w:r w:rsidR="00105227">
        <w:rPr>
          <w:lang w:eastAsia="en-US"/>
        </w:rPr>
        <w:t>(IBB</w:t>
      </w:r>
      <w:r w:rsidR="00105227">
        <w:rPr>
          <w:lang w:eastAsia="en-US"/>
        </w:rPr>
        <w:noBreakHyphen/>
        <w:t>TV)</w:t>
      </w:r>
      <w:r w:rsidR="00105227">
        <w:rPr>
          <w:rFonts w:hint="cs"/>
          <w:rtl/>
          <w:lang w:eastAsia="en-US"/>
        </w:rPr>
        <w:t>/فريق المقرِّر المشترك بين القطاعات والمعني بالأنظمة المتكاملة للإذاعة والنطاق العريض </w:t>
      </w:r>
      <w:r w:rsidR="00105227">
        <w:rPr>
          <w:lang w:eastAsia="en-US"/>
        </w:rPr>
        <w:t>(IRG</w:t>
      </w:r>
      <w:r w:rsidR="00105227">
        <w:rPr>
          <w:lang w:eastAsia="en-US"/>
        </w:rPr>
        <w:noBreakHyphen/>
        <w:t>IBB)</w:t>
      </w:r>
      <w:r w:rsidR="00105227">
        <w:rPr>
          <w:rFonts w:hint="cs"/>
          <w:rtl/>
          <w:lang w:eastAsia="en-US"/>
        </w:rPr>
        <w:t xml:space="preserve"> وإمكانية النفاذ في نشاط التنسيق المشترك المعني بإمكانية النفاذ والعوامل البشرية </w:t>
      </w:r>
      <w:r w:rsidR="00105227">
        <w:rPr>
          <w:lang w:eastAsia="en-US"/>
        </w:rPr>
        <w:t>(JCA</w:t>
      </w:r>
      <w:r w:rsidR="00105227">
        <w:rPr>
          <w:lang w:eastAsia="en-US"/>
        </w:rPr>
        <w:noBreakHyphen/>
        <w:t>AHF)</w:t>
      </w:r>
      <w:r w:rsidR="00105227">
        <w:rPr>
          <w:rFonts w:hint="cs"/>
          <w:rtl/>
          <w:lang w:eastAsia="en-US"/>
        </w:rPr>
        <w:t>/فريق المقرِّر المشترك بين القطاعات والمعني بإمكانية النفاذ إلى الوسائط السمعية والبصرية </w:t>
      </w:r>
      <w:r w:rsidR="00105227">
        <w:rPr>
          <w:lang w:eastAsia="en-US"/>
        </w:rPr>
        <w:t>(IRG</w:t>
      </w:r>
      <w:r w:rsidR="00105227">
        <w:rPr>
          <w:lang w:eastAsia="en-US"/>
        </w:rPr>
        <w:noBreakHyphen/>
        <w:t>AVA)</w:t>
      </w:r>
      <w:r w:rsidR="00105227">
        <w:rPr>
          <w:rFonts w:hint="cs"/>
          <w:rtl/>
          <w:lang w:eastAsia="en-US"/>
        </w:rPr>
        <w:t xml:space="preserve"> </w:t>
      </w:r>
      <w:r w:rsidR="00D00679">
        <w:rPr>
          <w:rFonts w:hint="cs"/>
          <w:rtl/>
          <w:lang w:eastAsia="en-US"/>
        </w:rPr>
        <w:lastRenderedPageBreak/>
        <w:t>والصحة الإلكترونية وترجم</w:t>
      </w:r>
      <w:r w:rsidR="00105227">
        <w:rPr>
          <w:rFonts w:hint="cs"/>
          <w:rtl/>
          <w:lang w:eastAsia="en-US"/>
        </w:rPr>
        <w:t>ة اللغات الطبيعية وخدمات المعلومات عند وقوع الكوارث وأثناءها، وأنه تبين ضرورة وجود منبر مناسب من أجل تلبية احتياجات التنسيق بشكل أفضل في الوقت الحالي وفي المستقبل.</w:t>
      </w:r>
    </w:p>
    <w:p w:rsidR="002D2D2F" w:rsidRPr="0024355A" w:rsidRDefault="002D2D2F" w:rsidP="00105227">
      <w:pPr>
        <w:pStyle w:val="Heading1"/>
        <w:rPr>
          <w:rtl/>
        </w:rPr>
      </w:pPr>
      <w:r>
        <w:t>4</w:t>
      </w:r>
      <w:r w:rsidRPr="0024355A">
        <w:rPr>
          <w:rtl/>
        </w:rPr>
        <w:tab/>
      </w:r>
      <w:r w:rsidR="00105227">
        <w:rPr>
          <w:rFonts w:hint="cs"/>
          <w:rtl/>
        </w:rPr>
        <w:t>الأهداف</w:t>
      </w:r>
    </w:p>
    <w:p w:rsidR="002D2D2F" w:rsidRDefault="002D2D2F" w:rsidP="00105227">
      <w:pPr>
        <w:pStyle w:val="enumlev1"/>
        <w:rPr>
          <w:rtl/>
          <w:lang w:eastAsia="en-US" w:bidi="ar-EG"/>
        </w:rPr>
      </w:pPr>
      <w:r>
        <w:rPr>
          <w:rFonts w:hint="cs"/>
          <w:rtl/>
          <w:lang w:eastAsia="en-US"/>
        </w:rPr>
        <w:t>-</w:t>
      </w:r>
      <w:r>
        <w:rPr>
          <w:rFonts w:hint="cs"/>
          <w:rtl/>
          <w:lang w:eastAsia="en-US"/>
        </w:rPr>
        <w:tab/>
      </w:r>
      <w:r w:rsidR="00105227">
        <w:rPr>
          <w:rFonts w:hint="cs"/>
          <w:rtl/>
          <w:lang w:eastAsia="en-US"/>
        </w:rPr>
        <w:t xml:space="preserve">تحديد وتنسيق الأنشطة بشأن جوانب الوسائط المتعددة في الخدمات الإلكترونية عبر جميع لجان دراسات قطاع تقييس الاتصالات ذات الصلة (حالياً لجان دراسات قطاع تقييس الاتصالات </w:t>
      </w:r>
      <w:r w:rsidR="00105227">
        <w:rPr>
          <w:lang w:eastAsia="en-US"/>
        </w:rPr>
        <w:t>2</w:t>
      </w:r>
      <w:r w:rsidR="00105227">
        <w:rPr>
          <w:rFonts w:hint="cs"/>
          <w:rtl/>
          <w:lang w:eastAsia="en-US" w:bidi="ar-EG"/>
        </w:rPr>
        <w:t xml:space="preserve"> و</w:t>
      </w:r>
      <w:r w:rsidR="00105227">
        <w:rPr>
          <w:lang w:eastAsia="en-US" w:bidi="ar-EG"/>
        </w:rPr>
        <w:t>9</w:t>
      </w:r>
      <w:r w:rsidR="00105227">
        <w:rPr>
          <w:rFonts w:hint="cs"/>
          <w:rtl/>
          <w:lang w:eastAsia="en-US" w:bidi="ar-EG"/>
        </w:rPr>
        <w:t xml:space="preserve"> و</w:t>
      </w:r>
      <w:r w:rsidR="00105227">
        <w:rPr>
          <w:lang w:eastAsia="en-US" w:bidi="ar-EG"/>
        </w:rPr>
        <w:t>11</w:t>
      </w:r>
      <w:r w:rsidR="00105227">
        <w:rPr>
          <w:rFonts w:hint="cs"/>
          <w:rtl/>
          <w:lang w:eastAsia="en-US" w:bidi="ar-EG"/>
        </w:rPr>
        <w:t xml:space="preserve"> و</w:t>
      </w:r>
      <w:r w:rsidR="00105227">
        <w:rPr>
          <w:lang w:eastAsia="en-US" w:bidi="ar-EG"/>
        </w:rPr>
        <w:t>12</w:t>
      </w:r>
      <w:r w:rsidR="00105227">
        <w:rPr>
          <w:rFonts w:hint="cs"/>
          <w:rtl/>
          <w:lang w:eastAsia="en-US" w:bidi="ar-EG"/>
        </w:rPr>
        <w:t xml:space="preserve"> و</w:t>
      </w:r>
      <w:r w:rsidR="00105227">
        <w:rPr>
          <w:lang w:eastAsia="en-US" w:bidi="ar-EG"/>
        </w:rPr>
        <w:t>13</w:t>
      </w:r>
      <w:r w:rsidR="00105227">
        <w:rPr>
          <w:rFonts w:hint="cs"/>
          <w:rtl/>
          <w:lang w:eastAsia="en-US" w:bidi="ar-EG"/>
        </w:rPr>
        <w:t xml:space="preserve"> و</w:t>
      </w:r>
      <w:r w:rsidR="00105227">
        <w:rPr>
          <w:lang w:eastAsia="en-US" w:bidi="ar-EG"/>
        </w:rPr>
        <w:t>15</w:t>
      </w:r>
      <w:r w:rsidR="00105227">
        <w:rPr>
          <w:rFonts w:hint="cs"/>
          <w:rtl/>
          <w:lang w:eastAsia="en-US" w:bidi="ar-EG"/>
        </w:rPr>
        <w:t xml:space="preserve"> و</w:t>
      </w:r>
      <w:r w:rsidR="00105227">
        <w:rPr>
          <w:lang w:eastAsia="en-US" w:bidi="ar-EG"/>
        </w:rPr>
        <w:t>16</w:t>
      </w:r>
      <w:r w:rsidR="00105227">
        <w:rPr>
          <w:rFonts w:hint="cs"/>
          <w:rtl/>
          <w:lang w:eastAsia="en-US" w:bidi="ar-EG"/>
        </w:rPr>
        <w:t xml:space="preserve"> و</w:t>
      </w:r>
      <w:r w:rsidR="00105227">
        <w:rPr>
          <w:lang w:eastAsia="en-US" w:bidi="ar-EG"/>
        </w:rPr>
        <w:t>17</w:t>
      </w:r>
      <w:r w:rsidR="00105227">
        <w:rPr>
          <w:rFonts w:hint="cs"/>
          <w:rtl/>
          <w:lang w:eastAsia="en-US" w:bidi="ar-EG"/>
        </w:rPr>
        <w:t xml:space="preserve"> و</w:t>
      </w:r>
      <w:r w:rsidR="00105227">
        <w:rPr>
          <w:lang w:eastAsia="en-US" w:bidi="ar-EG"/>
        </w:rPr>
        <w:t>20</w:t>
      </w:r>
      <w:r w:rsidR="00105227">
        <w:rPr>
          <w:rFonts w:hint="cs"/>
          <w:rtl/>
          <w:lang w:eastAsia="en-US" w:bidi="ar-EG"/>
        </w:rPr>
        <w:t>) والتواصل مع قطاعي الاتصالات الراديوية وتنمية الاتصالات؛</w:t>
      </w:r>
    </w:p>
    <w:p w:rsidR="00105227" w:rsidRDefault="00105227" w:rsidP="00105227">
      <w:pPr>
        <w:pStyle w:val="enumlev1"/>
        <w:rPr>
          <w:rtl/>
          <w:lang w:eastAsia="en-US" w:bidi="ar-EG"/>
        </w:rPr>
      </w:pPr>
      <w:r>
        <w:rPr>
          <w:rFonts w:hint="cs"/>
          <w:rtl/>
          <w:lang w:eastAsia="en-US" w:bidi="ar-EG"/>
        </w:rPr>
        <w:t>-</w:t>
      </w:r>
      <w:r>
        <w:rPr>
          <w:rFonts w:hint="cs"/>
          <w:rtl/>
          <w:lang w:eastAsia="en-US" w:bidi="ar-EG"/>
        </w:rPr>
        <w:tab/>
        <w:t>التعاون مع أفرقة التنسيق الأخرى بين القطاعات مثل هيئة التعاون بشأن أنظمة النقل الذكية </w:t>
      </w:r>
      <w:r>
        <w:rPr>
          <w:lang w:eastAsia="en-US" w:bidi="ar-EG"/>
        </w:rPr>
        <w:t>(CITS)</w:t>
      </w:r>
      <w:r>
        <w:rPr>
          <w:rFonts w:hint="cs"/>
          <w:rtl/>
          <w:lang w:eastAsia="en-US" w:bidi="ar-EG"/>
        </w:rPr>
        <w:t>؛</w:t>
      </w:r>
    </w:p>
    <w:p w:rsidR="00105227" w:rsidRDefault="00105227" w:rsidP="00105227">
      <w:pPr>
        <w:pStyle w:val="enumlev1"/>
        <w:rPr>
          <w:rtl/>
          <w:lang w:eastAsia="en-US" w:bidi="ar-EG"/>
        </w:rPr>
      </w:pPr>
      <w:r>
        <w:rPr>
          <w:rFonts w:hint="cs"/>
          <w:rtl/>
          <w:lang w:eastAsia="en-US" w:bidi="ar-EG"/>
        </w:rPr>
        <w:t>-</w:t>
      </w:r>
      <w:r>
        <w:rPr>
          <w:rFonts w:hint="cs"/>
          <w:rtl/>
          <w:lang w:eastAsia="en-US" w:bidi="ar-EG"/>
        </w:rPr>
        <w:tab/>
        <w:t>تحليل برامج العمل المتعلقة بالخدمات الإلكترونية في لجان دراسات قطاع تقييس الاتصالات وكذلك في المنظمات الأخرى المعنية بوضع المعايير والمنتديات والاتحادات لاستعمالها في وظيفة التنسيق الخاصة بالنشاط ولتقديم معلومات عن هذا العمل كي تستخدمها لجان الدراسات الم</w:t>
      </w:r>
      <w:r w:rsidR="00417EB6">
        <w:rPr>
          <w:rFonts w:hint="cs"/>
          <w:rtl/>
          <w:lang w:eastAsia="en-US" w:bidi="ar-EG"/>
        </w:rPr>
        <w:t>عنية في تخطيط عملها؛</w:t>
      </w:r>
    </w:p>
    <w:p w:rsidR="002D2D2F" w:rsidRPr="00105227" w:rsidRDefault="002D2D2F" w:rsidP="00105227">
      <w:pPr>
        <w:pStyle w:val="enumlev1"/>
        <w:rPr>
          <w:rtl/>
        </w:rPr>
      </w:pPr>
      <w:r w:rsidRPr="00105227">
        <w:rPr>
          <w:rFonts w:hint="cs"/>
          <w:rtl/>
        </w:rPr>
        <w:t>-</w:t>
      </w:r>
      <w:r w:rsidRPr="00105227">
        <w:rPr>
          <w:rFonts w:hint="cs"/>
          <w:rtl/>
        </w:rPr>
        <w:tab/>
      </w:r>
      <w:r w:rsidRPr="00105227">
        <w:rPr>
          <w:rtl/>
        </w:rPr>
        <w:t xml:space="preserve">توفير جهة اتصال واضحة من أجل الأنشطة المتعلقة </w:t>
      </w:r>
      <w:r w:rsidR="00105227">
        <w:rPr>
          <w:rFonts w:hint="cs"/>
          <w:rtl/>
        </w:rPr>
        <w:t>بالخدمات الإلكترونية</w:t>
      </w:r>
      <w:r w:rsidRPr="00105227">
        <w:rPr>
          <w:rtl/>
        </w:rPr>
        <w:t xml:space="preserve"> في قطاع تقييس الاتصالات، والتماس التعاون من الهيئات الخارجية العاملة في مجال </w:t>
      </w:r>
      <w:r w:rsidR="00105227">
        <w:rPr>
          <w:rFonts w:hint="cs"/>
          <w:rtl/>
        </w:rPr>
        <w:t>الخدمات الإلكترونية</w:t>
      </w:r>
      <w:r w:rsidRPr="00105227">
        <w:rPr>
          <w:rtl/>
        </w:rPr>
        <w:t xml:space="preserve"> وإتاحة التواصل الفعال مع هذه الهيئات.</w:t>
      </w:r>
    </w:p>
    <w:p w:rsidR="00D633D4" w:rsidRPr="0024355A" w:rsidRDefault="00D633D4" w:rsidP="00105227">
      <w:pPr>
        <w:pStyle w:val="Heading1"/>
        <w:rPr>
          <w:rtl/>
        </w:rPr>
      </w:pPr>
      <w:r>
        <w:t>5</w:t>
      </w:r>
      <w:r w:rsidRPr="0024355A">
        <w:rPr>
          <w:rtl/>
        </w:rPr>
        <w:tab/>
      </w:r>
      <w:r w:rsidR="00105227">
        <w:rPr>
          <w:rFonts w:hint="cs"/>
          <w:rtl/>
        </w:rPr>
        <w:t>المشاركة</w:t>
      </w:r>
    </w:p>
    <w:p w:rsidR="00D633D4" w:rsidRDefault="00105227" w:rsidP="00417EB6">
      <w:pPr>
        <w:rPr>
          <w:rtl/>
          <w:lang w:eastAsia="en-US"/>
        </w:rPr>
      </w:pPr>
      <w:r>
        <w:rPr>
          <w:rFonts w:hint="cs"/>
          <w:rtl/>
          <w:lang w:eastAsia="en-US"/>
        </w:rPr>
        <w:t xml:space="preserve">باب المشاركة مفتوح أمام الممثلين الرسميين لجميع لجان دراسات قطاع تقييس الاتصالات والفريق الاستشاري لتقييس الاتصالات </w:t>
      </w:r>
      <w:r w:rsidR="00417EB6">
        <w:rPr>
          <w:rFonts w:hint="cs"/>
          <w:rtl/>
          <w:lang w:eastAsia="en-US"/>
        </w:rPr>
        <w:t>وأمانة جميع لجان دراسات قطاع تقييس الاتصالات.</w:t>
      </w:r>
    </w:p>
    <w:p w:rsidR="00D633D4" w:rsidRDefault="00417EB6" w:rsidP="00D633D4">
      <w:pPr>
        <w:rPr>
          <w:rtl/>
          <w:lang w:eastAsia="en-US"/>
        </w:rPr>
      </w:pPr>
      <w:r>
        <w:rPr>
          <w:rFonts w:hint="cs"/>
          <w:rtl/>
          <w:lang w:eastAsia="en-US"/>
        </w:rPr>
        <w:t>ويمكن دعوة أفرقة الاتحاد الأخرى والهيئات الخارجية المعنية، خاصةً منظمات التقييس، إلى تعيين ممثل للانضمام إلى النشاط.</w:t>
      </w:r>
    </w:p>
    <w:p w:rsidR="00D633D4" w:rsidRPr="0024355A" w:rsidRDefault="00D633D4" w:rsidP="00043E12">
      <w:pPr>
        <w:pStyle w:val="Heading1"/>
        <w:rPr>
          <w:rtl/>
        </w:rPr>
      </w:pPr>
      <w:r>
        <w:t>6</w:t>
      </w:r>
      <w:r w:rsidRPr="0024355A">
        <w:rPr>
          <w:rtl/>
        </w:rPr>
        <w:tab/>
      </w:r>
      <w:r w:rsidR="00043E12">
        <w:rPr>
          <w:rFonts w:hint="cs"/>
          <w:rtl/>
        </w:rPr>
        <w:t>أساليب العلم</w:t>
      </w:r>
    </w:p>
    <w:p w:rsidR="00D633D4" w:rsidRDefault="00D633D4" w:rsidP="00043E12">
      <w:pPr>
        <w:rPr>
          <w:rtl/>
          <w:lang w:bidi="ar-EG"/>
        </w:rPr>
      </w:pPr>
      <w:r>
        <w:rPr>
          <w:rFonts w:hint="cs"/>
          <w:rtl/>
        </w:rPr>
        <w:t xml:space="preserve">يعمل نشاط </w:t>
      </w:r>
      <w:r w:rsidR="00043E12">
        <w:rPr>
          <w:rFonts w:hint="cs"/>
          <w:rtl/>
        </w:rPr>
        <w:t xml:space="preserve">التنسيق المشترك </w:t>
      </w:r>
      <w:r>
        <w:rPr>
          <w:rFonts w:hint="cs"/>
          <w:rtl/>
        </w:rPr>
        <w:t xml:space="preserve">عن طريق المراسلة في المقام الأول وإن كان من الممكن أيضاً أن يعقد اجتماعات بالاقتران مع اجتماعات </w:t>
      </w:r>
      <w:r w:rsidR="00043E12">
        <w:rPr>
          <w:rFonts w:hint="cs"/>
          <w:rtl/>
        </w:rPr>
        <w:t>لجنة الدراسات </w:t>
      </w:r>
      <w:r w:rsidR="00043E12">
        <w:t>16</w:t>
      </w:r>
      <w:r w:rsidR="00043E12">
        <w:rPr>
          <w:rFonts w:hint="cs"/>
          <w:rtl/>
          <w:lang w:bidi="ar-EG"/>
        </w:rPr>
        <w:t xml:space="preserve"> </w:t>
      </w:r>
      <w:r>
        <w:rPr>
          <w:rFonts w:hint="cs"/>
          <w:rtl/>
        </w:rPr>
        <w:t xml:space="preserve">إذا اقتضى الأمر. </w:t>
      </w:r>
      <w:r>
        <w:rPr>
          <w:rFonts w:hint="cs"/>
          <w:rtl/>
          <w:lang w:bidi="ar-EG"/>
        </w:rPr>
        <w:t>وبالإضافة إلى ذلك، يمكن أن تثار القضايا الملحة التي تقتضي الاهتمام في</w:t>
      </w:r>
      <w:r w:rsidR="00417EB6">
        <w:rPr>
          <w:rFonts w:hint="eastAsia"/>
          <w:rtl/>
          <w:lang w:bidi="ar-EG"/>
        </w:rPr>
        <w:t> </w:t>
      </w:r>
      <w:r>
        <w:rPr>
          <w:rFonts w:hint="cs"/>
          <w:rtl/>
          <w:lang w:bidi="ar-EG"/>
        </w:rPr>
        <w:t xml:space="preserve">أي وقت ويمكن لنشاط التنسيق المشترك أن </w:t>
      </w:r>
      <w:r w:rsidR="00043E12">
        <w:rPr>
          <w:rFonts w:hint="cs"/>
          <w:rtl/>
          <w:lang w:bidi="ar-EG"/>
        </w:rPr>
        <w:t>يجتمع</w:t>
      </w:r>
      <w:r>
        <w:rPr>
          <w:rFonts w:hint="cs"/>
          <w:rtl/>
          <w:lang w:bidi="ar-EG"/>
        </w:rPr>
        <w:t xml:space="preserve"> عند الاقتضاء لاتخاذ الإجراءات اللازمة.</w:t>
      </w:r>
    </w:p>
    <w:p w:rsidR="00241A1A" w:rsidRPr="0024355A" w:rsidRDefault="00241A1A" w:rsidP="00043E12">
      <w:pPr>
        <w:pStyle w:val="Heading1"/>
        <w:rPr>
          <w:rtl/>
        </w:rPr>
      </w:pPr>
      <w:r>
        <w:t>7</w:t>
      </w:r>
      <w:r w:rsidRPr="0024355A">
        <w:rPr>
          <w:rtl/>
        </w:rPr>
        <w:tab/>
      </w:r>
      <w:r w:rsidR="00043E12">
        <w:rPr>
          <w:rFonts w:hint="cs"/>
          <w:rtl/>
        </w:rPr>
        <w:t>المهام المحددة</w:t>
      </w:r>
    </w:p>
    <w:p w:rsidR="00D633D4" w:rsidRDefault="00043E12" w:rsidP="00D633D4">
      <w:pPr>
        <w:rPr>
          <w:rtl/>
          <w:lang w:eastAsia="en-US"/>
        </w:rPr>
      </w:pPr>
      <w:r>
        <w:rPr>
          <w:rFonts w:hint="cs"/>
          <w:rtl/>
          <w:lang w:eastAsia="en-US"/>
        </w:rPr>
        <w:t>في إطار جوانب الوسائط المتعددة في الخدمات الإلكترونية:</w:t>
      </w:r>
    </w:p>
    <w:p w:rsidR="00241A1A" w:rsidRDefault="00241A1A" w:rsidP="00D00679">
      <w:pPr>
        <w:pStyle w:val="enumlev1"/>
        <w:rPr>
          <w:rtl/>
          <w:lang w:eastAsia="en-US"/>
        </w:rPr>
      </w:pPr>
      <w:r>
        <w:rPr>
          <w:rFonts w:hint="cs"/>
          <w:rtl/>
          <w:lang w:eastAsia="en-US"/>
        </w:rPr>
        <w:t>-</w:t>
      </w:r>
      <w:r>
        <w:rPr>
          <w:rFonts w:hint="cs"/>
          <w:rtl/>
          <w:lang w:eastAsia="en-US"/>
        </w:rPr>
        <w:tab/>
      </w:r>
      <w:r w:rsidR="00043E12">
        <w:rPr>
          <w:rFonts w:hint="cs"/>
          <w:rtl/>
          <w:lang w:eastAsia="en-US"/>
        </w:rPr>
        <w:t>وضع ورعاية قائمة بمسؤولي الاتصال المعنيين بالخدمات الإلكترونية في كل فريق يشارك في نشاط التنسيق المشترك؛</w:t>
      </w:r>
    </w:p>
    <w:p w:rsidR="00241A1A" w:rsidRDefault="00241A1A" w:rsidP="00D00679">
      <w:pPr>
        <w:pStyle w:val="enumlev1"/>
        <w:rPr>
          <w:rtl/>
          <w:lang w:eastAsia="en-US"/>
        </w:rPr>
      </w:pPr>
      <w:r>
        <w:rPr>
          <w:rFonts w:hint="cs"/>
          <w:rtl/>
          <w:lang w:eastAsia="en-US"/>
        </w:rPr>
        <w:t>-</w:t>
      </w:r>
      <w:r>
        <w:rPr>
          <w:rFonts w:hint="cs"/>
          <w:rtl/>
          <w:lang w:eastAsia="en-US"/>
        </w:rPr>
        <w:tab/>
      </w:r>
      <w:r w:rsidR="00043E12">
        <w:rPr>
          <w:rFonts w:hint="cs"/>
          <w:rtl/>
          <w:lang w:eastAsia="en-US"/>
        </w:rPr>
        <w:t>التنسيق مع الأفرقة الإقليمية في قطاع تقييس الاتصالات بشأن أنشطة التقييس لتفادي الازدواجية في الأعمال، وتحديداً أي بنود عمل جديدة أو مراجعة وتعظيم العمل؛</w:t>
      </w:r>
    </w:p>
    <w:p w:rsidR="00241A1A" w:rsidRDefault="00241A1A" w:rsidP="00D00679">
      <w:pPr>
        <w:pStyle w:val="enumlev1"/>
        <w:rPr>
          <w:rtl/>
          <w:lang w:eastAsia="en-US" w:bidi="ar-EG"/>
        </w:rPr>
      </w:pPr>
      <w:r>
        <w:rPr>
          <w:rFonts w:hint="cs"/>
          <w:rtl/>
          <w:lang w:eastAsia="en-US"/>
        </w:rPr>
        <w:t>-</w:t>
      </w:r>
      <w:r>
        <w:rPr>
          <w:rFonts w:hint="cs"/>
          <w:rtl/>
          <w:lang w:eastAsia="en-US"/>
        </w:rPr>
        <w:tab/>
      </w:r>
      <w:r w:rsidR="00043E12">
        <w:rPr>
          <w:rFonts w:hint="cs"/>
          <w:rtl/>
          <w:lang w:eastAsia="en-US"/>
        </w:rPr>
        <w:t xml:space="preserve">تقديم المشورة في عملية التخطيط العام للحلقات التعليمية والحلقات الدراسية/ورش العمل </w:t>
      </w:r>
      <w:r w:rsidR="00D00679">
        <w:rPr>
          <w:rFonts w:hint="cs"/>
          <w:rtl/>
          <w:lang w:eastAsia="en-US"/>
        </w:rPr>
        <w:t>(طبقاً للتوصية </w:t>
      </w:r>
      <w:r w:rsidR="00D00679">
        <w:rPr>
          <w:lang w:eastAsia="en-US"/>
        </w:rPr>
        <w:t>ITU</w:t>
      </w:r>
      <w:r w:rsidR="00D00679">
        <w:rPr>
          <w:lang w:eastAsia="en-US"/>
        </w:rPr>
        <w:noBreakHyphen/>
        <w:t>T A.31</w:t>
      </w:r>
      <w:r w:rsidR="00D00679">
        <w:rPr>
          <w:rFonts w:hint="cs"/>
          <w:rtl/>
          <w:lang w:eastAsia="en-US" w:bidi="ar-EG"/>
        </w:rPr>
        <w:t>)؛</w:t>
      </w:r>
    </w:p>
    <w:p w:rsidR="00241A1A" w:rsidRDefault="00241A1A" w:rsidP="00D00679">
      <w:pPr>
        <w:pStyle w:val="enumlev1"/>
        <w:rPr>
          <w:rtl/>
          <w:lang w:eastAsia="en-US"/>
        </w:rPr>
      </w:pPr>
      <w:r>
        <w:rPr>
          <w:rFonts w:hint="cs"/>
          <w:rtl/>
          <w:lang w:eastAsia="en-US"/>
        </w:rPr>
        <w:t>-</w:t>
      </w:r>
      <w:r>
        <w:rPr>
          <w:rFonts w:hint="cs"/>
          <w:rtl/>
          <w:lang w:eastAsia="en-US"/>
        </w:rPr>
        <w:tab/>
      </w:r>
      <w:r w:rsidR="00D00679">
        <w:rPr>
          <w:rFonts w:hint="cs"/>
          <w:rtl/>
          <w:lang w:eastAsia="en-US"/>
        </w:rPr>
        <w:t>تنسيق الأنشطة مع المنظمات المعنية بوضع المعايير والمنتديات ذات الصلة؛</w:t>
      </w:r>
    </w:p>
    <w:p w:rsidR="00241A1A" w:rsidRDefault="00241A1A" w:rsidP="00D00679">
      <w:pPr>
        <w:pStyle w:val="enumlev1"/>
        <w:rPr>
          <w:rtl/>
          <w:lang w:eastAsia="en-US"/>
        </w:rPr>
      </w:pPr>
      <w:r>
        <w:rPr>
          <w:rFonts w:hint="cs"/>
          <w:rtl/>
          <w:lang w:eastAsia="en-US"/>
        </w:rPr>
        <w:t>-</w:t>
      </w:r>
      <w:r>
        <w:rPr>
          <w:rFonts w:hint="cs"/>
          <w:rtl/>
          <w:lang w:eastAsia="en-US"/>
        </w:rPr>
        <w:tab/>
      </w:r>
      <w:r w:rsidR="00D00679">
        <w:rPr>
          <w:rFonts w:hint="cs"/>
          <w:rtl/>
          <w:lang w:eastAsia="en-US"/>
        </w:rPr>
        <w:t>دعم التطوير المنسق للمواصفات والأحداث الخاصة باختبار المطابقة وقابلية التشغيل البيني.</w:t>
      </w:r>
    </w:p>
    <w:p w:rsidR="00241A1A" w:rsidRDefault="00241A1A" w:rsidP="00D00679">
      <w:pPr>
        <w:pStyle w:val="Heading1"/>
        <w:rPr>
          <w:rtl/>
        </w:rPr>
      </w:pPr>
      <w:r>
        <w:lastRenderedPageBreak/>
        <w:t>8</w:t>
      </w:r>
      <w:r w:rsidRPr="0024355A">
        <w:rPr>
          <w:rtl/>
        </w:rPr>
        <w:tab/>
      </w:r>
      <w:r w:rsidR="00D00679">
        <w:rPr>
          <w:rFonts w:hint="cs"/>
          <w:rtl/>
        </w:rPr>
        <w:t>التقارير المرحلية</w:t>
      </w:r>
    </w:p>
    <w:p w:rsidR="00241A1A" w:rsidRDefault="00D00679" w:rsidP="00241A1A">
      <w:pPr>
        <w:rPr>
          <w:rtl/>
          <w:lang w:bidi="ar-EG"/>
        </w:rPr>
      </w:pPr>
      <w:r>
        <w:rPr>
          <w:rFonts w:hint="cs"/>
          <w:rtl/>
        </w:rPr>
        <w:t>سيقوم نشاط التنسيق المشترك هذا برفع تقرير إلى لجنة الدراسات </w:t>
      </w:r>
      <w:r>
        <w:t>16</w:t>
      </w:r>
      <w:r>
        <w:rPr>
          <w:rFonts w:hint="cs"/>
          <w:rtl/>
          <w:lang w:bidi="ar-EG"/>
        </w:rPr>
        <w:t xml:space="preserve"> لقطاع تقييس الاتصالات، لجنة الدراسات الرئيسية المعنية بجوانب الوسائط المتعددة في الخدمات الإلكترونية بعد كل اجتماع للنشاط.</w:t>
      </w:r>
    </w:p>
    <w:p w:rsidR="00241A1A" w:rsidRDefault="00D00679" w:rsidP="00241A1A">
      <w:pPr>
        <w:rPr>
          <w:rtl/>
          <w:lang w:bidi="ar-EG"/>
        </w:rPr>
      </w:pPr>
      <w:r>
        <w:rPr>
          <w:rFonts w:hint="cs"/>
          <w:rtl/>
          <w:lang w:bidi="ar-EG"/>
        </w:rPr>
        <w:t>ويمكن للفريق الاستشاري لتقييس الاتصالات مراقبة أنشطة هذا النشاط من خلال هذه التقارير (انظر الفقرة </w:t>
      </w:r>
      <w:r>
        <w:rPr>
          <w:lang w:bidi="ar-EG"/>
        </w:rPr>
        <w:t>8.2.2</w:t>
      </w:r>
      <w:r>
        <w:rPr>
          <w:rFonts w:hint="cs"/>
          <w:rtl/>
          <w:lang w:bidi="ar-EG"/>
        </w:rPr>
        <w:t xml:space="preserve"> من التوصية </w:t>
      </w:r>
      <w:r>
        <w:rPr>
          <w:lang w:bidi="ar-EG"/>
        </w:rPr>
        <w:t>ITU</w:t>
      </w:r>
      <w:r>
        <w:rPr>
          <w:lang w:bidi="ar-EG"/>
        </w:rPr>
        <w:noBreakHyphen/>
        <w:t>T A.1</w:t>
      </w:r>
      <w:r>
        <w:rPr>
          <w:rFonts w:hint="cs"/>
          <w:rtl/>
          <w:lang w:bidi="ar-EG"/>
        </w:rPr>
        <w:t>).</w:t>
      </w:r>
    </w:p>
    <w:p w:rsidR="00241A1A" w:rsidRPr="0024355A" w:rsidRDefault="00241A1A" w:rsidP="00D00679">
      <w:pPr>
        <w:pStyle w:val="Heading1"/>
        <w:rPr>
          <w:rtl/>
        </w:rPr>
      </w:pPr>
      <w:r>
        <w:t>9</w:t>
      </w:r>
      <w:r w:rsidRPr="0024355A">
        <w:rPr>
          <w:rtl/>
        </w:rPr>
        <w:tab/>
      </w:r>
      <w:r w:rsidR="00D00679">
        <w:rPr>
          <w:rFonts w:hint="cs"/>
          <w:rtl/>
        </w:rPr>
        <w:t>مدة عمل النشاط</w:t>
      </w:r>
    </w:p>
    <w:p w:rsidR="00241A1A" w:rsidRDefault="00D00679" w:rsidP="00241A1A">
      <w:pPr>
        <w:rPr>
          <w:rtl/>
          <w:lang w:bidi="ar-EG"/>
        </w:rPr>
      </w:pPr>
      <w:r>
        <w:rPr>
          <w:rFonts w:hint="cs"/>
          <w:rtl/>
        </w:rPr>
        <w:t>تحدد لجنة الدراسات الرئيسية المعنية بجوانب الوسائط المتعددة في الخدمات الإلكترونية موعد إنهاء عمل نشاط التنسيق المشترك هذا (انظر الفقرة </w:t>
      </w:r>
      <w:r>
        <w:t>10.2.2</w:t>
      </w:r>
      <w:r>
        <w:rPr>
          <w:rFonts w:hint="cs"/>
          <w:rtl/>
          <w:lang w:bidi="ar-EG"/>
        </w:rPr>
        <w:t xml:space="preserve"> من التوصية </w:t>
      </w:r>
      <w:r>
        <w:rPr>
          <w:lang w:bidi="ar-EG"/>
        </w:rPr>
        <w:t>ITU</w:t>
      </w:r>
      <w:r>
        <w:rPr>
          <w:lang w:bidi="ar-EG"/>
        </w:rPr>
        <w:noBreakHyphen/>
        <w:t>T A.1</w:t>
      </w:r>
      <w:r>
        <w:rPr>
          <w:rFonts w:hint="cs"/>
          <w:rtl/>
          <w:lang w:bidi="ar-EG"/>
        </w:rPr>
        <w:t>).</w:t>
      </w:r>
    </w:p>
    <w:p w:rsidR="00241A1A" w:rsidRDefault="00241A1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pPr>
      <w:r>
        <w:rPr>
          <w:rtl/>
        </w:rPr>
        <w:br w:type="page"/>
      </w:r>
    </w:p>
    <w:p w:rsidR="005C284C" w:rsidRDefault="005C284C" w:rsidP="005C284C">
      <w:pPr>
        <w:pStyle w:val="AnnexNo"/>
        <w:rPr>
          <w:rtl/>
          <w:lang w:eastAsia="en-US" w:bidi="ar-EG"/>
        </w:rPr>
      </w:pPr>
      <w:r>
        <w:rPr>
          <w:rFonts w:hint="cs"/>
          <w:rtl/>
          <w:lang w:eastAsia="en-US"/>
        </w:rPr>
        <w:lastRenderedPageBreak/>
        <w:t xml:space="preserve">الملحق </w:t>
      </w:r>
      <w:r>
        <w:rPr>
          <w:lang w:eastAsia="en-US"/>
        </w:rPr>
        <w:t>2</w:t>
      </w:r>
      <w:r>
        <w:rPr>
          <w:rtl/>
          <w:lang w:eastAsia="en-US"/>
        </w:rPr>
        <w:br/>
      </w:r>
      <w:r>
        <w:rPr>
          <w:rFonts w:hint="cs"/>
          <w:rtl/>
        </w:rPr>
        <w:t>(</w:t>
      </w:r>
      <w:r>
        <w:rPr>
          <w:rtl/>
        </w:rPr>
        <w:t xml:space="preserve">بالرسالة ال‍معممة </w:t>
      </w:r>
      <w:r>
        <w:t>15</w:t>
      </w:r>
      <w:r>
        <w:rPr>
          <w:rtl/>
        </w:rPr>
        <w:t xml:space="preserve"> </w:t>
      </w:r>
      <w:r w:rsidR="002B21D2">
        <w:rPr>
          <w:rFonts w:hint="cs"/>
          <w:rtl/>
        </w:rPr>
        <w:t>لمكتب</w:t>
      </w:r>
      <w:r>
        <w:rPr>
          <w:rtl/>
        </w:rPr>
        <w:t xml:space="preserve"> تقييس الاتصالات</w:t>
      </w:r>
      <w:r w:rsidR="00CE5D70">
        <w:rPr>
          <w:rFonts w:hint="cs"/>
          <w:rtl/>
          <w:lang w:bidi="ar-EG"/>
        </w:rPr>
        <w:t>)</w:t>
      </w:r>
    </w:p>
    <w:p w:rsidR="005C284C" w:rsidRPr="00921A2C" w:rsidRDefault="005C284C" w:rsidP="00CE5D70">
      <w:pPr>
        <w:pStyle w:val="Annextitle"/>
        <w:spacing w:after="480"/>
        <w:rPr>
          <w:rtl/>
          <w:lang w:eastAsia="en-US"/>
        </w:rPr>
      </w:pPr>
      <w:r w:rsidRPr="00921A2C">
        <w:rPr>
          <w:rFonts w:hint="cs"/>
          <w:rtl/>
          <w:lang w:eastAsia="en-US"/>
        </w:rPr>
        <w:t xml:space="preserve">مشروع جدول أعمال الاجتماع الأول </w:t>
      </w:r>
      <w:r w:rsidR="002B5335">
        <w:rPr>
          <w:rFonts w:hint="cs"/>
          <w:rtl/>
          <w:lang w:eastAsia="en-US"/>
        </w:rPr>
        <w:t>ل</w:t>
      </w:r>
      <w:r w:rsidR="002B5335" w:rsidRPr="002B5335">
        <w:rPr>
          <w:rFonts w:hint="cs"/>
          <w:rtl/>
          <w:lang w:eastAsia="en-US" w:bidi="ar-SA"/>
        </w:rPr>
        <w:t xml:space="preserve">نشاط التنسيق المشترك </w:t>
      </w:r>
      <w:r w:rsidR="002B5335" w:rsidRPr="002B5335">
        <w:rPr>
          <w:rtl/>
          <w:lang w:eastAsia="en-US" w:bidi="ar-SA"/>
        </w:rPr>
        <w:br/>
      </w:r>
      <w:r w:rsidR="002B5335" w:rsidRPr="002B5335">
        <w:rPr>
          <w:rFonts w:hint="cs"/>
          <w:rtl/>
          <w:lang w:eastAsia="en-US" w:bidi="ar-SA"/>
        </w:rPr>
        <w:t>بشأن جوانب الوسائط المتعددة في الخدمات الإلكترونية</w:t>
      </w:r>
      <w:r w:rsidRPr="00921A2C">
        <w:rPr>
          <w:rtl/>
          <w:lang w:eastAsia="en-US"/>
        </w:rPr>
        <w:br/>
      </w:r>
      <w:r w:rsidRPr="00921A2C">
        <w:rPr>
          <w:rFonts w:hint="cs"/>
          <w:rtl/>
          <w:lang w:eastAsia="en-US"/>
        </w:rPr>
        <w:t>(</w:t>
      </w:r>
      <w:r w:rsidR="002B5335">
        <w:rPr>
          <w:rFonts w:hint="cs"/>
          <w:rtl/>
          <w:lang w:eastAsia="en-US"/>
        </w:rPr>
        <w:t>ماكاو</w:t>
      </w:r>
      <w:r w:rsidRPr="00921A2C">
        <w:rPr>
          <w:rFonts w:hint="cs"/>
          <w:rtl/>
          <w:lang w:eastAsia="en-US"/>
        </w:rPr>
        <w:t xml:space="preserve">، الصين، </w:t>
      </w:r>
      <w:r w:rsidRPr="00921A2C">
        <w:rPr>
          <w:lang w:eastAsia="en-US"/>
        </w:rPr>
        <w:t>19</w:t>
      </w:r>
      <w:r w:rsidRPr="00921A2C">
        <w:rPr>
          <w:rFonts w:hint="cs"/>
          <w:rtl/>
          <w:lang w:eastAsia="en-US"/>
        </w:rPr>
        <w:t xml:space="preserve"> أكتوبر </w:t>
      </w:r>
      <w:r w:rsidRPr="00921A2C">
        <w:rPr>
          <w:lang w:eastAsia="en-US"/>
        </w:rPr>
        <w:t>2017</w:t>
      </w:r>
      <w:r w:rsidRPr="00921A2C">
        <w:rPr>
          <w:rFonts w:hint="cs"/>
          <w:rtl/>
          <w:lang w:eastAsia="en-US"/>
        </w:rPr>
        <w:t>)</w:t>
      </w:r>
    </w:p>
    <w:p w:rsidR="00241A1A" w:rsidRDefault="00D00679" w:rsidP="00D00679">
      <w:pPr>
        <w:rPr>
          <w:rtl/>
          <w:lang w:eastAsia="en-US" w:bidi="ar-EG"/>
        </w:rPr>
      </w:pPr>
      <w:r>
        <w:rPr>
          <w:lang w:eastAsia="en-US"/>
        </w:rPr>
        <w:t>1</w:t>
      </w:r>
      <w:r>
        <w:rPr>
          <w:rtl/>
          <w:lang w:eastAsia="en-US" w:bidi="ar-EG"/>
        </w:rPr>
        <w:tab/>
      </w:r>
      <w:r>
        <w:rPr>
          <w:rFonts w:hint="cs"/>
          <w:rtl/>
          <w:lang w:eastAsia="en-US" w:bidi="ar-EG"/>
        </w:rPr>
        <w:t>الافتتاح والترحيب وإعلان أهداف الاجتماع</w:t>
      </w:r>
    </w:p>
    <w:p w:rsidR="00D00679" w:rsidRDefault="00D00679" w:rsidP="00D00679">
      <w:pPr>
        <w:rPr>
          <w:rtl/>
          <w:lang w:eastAsia="en-US" w:bidi="ar-EG"/>
        </w:rPr>
      </w:pPr>
      <w:r>
        <w:rPr>
          <w:lang w:eastAsia="en-US" w:bidi="ar-EG"/>
        </w:rPr>
        <w:t>2</w:t>
      </w:r>
      <w:r>
        <w:rPr>
          <w:rtl/>
          <w:lang w:eastAsia="en-US" w:bidi="ar-EG"/>
        </w:rPr>
        <w:tab/>
      </w:r>
      <w:r>
        <w:rPr>
          <w:rFonts w:hint="cs"/>
          <w:rtl/>
          <w:lang w:eastAsia="en-US" w:bidi="ar-EG"/>
        </w:rPr>
        <w:t>إقرار جدول الأعمال</w:t>
      </w:r>
    </w:p>
    <w:p w:rsidR="00D00679" w:rsidRDefault="00D00679" w:rsidP="00D00679">
      <w:pPr>
        <w:rPr>
          <w:rtl/>
          <w:lang w:eastAsia="en-US" w:bidi="ar-EG"/>
        </w:rPr>
      </w:pPr>
      <w:r>
        <w:rPr>
          <w:lang w:eastAsia="en-US" w:bidi="ar-EG"/>
        </w:rPr>
        <w:t>3</w:t>
      </w:r>
      <w:r>
        <w:rPr>
          <w:rtl/>
          <w:lang w:eastAsia="en-US" w:bidi="ar-EG"/>
        </w:rPr>
        <w:tab/>
      </w:r>
      <w:r>
        <w:rPr>
          <w:rFonts w:hint="cs"/>
          <w:rtl/>
          <w:lang w:eastAsia="en-US" w:bidi="ar-EG"/>
        </w:rPr>
        <w:t>الوثائق</w:t>
      </w:r>
    </w:p>
    <w:p w:rsidR="00D633D4" w:rsidRDefault="00D00679" w:rsidP="00D633D4">
      <w:pPr>
        <w:rPr>
          <w:rtl/>
          <w:lang w:eastAsia="en-US" w:bidi="ar-EG"/>
        </w:rPr>
      </w:pPr>
      <w:r>
        <w:rPr>
          <w:lang w:eastAsia="en-US"/>
        </w:rPr>
        <w:t>4</w:t>
      </w:r>
      <w:r>
        <w:rPr>
          <w:rtl/>
          <w:lang w:eastAsia="en-US" w:bidi="ar-EG"/>
        </w:rPr>
        <w:tab/>
      </w:r>
      <w:r>
        <w:rPr>
          <w:rFonts w:hint="cs"/>
          <w:rtl/>
          <w:lang w:eastAsia="en-US" w:bidi="ar-EG"/>
        </w:rPr>
        <w:t>استعراض الاختصاصات</w:t>
      </w:r>
    </w:p>
    <w:p w:rsidR="00D00679" w:rsidRDefault="00D00679" w:rsidP="00D633D4">
      <w:pPr>
        <w:rPr>
          <w:rtl/>
          <w:lang w:eastAsia="en-US" w:bidi="ar-EG"/>
        </w:rPr>
      </w:pPr>
      <w:r>
        <w:rPr>
          <w:lang w:eastAsia="en-US" w:bidi="ar-EG"/>
        </w:rPr>
        <w:t>5</w:t>
      </w:r>
      <w:r>
        <w:rPr>
          <w:rtl/>
          <w:lang w:eastAsia="en-US" w:bidi="ar-EG"/>
        </w:rPr>
        <w:tab/>
      </w:r>
      <w:r>
        <w:rPr>
          <w:rFonts w:hint="cs"/>
          <w:rtl/>
          <w:lang w:eastAsia="en-US" w:bidi="ar-EG"/>
        </w:rPr>
        <w:t>استعراض أعمال التقييس الحالية بشأن جوانب الوسائط المتعددة في الخدمات الإلكترونية</w:t>
      </w:r>
    </w:p>
    <w:p w:rsidR="00D00679" w:rsidRDefault="00D00679" w:rsidP="00D00679">
      <w:pPr>
        <w:pStyle w:val="enumlev2"/>
        <w:rPr>
          <w:rtl/>
          <w:lang w:eastAsia="en-US"/>
        </w:rPr>
      </w:pPr>
      <w:r>
        <w:rPr>
          <w:rFonts w:hint="cs"/>
          <w:rtl/>
          <w:lang w:eastAsia="en-US"/>
        </w:rPr>
        <w:t> أ )</w:t>
      </w:r>
      <w:r>
        <w:rPr>
          <w:rtl/>
          <w:lang w:eastAsia="en-US"/>
        </w:rPr>
        <w:tab/>
      </w:r>
      <w:r>
        <w:rPr>
          <w:rFonts w:hint="cs"/>
          <w:rtl/>
          <w:lang w:eastAsia="en-US"/>
        </w:rPr>
        <w:t>لجان دراسات قطاع تقييس الاتصالات</w:t>
      </w:r>
    </w:p>
    <w:p w:rsidR="00D00679" w:rsidRDefault="00D00679" w:rsidP="00D00679">
      <w:pPr>
        <w:pStyle w:val="enumlev2"/>
        <w:rPr>
          <w:rtl/>
          <w:lang w:eastAsia="en-US"/>
        </w:rPr>
      </w:pPr>
      <w:r>
        <w:rPr>
          <w:rFonts w:hint="cs"/>
          <w:rtl/>
          <w:lang w:eastAsia="en-US"/>
        </w:rPr>
        <w:t>ب)</w:t>
      </w:r>
      <w:r>
        <w:rPr>
          <w:rFonts w:hint="cs"/>
          <w:rtl/>
          <w:lang w:eastAsia="en-US"/>
        </w:rPr>
        <w:tab/>
        <w:t>المنظمات المعنية بوضع المعايير والمنتديات والاتحادات الأخرى</w:t>
      </w:r>
    </w:p>
    <w:p w:rsidR="00D00679" w:rsidRDefault="00D00679" w:rsidP="00D633D4">
      <w:pPr>
        <w:rPr>
          <w:rtl/>
          <w:lang w:eastAsia="en-US" w:bidi="ar-EG"/>
        </w:rPr>
      </w:pPr>
      <w:r>
        <w:rPr>
          <w:lang w:eastAsia="en-US" w:bidi="ar-EG"/>
        </w:rPr>
        <w:t>6</w:t>
      </w:r>
      <w:r>
        <w:rPr>
          <w:rtl/>
          <w:lang w:eastAsia="en-US" w:bidi="ar-EG"/>
        </w:rPr>
        <w:tab/>
      </w:r>
      <w:r>
        <w:rPr>
          <w:rFonts w:hint="cs"/>
          <w:rtl/>
          <w:lang w:eastAsia="en-US" w:bidi="ar-EG"/>
        </w:rPr>
        <w:t>الأمور التي تحتاج إلى تنسيق</w:t>
      </w:r>
    </w:p>
    <w:p w:rsidR="002D2D2F" w:rsidRDefault="00D00679" w:rsidP="002D2D2F">
      <w:pPr>
        <w:rPr>
          <w:rtl/>
          <w:lang w:eastAsia="en-US" w:bidi="ar-EG"/>
        </w:rPr>
      </w:pPr>
      <w:r>
        <w:rPr>
          <w:lang w:eastAsia="en-US"/>
        </w:rPr>
        <w:t>7</w:t>
      </w:r>
      <w:r>
        <w:rPr>
          <w:rtl/>
          <w:lang w:eastAsia="en-US" w:bidi="ar-EG"/>
        </w:rPr>
        <w:tab/>
      </w:r>
      <w:r>
        <w:rPr>
          <w:rFonts w:hint="cs"/>
          <w:rtl/>
          <w:lang w:eastAsia="en-US" w:bidi="ar-EG"/>
        </w:rPr>
        <w:t>بيانات الاتصال الواردة</w:t>
      </w:r>
    </w:p>
    <w:p w:rsidR="002D2D2F" w:rsidRPr="00D00679" w:rsidRDefault="00D00679" w:rsidP="002D2D2F">
      <w:pPr>
        <w:rPr>
          <w:spacing w:val="-6"/>
          <w:rtl/>
          <w:lang w:eastAsia="en-US" w:bidi="ar-EG"/>
        </w:rPr>
      </w:pPr>
      <w:r w:rsidRPr="00D00679">
        <w:rPr>
          <w:spacing w:val="-6"/>
          <w:lang w:eastAsia="en-US"/>
        </w:rPr>
        <w:t>8</w:t>
      </w:r>
      <w:r w:rsidRPr="00D00679">
        <w:rPr>
          <w:spacing w:val="-6"/>
          <w:rtl/>
          <w:lang w:eastAsia="en-US" w:bidi="ar-EG"/>
        </w:rPr>
        <w:tab/>
      </w:r>
      <w:r w:rsidRPr="00D00679">
        <w:rPr>
          <w:rFonts w:hint="cs"/>
          <w:spacing w:val="-6"/>
          <w:rtl/>
          <w:lang w:eastAsia="en-US" w:bidi="ar-EG"/>
        </w:rPr>
        <w:t>قائمة بمسؤولي الاتصال والممثلين من لجان دراسات قطاع تقييس الاتصالات والمنظمات المعنية بوضع المعايير والاتحادات الأخرى</w:t>
      </w:r>
    </w:p>
    <w:p w:rsidR="00D00679" w:rsidRDefault="00D00679" w:rsidP="002D2D2F">
      <w:pPr>
        <w:rPr>
          <w:rtl/>
          <w:lang w:eastAsia="en-US" w:bidi="ar-EG"/>
        </w:rPr>
      </w:pPr>
      <w:r>
        <w:rPr>
          <w:lang w:eastAsia="en-US" w:bidi="ar-EG"/>
        </w:rPr>
        <w:t>9</w:t>
      </w:r>
      <w:r>
        <w:rPr>
          <w:rtl/>
          <w:lang w:eastAsia="en-US" w:bidi="ar-EG"/>
        </w:rPr>
        <w:tab/>
      </w:r>
      <w:r>
        <w:rPr>
          <w:rFonts w:hint="cs"/>
          <w:rtl/>
          <w:lang w:eastAsia="en-US" w:bidi="ar-EG"/>
        </w:rPr>
        <w:t>بيانات الاتصال الصادرة</w:t>
      </w:r>
    </w:p>
    <w:p w:rsidR="00D00679" w:rsidRDefault="00D00679" w:rsidP="002D2D2F">
      <w:pPr>
        <w:rPr>
          <w:rtl/>
          <w:lang w:eastAsia="en-US" w:bidi="ar-EG"/>
        </w:rPr>
      </w:pPr>
      <w:r>
        <w:rPr>
          <w:lang w:eastAsia="en-US" w:bidi="ar-EG"/>
        </w:rPr>
        <w:t>10</w:t>
      </w:r>
      <w:r>
        <w:rPr>
          <w:rtl/>
          <w:lang w:eastAsia="en-US" w:bidi="ar-EG"/>
        </w:rPr>
        <w:tab/>
      </w:r>
      <w:r>
        <w:rPr>
          <w:rFonts w:hint="cs"/>
          <w:rtl/>
          <w:lang w:eastAsia="en-US" w:bidi="ar-EG"/>
        </w:rPr>
        <w:t>إجراءات المتابعة</w:t>
      </w:r>
    </w:p>
    <w:p w:rsidR="00D00679" w:rsidRDefault="00D00679" w:rsidP="002D2D2F">
      <w:pPr>
        <w:rPr>
          <w:rtl/>
          <w:lang w:eastAsia="en-US" w:bidi="ar-EG"/>
        </w:rPr>
      </w:pPr>
      <w:r>
        <w:rPr>
          <w:lang w:eastAsia="en-US" w:bidi="ar-EG"/>
        </w:rPr>
        <w:t>11</w:t>
      </w:r>
      <w:r>
        <w:rPr>
          <w:rtl/>
          <w:lang w:eastAsia="en-US" w:bidi="ar-EG"/>
        </w:rPr>
        <w:tab/>
      </w:r>
      <w:r>
        <w:rPr>
          <w:rFonts w:hint="cs"/>
          <w:rtl/>
          <w:lang w:eastAsia="en-US" w:bidi="ar-EG"/>
        </w:rPr>
        <w:t>الاجتماع المقبل</w:t>
      </w:r>
    </w:p>
    <w:p w:rsidR="00D00679" w:rsidRDefault="00D00679" w:rsidP="002D2D2F">
      <w:pPr>
        <w:rPr>
          <w:rtl/>
          <w:lang w:eastAsia="en-US" w:bidi="ar-EG"/>
        </w:rPr>
      </w:pPr>
      <w:r>
        <w:rPr>
          <w:lang w:eastAsia="en-US" w:bidi="ar-EG"/>
        </w:rPr>
        <w:t>12</w:t>
      </w:r>
      <w:r>
        <w:rPr>
          <w:rtl/>
          <w:lang w:eastAsia="en-US" w:bidi="ar-EG"/>
        </w:rPr>
        <w:tab/>
      </w:r>
      <w:r>
        <w:rPr>
          <w:rFonts w:hint="cs"/>
          <w:rtl/>
          <w:lang w:eastAsia="en-US" w:bidi="ar-EG"/>
        </w:rPr>
        <w:t>ما يستجد من أعمال</w:t>
      </w:r>
    </w:p>
    <w:p w:rsidR="00D00679" w:rsidRDefault="00D00679" w:rsidP="002D2D2F">
      <w:pPr>
        <w:rPr>
          <w:rtl/>
          <w:lang w:eastAsia="en-US" w:bidi="ar-EG"/>
        </w:rPr>
      </w:pPr>
      <w:r>
        <w:rPr>
          <w:lang w:eastAsia="en-US" w:bidi="ar-EG"/>
        </w:rPr>
        <w:t>13</w:t>
      </w:r>
      <w:r>
        <w:rPr>
          <w:rtl/>
          <w:lang w:eastAsia="en-US" w:bidi="ar-EG"/>
        </w:rPr>
        <w:tab/>
      </w:r>
      <w:r>
        <w:rPr>
          <w:rFonts w:hint="cs"/>
          <w:rtl/>
          <w:lang w:eastAsia="en-US" w:bidi="ar-EG"/>
        </w:rPr>
        <w:t>الاختتام</w:t>
      </w:r>
    </w:p>
    <w:p w:rsidR="0024355A" w:rsidRPr="00F4489E" w:rsidRDefault="00D00679" w:rsidP="00D00679">
      <w:pPr>
        <w:spacing w:before="600"/>
        <w:jc w:val="center"/>
        <w:rPr>
          <w:rtl/>
          <w:lang w:eastAsia="en-US"/>
        </w:rPr>
      </w:pPr>
      <w:r>
        <w:rPr>
          <w:rFonts w:hint="cs"/>
          <w:rtl/>
          <w:lang w:eastAsia="en-US"/>
        </w:rPr>
        <w:t>___________</w:t>
      </w:r>
    </w:p>
    <w:sectPr w:rsidR="0024355A" w:rsidRPr="00F4489E" w:rsidSect="0030035F">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681" w:rsidRDefault="00F85681" w:rsidP="0030035F">
      <w:pPr>
        <w:spacing w:before="0" w:line="240" w:lineRule="auto"/>
      </w:pPr>
      <w:r>
        <w:separator/>
      </w:r>
    </w:p>
  </w:endnote>
  <w:endnote w:type="continuationSeparator" w:id="0">
    <w:p w:rsidR="00F85681" w:rsidRDefault="00F85681"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E95" w:rsidRPr="0038595A" w:rsidRDefault="0038595A" w:rsidP="0038595A">
    <w:pPr>
      <w:pStyle w:val="Footer"/>
      <w:rPr>
        <w:rFonts w:asciiTheme="minorHAnsi" w:hAnsiTheme="minorHAnsi"/>
        <w:lang w:val="fr-CH"/>
      </w:rPr>
    </w:pPr>
    <w:r w:rsidRPr="0038595A">
      <w:rPr>
        <w:rFonts w:asciiTheme="minorHAnsi" w:hAnsiTheme="minorHAnsi"/>
        <w:sz w:val="16"/>
        <w:szCs w:val="16"/>
        <w:lang w:val="fr-CH"/>
      </w:rPr>
      <w:t>ITU-T\BUREAU\CIRC\015A.DOC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681" w:rsidRDefault="00F85681" w:rsidP="00445C82">
    <w:pPr>
      <w:pStyle w:val="FirstFooter"/>
      <w:spacing w:before="160"/>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681" w:rsidRDefault="00F85681" w:rsidP="0030035F">
      <w:pPr>
        <w:spacing w:before="0" w:line="240" w:lineRule="auto"/>
      </w:pPr>
      <w:r>
        <w:separator/>
      </w:r>
    </w:p>
  </w:footnote>
  <w:footnote w:type="continuationSeparator" w:id="0">
    <w:p w:rsidR="00F85681" w:rsidRDefault="00F85681"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681" w:rsidRPr="00E57497" w:rsidRDefault="00F85681" w:rsidP="00B429BC">
    <w:pPr>
      <w:pStyle w:val="Header"/>
      <w:bidi w:val="0"/>
      <w:spacing w:before="120" w:after="240"/>
      <w:jc w:val="center"/>
      <w:rPr>
        <w:rFonts w:cs="Calibri"/>
        <w:sz w:val="20"/>
        <w:szCs w:val="20"/>
      </w:rPr>
    </w:pPr>
    <w:r>
      <w:rPr>
        <w:rFonts w:cs="Calibri"/>
        <w:sz w:val="20"/>
        <w:szCs w:val="20"/>
      </w:rPr>
      <w:t xml:space="preserve">- </w:t>
    </w:r>
    <w:r w:rsidRPr="00E57497">
      <w:rPr>
        <w:rFonts w:cs="Calibri"/>
        <w:sz w:val="20"/>
        <w:szCs w:val="20"/>
      </w:rPr>
      <w:fldChar w:fldCharType="begin"/>
    </w:r>
    <w:r w:rsidRPr="00E57497">
      <w:rPr>
        <w:rFonts w:cs="Calibri"/>
        <w:sz w:val="20"/>
        <w:szCs w:val="20"/>
      </w:rPr>
      <w:instrText xml:space="preserve"> PAGE </w:instrText>
    </w:r>
    <w:r w:rsidRPr="00E57497">
      <w:rPr>
        <w:rFonts w:cs="Calibri"/>
        <w:sz w:val="20"/>
        <w:szCs w:val="20"/>
      </w:rPr>
      <w:fldChar w:fldCharType="separate"/>
    </w:r>
    <w:r w:rsidR="00FE2B39">
      <w:rPr>
        <w:rFonts w:cs="Calibri"/>
        <w:noProof/>
        <w:sz w:val="20"/>
        <w:szCs w:val="20"/>
      </w:rPr>
      <w:t>5</w:t>
    </w:r>
    <w:r w:rsidRPr="00E57497">
      <w:rPr>
        <w:rFonts w:cs="Calibri"/>
        <w:sz w:val="20"/>
        <w:szCs w:val="20"/>
      </w:rPr>
      <w:fldChar w:fldCharType="end"/>
    </w:r>
    <w:r>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2D51C2F"/>
    <w:multiLevelType w:val="multilevel"/>
    <w:tmpl w:val="D242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D7"/>
    <w:rsid w:val="00007DE4"/>
    <w:rsid w:val="00043601"/>
    <w:rsid w:val="00043E12"/>
    <w:rsid w:val="00054C70"/>
    <w:rsid w:val="00081712"/>
    <w:rsid w:val="00090574"/>
    <w:rsid w:val="00097ABC"/>
    <w:rsid w:val="000A0B7D"/>
    <w:rsid w:val="000D115C"/>
    <w:rsid w:val="000D5E95"/>
    <w:rsid w:val="000D6A6C"/>
    <w:rsid w:val="000E38DF"/>
    <w:rsid w:val="000F72D0"/>
    <w:rsid w:val="00105227"/>
    <w:rsid w:val="00144290"/>
    <w:rsid w:val="00150BF1"/>
    <w:rsid w:val="00173915"/>
    <w:rsid w:val="00177016"/>
    <w:rsid w:val="00187D30"/>
    <w:rsid w:val="001A66D8"/>
    <w:rsid w:val="001B33CF"/>
    <w:rsid w:val="001D6C96"/>
    <w:rsid w:val="001E6665"/>
    <w:rsid w:val="00211A25"/>
    <w:rsid w:val="002150CF"/>
    <w:rsid w:val="002176EC"/>
    <w:rsid w:val="0023283D"/>
    <w:rsid w:val="002371EB"/>
    <w:rsid w:val="00241A1A"/>
    <w:rsid w:val="0024355A"/>
    <w:rsid w:val="00266CB4"/>
    <w:rsid w:val="00275CA4"/>
    <w:rsid w:val="00281360"/>
    <w:rsid w:val="00296791"/>
    <w:rsid w:val="002978F4"/>
    <w:rsid w:val="002B028D"/>
    <w:rsid w:val="002B21D2"/>
    <w:rsid w:val="002B5335"/>
    <w:rsid w:val="002C1524"/>
    <w:rsid w:val="002D0579"/>
    <w:rsid w:val="002D2D2F"/>
    <w:rsid w:val="002D4DDA"/>
    <w:rsid w:val="002E6541"/>
    <w:rsid w:val="0030035F"/>
    <w:rsid w:val="00304113"/>
    <w:rsid w:val="003136DF"/>
    <w:rsid w:val="003416CD"/>
    <w:rsid w:val="00346EA2"/>
    <w:rsid w:val="0035248F"/>
    <w:rsid w:val="00357185"/>
    <w:rsid w:val="0037244F"/>
    <w:rsid w:val="0038235A"/>
    <w:rsid w:val="0038595A"/>
    <w:rsid w:val="003B5D1A"/>
    <w:rsid w:val="003C18D6"/>
    <w:rsid w:val="003C4305"/>
    <w:rsid w:val="003E6948"/>
    <w:rsid w:val="003F678F"/>
    <w:rsid w:val="00407361"/>
    <w:rsid w:val="0041705B"/>
    <w:rsid w:val="00417EB6"/>
    <w:rsid w:val="0042686F"/>
    <w:rsid w:val="0043780E"/>
    <w:rsid w:val="00443869"/>
    <w:rsid w:val="00445C82"/>
    <w:rsid w:val="004905FD"/>
    <w:rsid w:val="004E7A6C"/>
    <w:rsid w:val="00501E0E"/>
    <w:rsid w:val="005026FF"/>
    <w:rsid w:val="00507903"/>
    <w:rsid w:val="00521E65"/>
    <w:rsid w:val="00533273"/>
    <w:rsid w:val="0055516A"/>
    <w:rsid w:val="005717D8"/>
    <w:rsid w:val="00596722"/>
    <w:rsid w:val="005A0987"/>
    <w:rsid w:val="005A2D65"/>
    <w:rsid w:val="005B1FA8"/>
    <w:rsid w:val="005C284C"/>
    <w:rsid w:val="005E7619"/>
    <w:rsid w:val="005E7983"/>
    <w:rsid w:val="005F0859"/>
    <w:rsid w:val="006013AD"/>
    <w:rsid w:val="00624294"/>
    <w:rsid w:val="00643E02"/>
    <w:rsid w:val="00645630"/>
    <w:rsid w:val="00647604"/>
    <w:rsid w:val="006725D7"/>
    <w:rsid w:val="006A3B96"/>
    <w:rsid w:val="006A4D4F"/>
    <w:rsid w:val="006B0706"/>
    <w:rsid w:val="006B22C8"/>
    <w:rsid w:val="006C325D"/>
    <w:rsid w:val="006F63F7"/>
    <w:rsid w:val="00706D7A"/>
    <w:rsid w:val="00723970"/>
    <w:rsid w:val="00732260"/>
    <w:rsid w:val="00737682"/>
    <w:rsid w:val="00756E90"/>
    <w:rsid w:val="0078663A"/>
    <w:rsid w:val="0078719D"/>
    <w:rsid w:val="00796828"/>
    <w:rsid w:val="007D0805"/>
    <w:rsid w:val="007D5C99"/>
    <w:rsid w:val="007F4CA3"/>
    <w:rsid w:val="00803F08"/>
    <w:rsid w:val="0080764B"/>
    <w:rsid w:val="008235CD"/>
    <w:rsid w:val="008366AF"/>
    <w:rsid w:val="008513CB"/>
    <w:rsid w:val="008770AC"/>
    <w:rsid w:val="008813C3"/>
    <w:rsid w:val="008D251C"/>
    <w:rsid w:val="008F5893"/>
    <w:rsid w:val="00913F8F"/>
    <w:rsid w:val="00921A2C"/>
    <w:rsid w:val="00934D9E"/>
    <w:rsid w:val="00961D2B"/>
    <w:rsid w:val="00982B28"/>
    <w:rsid w:val="009A48CB"/>
    <w:rsid w:val="009C345B"/>
    <w:rsid w:val="009C5978"/>
    <w:rsid w:val="009D5C7E"/>
    <w:rsid w:val="009D7098"/>
    <w:rsid w:val="009E6ED8"/>
    <w:rsid w:val="009F2E91"/>
    <w:rsid w:val="00A10C02"/>
    <w:rsid w:val="00A23B1A"/>
    <w:rsid w:val="00A31509"/>
    <w:rsid w:val="00A547E8"/>
    <w:rsid w:val="00A7789C"/>
    <w:rsid w:val="00A96D6E"/>
    <w:rsid w:val="00A97F94"/>
    <w:rsid w:val="00AA5B0E"/>
    <w:rsid w:val="00AB2F01"/>
    <w:rsid w:val="00B24077"/>
    <w:rsid w:val="00B34602"/>
    <w:rsid w:val="00B3620A"/>
    <w:rsid w:val="00B429BC"/>
    <w:rsid w:val="00B77A99"/>
    <w:rsid w:val="00B90647"/>
    <w:rsid w:val="00BA134D"/>
    <w:rsid w:val="00BA731B"/>
    <w:rsid w:val="00BB0289"/>
    <w:rsid w:val="00BB1FA2"/>
    <w:rsid w:val="00BC1C60"/>
    <w:rsid w:val="00BD1E8A"/>
    <w:rsid w:val="00BE211E"/>
    <w:rsid w:val="00BF102E"/>
    <w:rsid w:val="00C11FE1"/>
    <w:rsid w:val="00C13BDB"/>
    <w:rsid w:val="00C24290"/>
    <w:rsid w:val="00C45650"/>
    <w:rsid w:val="00C674FE"/>
    <w:rsid w:val="00C75633"/>
    <w:rsid w:val="00C84127"/>
    <w:rsid w:val="00CA028D"/>
    <w:rsid w:val="00CE2EE1"/>
    <w:rsid w:val="00CE5D70"/>
    <w:rsid w:val="00CF3FFD"/>
    <w:rsid w:val="00D00679"/>
    <w:rsid w:val="00D30685"/>
    <w:rsid w:val="00D633D4"/>
    <w:rsid w:val="00D77D0F"/>
    <w:rsid w:val="00DA1CF0"/>
    <w:rsid w:val="00DB192D"/>
    <w:rsid w:val="00DC102D"/>
    <w:rsid w:val="00DC24B4"/>
    <w:rsid w:val="00DC4A77"/>
    <w:rsid w:val="00DE460B"/>
    <w:rsid w:val="00DF16DC"/>
    <w:rsid w:val="00E005D7"/>
    <w:rsid w:val="00E14B00"/>
    <w:rsid w:val="00E17033"/>
    <w:rsid w:val="00E42E61"/>
    <w:rsid w:val="00E45211"/>
    <w:rsid w:val="00E57497"/>
    <w:rsid w:val="00E6285B"/>
    <w:rsid w:val="00E63399"/>
    <w:rsid w:val="00EA4E14"/>
    <w:rsid w:val="00EB2218"/>
    <w:rsid w:val="00EB52AE"/>
    <w:rsid w:val="00EB689A"/>
    <w:rsid w:val="00EB71D2"/>
    <w:rsid w:val="00EC605A"/>
    <w:rsid w:val="00EE5CF9"/>
    <w:rsid w:val="00F13B61"/>
    <w:rsid w:val="00F2170C"/>
    <w:rsid w:val="00F227A9"/>
    <w:rsid w:val="00F25726"/>
    <w:rsid w:val="00F26D4B"/>
    <w:rsid w:val="00F4489E"/>
    <w:rsid w:val="00F67407"/>
    <w:rsid w:val="00F84366"/>
    <w:rsid w:val="00F85089"/>
    <w:rsid w:val="00F85681"/>
    <w:rsid w:val="00FE2B39"/>
    <w:rsid w:val="00FF1A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882F18E5-9C3C-49DC-96EE-C9504BE4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50BF1"/>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50BF1"/>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50BF1"/>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50BF1"/>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50BF1"/>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50BF1"/>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50BF1"/>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50BF1"/>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50BF1"/>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50BF1"/>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150BF1"/>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150BF1"/>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150BF1"/>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150BF1"/>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150BF1"/>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150BF1"/>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150BF1"/>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150BF1"/>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150BF1"/>
    <w:pPr>
      <w:keepNext/>
      <w:spacing w:before="60" w:after="60" w:line="260" w:lineRule="exact"/>
      <w:jc w:val="center"/>
    </w:pPr>
    <w:rPr>
      <w:b/>
      <w:bCs/>
      <w:sz w:val="20"/>
      <w:szCs w:val="26"/>
    </w:rPr>
  </w:style>
  <w:style w:type="paragraph" w:customStyle="1" w:styleId="Tabletexte">
    <w:name w:val="Table texte"/>
    <w:basedOn w:val="Normal"/>
    <w:qFormat/>
    <w:rsid w:val="00150BF1"/>
    <w:pP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9C5978"/>
    <w:rPr>
      <w:color w:val="0000FF"/>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customStyle="1" w:styleId="FirstFooter">
    <w:name w:val="FirstFooter"/>
    <w:basedOn w:val="Footer"/>
    <w:rsid w:val="009C5978"/>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character" w:customStyle="1" w:styleId="ms-rtefontsize-31">
    <w:name w:val="ms-rtefontsize-31"/>
    <w:basedOn w:val="DefaultParagraphFont"/>
    <w:rsid w:val="002D2D2F"/>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tu.int/en/ITU-T/jca/mmes" TargetMode="Externa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DCB60-1C6A-4B94-98F1-DA571BEC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Osvath, Alexandra</cp:lastModifiedBy>
  <cp:revision>8</cp:revision>
  <cp:lastPrinted>2017-06-07T17:18:00Z</cp:lastPrinted>
  <dcterms:created xsi:type="dcterms:W3CDTF">2017-06-06T08:51:00Z</dcterms:created>
  <dcterms:modified xsi:type="dcterms:W3CDTF">2017-06-07T17:18:00Z</dcterms:modified>
</cp:coreProperties>
</file>