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285"/>
        <w:gridCol w:w="4820"/>
      </w:tblGrid>
      <w:tr w:rsidR="00A15845" w:rsidRPr="00A15845" w:rsidTr="00720026">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0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500" w:type="pct"/>
          </w:tcPr>
          <w:p w:rsidR="00A15845" w:rsidRPr="00A15845" w:rsidRDefault="00720026" w:rsidP="007200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720026">
              <w:rPr>
                <w:rFonts w:eastAsiaTheme="minorEastAsia" w:hint="cs"/>
                <w:rtl/>
                <w:lang w:eastAsia="zh-CN"/>
              </w:rPr>
              <w:t xml:space="preserve">جنيف، </w:t>
            </w:r>
            <w:r w:rsidRPr="00720026">
              <w:rPr>
                <w:rFonts w:eastAsiaTheme="minorEastAsia"/>
                <w:lang w:eastAsia="zh-CN"/>
              </w:rPr>
              <w:t>1</w:t>
            </w:r>
            <w:r w:rsidRPr="00720026">
              <w:rPr>
                <w:rFonts w:eastAsiaTheme="minorEastAsia" w:hint="eastAsia"/>
                <w:rtl/>
                <w:lang w:eastAsia="zh-CN" w:bidi="ar-EG"/>
              </w:rPr>
              <w:t> </w:t>
            </w:r>
            <w:r w:rsidRPr="00720026">
              <w:rPr>
                <w:rFonts w:eastAsiaTheme="minorEastAsia" w:hint="cs"/>
                <w:rtl/>
                <w:lang w:eastAsia="zh-CN" w:bidi="ar-EG"/>
              </w:rPr>
              <w:t>فبراير</w:t>
            </w:r>
            <w:r w:rsidRPr="00720026">
              <w:rPr>
                <w:rFonts w:eastAsiaTheme="minorEastAsia" w:hint="eastAsia"/>
                <w:rtl/>
                <w:lang w:eastAsia="zh-CN" w:bidi="ar-EG"/>
              </w:rPr>
              <w:t> </w:t>
            </w:r>
            <w:r w:rsidRPr="00720026">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720026">
        <w:trPr>
          <w:cantSplit/>
          <w:trHeight w:val="340"/>
        </w:trPr>
        <w:tc>
          <w:tcPr>
            <w:tcW w:w="796" w:type="pct"/>
          </w:tcPr>
          <w:p w:rsidR="00A15845" w:rsidRPr="00A15845" w:rsidRDefault="00A15845"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04" w:type="pct"/>
          </w:tcPr>
          <w:p w:rsidR="00A15845" w:rsidRPr="00A15845" w:rsidRDefault="00720026"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720026">
              <w:rPr>
                <w:rFonts w:eastAsiaTheme="minorEastAsia" w:hint="cs"/>
                <w:b/>
                <w:bCs/>
                <w:rtl/>
                <w:lang w:eastAsia="zh-CN"/>
              </w:rPr>
              <w:t xml:space="preserve">المراجعة </w:t>
            </w:r>
            <w:r w:rsidRPr="00720026">
              <w:rPr>
                <w:rFonts w:eastAsiaTheme="minorEastAsia"/>
                <w:b/>
                <w:bCs/>
                <w:lang w:eastAsia="zh-CN" w:bidi="ar-SY"/>
              </w:rPr>
              <w:t>1</w:t>
            </w:r>
            <w:r w:rsidRPr="00720026">
              <w:rPr>
                <w:rFonts w:eastAsiaTheme="minorEastAsia" w:hint="cs"/>
                <w:b/>
                <w:bCs/>
                <w:rtl/>
                <w:lang w:eastAsia="zh-CN"/>
              </w:rPr>
              <w:t xml:space="preserve"> للرسالة المعمّمة</w:t>
            </w:r>
            <w:r w:rsidR="0025130D">
              <w:rPr>
                <w:rFonts w:eastAsiaTheme="minorEastAsia"/>
                <w:b/>
                <w:bCs/>
                <w:rtl/>
                <w:lang w:eastAsia="zh-CN"/>
              </w:rPr>
              <w:br/>
            </w:r>
            <w:r w:rsidRPr="00720026">
              <w:rPr>
                <w:rFonts w:eastAsiaTheme="minorEastAsia"/>
                <w:b/>
                <w:bCs/>
                <w:lang w:eastAsia="zh-CN" w:bidi="ar-SY"/>
              </w:rPr>
              <w:t>TSB Circular </w:t>
            </w:r>
            <w:r w:rsidRPr="00720026">
              <w:rPr>
                <w:rFonts w:eastAsiaTheme="minorEastAsia"/>
                <w:b/>
                <w:lang w:eastAsia="zh-CN" w:bidi="ar-SY"/>
              </w:rPr>
              <w:t>3</w:t>
            </w:r>
          </w:p>
        </w:tc>
        <w:tc>
          <w:tcPr>
            <w:tcW w:w="2500" w:type="pct"/>
            <w:vMerge w:val="restart"/>
          </w:tcPr>
          <w:p w:rsidR="00A15845" w:rsidRDefault="00425492" w:rsidP="008E7CC9">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1132C8" w:rsidRDefault="00425492" w:rsidP="008E7CC9">
            <w:pPr>
              <w:tabs>
                <w:tab w:val="left" w:pos="284"/>
                <w:tab w:val="left" w:pos="4111"/>
              </w:tabs>
              <w:spacing w:before="60" w:after="60" w:line="340" w:lineRule="exact"/>
              <w:ind w:left="284" w:hanging="284"/>
              <w:rPr>
                <w:rtl/>
                <w:lang w:bidi="ar-EG"/>
              </w:rPr>
            </w:pPr>
            <w:r w:rsidRPr="0060203A">
              <w:rPr>
                <w:rFonts w:hint="cs"/>
                <w:rtl/>
              </w:rPr>
              <w:t>-</w:t>
            </w:r>
            <w:r w:rsidRPr="0060203A">
              <w:rPr>
                <w:rtl/>
              </w:rPr>
              <w:tab/>
            </w:r>
            <w:r w:rsidRPr="001132C8">
              <w:rPr>
                <w:rFonts w:hint="cs"/>
                <w:rtl/>
              </w:rPr>
              <w:t>إدارات الدول الأعضاء في الاتحاد</w:t>
            </w:r>
            <w:r w:rsidRPr="001132C8">
              <w:rPr>
                <w:rFonts w:hint="cs"/>
                <w:rtl/>
                <w:lang w:bidi="ar-EG"/>
              </w:rPr>
              <w:t>؛</w:t>
            </w:r>
          </w:p>
          <w:p w:rsidR="00425492" w:rsidRDefault="00720026" w:rsidP="008E7CC9">
            <w:pPr>
              <w:tabs>
                <w:tab w:val="left" w:pos="284"/>
                <w:tab w:val="left" w:pos="4111"/>
              </w:tabs>
              <w:spacing w:before="60" w:after="60" w:line="340" w:lineRule="exact"/>
              <w:ind w:left="284" w:hanging="284"/>
              <w:rPr>
                <w:lang w:bidi="ar-EG"/>
              </w:rPr>
            </w:pPr>
            <w:r w:rsidRPr="00720026">
              <w:rPr>
                <w:rFonts w:hint="cs"/>
                <w:rtl/>
              </w:rPr>
              <w:t>-</w:t>
            </w:r>
            <w:r w:rsidRPr="00720026">
              <w:rPr>
                <w:rtl/>
              </w:rPr>
              <w:tab/>
            </w:r>
            <w:r w:rsidRPr="00720026">
              <w:rPr>
                <w:rFonts w:hint="cs"/>
                <w:rtl/>
              </w:rPr>
              <w:t>أعضاء قطاع تقييس الاتصالات في الاتحاد؛</w:t>
            </w:r>
          </w:p>
          <w:p w:rsidR="00425492" w:rsidRDefault="00720026" w:rsidP="008E7CC9">
            <w:pPr>
              <w:tabs>
                <w:tab w:val="left" w:pos="284"/>
                <w:tab w:val="left" w:pos="4111"/>
              </w:tabs>
              <w:spacing w:before="60" w:after="60" w:line="340" w:lineRule="exact"/>
              <w:ind w:left="284" w:hanging="284"/>
              <w:rPr>
                <w:lang w:bidi="ar-EG"/>
              </w:rPr>
            </w:pPr>
            <w:r w:rsidRPr="00720026">
              <w:rPr>
                <w:rFonts w:hint="cs"/>
                <w:rtl/>
              </w:rPr>
              <w:t>-</w:t>
            </w:r>
            <w:r w:rsidRPr="00720026">
              <w:rPr>
                <w:rtl/>
              </w:rPr>
              <w:tab/>
            </w:r>
            <w:r w:rsidRPr="00720026">
              <w:rPr>
                <w:rFonts w:hint="cs"/>
                <w:rtl/>
              </w:rPr>
              <w:t xml:space="preserve">المنتسبين إلى لجنة الدراسات </w:t>
            </w:r>
            <w:r w:rsidRPr="00720026">
              <w:t>12</w:t>
            </w:r>
            <w:r w:rsidRPr="00720026">
              <w:rPr>
                <w:rFonts w:hint="cs"/>
                <w:rtl/>
                <w:lang w:bidi="ar-EG"/>
              </w:rPr>
              <w:t xml:space="preserve"> لقطاع تقييس الاتصالات</w:t>
            </w:r>
            <w:r w:rsidRPr="00720026">
              <w:rPr>
                <w:rFonts w:hint="cs"/>
                <w:rtl/>
              </w:rPr>
              <w:t>؛</w:t>
            </w:r>
          </w:p>
          <w:p w:rsidR="00425492" w:rsidRPr="00425492" w:rsidRDefault="00425492" w:rsidP="008E7CC9">
            <w:pPr>
              <w:tabs>
                <w:tab w:val="clear" w:pos="794"/>
                <w:tab w:val="left" w:pos="284"/>
                <w:tab w:val="left" w:pos="4111"/>
              </w:tabs>
              <w:spacing w:before="60" w:after="60" w:line="340" w:lineRule="exact"/>
              <w:ind w:left="284" w:hanging="284"/>
              <w:rPr>
                <w:lang w:bidi="ar-EG"/>
              </w:rPr>
            </w:pPr>
            <w:r w:rsidRPr="0060203A">
              <w:rPr>
                <w:rFonts w:hint="cs"/>
                <w:rtl/>
              </w:rPr>
              <w:t>-</w:t>
            </w:r>
            <w:r w:rsidRPr="0060203A">
              <w:rPr>
                <w:rtl/>
              </w:rPr>
              <w:tab/>
            </w:r>
            <w:r w:rsidRPr="0060203A">
              <w:rPr>
                <w:rFonts w:hint="cs"/>
                <w:rtl/>
              </w:rPr>
              <w:t>الهيئات الأكاديمية المنضمة إلى</w:t>
            </w:r>
            <w:r>
              <w:rPr>
                <w:rFonts w:hint="cs"/>
                <w:rtl/>
                <w:lang w:bidi="ar-EG"/>
              </w:rPr>
              <w:t xml:space="preserve"> الاتحاد</w:t>
            </w:r>
          </w:p>
        </w:tc>
      </w:tr>
      <w:tr w:rsidR="00A15845" w:rsidRPr="00A15845" w:rsidTr="00720026">
        <w:trPr>
          <w:cantSplit/>
          <w:trHeight w:val="340"/>
        </w:trPr>
        <w:tc>
          <w:tcPr>
            <w:tcW w:w="796" w:type="pct"/>
          </w:tcPr>
          <w:p w:rsidR="00A15845" w:rsidRPr="00A15845" w:rsidRDefault="00A15845"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04" w:type="pct"/>
          </w:tcPr>
          <w:p w:rsidR="00A15845" w:rsidRPr="00720026" w:rsidRDefault="00720026"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720026">
              <w:rPr>
                <w:rFonts w:eastAsiaTheme="minorEastAsia"/>
                <w:bCs/>
                <w:lang w:eastAsia="zh-CN" w:bidi="ar-SY"/>
              </w:rPr>
              <w:t>+41 22 730 6828</w:t>
            </w:r>
          </w:p>
        </w:tc>
        <w:tc>
          <w:tcPr>
            <w:tcW w:w="2500" w:type="pct"/>
            <w:vMerge/>
          </w:tcPr>
          <w:p w:rsidR="00A15845" w:rsidRPr="00A15845" w:rsidRDefault="00A15845" w:rsidP="008E7CC9">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720026">
        <w:trPr>
          <w:cantSplit/>
          <w:trHeight w:val="340"/>
        </w:trPr>
        <w:tc>
          <w:tcPr>
            <w:tcW w:w="796" w:type="pct"/>
          </w:tcPr>
          <w:p w:rsidR="00A15845" w:rsidRPr="00A15845" w:rsidRDefault="00A15845"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04" w:type="pct"/>
          </w:tcPr>
          <w:p w:rsidR="00A15845" w:rsidRPr="00720026" w:rsidRDefault="00720026"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720026">
              <w:rPr>
                <w:rFonts w:eastAsiaTheme="minorEastAsia"/>
                <w:bCs/>
                <w:lang w:eastAsia="zh-CN" w:bidi="ar-SY"/>
              </w:rPr>
              <w:t>+41 22 730 5853</w:t>
            </w:r>
          </w:p>
        </w:tc>
        <w:tc>
          <w:tcPr>
            <w:tcW w:w="2500" w:type="pct"/>
            <w:vMerge/>
          </w:tcPr>
          <w:p w:rsidR="00A15845" w:rsidRPr="00A15845" w:rsidRDefault="00A15845" w:rsidP="008E7CC9">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720026">
        <w:trPr>
          <w:cantSplit/>
        </w:trPr>
        <w:tc>
          <w:tcPr>
            <w:tcW w:w="796" w:type="pct"/>
          </w:tcPr>
          <w:p w:rsidR="00A15845" w:rsidRPr="00A15845" w:rsidRDefault="00A15845"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04" w:type="pct"/>
          </w:tcPr>
          <w:p w:rsidR="00A15845" w:rsidRPr="00A15845" w:rsidRDefault="008930A5" w:rsidP="008E7CC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720026" w:rsidRPr="00720026">
                <w:rPr>
                  <w:rStyle w:val="Hyperlink"/>
                </w:rPr>
                <w:t>tsbsg12@itu.int</w:t>
              </w:r>
            </w:hyperlink>
          </w:p>
        </w:tc>
        <w:tc>
          <w:tcPr>
            <w:tcW w:w="2500" w:type="pct"/>
          </w:tcPr>
          <w:p w:rsidR="00425492" w:rsidRPr="001132C8" w:rsidRDefault="00425492" w:rsidP="008E7CC9">
            <w:pPr>
              <w:tabs>
                <w:tab w:val="left" w:pos="284"/>
                <w:tab w:val="left" w:pos="4111"/>
              </w:tabs>
              <w:spacing w:before="60" w:after="60" w:line="340" w:lineRule="exact"/>
              <w:ind w:left="57"/>
              <w:rPr>
                <w:b/>
                <w:bCs/>
                <w:rtl/>
              </w:rPr>
            </w:pPr>
            <w:r w:rsidRPr="001132C8">
              <w:rPr>
                <w:rFonts w:hint="cs"/>
                <w:b/>
                <w:bCs/>
                <w:rtl/>
              </w:rPr>
              <w:t>نسخة إلى:</w:t>
            </w:r>
          </w:p>
          <w:p w:rsidR="00425492" w:rsidRPr="001132C8" w:rsidRDefault="00720026" w:rsidP="008E7CC9">
            <w:pPr>
              <w:tabs>
                <w:tab w:val="left" w:pos="284"/>
                <w:tab w:val="left" w:pos="4111"/>
              </w:tabs>
              <w:spacing w:before="60" w:after="60" w:line="340" w:lineRule="exact"/>
              <w:ind w:left="284" w:hanging="284"/>
              <w:rPr>
                <w:rtl/>
              </w:rPr>
            </w:pPr>
            <w:r w:rsidRPr="00720026">
              <w:rPr>
                <w:rFonts w:hint="cs"/>
                <w:rtl/>
              </w:rPr>
              <w:t>-</w:t>
            </w:r>
            <w:r w:rsidRPr="00720026">
              <w:rPr>
                <w:rtl/>
              </w:rPr>
              <w:tab/>
            </w:r>
            <w:r w:rsidRPr="00720026">
              <w:rPr>
                <w:rFonts w:hint="cs"/>
                <w:rtl/>
              </w:rPr>
              <w:t xml:space="preserve">رؤساء لجان الدراسات </w:t>
            </w:r>
            <w:r w:rsidRPr="00720026">
              <w:rPr>
                <w:rFonts w:hint="cs"/>
                <w:rtl/>
                <w:lang w:bidi="ar-EG"/>
              </w:rPr>
              <w:t>ونوابهم؛</w:t>
            </w:r>
          </w:p>
          <w:p w:rsidR="00425492" w:rsidRDefault="00425492" w:rsidP="008E7CC9">
            <w:pPr>
              <w:tabs>
                <w:tab w:val="left" w:pos="284"/>
                <w:tab w:val="left" w:pos="4111"/>
              </w:tabs>
              <w:spacing w:before="60" w:after="60" w:line="340" w:lineRule="exact"/>
              <w:ind w:left="284" w:hanging="284"/>
              <w:rPr>
                <w:rtl/>
              </w:rPr>
            </w:pPr>
            <w:r w:rsidRPr="0060203A">
              <w:rPr>
                <w:rFonts w:hint="cs"/>
                <w:rtl/>
              </w:rPr>
              <w:t>-</w:t>
            </w:r>
            <w:r w:rsidRPr="0060203A">
              <w:rPr>
                <w:rtl/>
              </w:rPr>
              <w:tab/>
            </w:r>
            <w:r w:rsidRPr="001132C8">
              <w:rPr>
                <w:rtl/>
              </w:rPr>
              <w:t>مدير مكتب تنمية الاتصالات</w:t>
            </w:r>
            <w:r>
              <w:rPr>
                <w:rFonts w:hint="cs"/>
                <w:rtl/>
              </w:rPr>
              <w:t>؛</w:t>
            </w:r>
          </w:p>
          <w:p w:rsidR="00A15845" w:rsidRDefault="00425492" w:rsidP="008E7CC9">
            <w:pPr>
              <w:tabs>
                <w:tab w:val="left" w:pos="284"/>
                <w:tab w:val="left" w:pos="4111"/>
              </w:tabs>
              <w:spacing w:before="60" w:after="60" w:line="340" w:lineRule="exact"/>
              <w:ind w:left="284" w:hanging="284"/>
              <w:rPr>
                <w:rtl/>
              </w:rPr>
            </w:pPr>
            <w:r w:rsidRPr="0060203A">
              <w:rPr>
                <w:rFonts w:hint="cs"/>
                <w:rtl/>
              </w:rPr>
              <w:t>-</w:t>
            </w:r>
            <w:r w:rsidRPr="0060203A">
              <w:rPr>
                <w:rtl/>
              </w:rPr>
              <w:tab/>
            </w:r>
            <w:r w:rsidRPr="001132C8">
              <w:rPr>
                <w:rtl/>
              </w:rPr>
              <w:t>مدير مكتب الاتصالات الراديوية</w:t>
            </w:r>
            <w:r w:rsidR="00720026">
              <w:rPr>
                <w:rFonts w:hint="cs"/>
                <w:rtl/>
              </w:rPr>
              <w:t>؛</w:t>
            </w:r>
          </w:p>
          <w:p w:rsidR="00720026" w:rsidRPr="00720026" w:rsidRDefault="00720026" w:rsidP="008E7CC9">
            <w:pPr>
              <w:tabs>
                <w:tab w:val="left" w:pos="284"/>
                <w:tab w:val="left" w:pos="4111"/>
              </w:tabs>
              <w:spacing w:before="60" w:after="60" w:line="340" w:lineRule="exact"/>
              <w:ind w:left="284" w:hanging="284"/>
              <w:rPr>
                <w:rFonts w:eastAsiaTheme="minorEastAsia"/>
                <w:spacing w:val="-4"/>
                <w:rtl/>
                <w:lang w:eastAsia="zh-CN"/>
              </w:rPr>
            </w:pPr>
            <w:r w:rsidRPr="00720026">
              <w:rPr>
                <w:rFonts w:hint="cs"/>
                <w:spacing w:val="-4"/>
                <w:rtl/>
              </w:rPr>
              <w:t>-</w:t>
            </w:r>
            <w:r w:rsidRPr="00720026">
              <w:rPr>
                <w:spacing w:val="-4"/>
                <w:rtl/>
              </w:rPr>
              <w:tab/>
            </w:r>
            <w:r w:rsidRPr="00720026">
              <w:rPr>
                <w:rFonts w:hint="cs"/>
                <w:spacing w:val="-4"/>
                <w:rtl/>
              </w:rPr>
              <w:t>الرؤساء المشاركين ل</w:t>
            </w:r>
            <w:r w:rsidRPr="00720026">
              <w:rPr>
                <w:spacing w:val="-4"/>
                <w:rtl/>
              </w:rPr>
              <w:t xml:space="preserve">فريق الخبراء </w:t>
            </w:r>
            <w:r w:rsidRPr="00720026">
              <w:rPr>
                <w:rFonts w:hint="cs"/>
                <w:spacing w:val="-4"/>
                <w:rtl/>
              </w:rPr>
              <w:t>المعني</w:t>
            </w:r>
            <w:r w:rsidRPr="00720026">
              <w:rPr>
                <w:spacing w:val="-4"/>
                <w:rtl/>
              </w:rPr>
              <w:t xml:space="preserve"> بالجودة الفيديوية</w:t>
            </w:r>
            <w:r w:rsidRPr="00720026">
              <w:rPr>
                <w:rFonts w:hint="eastAsia"/>
                <w:spacing w:val="-4"/>
                <w:rtl/>
              </w:rPr>
              <w:t> </w:t>
            </w:r>
            <w:r w:rsidRPr="00720026">
              <w:rPr>
                <w:spacing w:val="-4"/>
              </w:rPr>
              <w:t>(VQEG)</w:t>
            </w:r>
          </w:p>
        </w:tc>
      </w:tr>
      <w:tr w:rsidR="00A15845" w:rsidRPr="00A15845" w:rsidTr="00720026">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0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50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DF2B73"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SY"/>
              </w:rPr>
            </w:pPr>
            <w:r w:rsidRPr="00DF2B73">
              <w:rPr>
                <w:rFonts w:eastAsiaTheme="minorEastAsia" w:hint="cs"/>
                <w:b/>
                <w:bCs/>
                <w:rtl/>
                <w:lang w:eastAsia="zh-CN"/>
              </w:rPr>
              <w:t>الموضوع:</w:t>
            </w:r>
          </w:p>
        </w:tc>
        <w:tc>
          <w:tcPr>
            <w:tcW w:w="4204" w:type="pct"/>
            <w:gridSpan w:val="2"/>
          </w:tcPr>
          <w:p w:rsidR="00A15845" w:rsidRPr="00A15845" w:rsidRDefault="00720026" w:rsidP="002B55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720026">
              <w:rPr>
                <w:rFonts w:eastAsiaTheme="minorEastAsia" w:hint="cs"/>
                <w:b/>
                <w:bCs/>
                <w:rtl/>
                <w:lang w:eastAsia="zh-CN" w:bidi="ar-SY"/>
              </w:rPr>
              <w:t>دعوة</w:t>
            </w:r>
            <w:r w:rsidRPr="00720026">
              <w:rPr>
                <w:rFonts w:eastAsiaTheme="minorEastAsia" w:hint="cs"/>
                <w:b/>
                <w:bCs/>
                <w:rtl/>
                <w:lang w:eastAsia="zh-CN"/>
              </w:rPr>
              <w:t xml:space="preserve"> من لجنة الدراسات </w:t>
            </w:r>
            <w:r w:rsidRPr="00720026">
              <w:rPr>
                <w:rFonts w:eastAsiaTheme="minorEastAsia"/>
                <w:b/>
                <w:bCs/>
                <w:lang w:eastAsia="zh-CN"/>
              </w:rPr>
              <w:t>12</w:t>
            </w:r>
            <w:r w:rsidRPr="00720026">
              <w:rPr>
                <w:rFonts w:eastAsiaTheme="minorEastAsia" w:hint="cs"/>
                <w:b/>
                <w:bCs/>
                <w:rtl/>
                <w:lang w:eastAsia="zh-CN" w:bidi="ar-EG"/>
              </w:rPr>
              <w:t xml:space="preserve"> وفريق الخبراء المعني بالجودة الفيديوية إلى المشاركة في المرحلة الثانية </w:t>
            </w:r>
            <w:r w:rsidR="00DF2B73">
              <w:rPr>
                <w:rFonts w:eastAsiaTheme="minorEastAsia" w:hint="cs"/>
                <w:b/>
                <w:bCs/>
                <w:rtl/>
                <w:lang w:eastAsia="zh-CN" w:bidi="ar-EG"/>
              </w:rPr>
              <w:t>ل</w:t>
            </w:r>
            <w:r w:rsidRPr="00720026">
              <w:rPr>
                <w:rFonts w:eastAsiaTheme="minorEastAsia" w:hint="cs"/>
                <w:b/>
                <w:bCs/>
                <w:rtl/>
                <w:lang w:eastAsia="zh-CN" w:bidi="ar-EG"/>
              </w:rPr>
              <w:t>لمعيار</w:t>
            </w:r>
            <w:r w:rsidR="002B55B1">
              <w:rPr>
                <w:rFonts w:eastAsiaTheme="minorEastAsia" w:hint="eastAsia"/>
                <w:b/>
                <w:bCs/>
                <w:rtl/>
                <w:lang w:eastAsia="zh-CN" w:bidi="ar-EG"/>
              </w:rPr>
              <w:t> </w:t>
            </w:r>
            <w:r w:rsidRPr="00720026">
              <w:rPr>
                <w:rFonts w:eastAsiaTheme="minorEastAsia"/>
                <w:b/>
                <w:bCs/>
                <w:lang w:eastAsia="zh-CN"/>
              </w:rPr>
              <w:t>AVHD</w:t>
            </w:r>
            <w:r w:rsidRPr="00720026">
              <w:rPr>
                <w:rFonts w:eastAsiaTheme="minorEastAsia"/>
                <w:b/>
                <w:bCs/>
                <w:lang w:eastAsia="zh-CN"/>
              </w:rPr>
              <w:noBreakHyphen/>
              <w:t>AS/P.NATS</w:t>
            </w:r>
            <w:r w:rsidRPr="00720026">
              <w:rPr>
                <w:rFonts w:eastAsiaTheme="minorEastAsia" w:hint="cs"/>
                <w:b/>
                <w:bCs/>
                <w:rtl/>
                <w:lang w:eastAsia="zh-CN" w:bidi="ar-EG"/>
              </w:rPr>
              <w:t>: نموذج رأي لتقدير الجودة الفيديوية لتطبيقات أنواع البث التكيفي</w:t>
            </w:r>
          </w:p>
        </w:tc>
      </w:tr>
      <w:tr w:rsidR="00720026" w:rsidRPr="00A15845" w:rsidTr="00425492">
        <w:trPr>
          <w:cantSplit/>
        </w:trPr>
        <w:tc>
          <w:tcPr>
            <w:tcW w:w="796" w:type="pct"/>
          </w:tcPr>
          <w:p w:rsidR="00720026" w:rsidRPr="00DF2B73" w:rsidRDefault="00720026" w:rsidP="0072002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DF2B73">
              <w:rPr>
                <w:rFonts w:eastAsiaTheme="minorEastAsia" w:hint="cs"/>
                <w:b/>
                <w:bCs/>
                <w:rtl/>
                <w:lang w:eastAsia="zh-CN"/>
              </w:rPr>
              <w:t>الإجراء المطلوب:</w:t>
            </w:r>
          </w:p>
        </w:tc>
        <w:tc>
          <w:tcPr>
            <w:tcW w:w="4204" w:type="pct"/>
            <w:gridSpan w:val="2"/>
          </w:tcPr>
          <w:p w:rsidR="00720026" w:rsidRPr="00DF2B73" w:rsidRDefault="00720026" w:rsidP="00DF2B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rtl/>
                <w:lang w:eastAsia="zh-CN" w:bidi="ar-SY"/>
              </w:rPr>
            </w:pPr>
            <w:r w:rsidRPr="00DF2B73">
              <w:rPr>
                <w:rFonts w:eastAsiaTheme="minorEastAsia" w:hint="cs"/>
                <w:rtl/>
                <w:lang w:eastAsia="zh-CN" w:bidi="ar-SY"/>
              </w:rPr>
              <w:t xml:space="preserve">يرجى الإعلان عن </w:t>
            </w:r>
            <w:r w:rsidRPr="00390CC6">
              <w:rPr>
                <w:rFonts w:eastAsiaTheme="minorEastAsia" w:hint="cs"/>
                <w:b/>
                <w:bCs/>
                <w:rtl/>
                <w:lang w:eastAsia="zh-CN"/>
              </w:rPr>
              <w:t xml:space="preserve">عزمكم النهائي والملزم </w:t>
            </w:r>
            <w:r w:rsidR="00DF2B73" w:rsidRPr="00390CC6">
              <w:rPr>
                <w:rFonts w:eastAsiaTheme="minorEastAsia" w:hint="cs"/>
                <w:b/>
                <w:bCs/>
                <w:rtl/>
                <w:lang w:eastAsia="zh-CN" w:bidi="ar-SY"/>
              </w:rPr>
              <w:t>على</w:t>
            </w:r>
            <w:r w:rsidRPr="00390CC6">
              <w:rPr>
                <w:rFonts w:eastAsiaTheme="minorEastAsia" w:hint="cs"/>
                <w:b/>
                <w:bCs/>
                <w:rtl/>
                <w:lang w:eastAsia="zh-CN" w:bidi="ar-SY"/>
              </w:rPr>
              <w:t xml:space="preserve"> المشاركة</w:t>
            </w:r>
            <w:r w:rsidRPr="00DF2B73">
              <w:rPr>
                <w:rFonts w:eastAsiaTheme="minorEastAsia" w:hint="cs"/>
                <w:rtl/>
                <w:lang w:eastAsia="zh-CN" w:bidi="ar-SY"/>
              </w:rPr>
              <w:t xml:space="preserve"> في تطوير المرحلة </w:t>
            </w:r>
            <w:r w:rsidRPr="00DF2B73">
              <w:rPr>
                <w:rFonts w:eastAsiaTheme="minorEastAsia"/>
                <w:lang w:eastAsia="zh-CN" w:bidi="ar-SY"/>
              </w:rPr>
              <w:t>2</w:t>
            </w:r>
            <w:r w:rsidRPr="00DF2B73">
              <w:rPr>
                <w:rFonts w:eastAsiaTheme="minorEastAsia" w:hint="cs"/>
                <w:rtl/>
                <w:lang w:eastAsia="zh-CN" w:bidi="ar-EG"/>
              </w:rPr>
              <w:t xml:space="preserve"> </w:t>
            </w:r>
            <w:r w:rsidR="00DF2B73">
              <w:rPr>
                <w:rFonts w:eastAsiaTheme="minorEastAsia" w:hint="cs"/>
                <w:rtl/>
                <w:lang w:eastAsia="zh-CN" w:bidi="ar-EG"/>
              </w:rPr>
              <w:t>ل</w:t>
            </w:r>
            <w:r w:rsidRPr="00DF2B73">
              <w:rPr>
                <w:rFonts w:eastAsiaTheme="minorEastAsia" w:hint="cs"/>
                <w:rtl/>
                <w:lang w:eastAsia="zh-CN" w:bidi="ar-EG"/>
              </w:rPr>
              <w:t>لمعيار </w:t>
            </w:r>
            <w:r w:rsidRPr="00DF2B73">
              <w:rPr>
                <w:rFonts w:eastAsiaTheme="minorEastAsia"/>
                <w:lang w:eastAsia="zh-CN" w:bidi="ar-SY"/>
              </w:rPr>
              <w:t>AVHD</w:t>
            </w:r>
            <w:r w:rsidRPr="00DF2B73">
              <w:rPr>
                <w:rFonts w:eastAsiaTheme="minorEastAsia"/>
                <w:lang w:eastAsia="zh-CN" w:bidi="ar-SY"/>
              </w:rPr>
              <w:noBreakHyphen/>
              <w:t>AS/P.NATS</w:t>
            </w:r>
            <w:r w:rsidRPr="00DF2B73">
              <w:rPr>
                <w:rFonts w:eastAsiaTheme="minorEastAsia" w:hint="cs"/>
                <w:rtl/>
                <w:lang w:eastAsia="zh-CN" w:bidi="ar-EG"/>
              </w:rPr>
              <w:t xml:space="preserve"> في</w:t>
            </w:r>
            <w:r w:rsidRPr="00DF2B73">
              <w:rPr>
                <w:rFonts w:eastAsiaTheme="minorEastAsia" w:hint="eastAsia"/>
                <w:rtl/>
                <w:lang w:eastAsia="zh-CN" w:bidi="ar-EG"/>
              </w:rPr>
              <w:t> </w:t>
            </w:r>
            <w:r w:rsidRPr="00DF2B73">
              <w:rPr>
                <w:rFonts w:eastAsiaTheme="minorEastAsia" w:hint="cs"/>
                <w:rtl/>
                <w:lang w:eastAsia="zh-CN" w:bidi="ar-EG"/>
              </w:rPr>
              <w:t xml:space="preserve">موعد غايته </w:t>
            </w:r>
            <w:r w:rsidRPr="004E2E8D">
              <w:rPr>
                <w:rFonts w:eastAsiaTheme="minorEastAsia"/>
                <w:b/>
                <w:bCs/>
                <w:lang w:eastAsia="zh-CN" w:bidi="ar-SY"/>
              </w:rPr>
              <w:t>17</w:t>
            </w:r>
            <w:r w:rsidRPr="004E2E8D">
              <w:rPr>
                <w:rFonts w:eastAsiaTheme="minorEastAsia" w:hint="eastAsia"/>
                <w:b/>
                <w:bCs/>
                <w:rtl/>
                <w:lang w:eastAsia="zh-CN" w:bidi="ar-EG"/>
              </w:rPr>
              <w:t> </w:t>
            </w:r>
            <w:r w:rsidRPr="004E2E8D">
              <w:rPr>
                <w:rFonts w:eastAsiaTheme="minorEastAsia" w:hint="cs"/>
                <w:b/>
                <w:bCs/>
                <w:rtl/>
                <w:lang w:eastAsia="zh-CN" w:bidi="ar-EG"/>
              </w:rPr>
              <w:t>فبراير</w:t>
            </w:r>
            <w:r w:rsidRPr="004E2E8D">
              <w:rPr>
                <w:rFonts w:eastAsiaTheme="minorEastAsia" w:hint="eastAsia"/>
                <w:b/>
                <w:bCs/>
                <w:rtl/>
                <w:lang w:eastAsia="zh-CN" w:bidi="ar-EG"/>
              </w:rPr>
              <w:t> </w:t>
            </w:r>
            <w:r w:rsidRPr="004E2E8D">
              <w:rPr>
                <w:rFonts w:eastAsiaTheme="minorEastAsia"/>
                <w:b/>
                <w:bCs/>
                <w:lang w:eastAsia="zh-CN" w:bidi="ar-SY"/>
              </w:rPr>
              <w:t>2017</w:t>
            </w:r>
            <w:r w:rsidRPr="00DF2B73">
              <w:rPr>
                <w:rFonts w:eastAsiaTheme="minorEastAsia" w:hint="cs"/>
                <w:rtl/>
                <w:lang w:eastAsia="zh-CN" w:bidi="ar-EG"/>
              </w:rPr>
              <w:t xml:space="preserve"> بالبريد الإلكتروني على العنوان </w:t>
            </w:r>
            <w:hyperlink r:id="rId12" w:history="1">
              <w:r w:rsidRPr="00DF2B73">
                <w:rPr>
                  <w:rStyle w:val="Hyperlink"/>
                  <w:rFonts w:eastAsiaTheme="minorEastAsia"/>
                  <w:lang w:eastAsia="zh-CN" w:bidi="ar-SY"/>
                </w:rPr>
                <w:t>tsbsg12@itu.int</w:t>
              </w:r>
            </w:hyperlink>
          </w:p>
        </w:tc>
      </w:tr>
    </w:tbl>
    <w:p w:rsidR="00A15845" w:rsidRPr="00A15845" w:rsidRDefault="00A15845" w:rsidP="005571FE">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EG"/>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720026" w:rsidRPr="00720026" w:rsidRDefault="00720026" w:rsidP="00A44259">
      <w:pPr>
        <w:rPr>
          <w:rFonts w:eastAsiaTheme="minorEastAsia"/>
          <w:rtl/>
          <w:lang w:eastAsia="zh-CN" w:bidi="ar-EG"/>
        </w:rPr>
      </w:pPr>
      <w:r w:rsidRPr="00720026">
        <w:rPr>
          <w:rFonts w:eastAsiaTheme="minorEastAsia"/>
          <w:lang w:eastAsia="zh-CN" w:bidi="ar-EG"/>
        </w:rPr>
        <w:t>1</w:t>
      </w:r>
      <w:r w:rsidRPr="00720026">
        <w:rPr>
          <w:rFonts w:eastAsiaTheme="minorEastAsia"/>
          <w:lang w:eastAsia="zh-CN" w:bidi="ar-EG"/>
        </w:rPr>
        <w:tab/>
      </w:r>
      <w:r w:rsidRPr="00720026">
        <w:rPr>
          <w:rFonts w:eastAsiaTheme="minorEastAsia" w:hint="cs"/>
          <w:rtl/>
          <w:lang w:eastAsia="zh-CN"/>
        </w:rPr>
        <w:t xml:space="preserve">تهدف المسألة </w:t>
      </w:r>
      <w:r w:rsidRPr="00720026">
        <w:rPr>
          <w:rFonts w:eastAsiaTheme="minorEastAsia"/>
          <w:lang w:eastAsia="zh-CN" w:bidi="ar-EG"/>
        </w:rPr>
        <w:t>14</w:t>
      </w:r>
      <w:r w:rsidRPr="00720026">
        <w:rPr>
          <w:rFonts w:eastAsiaTheme="minorEastAsia" w:hint="cs"/>
          <w:rtl/>
          <w:lang w:eastAsia="zh-CN"/>
        </w:rPr>
        <w:t xml:space="preserve"> التابعة للجنة الدراسات </w:t>
      </w:r>
      <w:r w:rsidRPr="00720026">
        <w:rPr>
          <w:rFonts w:eastAsiaTheme="minorEastAsia"/>
          <w:lang w:eastAsia="zh-CN" w:bidi="ar-EG"/>
        </w:rPr>
        <w:t>12</w:t>
      </w:r>
      <w:r w:rsidRPr="00720026">
        <w:rPr>
          <w:rFonts w:eastAsiaTheme="minorEastAsia" w:hint="cs"/>
          <w:rtl/>
          <w:lang w:eastAsia="zh-CN" w:bidi="ar-EG"/>
        </w:rPr>
        <w:t xml:space="preserve"> </w:t>
      </w:r>
      <w:r w:rsidRPr="00720026">
        <w:rPr>
          <w:rFonts w:eastAsiaTheme="minorEastAsia" w:hint="cs"/>
          <w:rtl/>
          <w:lang w:eastAsia="zh-CN"/>
        </w:rPr>
        <w:t>لقطاع تقييس الاتصالات (الأداء و</w:t>
      </w:r>
      <w:r w:rsidRPr="00720026">
        <w:rPr>
          <w:rFonts w:eastAsiaTheme="minorEastAsia"/>
          <w:rtl/>
          <w:lang w:eastAsia="zh-CN"/>
        </w:rPr>
        <w:t>جودة</w:t>
      </w:r>
      <w:r w:rsidRPr="00720026">
        <w:rPr>
          <w:rFonts w:eastAsiaTheme="minorEastAsia" w:hint="cs"/>
          <w:rtl/>
          <w:lang w:eastAsia="zh-CN"/>
        </w:rPr>
        <w:t xml:space="preserve"> </w:t>
      </w:r>
      <w:r w:rsidRPr="00720026">
        <w:rPr>
          <w:rFonts w:eastAsiaTheme="minorEastAsia"/>
          <w:rtl/>
          <w:lang w:eastAsia="zh-CN"/>
        </w:rPr>
        <w:t>الخدمة</w:t>
      </w:r>
      <w:r w:rsidRPr="00720026">
        <w:rPr>
          <w:rFonts w:eastAsiaTheme="minorEastAsia" w:hint="eastAsia"/>
          <w:rtl/>
          <w:lang w:eastAsia="zh-CN"/>
        </w:rPr>
        <w:t> </w:t>
      </w:r>
      <w:r w:rsidRPr="00720026">
        <w:rPr>
          <w:rFonts w:eastAsiaTheme="minorEastAsia"/>
          <w:lang w:eastAsia="zh-CN" w:bidi="ar-EG"/>
        </w:rPr>
        <w:t>(</w:t>
      </w:r>
      <w:proofErr w:type="spellStart"/>
      <w:r w:rsidRPr="00720026">
        <w:rPr>
          <w:rFonts w:eastAsiaTheme="minorEastAsia"/>
          <w:lang w:eastAsia="zh-CN" w:bidi="ar-EG"/>
        </w:rPr>
        <w:t>QoS</w:t>
      </w:r>
      <w:proofErr w:type="spellEnd"/>
      <w:r w:rsidRPr="00720026">
        <w:rPr>
          <w:rFonts w:eastAsiaTheme="minorEastAsia"/>
          <w:lang w:eastAsia="zh-CN" w:bidi="ar-EG"/>
        </w:rPr>
        <w:t>)</w:t>
      </w:r>
      <w:r w:rsidRPr="00720026">
        <w:rPr>
          <w:rFonts w:eastAsiaTheme="minorEastAsia" w:hint="cs"/>
          <w:rtl/>
          <w:lang w:eastAsia="zh-CN"/>
        </w:rPr>
        <w:t xml:space="preserve"> </w:t>
      </w:r>
      <w:r w:rsidRPr="00720026">
        <w:rPr>
          <w:rFonts w:eastAsiaTheme="minorEastAsia"/>
          <w:rtl/>
          <w:lang w:eastAsia="zh-CN"/>
        </w:rPr>
        <w:t>وجودة</w:t>
      </w:r>
      <w:r w:rsidRPr="00720026">
        <w:rPr>
          <w:rFonts w:eastAsiaTheme="minorEastAsia" w:hint="cs"/>
          <w:rtl/>
          <w:lang w:eastAsia="zh-CN"/>
        </w:rPr>
        <w:t xml:space="preserve"> </w:t>
      </w:r>
      <w:r w:rsidRPr="00720026">
        <w:rPr>
          <w:rFonts w:eastAsiaTheme="minorEastAsia"/>
          <w:rtl/>
          <w:lang w:eastAsia="zh-CN"/>
        </w:rPr>
        <w:t>التجربة</w:t>
      </w:r>
      <w:r w:rsidRPr="00720026">
        <w:rPr>
          <w:rFonts w:eastAsiaTheme="minorEastAsia" w:hint="eastAsia"/>
          <w:rtl/>
          <w:lang w:eastAsia="zh-CN"/>
        </w:rPr>
        <w:t> </w:t>
      </w:r>
      <w:r w:rsidRPr="00720026">
        <w:rPr>
          <w:rFonts w:eastAsiaTheme="minorEastAsia"/>
          <w:lang w:eastAsia="zh-CN" w:bidi="ar-EG"/>
        </w:rPr>
        <w:t>(</w:t>
      </w:r>
      <w:proofErr w:type="spellStart"/>
      <w:r w:rsidRPr="00720026">
        <w:rPr>
          <w:rFonts w:eastAsiaTheme="minorEastAsia"/>
          <w:lang w:eastAsia="zh-CN" w:bidi="ar-EG"/>
        </w:rPr>
        <w:t>QoE</w:t>
      </w:r>
      <w:proofErr w:type="spellEnd"/>
      <w:r w:rsidRPr="00720026">
        <w:rPr>
          <w:rFonts w:eastAsiaTheme="minorEastAsia"/>
          <w:lang w:eastAsia="zh-CN" w:bidi="ar-EG"/>
        </w:rPr>
        <w:t>)</w:t>
      </w:r>
      <w:r w:rsidRPr="00720026">
        <w:rPr>
          <w:rFonts w:eastAsiaTheme="minorEastAsia" w:hint="cs"/>
          <w:rtl/>
          <w:lang w:eastAsia="zh-CN"/>
        </w:rPr>
        <w:t>) إلى</w:t>
      </w:r>
      <w:r w:rsidRPr="00720026">
        <w:rPr>
          <w:rFonts w:eastAsiaTheme="minorEastAsia" w:hint="eastAsia"/>
          <w:rtl/>
          <w:lang w:eastAsia="zh-CN"/>
        </w:rPr>
        <w:t> </w:t>
      </w:r>
      <w:r w:rsidRPr="00720026">
        <w:rPr>
          <w:rFonts w:eastAsiaTheme="minorEastAsia" w:hint="cs"/>
          <w:rtl/>
          <w:lang w:eastAsia="zh-CN"/>
        </w:rPr>
        <w:t xml:space="preserve">تسريع وتيرة العمل بشأن المرحلة الثانية </w:t>
      </w:r>
      <w:r w:rsidR="00DF2B73">
        <w:rPr>
          <w:rFonts w:eastAsiaTheme="minorEastAsia" w:hint="cs"/>
          <w:rtl/>
          <w:lang w:eastAsia="zh-CN"/>
        </w:rPr>
        <w:t>ل</w:t>
      </w:r>
      <w:r w:rsidRPr="00720026">
        <w:rPr>
          <w:rFonts w:eastAsiaTheme="minorEastAsia" w:hint="cs"/>
          <w:rtl/>
          <w:lang w:eastAsia="zh-CN"/>
        </w:rPr>
        <w:t>لمعيار </w:t>
      </w:r>
      <w:r w:rsidRPr="00720026">
        <w:rPr>
          <w:rFonts w:eastAsiaTheme="minorEastAsia"/>
          <w:lang w:eastAsia="zh-CN" w:bidi="ar-EG"/>
        </w:rPr>
        <w:t>P.NATS</w:t>
      </w:r>
      <w:r w:rsidRPr="00720026">
        <w:rPr>
          <w:rFonts w:eastAsiaTheme="minorEastAsia" w:hint="cs"/>
          <w:rtl/>
          <w:lang w:eastAsia="zh-CN" w:bidi="ar-EG"/>
        </w:rPr>
        <w:t xml:space="preserve">، </w:t>
      </w:r>
      <w:r w:rsidRPr="00A44259">
        <w:rPr>
          <w:rFonts w:eastAsiaTheme="minorEastAsia" w:hint="cs"/>
          <w:rtl/>
          <w:lang w:eastAsia="zh-CN" w:bidi="ar-EG"/>
        </w:rPr>
        <w:t>نموذج رأي لتقدير الجودة</w:t>
      </w:r>
      <w:r w:rsidR="00A44259" w:rsidRPr="00A44259">
        <w:rPr>
          <w:rFonts w:eastAsiaTheme="minorEastAsia" w:hint="cs"/>
          <w:rtl/>
          <w:lang w:eastAsia="zh-CN" w:bidi="ar-EG"/>
        </w:rPr>
        <w:t xml:space="preserve"> الفيديوية</w:t>
      </w:r>
      <w:r w:rsidR="00E90528" w:rsidRPr="00A44259">
        <w:rPr>
          <w:rFonts w:eastAsiaTheme="minorEastAsia" w:hint="cs"/>
          <w:rtl/>
          <w:lang w:eastAsia="zh-CN" w:bidi="ar-EG"/>
        </w:rPr>
        <w:t xml:space="preserve"> </w:t>
      </w:r>
      <w:r w:rsidRPr="00A44259">
        <w:rPr>
          <w:rFonts w:eastAsiaTheme="minorEastAsia" w:hint="cs"/>
          <w:rtl/>
          <w:lang w:eastAsia="zh-CN" w:bidi="ar-EG"/>
        </w:rPr>
        <w:t>لتطبيقات أنواع البث</w:t>
      </w:r>
      <w:r w:rsidRPr="00A44259">
        <w:rPr>
          <w:rFonts w:eastAsiaTheme="minorEastAsia" w:hint="eastAsia"/>
          <w:rtl/>
          <w:lang w:eastAsia="zh-CN" w:bidi="ar-EG"/>
        </w:rPr>
        <w:t> </w:t>
      </w:r>
      <w:r w:rsidRPr="00A44259">
        <w:rPr>
          <w:rFonts w:eastAsiaTheme="minorEastAsia" w:hint="cs"/>
          <w:rtl/>
          <w:lang w:eastAsia="zh-CN" w:bidi="ar-EG"/>
        </w:rPr>
        <w:t>التكيفي</w:t>
      </w:r>
      <w:r w:rsidRPr="00720026">
        <w:rPr>
          <w:rFonts w:eastAsiaTheme="minorEastAsia" w:hint="cs"/>
          <w:rtl/>
          <w:lang w:eastAsia="zh-CN" w:bidi="ar-EG"/>
        </w:rPr>
        <w:t>.</w:t>
      </w:r>
    </w:p>
    <w:p w:rsidR="00720026" w:rsidRPr="00720026" w:rsidRDefault="00720026" w:rsidP="00DF2B73">
      <w:pPr>
        <w:rPr>
          <w:rFonts w:eastAsiaTheme="minorEastAsia"/>
          <w:rtl/>
          <w:lang w:eastAsia="zh-CN" w:bidi="ar-EG"/>
        </w:rPr>
      </w:pPr>
      <w:r w:rsidRPr="00720026">
        <w:rPr>
          <w:rFonts w:eastAsiaTheme="minorEastAsia"/>
          <w:lang w:eastAsia="zh-CN" w:bidi="ar-EG"/>
        </w:rPr>
        <w:t>2</w:t>
      </w:r>
      <w:r w:rsidRPr="00720026">
        <w:rPr>
          <w:rFonts w:eastAsiaTheme="minorEastAsia"/>
          <w:rtl/>
          <w:lang w:eastAsia="zh-CN"/>
        </w:rPr>
        <w:tab/>
      </w:r>
      <w:r w:rsidRPr="00720026">
        <w:rPr>
          <w:rFonts w:eastAsiaTheme="minorEastAsia" w:hint="cs"/>
          <w:rtl/>
          <w:lang w:eastAsia="zh-CN"/>
        </w:rPr>
        <w:t>وسيجري العمل في صورة مشروع مشترك بين المسألة </w:t>
      </w:r>
      <w:r w:rsidRPr="00720026">
        <w:rPr>
          <w:rFonts w:eastAsiaTheme="minorEastAsia"/>
          <w:lang w:eastAsia="zh-CN" w:bidi="ar-EG"/>
        </w:rPr>
        <w:t>14</w:t>
      </w:r>
      <w:r w:rsidRPr="00720026">
        <w:rPr>
          <w:rFonts w:eastAsiaTheme="minorEastAsia" w:hint="cs"/>
          <w:rtl/>
          <w:lang w:eastAsia="zh-CN" w:bidi="ar-EG"/>
        </w:rPr>
        <w:t xml:space="preserve"> التابعة للجنة الدراسات </w:t>
      </w:r>
      <w:r w:rsidRPr="00720026">
        <w:rPr>
          <w:rFonts w:eastAsiaTheme="minorEastAsia"/>
          <w:lang w:eastAsia="zh-CN" w:bidi="ar-EG"/>
        </w:rPr>
        <w:t>12</w:t>
      </w:r>
      <w:r w:rsidRPr="00720026">
        <w:rPr>
          <w:rFonts w:eastAsiaTheme="minorEastAsia" w:hint="cs"/>
          <w:rtl/>
          <w:lang w:eastAsia="zh-CN" w:bidi="ar-EG"/>
        </w:rPr>
        <w:t xml:space="preserve"> لقطاع تقييس الاتصالات والفريق </w:t>
      </w:r>
      <w:r w:rsidRPr="00720026">
        <w:rPr>
          <w:rFonts w:eastAsiaTheme="minorEastAsia"/>
          <w:lang w:eastAsia="zh-CN" w:bidi="ar-EG"/>
        </w:rPr>
        <w:t>VQEG</w:t>
      </w:r>
      <w:r w:rsidRPr="00720026">
        <w:rPr>
          <w:rFonts w:eastAsiaTheme="minorEastAsia" w:hint="cs"/>
          <w:rtl/>
          <w:lang w:eastAsia="zh-CN" w:bidi="ar-EG"/>
        </w:rPr>
        <w:t>، وسيعرف باسم المرحلة </w:t>
      </w:r>
      <w:r w:rsidRPr="00720026">
        <w:rPr>
          <w:rFonts w:eastAsiaTheme="minorEastAsia"/>
          <w:lang w:eastAsia="zh-CN" w:bidi="ar-EG"/>
        </w:rPr>
        <w:t>2</w:t>
      </w:r>
      <w:r w:rsidRPr="00720026">
        <w:rPr>
          <w:rFonts w:eastAsiaTheme="minorEastAsia" w:hint="cs"/>
          <w:rtl/>
          <w:lang w:eastAsia="zh-CN" w:bidi="ar-EG"/>
        </w:rPr>
        <w:t xml:space="preserve"> </w:t>
      </w:r>
      <w:r w:rsidR="00DF2B73">
        <w:rPr>
          <w:rFonts w:eastAsiaTheme="minorEastAsia" w:hint="cs"/>
          <w:rtl/>
          <w:lang w:eastAsia="zh-CN" w:bidi="ar-EG"/>
        </w:rPr>
        <w:t>ل</w:t>
      </w:r>
      <w:r w:rsidRPr="00720026">
        <w:rPr>
          <w:rFonts w:eastAsiaTheme="minorEastAsia" w:hint="cs"/>
          <w:rtl/>
          <w:lang w:eastAsia="zh-CN" w:bidi="ar-EG"/>
        </w:rPr>
        <w:t xml:space="preserve">لمعيار </w:t>
      </w:r>
      <w:r w:rsidRPr="00720026">
        <w:rPr>
          <w:rFonts w:eastAsiaTheme="minorEastAsia"/>
          <w:lang w:eastAsia="zh-CN" w:bidi="ar-EG"/>
        </w:rPr>
        <w:t>AVHD</w:t>
      </w:r>
      <w:r w:rsidRPr="00720026">
        <w:rPr>
          <w:rFonts w:eastAsiaTheme="minorEastAsia"/>
          <w:lang w:eastAsia="zh-CN" w:bidi="ar-EG"/>
        </w:rPr>
        <w:noBreakHyphen/>
        <w:t>AS/P.NATS</w:t>
      </w:r>
      <w:r w:rsidRPr="00720026">
        <w:rPr>
          <w:rFonts w:eastAsiaTheme="minorEastAsia" w:hint="cs"/>
          <w:rtl/>
          <w:lang w:eastAsia="zh-CN" w:bidi="ar-EG"/>
        </w:rPr>
        <w:t>.</w:t>
      </w:r>
    </w:p>
    <w:p w:rsidR="00720026" w:rsidRPr="00720026" w:rsidRDefault="00720026" w:rsidP="00720026">
      <w:pPr>
        <w:rPr>
          <w:rFonts w:eastAsiaTheme="minorEastAsia"/>
          <w:rtl/>
          <w:lang w:eastAsia="zh-CN" w:bidi="ar-EG"/>
        </w:rPr>
      </w:pPr>
      <w:r w:rsidRPr="00720026">
        <w:rPr>
          <w:rFonts w:eastAsiaTheme="minorEastAsia"/>
          <w:lang w:eastAsia="zh-CN" w:bidi="ar-EG"/>
        </w:rPr>
        <w:t>3</w:t>
      </w:r>
      <w:r w:rsidRPr="00720026">
        <w:rPr>
          <w:rFonts w:eastAsiaTheme="minorEastAsia"/>
          <w:rtl/>
          <w:lang w:eastAsia="zh-CN"/>
        </w:rPr>
        <w:tab/>
      </w:r>
      <w:r w:rsidRPr="00720026">
        <w:rPr>
          <w:rFonts w:eastAsiaTheme="minorEastAsia" w:hint="cs"/>
          <w:rtl/>
          <w:lang w:eastAsia="zh-CN"/>
        </w:rPr>
        <w:t>وترد الدعوة إلى المشاركة في هذه المرحلة في الملحق </w:t>
      </w:r>
      <w:r w:rsidRPr="00720026">
        <w:rPr>
          <w:rFonts w:eastAsiaTheme="minorEastAsia"/>
          <w:lang w:eastAsia="zh-CN" w:bidi="ar-EG"/>
        </w:rPr>
        <w:t>1</w:t>
      </w:r>
      <w:r w:rsidRPr="00720026">
        <w:rPr>
          <w:rFonts w:eastAsiaTheme="minorEastAsia" w:hint="cs"/>
          <w:rtl/>
          <w:lang w:eastAsia="zh-CN" w:bidi="ar-EG"/>
        </w:rPr>
        <w:t xml:space="preserve"> بهذه الرسالة المعممة.</w:t>
      </w:r>
    </w:p>
    <w:p w:rsidR="00720026" w:rsidRPr="008D43CE" w:rsidRDefault="00720026" w:rsidP="00DF2B73">
      <w:pPr>
        <w:rPr>
          <w:rFonts w:eastAsiaTheme="minorEastAsia"/>
          <w:spacing w:val="6"/>
          <w:rtl/>
          <w:lang w:eastAsia="zh-CN" w:bidi="ar-EG"/>
        </w:rPr>
      </w:pPr>
      <w:r w:rsidRPr="008D43CE">
        <w:rPr>
          <w:rFonts w:eastAsiaTheme="minorEastAsia"/>
          <w:spacing w:val="6"/>
          <w:lang w:eastAsia="zh-CN" w:bidi="ar-EG"/>
        </w:rPr>
        <w:t>4</w:t>
      </w:r>
      <w:r w:rsidRPr="008D43CE">
        <w:rPr>
          <w:rFonts w:eastAsiaTheme="minorEastAsia" w:hint="cs"/>
          <w:spacing w:val="6"/>
          <w:rtl/>
          <w:lang w:eastAsia="zh-CN" w:bidi="ar-EG"/>
        </w:rPr>
        <w:tab/>
        <w:t>وسأكون ممتناً لو تفضلتم</w:t>
      </w:r>
      <w:r w:rsidRPr="008D43CE">
        <w:rPr>
          <w:rFonts w:eastAsiaTheme="minorEastAsia" w:hint="cs"/>
          <w:spacing w:val="6"/>
          <w:rtl/>
          <w:lang w:eastAsia="zh-CN"/>
        </w:rPr>
        <w:t xml:space="preserve"> بالإعلان عن عزمكم النهائي والملزم على المشاركة في تطوير المرحلة </w:t>
      </w:r>
      <w:r w:rsidRPr="008D43CE">
        <w:rPr>
          <w:rFonts w:eastAsiaTheme="minorEastAsia"/>
          <w:spacing w:val="6"/>
          <w:lang w:eastAsia="zh-CN" w:bidi="ar-EG"/>
        </w:rPr>
        <w:t>2</w:t>
      </w:r>
      <w:r w:rsidRPr="008D43CE">
        <w:rPr>
          <w:rFonts w:eastAsiaTheme="minorEastAsia" w:hint="cs"/>
          <w:spacing w:val="6"/>
          <w:rtl/>
          <w:lang w:eastAsia="zh-CN" w:bidi="ar-EG"/>
        </w:rPr>
        <w:t xml:space="preserve"> </w:t>
      </w:r>
      <w:r w:rsidR="00DF2B73" w:rsidRPr="008D43CE">
        <w:rPr>
          <w:rFonts w:eastAsiaTheme="minorEastAsia" w:hint="cs"/>
          <w:spacing w:val="6"/>
          <w:rtl/>
          <w:lang w:eastAsia="zh-CN" w:bidi="ar-EG"/>
        </w:rPr>
        <w:t>ل</w:t>
      </w:r>
      <w:r w:rsidRPr="008D43CE">
        <w:rPr>
          <w:rFonts w:eastAsiaTheme="minorEastAsia" w:hint="cs"/>
          <w:spacing w:val="6"/>
          <w:rtl/>
          <w:lang w:eastAsia="zh-CN" w:bidi="ar-EG"/>
        </w:rPr>
        <w:t>لمعيار </w:t>
      </w:r>
      <w:r w:rsidRPr="008D43CE">
        <w:rPr>
          <w:rFonts w:eastAsiaTheme="minorEastAsia"/>
          <w:spacing w:val="6"/>
          <w:lang w:eastAsia="zh-CN" w:bidi="ar-EG"/>
        </w:rPr>
        <w:t>AVHD</w:t>
      </w:r>
      <w:r w:rsidRPr="008D43CE">
        <w:rPr>
          <w:rFonts w:eastAsiaTheme="minorEastAsia"/>
          <w:spacing w:val="6"/>
          <w:lang w:eastAsia="zh-CN" w:bidi="ar-EG"/>
        </w:rPr>
        <w:noBreakHyphen/>
        <w:t>AS/P.NATS</w:t>
      </w:r>
      <w:r w:rsidRPr="008D43CE">
        <w:rPr>
          <w:rFonts w:eastAsiaTheme="minorEastAsia" w:hint="cs"/>
          <w:spacing w:val="6"/>
          <w:rtl/>
          <w:lang w:eastAsia="zh-CN" w:bidi="ar-EG"/>
        </w:rPr>
        <w:t xml:space="preserve"> </w:t>
      </w:r>
      <w:r w:rsidRPr="008D43CE">
        <w:rPr>
          <w:rFonts w:eastAsiaTheme="minorEastAsia" w:hint="cs"/>
          <w:spacing w:val="6"/>
          <w:rtl/>
          <w:lang w:eastAsia="zh-CN"/>
        </w:rPr>
        <w:t>في</w:t>
      </w:r>
      <w:r w:rsidRPr="008D43CE">
        <w:rPr>
          <w:rFonts w:eastAsiaTheme="minorEastAsia" w:hint="eastAsia"/>
          <w:spacing w:val="6"/>
          <w:rtl/>
          <w:lang w:eastAsia="zh-CN"/>
        </w:rPr>
        <w:t> </w:t>
      </w:r>
      <w:r w:rsidRPr="008D43CE">
        <w:rPr>
          <w:rFonts w:eastAsiaTheme="minorEastAsia" w:hint="cs"/>
          <w:spacing w:val="6"/>
          <w:rtl/>
          <w:lang w:eastAsia="zh-CN"/>
        </w:rPr>
        <w:t xml:space="preserve">موعد أقصاه </w:t>
      </w:r>
      <w:r w:rsidRPr="008D43CE">
        <w:rPr>
          <w:rFonts w:eastAsiaTheme="minorEastAsia"/>
          <w:b/>
          <w:bCs/>
          <w:spacing w:val="6"/>
          <w:lang w:eastAsia="zh-CN" w:bidi="ar-EG"/>
        </w:rPr>
        <w:t>17</w:t>
      </w:r>
      <w:r w:rsidRPr="008D43CE">
        <w:rPr>
          <w:rFonts w:eastAsiaTheme="minorEastAsia" w:hint="eastAsia"/>
          <w:b/>
          <w:bCs/>
          <w:spacing w:val="6"/>
          <w:rtl/>
          <w:lang w:eastAsia="zh-CN" w:bidi="ar-EG"/>
        </w:rPr>
        <w:t> </w:t>
      </w:r>
      <w:r w:rsidRPr="008D43CE">
        <w:rPr>
          <w:rFonts w:eastAsiaTheme="minorEastAsia" w:hint="cs"/>
          <w:b/>
          <w:bCs/>
          <w:spacing w:val="6"/>
          <w:rtl/>
          <w:lang w:eastAsia="zh-CN" w:bidi="ar-EG"/>
        </w:rPr>
        <w:t>فبراير</w:t>
      </w:r>
      <w:r w:rsidRPr="008D43CE">
        <w:rPr>
          <w:rFonts w:eastAsiaTheme="minorEastAsia" w:hint="eastAsia"/>
          <w:b/>
          <w:bCs/>
          <w:spacing w:val="6"/>
          <w:rtl/>
          <w:lang w:eastAsia="zh-CN" w:bidi="ar-EG"/>
        </w:rPr>
        <w:t> </w:t>
      </w:r>
      <w:r w:rsidRPr="008D43CE">
        <w:rPr>
          <w:rFonts w:eastAsiaTheme="minorEastAsia"/>
          <w:b/>
          <w:bCs/>
          <w:spacing w:val="6"/>
          <w:lang w:eastAsia="zh-CN" w:bidi="ar-EG"/>
        </w:rPr>
        <w:t>2017</w:t>
      </w:r>
      <w:r w:rsidRPr="008D43CE">
        <w:rPr>
          <w:rFonts w:eastAsiaTheme="minorEastAsia" w:hint="cs"/>
          <w:spacing w:val="6"/>
          <w:rtl/>
          <w:lang w:eastAsia="zh-CN"/>
        </w:rPr>
        <w:t xml:space="preserve">، وذلك </w:t>
      </w:r>
      <w:r w:rsidR="00DF2B73" w:rsidRPr="008D43CE">
        <w:rPr>
          <w:rFonts w:eastAsiaTheme="minorEastAsia" w:hint="cs"/>
          <w:spacing w:val="6"/>
          <w:rtl/>
          <w:lang w:eastAsia="zh-CN"/>
        </w:rPr>
        <w:t>ب</w:t>
      </w:r>
      <w:r w:rsidRPr="008D43CE">
        <w:rPr>
          <w:rFonts w:eastAsiaTheme="minorEastAsia" w:hint="cs"/>
          <w:spacing w:val="6"/>
          <w:rtl/>
          <w:lang w:eastAsia="zh-CN"/>
        </w:rPr>
        <w:t xml:space="preserve">البريد الإلكتروني </w:t>
      </w:r>
      <w:r w:rsidR="00DF2B73" w:rsidRPr="008D43CE">
        <w:rPr>
          <w:rFonts w:eastAsiaTheme="minorEastAsia" w:hint="cs"/>
          <w:spacing w:val="6"/>
          <w:rtl/>
          <w:lang w:eastAsia="zh-CN"/>
        </w:rPr>
        <w:t xml:space="preserve">إلى </w:t>
      </w:r>
      <w:r w:rsidRPr="008D43CE">
        <w:rPr>
          <w:rFonts w:eastAsiaTheme="minorEastAsia" w:hint="cs"/>
          <w:spacing w:val="6"/>
          <w:rtl/>
          <w:lang w:eastAsia="zh-CN"/>
        </w:rPr>
        <w:t xml:space="preserve">العنوان </w:t>
      </w:r>
      <w:hyperlink r:id="rId13" w:history="1">
        <w:r w:rsidRPr="008D43CE">
          <w:rPr>
            <w:rStyle w:val="Hyperlink"/>
            <w:rFonts w:eastAsiaTheme="minorEastAsia"/>
            <w:spacing w:val="6"/>
            <w:lang w:eastAsia="zh-CN" w:bidi="ar-EG"/>
          </w:rPr>
          <w:t>tsbsg12@itu.int</w:t>
        </w:r>
      </w:hyperlink>
      <w:r w:rsidRPr="008D43CE">
        <w:rPr>
          <w:rFonts w:eastAsiaTheme="minorEastAsia" w:hint="cs"/>
          <w:spacing w:val="6"/>
          <w:rtl/>
          <w:lang w:eastAsia="zh-CN"/>
        </w:rPr>
        <w:t>.</w:t>
      </w:r>
    </w:p>
    <w:p w:rsidR="00720026" w:rsidRPr="008D43CE" w:rsidRDefault="00720026" w:rsidP="008D43CE">
      <w:pPr>
        <w:rPr>
          <w:rFonts w:eastAsiaTheme="minorEastAsia"/>
          <w:spacing w:val="-2"/>
          <w:rtl/>
          <w:lang w:eastAsia="zh-CN"/>
        </w:rPr>
      </w:pPr>
      <w:r w:rsidRPr="008D43CE">
        <w:rPr>
          <w:rFonts w:eastAsiaTheme="minorEastAsia"/>
          <w:spacing w:val="-2"/>
          <w:lang w:eastAsia="zh-CN" w:bidi="ar-EG"/>
        </w:rPr>
        <w:lastRenderedPageBreak/>
        <w:t>5</w:t>
      </w:r>
      <w:r w:rsidRPr="008D43CE">
        <w:rPr>
          <w:rFonts w:eastAsiaTheme="minorEastAsia" w:hint="cs"/>
          <w:spacing w:val="-2"/>
          <w:rtl/>
          <w:lang w:eastAsia="zh-CN" w:bidi="ar-EG"/>
        </w:rPr>
        <w:tab/>
        <w:t>وأي طلبات للحصول على تفاصيل أخرى أو توضيحات بخصوص هذه الدعوة إلى المشاركة، ينبغي توجيهها إلى كل من السيد</w:t>
      </w:r>
      <w:r w:rsidRPr="008D43CE">
        <w:rPr>
          <w:rFonts w:eastAsiaTheme="minorEastAsia" w:hint="eastAsia"/>
          <w:spacing w:val="-2"/>
          <w:rtl/>
          <w:lang w:eastAsia="zh-CN" w:bidi="ar-EG"/>
        </w:rPr>
        <w:t> </w:t>
      </w:r>
      <w:r w:rsidRPr="008D43CE">
        <w:rPr>
          <w:rFonts w:eastAsiaTheme="minorEastAsia" w:hint="cs"/>
          <w:spacing w:val="-2"/>
          <w:rtl/>
          <w:lang w:eastAsia="zh-CN" w:bidi="ar-EG"/>
        </w:rPr>
        <w:t xml:space="preserve">يورجين غوستافسون </w:t>
      </w:r>
      <w:r w:rsidRPr="008D43CE">
        <w:rPr>
          <w:rFonts w:eastAsiaTheme="minorEastAsia"/>
          <w:spacing w:val="-2"/>
          <w:lang w:eastAsia="zh-CN" w:bidi="ar-EG"/>
        </w:rPr>
        <w:t>(</w:t>
      </w:r>
      <w:hyperlink r:id="rId14" w:history="1">
        <w:r w:rsidRPr="008D43CE">
          <w:rPr>
            <w:rStyle w:val="Hyperlink"/>
            <w:rFonts w:eastAsiaTheme="minorEastAsia"/>
            <w:spacing w:val="-2"/>
            <w:lang w:eastAsia="zh-CN" w:bidi="ar-EG"/>
          </w:rPr>
          <w:t>jorgen.gustafsson@ericsson.com</w:t>
        </w:r>
      </w:hyperlink>
      <w:r w:rsidRPr="008D43CE">
        <w:rPr>
          <w:rFonts w:eastAsiaTheme="minorEastAsia"/>
          <w:spacing w:val="-2"/>
          <w:lang w:eastAsia="zh-CN" w:bidi="ar-EG"/>
        </w:rPr>
        <w:t>)</w:t>
      </w:r>
      <w:r w:rsidRPr="008D43CE">
        <w:rPr>
          <w:rFonts w:eastAsiaTheme="minorEastAsia" w:hint="cs"/>
          <w:spacing w:val="-2"/>
          <w:rtl/>
          <w:lang w:eastAsia="zh-CN"/>
        </w:rPr>
        <w:t xml:space="preserve"> والسيد ألكسندر راك </w:t>
      </w:r>
      <w:r w:rsidRPr="008D43CE">
        <w:rPr>
          <w:rFonts w:eastAsiaTheme="minorEastAsia"/>
          <w:spacing w:val="-2"/>
          <w:lang w:eastAsia="zh-CN" w:bidi="ar-EG"/>
        </w:rPr>
        <w:t>(</w:t>
      </w:r>
      <w:hyperlink r:id="rId15" w:history="1">
        <w:r w:rsidR="008D43CE" w:rsidRPr="008D43CE">
          <w:rPr>
            <w:rStyle w:val="Hyperlink"/>
            <w:rFonts w:eastAsiaTheme="minorEastAsia"/>
            <w:spacing w:val="-2"/>
            <w:lang w:val="en-GB" w:eastAsia="zh-CN" w:bidi="ar-EG"/>
          </w:rPr>
          <w:t>alexander.raake@tu-ilmenau.de</w:t>
        </w:r>
      </w:hyperlink>
      <w:r w:rsidRPr="008D43CE">
        <w:rPr>
          <w:rFonts w:eastAsiaTheme="minorEastAsia"/>
          <w:spacing w:val="-2"/>
          <w:lang w:eastAsia="zh-CN" w:bidi="ar-EG"/>
        </w:rPr>
        <w:t>)</w:t>
      </w:r>
      <w:r w:rsidRPr="008D43CE">
        <w:rPr>
          <w:rFonts w:eastAsiaTheme="minorEastAsia" w:hint="cs"/>
          <w:spacing w:val="-2"/>
          <w:rtl/>
          <w:lang w:eastAsia="zh-CN" w:bidi="ar-EG"/>
        </w:rPr>
        <w:t xml:space="preserve"> </w:t>
      </w:r>
      <w:r w:rsidRPr="008D43CE">
        <w:rPr>
          <w:rFonts w:eastAsiaTheme="minorEastAsia" w:hint="cs"/>
          <w:spacing w:val="-2"/>
          <w:rtl/>
          <w:lang w:eastAsia="zh-CN"/>
        </w:rPr>
        <w:t xml:space="preserve">والسيد شهيد محمود ساتي </w:t>
      </w:r>
      <w:r w:rsidRPr="008D43CE">
        <w:rPr>
          <w:rFonts w:eastAsiaTheme="minorEastAsia"/>
          <w:spacing w:val="-2"/>
          <w:lang w:eastAsia="zh-CN" w:bidi="ar-EG"/>
        </w:rPr>
        <w:t>(</w:t>
      </w:r>
      <w:hyperlink r:id="rId16" w:history="1">
        <w:r w:rsidRPr="008D43CE">
          <w:rPr>
            <w:rStyle w:val="Hyperlink"/>
            <w:rFonts w:eastAsiaTheme="minorEastAsia"/>
            <w:spacing w:val="-2"/>
            <w:lang w:eastAsia="zh-CN" w:bidi="ar-EG"/>
          </w:rPr>
          <w:t>ss@opticom.de</w:t>
        </w:r>
      </w:hyperlink>
      <w:r w:rsidRPr="008D43CE">
        <w:rPr>
          <w:rFonts w:eastAsiaTheme="minorEastAsia"/>
          <w:spacing w:val="-2"/>
          <w:lang w:eastAsia="zh-CN" w:bidi="ar-EG"/>
        </w:rPr>
        <w:t>)</w:t>
      </w:r>
      <w:r w:rsidRPr="008D43CE">
        <w:rPr>
          <w:rFonts w:eastAsiaTheme="minorEastAsia" w:hint="cs"/>
          <w:spacing w:val="-2"/>
          <w:rtl/>
          <w:lang w:eastAsia="zh-CN"/>
        </w:rPr>
        <w:t xml:space="preserve"> والسيد سيلفيو بورير </w:t>
      </w:r>
      <w:r w:rsidRPr="008D43CE">
        <w:rPr>
          <w:rFonts w:eastAsiaTheme="minorEastAsia"/>
          <w:spacing w:val="-2"/>
          <w:lang w:eastAsia="zh-CN" w:bidi="ar-EG"/>
        </w:rPr>
        <w:t>(</w:t>
      </w:r>
      <w:hyperlink r:id="rId17" w:history="1">
        <w:r w:rsidRPr="008D43CE">
          <w:rPr>
            <w:rStyle w:val="Hyperlink"/>
            <w:rFonts w:eastAsiaTheme="minorEastAsia"/>
            <w:spacing w:val="-2"/>
            <w:lang w:eastAsia="zh-CN" w:bidi="ar-EG"/>
          </w:rPr>
          <w:t>Silvio.Borer@rohde-schwarz.com</w:t>
        </w:r>
      </w:hyperlink>
      <w:r w:rsidRPr="008D43CE">
        <w:rPr>
          <w:rFonts w:eastAsiaTheme="minorEastAsia"/>
          <w:spacing w:val="-2"/>
          <w:lang w:eastAsia="zh-CN" w:bidi="ar-EG"/>
        </w:rPr>
        <w:t>)</w:t>
      </w:r>
      <w:r w:rsidRPr="008D43CE">
        <w:rPr>
          <w:rFonts w:eastAsiaTheme="minorEastAsia" w:hint="cs"/>
          <w:spacing w:val="-2"/>
          <w:rtl/>
          <w:lang w:eastAsia="zh-CN"/>
        </w:rPr>
        <w:t>.</w:t>
      </w:r>
    </w:p>
    <w:p w:rsidR="00425492" w:rsidRPr="00425492" w:rsidRDefault="00720026" w:rsidP="00720026">
      <w:pPr>
        <w:rPr>
          <w:rFonts w:eastAsiaTheme="minorEastAsia"/>
          <w:rtl/>
          <w:lang w:eastAsia="zh-CN" w:bidi="ar-EG"/>
        </w:rPr>
      </w:pPr>
      <w:r w:rsidRPr="00720026">
        <w:rPr>
          <w:rFonts w:eastAsiaTheme="minorEastAsia"/>
          <w:lang w:eastAsia="zh-CN" w:bidi="ar-EG"/>
        </w:rPr>
        <w:t>6</w:t>
      </w:r>
      <w:r w:rsidRPr="00720026">
        <w:rPr>
          <w:rFonts w:eastAsiaTheme="minorEastAsia" w:hint="cs"/>
          <w:rtl/>
          <w:lang w:eastAsia="zh-CN" w:bidi="ar-EG"/>
        </w:rPr>
        <w:tab/>
        <w:t>وأود أن أؤكد على أهمية مشاركتكم في بند الأعمال هذا مما سيساعد لجنة الدراسات</w:t>
      </w:r>
      <w:r w:rsidRPr="00720026">
        <w:rPr>
          <w:rFonts w:eastAsiaTheme="minorEastAsia" w:hint="eastAsia"/>
          <w:rtl/>
          <w:lang w:eastAsia="zh-CN" w:bidi="ar-EG"/>
        </w:rPr>
        <w:t> </w:t>
      </w:r>
      <w:r w:rsidRPr="00720026">
        <w:rPr>
          <w:rFonts w:eastAsiaTheme="minorEastAsia"/>
          <w:lang w:eastAsia="zh-CN" w:bidi="ar-EG"/>
        </w:rPr>
        <w:t>12</w:t>
      </w:r>
      <w:r w:rsidRPr="00720026">
        <w:rPr>
          <w:rFonts w:eastAsiaTheme="minorEastAsia" w:hint="cs"/>
          <w:rtl/>
          <w:lang w:eastAsia="zh-CN" w:bidi="ar-EG"/>
        </w:rPr>
        <w:t xml:space="preserve"> لقطاع تقييس الاتصالات والفريق </w:t>
      </w:r>
      <w:r w:rsidRPr="00720026">
        <w:rPr>
          <w:rFonts w:eastAsiaTheme="minorEastAsia"/>
          <w:lang w:eastAsia="zh-CN" w:bidi="ar-EG"/>
        </w:rPr>
        <w:t>VQEG</w:t>
      </w:r>
      <w:r w:rsidRPr="00720026">
        <w:rPr>
          <w:rFonts w:eastAsiaTheme="minorEastAsia" w:hint="cs"/>
          <w:rtl/>
          <w:lang w:eastAsia="zh-CN" w:bidi="ar-EG"/>
        </w:rPr>
        <w:t xml:space="preserve"> في جهودهما الرامية إلى إحراز تقدم في العمل بشأن نموذج الجودة الفيديوية لخدمات البث التكيفي.</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8930A5" w:rsidRDefault="008930A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p>
    <w:p w:rsidR="008930A5" w:rsidRPr="00A15845" w:rsidRDefault="008930A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bookmarkStart w:id="0" w:name="_GoBack"/>
      <w:bookmarkEnd w:id="0"/>
    </w:p>
    <w:p w:rsidR="008B5B5D" w:rsidRDefault="00A15845" w:rsidP="008930A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720026" w:rsidRDefault="00720026" w:rsidP="008930A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240"/>
        <w:jc w:val="left"/>
        <w:rPr>
          <w:rFonts w:eastAsiaTheme="minorEastAsia"/>
          <w:rtl/>
          <w:lang w:eastAsia="zh-CN" w:bidi="ar-SY"/>
        </w:rPr>
      </w:pPr>
      <w:r w:rsidRPr="00720026">
        <w:rPr>
          <w:rFonts w:eastAsiaTheme="minorEastAsia" w:hint="cs"/>
          <w:b/>
          <w:bCs/>
          <w:rtl/>
          <w:lang w:eastAsia="zh-CN" w:bidi="ar-EG"/>
        </w:rPr>
        <w:t xml:space="preserve">الملحقات: </w:t>
      </w:r>
      <w:r w:rsidRPr="00720026">
        <w:rPr>
          <w:rFonts w:eastAsiaTheme="minorEastAsia"/>
          <w:lang w:eastAsia="zh-CN" w:bidi="ar-SY"/>
        </w:rPr>
        <w:t>1</w:t>
      </w:r>
    </w:p>
    <w:p w:rsidR="00720026" w:rsidRDefault="00720026">
      <w:pPr>
        <w:tabs>
          <w:tab w:val="clear" w:pos="794"/>
        </w:tabs>
        <w:bidi w:val="0"/>
        <w:spacing w:before="0" w:after="160" w:line="259" w:lineRule="auto"/>
        <w:jc w:val="left"/>
        <w:rPr>
          <w:rtl/>
          <w:lang w:bidi="ar-EG"/>
        </w:rPr>
      </w:pPr>
      <w:r>
        <w:rPr>
          <w:rtl/>
          <w:lang w:bidi="ar-EG"/>
        </w:rPr>
        <w:br w:type="page"/>
      </w:r>
    </w:p>
    <w:p w:rsidR="001D39B8" w:rsidRPr="001D39B8" w:rsidRDefault="001D39B8" w:rsidP="001D39B8">
      <w:pPr>
        <w:tabs>
          <w:tab w:val="left" w:pos="1191"/>
          <w:tab w:val="left" w:pos="1588"/>
          <w:tab w:val="left" w:pos="1985"/>
        </w:tabs>
        <w:overflowPunct w:val="0"/>
        <w:autoSpaceDE w:val="0"/>
        <w:autoSpaceDN w:val="0"/>
        <w:bidi w:val="0"/>
        <w:adjustRightInd w:val="0"/>
        <w:spacing w:before="280" w:line="240" w:lineRule="auto"/>
        <w:jc w:val="center"/>
        <w:textAlignment w:val="baseline"/>
        <w:rPr>
          <w:rFonts w:cs="Times New Roman"/>
          <w:sz w:val="24"/>
          <w:szCs w:val="20"/>
          <w:lang w:val="en-GB"/>
        </w:rPr>
      </w:pPr>
      <w:r w:rsidRPr="001D39B8">
        <w:rPr>
          <w:rFonts w:cs="Times New Roman"/>
          <w:b/>
          <w:bCs/>
          <w:sz w:val="24"/>
          <w:szCs w:val="20"/>
          <w:lang w:val="en-GB"/>
        </w:rPr>
        <w:lastRenderedPageBreak/>
        <w:t>ANNEX 1</w:t>
      </w:r>
      <w:r w:rsidRPr="001D39B8">
        <w:rPr>
          <w:rFonts w:cs="Times New Roman"/>
          <w:b/>
          <w:bCs/>
          <w:sz w:val="24"/>
          <w:szCs w:val="20"/>
          <w:lang w:val="en-GB"/>
        </w:rPr>
        <w:br/>
      </w:r>
      <w:r w:rsidRPr="001D39B8">
        <w:rPr>
          <w:rFonts w:cs="Times New Roman"/>
          <w:sz w:val="24"/>
          <w:szCs w:val="20"/>
          <w:lang w:val="en-GB"/>
        </w:rPr>
        <w:t>(to TSB Circular 3 Rev.1)</w:t>
      </w:r>
    </w:p>
    <w:p w:rsidR="001D39B8" w:rsidRPr="001D39B8" w:rsidRDefault="001D39B8" w:rsidP="001D39B8">
      <w:pPr>
        <w:tabs>
          <w:tab w:val="left" w:pos="1191"/>
          <w:tab w:val="left" w:pos="1588"/>
          <w:tab w:val="left" w:pos="1985"/>
        </w:tabs>
        <w:overflowPunct w:val="0"/>
        <w:autoSpaceDE w:val="0"/>
        <w:autoSpaceDN w:val="0"/>
        <w:bidi w:val="0"/>
        <w:adjustRightInd w:val="0"/>
        <w:spacing w:before="280" w:line="240" w:lineRule="auto"/>
        <w:jc w:val="center"/>
        <w:textAlignment w:val="baseline"/>
        <w:rPr>
          <w:rFonts w:cs="Times New Roman"/>
          <w:b/>
          <w:bCs/>
          <w:sz w:val="24"/>
          <w:szCs w:val="20"/>
          <w:lang w:val="en-GB"/>
        </w:rPr>
      </w:pPr>
      <w:r w:rsidRPr="001D39B8">
        <w:rPr>
          <w:rFonts w:cs="Times New Roman"/>
          <w:b/>
          <w:bCs/>
          <w:sz w:val="24"/>
          <w:szCs w:val="20"/>
          <w:lang w:val="en-GB"/>
        </w:rPr>
        <w:t>Call for participation on AVHD-AS/P.NATS Phase 2</w:t>
      </w:r>
      <w:r w:rsidRPr="001D39B8">
        <w:rPr>
          <w:rFonts w:cs="Times New Roman"/>
          <w:b/>
          <w:bCs/>
          <w:sz w:val="24"/>
          <w:szCs w:val="20"/>
          <w:lang w:val="en-GB"/>
        </w:rPr>
        <w:br/>
        <w:t>Opinion model for estimating video quality of adaptive streaming services</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t>Abstract</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This Call for Participation is directed to all parties who are interested to contribute to AVHD</w:t>
      </w:r>
      <w:r w:rsidRPr="001D39B8">
        <w:rPr>
          <w:rFonts w:cs="Times New Roman"/>
          <w:sz w:val="24"/>
          <w:szCs w:val="24"/>
          <w:lang w:val="en-GB"/>
        </w:rPr>
        <w:noBreakHyphen/>
        <w:t>AS/P.NATS Phase 2 models for objective assessment of progressive download and adaptive streaming type video. Those parties are invited to announce their interest in contributing to AVHD</w:t>
      </w:r>
      <w:r w:rsidRPr="001D39B8">
        <w:rPr>
          <w:rFonts w:cs="Times New Roman"/>
          <w:sz w:val="24"/>
          <w:szCs w:val="24"/>
          <w:lang w:val="en-GB"/>
        </w:rPr>
        <w:noBreakHyphen/>
        <w:t>AS/P.NATS Phase 2 and spending further active development and analysis efforts into the project. Interested parties are expected to announce their final and binding intention to participate</w:t>
      </w:r>
      <w:r w:rsidRPr="001D39B8" w:rsidDel="00BA0B6B">
        <w:rPr>
          <w:rFonts w:cs="Times New Roman"/>
          <w:sz w:val="24"/>
          <w:szCs w:val="24"/>
          <w:lang w:val="en-GB"/>
        </w:rPr>
        <w:t xml:space="preserve"> </w:t>
      </w:r>
      <w:r w:rsidRPr="001D39B8">
        <w:rPr>
          <w:rFonts w:cs="Times New Roman"/>
          <w:sz w:val="24"/>
          <w:szCs w:val="24"/>
          <w:lang w:val="en-GB"/>
        </w:rPr>
        <w:t>by 17 February 2017.</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t>Background</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 xml:space="preserve">The ITU-T P.1203 series of standards which target the parametric and </w:t>
      </w:r>
      <w:proofErr w:type="spellStart"/>
      <w:r w:rsidRPr="001D39B8">
        <w:rPr>
          <w:rFonts w:cs="Times New Roman"/>
          <w:sz w:val="24"/>
          <w:szCs w:val="24"/>
          <w:lang w:val="en-GB"/>
        </w:rPr>
        <w:t>bitstream</w:t>
      </w:r>
      <w:proofErr w:type="spellEnd"/>
      <w:r w:rsidRPr="001D39B8">
        <w:rPr>
          <w:rFonts w:cs="Times New Roman"/>
          <w:sz w:val="24"/>
          <w:szCs w:val="24"/>
          <w:lang w:val="en-GB"/>
        </w:rPr>
        <w:t xml:space="preserve">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The ITU-T J.341/J.342 and J.343 series of standards were developed within VQEG targeting pure pixel</w:t>
      </w:r>
      <w:r w:rsidRPr="001D39B8">
        <w:rPr>
          <w:rFonts w:cs="Times New Roman"/>
          <w:sz w:val="24"/>
          <w:szCs w:val="24"/>
          <w:lang w:val="en-GB"/>
        </w:rPr>
        <w:noBreakHyphen/>
        <w:t>based and hybrid models to support video quality measurement for HDTV digital cable and IP</w:t>
      </w:r>
      <w:r w:rsidRPr="001D39B8">
        <w:rPr>
          <w:rFonts w:cs="Times New Roman"/>
          <w:sz w:val="24"/>
          <w:szCs w:val="24"/>
          <w:lang w:val="en-GB"/>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t>AVHD-AS/P.NATS Phase 2 work item</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 xml:space="preserve">The AVHD-AS/P.NATS Phase 2 model will be developed using a dedicated training phase with a jointly developed set of training databases followed by cross-validation using a jointly developed set of validation databases. </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 xml:space="preserve">The AVHD-AS/P.NATS Phase 2 work item is planned to have three tracks. Track 1 is a </w:t>
      </w:r>
      <w:proofErr w:type="spellStart"/>
      <w:r w:rsidRPr="001D39B8">
        <w:rPr>
          <w:rFonts w:cs="Times New Roman"/>
          <w:sz w:val="24"/>
          <w:szCs w:val="24"/>
          <w:lang w:val="en-GB"/>
        </w:rPr>
        <w:t>bitstream</w:t>
      </w:r>
      <w:proofErr w:type="spellEnd"/>
      <w:r w:rsidRPr="001D39B8">
        <w:rPr>
          <w:rFonts w:cs="Times New Roman"/>
          <w:sz w:val="24"/>
          <w:szCs w:val="24"/>
          <w:lang w:val="en-GB"/>
        </w:rPr>
        <w:t xml:space="preserve">-based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1D39B8" w:rsidRPr="001D39B8" w:rsidRDefault="001D39B8" w:rsidP="001D39B8">
      <w:pPr>
        <w:tabs>
          <w:tab w:val="clear" w:pos="794"/>
        </w:tabs>
        <w:bidi w:val="0"/>
        <w:spacing w:before="0" w:line="240" w:lineRule="auto"/>
        <w:jc w:val="left"/>
        <w:rPr>
          <w:rFonts w:cs="Times New Roman"/>
          <w:sz w:val="24"/>
          <w:szCs w:val="24"/>
          <w:lang w:val="en-GB"/>
        </w:rPr>
      </w:pPr>
      <w:r w:rsidRPr="001D39B8">
        <w:rPr>
          <w:rFonts w:cs="Times New Roman"/>
          <w:sz w:val="24"/>
          <w:szCs w:val="24"/>
          <w:lang w:val="en-GB"/>
        </w:rPr>
        <w:br w:type="page"/>
      </w:r>
    </w:p>
    <w:p w:rsidR="001D39B8" w:rsidRPr="001D39B8" w:rsidRDefault="001D39B8" w:rsidP="001D39B8">
      <w:pPr>
        <w:tabs>
          <w:tab w:val="left" w:pos="1191"/>
          <w:tab w:val="left" w:pos="1588"/>
          <w:tab w:val="left" w:pos="1985"/>
        </w:tabs>
        <w:overflowPunct w:val="0"/>
        <w:autoSpaceDE w:val="0"/>
        <w:autoSpaceDN w:val="0"/>
        <w:bidi w:val="0"/>
        <w:adjustRightInd w:val="0"/>
        <w:spacing w:before="360" w:after="240" w:line="240" w:lineRule="auto"/>
        <w:jc w:val="left"/>
        <w:textAlignment w:val="baseline"/>
        <w:rPr>
          <w:rFonts w:cs="Times New Roman"/>
          <w:sz w:val="24"/>
          <w:szCs w:val="24"/>
          <w:lang w:val="en-GB"/>
        </w:rPr>
      </w:pPr>
      <w:r w:rsidRPr="001D39B8">
        <w:rPr>
          <w:rFonts w:cs="Times New Roman"/>
          <w:sz w:val="24"/>
          <w:szCs w:val="24"/>
          <w:lang w:val="en-GB"/>
        </w:rPr>
        <w:lastRenderedPageBreak/>
        <w:t xml:space="preserve">The building blocks of the AVHD-AS/P.NATS Phase 2 models are shown in Figure 1 below: </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1D39B8">
        <w:rPr>
          <w:rFonts w:cs="Times New Roman"/>
          <w:b/>
          <w:noProof/>
          <w:sz w:val="24"/>
          <w:szCs w:val="20"/>
          <w:lang w:eastAsia="zh-CN"/>
        </w:rPr>
        <w:drawing>
          <wp:inline distT="0" distB="0" distL="0" distR="0" wp14:anchorId="0F226FB2" wp14:editId="3723BCF5">
            <wp:extent cx="588835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rsidR="001D39B8" w:rsidRPr="001D39B8" w:rsidRDefault="001D39B8" w:rsidP="00AD429D">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1D39B8" w:rsidRPr="001D39B8" w:rsidRDefault="001D39B8" w:rsidP="00AD429D">
      <w:pPr>
        <w:keepLines/>
        <w:tabs>
          <w:tab w:val="left" w:pos="1191"/>
          <w:tab w:val="left" w:pos="1588"/>
          <w:tab w:val="left" w:pos="1985"/>
        </w:tabs>
        <w:overflowPunct w:val="0"/>
        <w:autoSpaceDE w:val="0"/>
        <w:autoSpaceDN w:val="0"/>
        <w:bidi w:val="0"/>
        <w:adjustRightInd w:val="0"/>
        <w:spacing w:before="0" w:after="240" w:line="240" w:lineRule="auto"/>
        <w:jc w:val="center"/>
        <w:textAlignment w:val="baseline"/>
        <w:rPr>
          <w:rFonts w:cs="Times New Roman"/>
          <w:b/>
          <w:bCs/>
          <w:sz w:val="24"/>
          <w:szCs w:val="20"/>
          <w:lang w:val="en-GB"/>
        </w:rPr>
      </w:pPr>
      <w:r w:rsidRPr="001D39B8">
        <w:rPr>
          <w:rFonts w:cs="Times New Roman"/>
          <w:b/>
          <w:bCs/>
          <w:sz w:val="24"/>
          <w:szCs w:val="20"/>
          <w:lang w:val="en-GB"/>
        </w:rPr>
        <w:t xml:space="preserve">Figure 1 (a): </w:t>
      </w:r>
      <w:r w:rsidRPr="001D39B8">
        <w:rPr>
          <w:rFonts w:cs="Times New Roman"/>
          <w:b/>
          <w:bCs/>
          <w:sz w:val="24"/>
          <w:szCs w:val="20"/>
          <w:lang w:val="en-GB"/>
        </w:rPr>
        <w:tab/>
        <w:t xml:space="preserve">Building blocks of the </w:t>
      </w:r>
      <w:proofErr w:type="spellStart"/>
      <w:r w:rsidRPr="001D39B8">
        <w:rPr>
          <w:rFonts w:cs="Times New Roman"/>
          <w:b/>
          <w:bCs/>
          <w:sz w:val="24"/>
          <w:szCs w:val="20"/>
          <w:lang w:val="en-GB"/>
        </w:rPr>
        <w:t>bitstream</w:t>
      </w:r>
      <w:proofErr w:type="spellEnd"/>
      <w:r w:rsidRPr="001D39B8">
        <w:rPr>
          <w:rFonts w:cs="Times New Roman"/>
          <w:b/>
          <w:bCs/>
          <w:sz w:val="24"/>
          <w:szCs w:val="20"/>
          <w:lang w:val="en-GB"/>
        </w:rPr>
        <w:t xml:space="preserve"> model (track1), only red shaded blocks will be developed, blue blocks are taken from P.1203 for characterization</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1D39B8">
        <w:rPr>
          <w:rFonts w:cs="Times New Roman"/>
          <w:noProof/>
          <w:sz w:val="24"/>
          <w:szCs w:val="20"/>
          <w:lang w:eastAsia="zh-CN"/>
        </w:rPr>
        <w:drawing>
          <wp:inline distT="0" distB="0" distL="0" distR="0" wp14:anchorId="7114CCCE" wp14:editId="4601F7D1">
            <wp:extent cx="5582823"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rsidR="001D39B8" w:rsidRPr="001D39B8" w:rsidRDefault="001D39B8" w:rsidP="00AD429D">
      <w:pPr>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cs="Times New Roman"/>
          <w:b/>
          <w:bCs/>
          <w:sz w:val="24"/>
          <w:szCs w:val="20"/>
          <w:lang w:val="en-GB"/>
        </w:rPr>
      </w:pPr>
      <w:r w:rsidRPr="001D39B8">
        <w:rPr>
          <w:rFonts w:cs="Times New Roman"/>
          <w:b/>
          <w:bCs/>
          <w:sz w:val="24"/>
          <w:szCs w:val="20"/>
          <w:lang w:val="en-GB"/>
        </w:rPr>
        <w:t xml:space="preserve">Figure 1 (b): </w:t>
      </w:r>
      <w:r w:rsidRPr="001D39B8">
        <w:rPr>
          <w:rFonts w:cs="Times New Roman"/>
          <w:b/>
          <w:bCs/>
          <w:sz w:val="24"/>
          <w:szCs w:val="20"/>
          <w:lang w:val="en-GB"/>
        </w:rPr>
        <w:tab/>
        <w:t>Building blocks of the pixel-based (track2) and hybrid models (track3), only red shaded blocks will be developed, blue blocks are taken from P.1203 for characterization</w:t>
      </w:r>
    </w:p>
    <w:p w:rsidR="001D39B8" w:rsidRPr="001D39B8" w:rsidRDefault="001D39B8" w:rsidP="001D39B8">
      <w:pPr>
        <w:tabs>
          <w:tab w:val="left" w:pos="720"/>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The individual outputs can be summarized as follows:</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O.27: Final short-term video coding quality score</w:t>
      </w:r>
    </w:p>
    <w:p w:rsidR="001D39B8" w:rsidRPr="001D39B8" w:rsidRDefault="001D39B8" w:rsidP="001D39B8">
      <w:pPr>
        <w:numPr>
          <w:ilvl w:val="1"/>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Single score for each short-length video, on 1-5 quality scale</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Excludes aspects of temporal integration with initial- or re-buffering</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O.46: Final media session quality score</w:t>
      </w:r>
    </w:p>
    <w:p w:rsidR="001D39B8" w:rsidRPr="001D39B8" w:rsidRDefault="001D39B8" w:rsidP="001D39B8">
      <w:pPr>
        <w:numPr>
          <w:ilvl w:val="1"/>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Single score for the session, on a 1-5 quality scale</w:t>
      </w:r>
    </w:p>
    <w:p w:rsidR="001D39B8" w:rsidRPr="001D39B8" w:rsidRDefault="001D39B8" w:rsidP="001D39B8">
      <w:pPr>
        <w:numPr>
          <w:ilvl w:val="1"/>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 xml:space="preserve">Includes initial buffering and stalling and rate </w:t>
      </w:r>
      <w:proofErr w:type="spellStart"/>
      <w:r w:rsidRPr="001D39B8">
        <w:rPr>
          <w:rFonts w:cs="Times New Roman"/>
          <w:sz w:val="24"/>
          <w:szCs w:val="24"/>
          <w:lang w:val="en-GB"/>
        </w:rPr>
        <w:t>adaptivity</w:t>
      </w:r>
      <w:proofErr w:type="spellEnd"/>
      <w:r w:rsidRPr="001D39B8">
        <w:rPr>
          <w:rFonts w:cs="Times New Roman"/>
          <w:sz w:val="24"/>
          <w:szCs w:val="24"/>
          <w:lang w:val="en-GB"/>
        </w:rPr>
        <w:t xml:space="preserve"> aspects.</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O.22: Video coding quality per output sampling interval</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 xml:space="preserve">Multiple segment scores provided per session and on a 1-5 quality scale </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O.21: Audio coding quality per output sampling interval</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 xml:space="preserve">Multiple segment scores provided per session and on a 1-5 quality scale </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lastRenderedPageBreak/>
        <w:t>O.23: Perceptual buffering indication</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Single score on a 1-5 quality scale for the session</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 xml:space="preserve">O.34: </w:t>
      </w:r>
      <w:proofErr w:type="spellStart"/>
      <w:r w:rsidRPr="001D39B8">
        <w:rPr>
          <w:rFonts w:cs="Times New Roman"/>
          <w:sz w:val="24"/>
          <w:szCs w:val="24"/>
          <w:lang w:val="en-GB"/>
        </w:rPr>
        <w:t>Audiovisual</w:t>
      </w:r>
      <w:proofErr w:type="spellEnd"/>
      <w:r w:rsidRPr="001D39B8">
        <w:rPr>
          <w:rFonts w:cs="Times New Roman"/>
          <w:sz w:val="24"/>
          <w:szCs w:val="24"/>
          <w:lang w:val="en-GB"/>
        </w:rPr>
        <w:t xml:space="preserve"> segment coding quality per output sampling interval</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Multiple segment scores provided per session</w:t>
      </w:r>
    </w:p>
    <w:p w:rsidR="001D39B8" w:rsidRPr="001D39B8" w:rsidRDefault="001D39B8" w:rsidP="001D39B8">
      <w:pPr>
        <w:numPr>
          <w:ilvl w:val="0"/>
          <w:numId w:val="14"/>
        </w:num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 xml:space="preserve">O.35: Final long-term </w:t>
      </w:r>
      <w:proofErr w:type="spellStart"/>
      <w:r w:rsidRPr="001D39B8">
        <w:rPr>
          <w:rFonts w:cs="Times New Roman"/>
          <w:sz w:val="24"/>
          <w:szCs w:val="24"/>
          <w:lang w:val="en-GB"/>
        </w:rPr>
        <w:t>audiovisual</w:t>
      </w:r>
      <w:proofErr w:type="spellEnd"/>
      <w:r w:rsidRPr="001D39B8">
        <w:rPr>
          <w:rFonts w:cs="Times New Roman"/>
          <w:sz w:val="24"/>
          <w:szCs w:val="24"/>
          <w:lang w:val="en-GB"/>
        </w:rPr>
        <w:t xml:space="preserve"> coding quality score</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Single score for the session, on a 1-5 quality scale</w:t>
      </w:r>
    </w:p>
    <w:p w:rsidR="001D39B8" w:rsidRPr="001D39B8" w:rsidRDefault="001D39B8" w:rsidP="001D39B8">
      <w:pPr>
        <w:numPr>
          <w:ilvl w:val="1"/>
          <w:numId w:val="14"/>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Includes aspects of temporal integration with initial- or re-buffering</w:t>
      </w:r>
    </w:p>
    <w:p w:rsidR="001D39B8" w:rsidRPr="001D39B8" w:rsidRDefault="001D39B8" w:rsidP="001D39B8">
      <w:pPr>
        <w:tabs>
          <w:tab w:val="left" w:pos="720"/>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p>
    <w:p w:rsidR="001D39B8" w:rsidRPr="001D39B8" w:rsidRDefault="001D39B8" w:rsidP="001D39B8">
      <w:pPr>
        <w:tabs>
          <w:tab w:val="left" w:pos="720"/>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4"/>
          <w:lang w:val="en-GB"/>
        </w:rPr>
      </w:pPr>
      <w:r w:rsidRPr="001D39B8">
        <w:rPr>
          <w:rFonts w:cs="Times New Roman"/>
          <w:sz w:val="24"/>
          <w:szCs w:val="24"/>
          <w:lang w:val="en-GB"/>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t>Requirements on parties</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 xml:space="preserve">Interested parties are requested to announce their participation by 17 February 2017, and </w:t>
      </w:r>
      <w:proofErr w:type="gramStart"/>
      <w:r w:rsidRPr="001D39B8">
        <w:rPr>
          <w:rFonts w:cs="Times New Roman"/>
          <w:sz w:val="24"/>
          <w:szCs w:val="24"/>
          <w:lang w:val="en-GB"/>
        </w:rPr>
        <w:t>may</w:t>
      </w:r>
      <w:proofErr w:type="gramEnd"/>
      <w:r w:rsidRPr="001D39B8">
        <w:rPr>
          <w:rFonts w:cs="Times New Roman"/>
          <w:sz w:val="24"/>
          <w:szCs w:val="24"/>
          <w:lang w:val="en-GB"/>
        </w:rPr>
        <w:t xml:space="preserve"> then take part in continue creating a set of documents specifying the project layout and modus operandi. Note that many documents are already available and have been agreed by the proponents who provisionally have responded to the call for participation. New parties need to accept the decisions concerning the project already agreed by the parties already participating. The parties which take part in in the coming steps can then contribute to drafting the required documents, and take part in finally creating the new AVHD-AS/P.NATS Phase 2 Recommendation. This work will include producing four databases per proponent. </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The announcement of participation in the mentioned project is divided into two steps:</w:t>
      </w:r>
    </w:p>
    <w:p w:rsidR="001D39B8" w:rsidRPr="001D39B8" w:rsidRDefault="001D39B8" w:rsidP="001D39B8">
      <w:pPr>
        <w:widowControl w:val="0"/>
        <w:numPr>
          <w:ilvl w:val="0"/>
          <w:numId w:val="13"/>
        </w:numPr>
        <w:tabs>
          <w:tab w:val="clear" w:pos="794"/>
          <w:tab w:val="left" w:pos="709"/>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Interested parties had to announce their provisional intention to participate in the AVHD</w:t>
      </w:r>
      <w:r w:rsidRPr="001D39B8">
        <w:rPr>
          <w:rFonts w:cs="Times New Roman"/>
          <w:sz w:val="24"/>
          <w:szCs w:val="24"/>
          <w:lang w:val="en-GB"/>
        </w:rPr>
        <w:noBreakHyphen/>
        <w:t xml:space="preserve">AS/P.NATS Phase 2 development by </w:t>
      </w:r>
      <w:r w:rsidRPr="001D39B8">
        <w:rPr>
          <w:rFonts w:cs="Times New Roman"/>
          <w:b/>
          <w:bCs/>
          <w:sz w:val="24"/>
          <w:szCs w:val="24"/>
          <w:lang w:val="en-GB"/>
        </w:rPr>
        <w:t>9 January 2017</w:t>
      </w:r>
      <w:r w:rsidRPr="001D39B8">
        <w:rPr>
          <w:rFonts w:cs="Times New Roman"/>
          <w:b/>
          <w:sz w:val="24"/>
          <w:szCs w:val="24"/>
          <w:lang w:val="en-GB"/>
        </w:rPr>
        <w:t xml:space="preserve"> </w:t>
      </w:r>
      <w:r w:rsidRPr="001D39B8">
        <w:rPr>
          <w:rFonts w:cs="Times New Roman"/>
          <w:sz w:val="24"/>
          <w:szCs w:val="24"/>
          <w:lang w:val="en-GB"/>
        </w:rPr>
        <w:t xml:space="preserve">to </w:t>
      </w:r>
      <w:hyperlink r:id="rId20" w:history="1">
        <w:r w:rsidRPr="001D39B8">
          <w:rPr>
            <w:rFonts w:cs="Times New Roman"/>
            <w:color w:val="0000FF"/>
            <w:sz w:val="24"/>
            <w:szCs w:val="24"/>
            <w:u w:val="single"/>
            <w:lang w:val="en-GB"/>
          </w:rPr>
          <w:t>tsbsg12@itu.int</w:t>
        </w:r>
      </w:hyperlink>
      <w:r w:rsidRPr="001D39B8">
        <w:rPr>
          <w:rFonts w:cs="Times New Roman"/>
          <w:sz w:val="24"/>
          <w:szCs w:val="24"/>
          <w:lang w:val="en-GB"/>
        </w:rPr>
        <w:t xml:space="preserve">. This deadline has passed and eleven companies have indicated provisionally their participation in this project. </w:t>
      </w:r>
    </w:p>
    <w:p w:rsidR="001D39B8" w:rsidRPr="001D39B8" w:rsidRDefault="001D39B8" w:rsidP="001D39B8">
      <w:pPr>
        <w:widowControl w:val="0"/>
        <w:numPr>
          <w:ilvl w:val="0"/>
          <w:numId w:val="13"/>
        </w:numPr>
        <w:tabs>
          <w:tab w:val="clear" w:pos="794"/>
          <w:tab w:val="left" w:pos="709"/>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A binding commitment to participate in the AVHD-AS/P.NATS Phase 2 development has to be made by</w:t>
      </w:r>
      <w:r w:rsidRPr="001D39B8">
        <w:rPr>
          <w:rFonts w:cs="Times New Roman"/>
          <w:b/>
          <w:sz w:val="24"/>
          <w:szCs w:val="24"/>
          <w:lang w:val="en-GB"/>
        </w:rPr>
        <w:t xml:space="preserve"> </w:t>
      </w:r>
      <w:r w:rsidRPr="001D39B8">
        <w:rPr>
          <w:rFonts w:cs="Times New Roman"/>
          <w:b/>
          <w:bCs/>
          <w:sz w:val="24"/>
          <w:szCs w:val="24"/>
          <w:lang w:val="en-GB"/>
        </w:rPr>
        <w:t>17 February 2017</w:t>
      </w:r>
      <w:r w:rsidRPr="001D39B8">
        <w:rPr>
          <w:rFonts w:cs="Times New Roman"/>
          <w:sz w:val="24"/>
          <w:szCs w:val="24"/>
          <w:lang w:val="en-GB"/>
        </w:rPr>
        <w:t xml:space="preserve"> to the secretariat of ITU-T SG12 (</w:t>
      </w:r>
      <w:hyperlink r:id="rId21" w:history="1">
        <w:r w:rsidRPr="001D39B8">
          <w:rPr>
            <w:rFonts w:cs="Times New Roman"/>
            <w:color w:val="0000FF"/>
            <w:sz w:val="24"/>
            <w:szCs w:val="24"/>
            <w:u w:val="single"/>
            <w:lang w:val="en-GB"/>
          </w:rPr>
          <w:t>tsbsg12@itu.int</w:t>
        </w:r>
      </w:hyperlink>
      <w:r w:rsidRPr="001D39B8">
        <w:rPr>
          <w:rFonts w:cs="Times New Roman"/>
          <w:sz w:val="24"/>
          <w:szCs w:val="24"/>
          <w:lang w:val="en-GB"/>
        </w:rPr>
        <w:t>), and to the VQEG AVHD Co-Chairs (</w:t>
      </w:r>
      <w:hyperlink r:id="rId22" w:history="1">
        <w:r w:rsidRPr="001D39B8">
          <w:rPr>
            <w:rFonts w:cs="Times New Roman"/>
            <w:color w:val="0000FF"/>
            <w:sz w:val="24"/>
            <w:szCs w:val="24"/>
            <w:u w:val="single"/>
            <w:lang w:val="en-GB"/>
          </w:rPr>
          <w:t>cs@opticom.de</w:t>
        </w:r>
      </w:hyperlink>
      <w:r w:rsidRPr="001D39B8">
        <w:rPr>
          <w:rFonts w:cs="Times New Roman"/>
          <w:sz w:val="24"/>
          <w:szCs w:val="24"/>
          <w:lang w:val="en-GB"/>
        </w:rPr>
        <w:t xml:space="preserve">; </w:t>
      </w:r>
      <w:hyperlink r:id="rId23" w:history="1">
        <w:r w:rsidRPr="001D39B8">
          <w:rPr>
            <w:rFonts w:cs="Times New Roman"/>
            <w:color w:val="0000FF"/>
            <w:sz w:val="24"/>
            <w:szCs w:val="24"/>
            <w:u w:val="single"/>
            <w:lang w:val="en-GB"/>
          </w:rPr>
          <w:t>Quan.Huynh-Thu@cisra.canon.com.au</w:t>
        </w:r>
      </w:hyperlink>
      <w:r w:rsidRPr="001D39B8">
        <w:rPr>
          <w:rFonts w:cs="Times New Roman"/>
          <w:sz w:val="24"/>
          <w:szCs w:val="24"/>
          <w:lang w:val="en-GB"/>
        </w:rPr>
        <w:t xml:space="preserve">; </w:t>
      </w:r>
      <w:hyperlink r:id="rId24" w:history="1">
        <w:r w:rsidRPr="001D39B8">
          <w:rPr>
            <w:rFonts w:cs="Times New Roman"/>
            <w:color w:val="0000FF"/>
            <w:sz w:val="24"/>
            <w:szCs w:val="24"/>
            <w:u w:val="single"/>
            <w:lang w:val="en-GB"/>
          </w:rPr>
          <w:t>mpinson@ntia.doc.gov</w:t>
        </w:r>
      </w:hyperlink>
      <w:r w:rsidRPr="001D39B8">
        <w:rPr>
          <w:rFonts w:cs="Times New Roman"/>
          <w:sz w:val="24"/>
          <w:szCs w:val="24"/>
          <w:lang w:val="en-GB"/>
        </w:rPr>
        <w:t>). Note that parties not responding to the first provisional call are welcome to join the project by answering to this second call. The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1D39B8">
        <w:rPr>
          <w:rFonts w:cs="Times New Roman"/>
          <w:sz w:val="24"/>
          <w:szCs w:val="24"/>
          <w:lang w:val="en-GB"/>
        </w:rPr>
        <w:noBreakHyphen/>
        <w:t xml:space="preserve">T/VQEG using a respective agreement between the parties. </w:t>
      </w:r>
    </w:p>
    <w:p w:rsidR="001D39B8" w:rsidRPr="001D39B8" w:rsidRDefault="001D39B8" w:rsidP="001D39B8">
      <w:pPr>
        <w:tabs>
          <w:tab w:val="clear" w:pos="794"/>
        </w:tabs>
        <w:bidi w:val="0"/>
        <w:spacing w:before="0" w:line="240" w:lineRule="auto"/>
        <w:jc w:val="left"/>
        <w:rPr>
          <w:rFonts w:cs="Times New Roman"/>
          <w:b/>
          <w:sz w:val="24"/>
          <w:szCs w:val="24"/>
          <w:lang w:val="en-GB"/>
        </w:rPr>
      </w:pPr>
      <w:r w:rsidRPr="001D39B8">
        <w:rPr>
          <w:rFonts w:cs="Times New Roman"/>
          <w:b/>
          <w:sz w:val="24"/>
          <w:szCs w:val="24"/>
          <w:lang w:val="en-GB"/>
        </w:rPr>
        <w:br w:type="page"/>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lastRenderedPageBreak/>
        <w:t>Draft overview time plan</w:t>
      </w:r>
    </w:p>
    <w:p w:rsidR="001D39B8" w:rsidRPr="001D39B8" w:rsidRDefault="001D39B8" w:rsidP="001D39B8">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b/>
                <w:sz w:val="24"/>
                <w:szCs w:val="24"/>
                <w:lang w:val="en-GB"/>
              </w:rPr>
            </w:pPr>
            <w:r w:rsidRPr="001D39B8">
              <w:rPr>
                <w:rFonts w:cs="Times New Roman"/>
                <w:b/>
                <w:sz w:val="24"/>
                <w:szCs w:val="24"/>
                <w:lang w:val="en-GB"/>
              </w:rPr>
              <w:t>Date (Tentative)</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b/>
                <w:sz w:val="24"/>
                <w:szCs w:val="24"/>
                <w:lang w:val="en-GB"/>
              </w:rPr>
            </w:pPr>
            <w:r w:rsidRPr="001D39B8">
              <w:rPr>
                <w:rFonts w:cs="Times New Roman"/>
                <w:b/>
                <w:sz w:val="24"/>
                <w:szCs w:val="24"/>
                <w:lang w:val="en-GB"/>
              </w:rPr>
              <w:t>Result/activity completed</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 xml:space="preserve">13 December 2016 </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4"/>
                <w:lang w:val="en-GB"/>
              </w:rPr>
            </w:pPr>
            <w:r w:rsidRPr="001D39B8">
              <w:rPr>
                <w:rFonts w:cs="Times New Roman"/>
                <w:sz w:val="24"/>
                <w:szCs w:val="24"/>
                <w:lang w:val="en-GB"/>
              </w:rPr>
              <w:t>Call for indication of participation sent out</w:t>
            </w:r>
          </w:p>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4"/>
                <w:lang w:val="en-GB"/>
              </w:rPr>
            </w:pPr>
            <w:r w:rsidRPr="001D39B8">
              <w:rPr>
                <w:rFonts w:cs="Times New Roman"/>
                <w:sz w:val="24"/>
                <w:szCs w:val="24"/>
                <w:lang w:val="en-GB"/>
              </w:rPr>
              <w:t xml:space="preserve">Stable </w:t>
            </w:r>
            <w:proofErr w:type="spellStart"/>
            <w:r w:rsidRPr="001D39B8">
              <w:rPr>
                <w:rFonts w:cs="Times New Roman"/>
                <w:sz w:val="24"/>
                <w:szCs w:val="24"/>
                <w:lang w:val="en-GB"/>
              </w:rPr>
              <w:t>ToR</w:t>
            </w:r>
            <w:proofErr w:type="spellEnd"/>
            <w:r w:rsidRPr="001D39B8">
              <w:rPr>
                <w:rFonts w:cs="Times New Roman"/>
                <w:sz w:val="24"/>
                <w:szCs w:val="24"/>
                <w:lang w:val="en-GB"/>
              </w:rPr>
              <w:t xml:space="preserve"> available</w:t>
            </w:r>
          </w:p>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4"/>
                <w:lang w:val="en-GB"/>
              </w:rPr>
            </w:pPr>
            <w:r w:rsidRPr="001D39B8">
              <w:rPr>
                <w:rFonts w:cs="Times New Roman"/>
                <w:sz w:val="24"/>
                <w:szCs w:val="24"/>
                <w:lang w:val="en-GB"/>
              </w:rPr>
              <w:t>Draft requirement specification</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t>9 January 2017</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Deadline for indication of participation</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End of SG12 January meeting</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4"/>
                <w:lang w:val="en-GB"/>
              </w:rPr>
            </w:pPr>
            <w:r w:rsidRPr="001D39B8">
              <w:rPr>
                <w:rFonts w:cs="Times New Roman"/>
                <w:sz w:val="24"/>
                <w:szCs w:val="24"/>
                <w:lang w:val="en-GB"/>
              </w:rPr>
              <w:t xml:space="preserve">Updates (if any) for requirement specification and </w:t>
            </w:r>
            <w:proofErr w:type="spellStart"/>
            <w:r w:rsidRPr="001D39B8">
              <w:rPr>
                <w:rFonts w:cs="Times New Roman"/>
                <w:sz w:val="24"/>
                <w:szCs w:val="24"/>
                <w:lang w:val="en-GB"/>
              </w:rPr>
              <w:t>ToR</w:t>
            </w:r>
            <w:proofErr w:type="spellEnd"/>
            <w:r w:rsidRPr="001D39B8">
              <w:rPr>
                <w:rFonts w:cs="Times New Roman"/>
                <w:sz w:val="24"/>
                <w:szCs w:val="24"/>
                <w:lang w:val="en-GB"/>
              </w:rPr>
              <w:t xml:space="preserve"> </w:t>
            </w:r>
          </w:p>
          <w:p w:rsidR="001D39B8" w:rsidRPr="001D39B8" w:rsidRDefault="001D39B8" w:rsidP="001D39B8">
            <w:pPr>
              <w:tabs>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4"/>
                <w:lang w:val="en-GB"/>
              </w:rPr>
            </w:pPr>
            <w:r w:rsidRPr="001D39B8">
              <w:rPr>
                <w:rFonts w:cs="Times New Roman"/>
                <w:sz w:val="24"/>
                <w:szCs w:val="24"/>
                <w:lang w:val="en-GB"/>
              </w:rPr>
              <w:t>Draft test specification available</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4"/>
                <w:lang w:val="en-GB"/>
              </w:rPr>
            </w:pPr>
            <w:r w:rsidRPr="001D39B8">
              <w:rPr>
                <w:rFonts w:cs="Times New Roman"/>
                <w:b/>
                <w:sz w:val="24"/>
                <w:szCs w:val="24"/>
                <w:lang w:val="en-GB"/>
              </w:rPr>
              <w:t>17 February 2017</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Deadline response for binding call for participation</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May 2017</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All details of test and processing chain set</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August 2017</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Training databases submitted</w:t>
            </w:r>
          </w:p>
        </w:tc>
      </w:tr>
      <w:tr w:rsidR="001D39B8" w:rsidRPr="001D39B8" w:rsidTr="00987813">
        <w:trPr>
          <w:jc w:val="center"/>
        </w:trPr>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November 2017</w:t>
            </w:r>
          </w:p>
        </w:tc>
        <w:tc>
          <w:tcPr>
            <w:tcW w:w="0" w:type="auto"/>
            <w:shd w:val="clear" w:color="auto" w:fill="auto"/>
          </w:tcPr>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4"/>
                <w:lang w:val="en-GB"/>
              </w:rPr>
            </w:pPr>
            <w:r w:rsidRPr="001D39B8">
              <w:rPr>
                <w:rFonts w:cs="Times New Roman"/>
                <w:sz w:val="24"/>
                <w:szCs w:val="24"/>
                <w:lang w:val="en-GB"/>
              </w:rPr>
              <w:t>Model submission</w:t>
            </w:r>
          </w:p>
        </w:tc>
      </w:tr>
    </w:tbl>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rPr>
      </w:pPr>
      <w:r w:rsidRPr="001D39B8">
        <w:rPr>
          <w:rFonts w:cs="Times New Roman"/>
          <w:b/>
          <w:sz w:val="24"/>
          <w:szCs w:val="20"/>
          <w:lang w:val="en-GB"/>
        </w:rPr>
        <w:t>Communication</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D39B8">
        <w:rPr>
          <w:rFonts w:cs="Times New Roman"/>
          <w:sz w:val="24"/>
          <w:szCs w:val="20"/>
          <w:lang w:val="en-GB"/>
        </w:rPr>
        <w:t>Participants are encouraged to respond to this call for participation as indicated above. Participants are also encouraged to subscribe to the e-mail reflector of AVHD-AS/P.NATS Phase 2 (</w:t>
      </w:r>
      <w:r w:rsidRPr="001D39B8">
        <w:rPr>
          <w:rFonts w:cs="Times New Roman"/>
          <w:color w:val="0000FF"/>
          <w:sz w:val="24"/>
          <w:szCs w:val="20"/>
          <w:u w:val="single"/>
          <w:lang w:val="en-GB"/>
        </w:rPr>
        <w:t>pnats2avhd@lists.itu.int</w:t>
      </w:r>
      <w:r w:rsidRPr="001D39B8">
        <w:rPr>
          <w:rFonts w:cs="Times New Roman"/>
          <w:sz w:val="24"/>
          <w:szCs w:val="20"/>
          <w:lang w:val="en-GB"/>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5" w:history="1">
        <w:r w:rsidRPr="001D39B8">
          <w:rPr>
            <w:rFonts w:cs="Times New Roman"/>
            <w:color w:val="0000FF"/>
            <w:sz w:val="24"/>
            <w:szCs w:val="20"/>
            <w:u w:val="single"/>
            <w:lang w:val="en-GB"/>
          </w:rPr>
          <w:t>https://www.itu.int/net/iwm/public/frmUserRegistration.aspx</w:t>
        </w:r>
      </w:hyperlink>
      <w:r w:rsidRPr="001D39B8">
        <w:rPr>
          <w:rFonts w:cs="Times New Roman"/>
          <w:sz w:val="24"/>
          <w:szCs w:val="20"/>
          <w:lang w:val="en-GB"/>
        </w:rPr>
        <w:t xml:space="preserve"> and sign up for the e-mail reflector at </w:t>
      </w:r>
      <w:hyperlink r:id="rId26" w:history="1">
        <w:r w:rsidRPr="001D39B8">
          <w:rPr>
            <w:rFonts w:cs="Times New Roman"/>
            <w:color w:val="0000FF"/>
            <w:sz w:val="24"/>
            <w:szCs w:val="20"/>
            <w:u w:val="single"/>
            <w:lang w:val="en-GB"/>
          </w:rPr>
          <w:t>https://www.itu.int/net4/iwm/?p0=0&amp;p11=ITU&amp;p12=ITU-SEP-ITU-T-SEP-Other%20Groups-SEP-pnats2avhd&amp;p21=ITU&amp;p22=ITU-SEP-ITU-T-SEP-Other%20Groups-SEP-pnats2avhd</w:t>
        </w:r>
      </w:hyperlink>
      <w:r w:rsidRPr="001D39B8">
        <w:rPr>
          <w:rFonts w:cs="Times New Roman"/>
          <w:sz w:val="24"/>
          <w:szCs w:val="20"/>
          <w:lang w:val="en-GB"/>
        </w:rPr>
        <w:t xml:space="preserve">.  </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D39B8">
        <w:rPr>
          <w:rFonts w:cs="Times New Roman"/>
          <w:sz w:val="24"/>
          <w:szCs w:val="20"/>
          <w:lang w:val="en-GB"/>
        </w:rPr>
        <w:t xml:space="preserve">More information about Study Group 12 can be found at: </w:t>
      </w:r>
      <w:r w:rsidRPr="001D39B8">
        <w:rPr>
          <w:rFonts w:cs="Times New Roman"/>
          <w:sz w:val="24"/>
          <w:szCs w:val="20"/>
          <w:lang w:val="en-GB"/>
        </w:rPr>
        <w:br/>
      </w:r>
      <w:hyperlink r:id="rId27" w:history="1">
        <w:r w:rsidRPr="001D39B8">
          <w:rPr>
            <w:rFonts w:cs="Times New Roman"/>
            <w:color w:val="0000FF"/>
            <w:sz w:val="24"/>
            <w:szCs w:val="20"/>
            <w:u w:val="single"/>
            <w:lang w:val="en-GB"/>
          </w:rPr>
          <w:t>https://www.itu.int/en/ITU-T/studygroups/2017-2020/12/</w:t>
        </w:r>
      </w:hyperlink>
      <w:r w:rsidRPr="001D39B8">
        <w:rPr>
          <w:rFonts w:cs="Times New Roman"/>
          <w:sz w:val="24"/>
          <w:szCs w:val="20"/>
          <w:lang w:val="en-GB"/>
        </w:rPr>
        <w:t>.</w:t>
      </w:r>
    </w:p>
    <w:p w:rsidR="001D39B8" w:rsidRPr="001D39B8" w:rsidRDefault="001D39B8" w:rsidP="001D39B8">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D39B8">
        <w:rPr>
          <w:rFonts w:cs="Times New Roman"/>
          <w:sz w:val="24"/>
          <w:szCs w:val="20"/>
          <w:lang w:val="en-GB"/>
        </w:rPr>
        <w:t xml:space="preserve">More information about VQEG can be found at </w:t>
      </w:r>
      <w:hyperlink r:id="rId28" w:history="1">
        <w:r w:rsidRPr="001D39B8">
          <w:rPr>
            <w:rFonts w:cs="Times New Roman"/>
            <w:color w:val="0000FF"/>
            <w:sz w:val="24"/>
            <w:szCs w:val="20"/>
            <w:u w:val="single"/>
            <w:lang w:val="en-GB"/>
          </w:rPr>
          <w:t>http://www.its.bldrdoc.gov/vqeg/</w:t>
        </w:r>
      </w:hyperlink>
      <w:r w:rsidRPr="001D39B8">
        <w:rPr>
          <w:rFonts w:cs="Times New Roman"/>
          <w:sz w:val="24"/>
          <w:szCs w:val="20"/>
          <w:lang w:val="en-GB"/>
        </w:rPr>
        <w:t xml:space="preserve">. </w:t>
      </w:r>
    </w:p>
    <w:p w:rsidR="00720026" w:rsidRPr="001D39B8" w:rsidRDefault="001D39B8" w:rsidP="001D39B8">
      <w:pPr>
        <w:spacing w:before="600"/>
        <w:jc w:val="center"/>
        <w:rPr>
          <w:rtl/>
          <w:lang w:val="en-GB" w:bidi="ar-EG"/>
        </w:rPr>
      </w:pPr>
      <w:r>
        <w:rPr>
          <w:rtl/>
          <w:lang w:val="en-GB" w:bidi="ar-EG"/>
        </w:rPr>
        <w:t>___________</w:t>
      </w:r>
    </w:p>
    <w:sectPr w:rsidR="00720026" w:rsidRPr="001D39B8" w:rsidSect="008B5B5D">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69" w:rsidRDefault="006E2269" w:rsidP="00E07379">
      <w:pPr>
        <w:spacing w:before="0" w:line="240" w:lineRule="auto"/>
      </w:pPr>
      <w:r>
        <w:separator/>
      </w:r>
    </w:p>
  </w:endnote>
  <w:endnote w:type="continuationSeparator" w:id="0">
    <w:p w:rsidR="006E2269" w:rsidRDefault="006E226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12DD9" w:rsidRDefault="00312DD9" w:rsidP="00312DD9">
    <w:pPr>
      <w:pStyle w:val="Footer"/>
      <w:tabs>
        <w:tab w:val="clear" w:pos="794"/>
      </w:tabs>
      <w:rPr>
        <w:szCs w:val="20"/>
        <w:lang w:val="fr-CH"/>
      </w:rPr>
    </w:pPr>
    <w:r>
      <w:rPr>
        <w:lang w:val="fr-CH"/>
      </w:rPr>
      <w:t>ITU-T\BUREAU\CIRC\003R1A.DOC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69" w:rsidRDefault="006E2269" w:rsidP="00E07379">
      <w:pPr>
        <w:spacing w:before="0" w:line="240" w:lineRule="auto"/>
      </w:pPr>
      <w:r>
        <w:separator/>
      </w:r>
    </w:p>
  </w:footnote>
  <w:footnote w:type="continuationSeparator" w:id="0">
    <w:p w:rsidR="006E2269" w:rsidRDefault="006E226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D429D">
    <w:pPr>
      <w:bidi w:val="0"/>
      <w:spacing w:after="12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8930A5">
      <w:rPr>
        <w:rStyle w:val="PageNumber"/>
        <w:noProof/>
      </w:rPr>
      <w:t>6</w:t>
    </w:r>
    <w:r w:rsidR="0022345D"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26"/>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D39B8"/>
    <w:rsid w:val="0022345D"/>
    <w:rsid w:val="00225854"/>
    <w:rsid w:val="0023283D"/>
    <w:rsid w:val="0025130D"/>
    <w:rsid w:val="00252E0C"/>
    <w:rsid w:val="00276881"/>
    <w:rsid w:val="00283A0D"/>
    <w:rsid w:val="002916BE"/>
    <w:rsid w:val="00293370"/>
    <w:rsid w:val="002978F4"/>
    <w:rsid w:val="002B028D"/>
    <w:rsid w:val="002B435E"/>
    <w:rsid w:val="002B55B1"/>
    <w:rsid w:val="002C4DAE"/>
    <w:rsid w:val="002D6669"/>
    <w:rsid w:val="002E6541"/>
    <w:rsid w:val="002F5560"/>
    <w:rsid w:val="0030486B"/>
    <w:rsid w:val="00312DD9"/>
    <w:rsid w:val="003231B9"/>
    <w:rsid w:val="003275AC"/>
    <w:rsid w:val="00333D29"/>
    <w:rsid w:val="003409F4"/>
    <w:rsid w:val="00357185"/>
    <w:rsid w:val="00390CC6"/>
    <w:rsid w:val="003C106D"/>
    <w:rsid w:val="003C475F"/>
    <w:rsid w:val="003E4132"/>
    <w:rsid w:val="003F678F"/>
    <w:rsid w:val="00425492"/>
    <w:rsid w:val="0042686F"/>
    <w:rsid w:val="004367CE"/>
    <w:rsid w:val="00443869"/>
    <w:rsid w:val="004712C6"/>
    <w:rsid w:val="00497703"/>
    <w:rsid w:val="004E2E8D"/>
    <w:rsid w:val="004F0F06"/>
    <w:rsid w:val="005012F4"/>
    <w:rsid w:val="00501E0E"/>
    <w:rsid w:val="005204D7"/>
    <w:rsid w:val="00530420"/>
    <w:rsid w:val="00552BC5"/>
    <w:rsid w:val="0055516A"/>
    <w:rsid w:val="005571FE"/>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E2269"/>
    <w:rsid w:val="006F267F"/>
    <w:rsid w:val="006F63F7"/>
    <w:rsid w:val="006F6F03"/>
    <w:rsid w:val="00706D7A"/>
    <w:rsid w:val="00720026"/>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930A5"/>
    <w:rsid w:val="008A1810"/>
    <w:rsid w:val="008B5B5D"/>
    <w:rsid w:val="008D43CE"/>
    <w:rsid w:val="008E7CC9"/>
    <w:rsid w:val="00917694"/>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44259"/>
    <w:rsid w:val="00A52B61"/>
    <w:rsid w:val="00A64820"/>
    <w:rsid w:val="00A71DD6"/>
    <w:rsid w:val="00A723C7"/>
    <w:rsid w:val="00A80E11"/>
    <w:rsid w:val="00A97F94"/>
    <w:rsid w:val="00AB1309"/>
    <w:rsid w:val="00AC2C52"/>
    <w:rsid w:val="00AD1503"/>
    <w:rsid w:val="00AD429D"/>
    <w:rsid w:val="00AE7244"/>
    <w:rsid w:val="00AF3FEE"/>
    <w:rsid w:val="00B02F46"/>
    <w:rsid w:val="00B2000C"/>
    <w:rsid w:val="00B20ADE"/>
    <w:rsid w:val="00B23C4B"/>
    <w:rsid w:val="00B66B9A"/>
    <w:rsid w:val="00B81239"/>
    <w:rsid w:val="00B82089"/>
    <w:rsid w:val="00B970AE"/>
    <w:rsid w:val="00BA1427"/>
    <w:rsid w:val="00BC6357"/>
    <w:rsid w:val="00BD0C50"/>
    <w:rsid w:val="00BE49D0"/>
    <w:rsid w:val="00BF2C38"/>
    <w:rsid w:val="00C22BDC"/>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2B73"/>
    <w:rsid w:val="00DF5361"/>
    <w:rsid w:val="00E009A1"/>
    <w:rsid w:val="00E00D15"/>
    <w:rsid w:val="00E071BE"/>
    <w:rsid w:val="00E07379"/>
    <w:rsid w:val="00E14494"/>
    <w:rsid w:val="00E17033"/>
    <w:rsid w:val="00E22744"/>
    <w:rsid w:val="00E32189"/>
    <w:rsid w:val="00E45211"/>
    <w:rsid w:val="00E7380C"/>
    <w:rsid w:val="00E74BE7"/>
    <w:rsid w:val="00E86CC9"/>
    <w:rsid w:val="00E90528"/>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92F5D3-394D-4E1C-AAAD-7B852B2F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sg12@itu.int" TargetMode="External"/><Relationship Id="rId18" Type="http://schemas.openxmlformats.org/officeDocument/2006/relationships/image" Target="media/image2.png"/><Relationship Id="rId26" Type="http://schemas.openxmlformats.org/officeDocument/2006/relationships/hyperlink" Target="https://www.itu.int/net4/iwm/?p0=0&amp;p11=ITU&amp;p12=ITU-SEP-ITU-T-SEP-Other%20Groups-SEP-pnats2avhd&amp;p21=ITU&amp;p22=ITU-SEP-ITU-T-SEP-Other%20Groups-SEP-pnats2avhd" TargetMode="External"/><Relationship Id="rId3" Type="http://schemas.openxmlformats.org/officeDocument/2006/relationships/customXml" Target="../customXml/item3.xml"/><Relationship Id="rId21" Type="http://schemas.openxmlformats.org/officeDocument/2006/relationships/hyperlink" Target="mailto:tsbsg12@itu.int" TargetMode="External"/><Relationship Id="rId7" Type="http://schemas.openxmlformats.org/officeDocument/2006/relationships/webSettings" Target="webSettings.xml"/><Relationship Id="rId12" Type="http://schemas.openxmlformats.org/officeDocument/2006/relationships/hyperlink" Target="mailto:tsbsg12@itu.int" TargetMode="External"/><Relationship Id="rId17" Type="http://schemas.openxmlformats.org/officeDocument/2006/relationships/hyperlink" Target="mailto:Silvio.Borer@rohde-schwarz.com" TargetMode="External"/><Relationship Id="rId25" Type="http://schemas.openxmlformats.org/officeDocument/2006/relationships/hyperlink" Target="https://www.itu.int/net/iwm/public/frmUserRegistration.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s@opticom.de" TargetMode="External"/><Relationship Id="rId20" Type="http://schemas.openxmlformats.org/officeDocument/2006/relationships/hyperlink" Target="mailto:tsbsg12@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itu.int" TargetMode="External"/><Relationship Id="rId24" Type="http://schemas.openxmlformats.org/officeDocument/2006/relationships/hyperlink" Target="mailto:mpinson@ntia.doc.go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lexander.raake@tu-ilmenau.de" TargetMode="External"/><Relationship Id="rId23" Type="http://schemas.openxmlformats.org/officeDocument/2006/relationships/hyperlink" Target="mailto:Quan.Huynh-Thu@cisra.canon.com.au" TargetMode="External"/><Relationship Id="rId28" Type="http://schemas.openxmlformats.org/officeDocument/2006/relationships/hyperlink" Target="http://www.its.bldrdoc.gov/vqeg/"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rgen.gustafsson@ericsson.com" TargetMode="External"/><Relationship Id="rId22" Type="http://schemas.openxmlformats.org/officeDocument/2006/relationships/hyperlink" Target="mailto:cs@opticom.de" TargetMode="External"/><Relationship Id="rId27" Type="http://schemas.openxmlformats.org/officeDocument/2006/relationships/hyperlink" Target="https://www.itu.int/en/ITU-T/studygroups/2017-2020/12/"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E3F80-0EF4-41E5-BD16-D6199DB1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3</TotalTime>
  <Pages>6</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Osvath, Alexandra</cp:lastModifiedBy>
  <cp:revision>4</cp:revision>
  <cp:lastPrinted>2017-02-10T10:34:00Z</cp:lastPrinted>
  <dcterms:created xsi:type="dcterms:W3CDTF">2017-02-10T09:01:00Z</dcterms:created>
  <dcterms:modified xsi:type="dcterms:W3CDTF">2017-02-10T10:34:00Z</dcterms:modified>
  <cp:category>Conference document</cp:category>
</cp:coreProperties>
</file>