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45C55" w:rsidTr="002754A6">
        <w:trPr>
          <w:cantSplit/>
        </w:trPr>
        <w:tc>
          <w:tcPr>
            <w:tcW w:w="1276" w:type="dxa"/>
            <w:vAlign w:val="center"/>
          </w:tcPr>
          <w:p w:rsidR="006E4F7B" w:rsidRPr="00B45C55" w:rsidRDefault="006E4F7B" w:rsidP="002754A6">
            <w:pPr>
              <w:tabs>
                <w:tab w:val="right" w:pos="8732"/>
              </w:tabs>
              <w:spacing w:before="0"/>
              <w:rPr>
                <w:rFonts w:ascii="Verdana" w:hAnsi="Verdana"/>
                <w:b/>
                <w:bCs/>
                <w:color w:val="FFFFFF"/>
                <w:sz w:val="26"/>
                <w:szCs w:val="26"/>
              </w:rPr>
            </w:pPr>
            <w:bookmarkStart w:id="0" w:name="ditulogo"/>
            <w:bookmarkEnd w:id="0"/>
            <w:r w:rsidRPr="00B45C55">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B45C55" w:rsidRDefault="00085662" w:rsidP="002754A6">
            <w:pPr>
              <w:spacing w:before="0"/>
              <w:rPr>
                <w:rFonts w:cs="Times New Roman Bold"/>
                <w:b/>
                <w:bCs/>
                <w:iCs/>
                <w:smallCaps/>
                <w:sz w:val="34"/>
                <w:szCs w:val="34"/>
              </w:rPr>
            </w:pPr>
            <w:r w:rsidRPr="00B45C55">
              <w:rPr>
                <w:rFonts w:cs="Times New Roman Bold"/>
                <w:b/>
                <w:bCs/>
                <w:iCs/>
                <w:smallCaps/>
                <w:sz w:val="34"/>
                <w:szCs w:val="34"/>
              </w:rPr>
              <w:t>Unión Internacional de Telecomunicaciones</w:t>
            </w:r>
          </w:p>
          <w:p w:rsidR="006E4F7B" w:rsidRPr="00B45C55" w:rsidRDefault="00085662" w:rsidP="002754A6">
            <w:pPr>
              <w:tabs>
                <w:tab w:val="right" w:pos="8732"/>
              </w:tabs>
              <w:spacing w:before="0"/>
              <w:rPr>
                <w:rFonts w:ascii="Verdana" w:hAnsi="Verdana"/>
                <w:b/>
                <w:bCs/>
                <w:color w:val="FFFFFF"/>
                <w:sz w:val="26"/>
                <w:szCs w:val="26"/>
              </w:rPr>
            </w:pPr>
            <w:r w:rsidRPr="00B45C55">
              <w:rPr>
                <w:rFonts w:cs="Times New Roman Bold"/>
                <w:b/>
                <w:bCs/>
                <w:iCs/>
                <w:smallCaps/>
                <w:sz w:val="28"/>
                <w:szCs w:val="28"/>
              </w:rPr>
              <w:t>Oficina de Normalización de las Telecomunicaciones</w:t>
            </w:r>
          </w:p>
        </w:tc>
        <w:tc>
          <w:tcPr>
            <w:tcW w:w="1984" w:type="dxa"/>
            <w:vAlign w:val="center"/>
          </w:tcPr>
          <w:p w:rsidR="006E4F7B" w:rsidRPr="00B45C55" w:rsidRDefault="006E4F7B" w:rsidP="002754A6">
            <w:pPr>
              <w:spacing w:before="0"/>
              <w:jc w:val="right"/>
              <w:rPr>
                <w:rFonts w:ascii="Verdana" w:hAnsi="Verdana"/>
                <w:color w:val="FFFFFF"/>
                <w:sz w:val="26"/>
                <w:szCs w:val="26"/>
              </w:rPr>
            </w:pPr>
          </w:p>
        </w:tc>
      </w:tr>
      <w:tr w:rsidR="00C34772" w:rsidRPr="00B45C55" w:rsidTr="002754A6">
        <w:trPr>
          <w:cantSplit/>
        </w:trPr>
        <w:tc>
          <w:tcPr>
            <w:tcW w:w="6426" w:type="dxa"/>
            <w:gridSpan w:val="2"/>
            <w:vAlign w:val="center"/>
          </w:tcPr>
          <w:p w:rsidR="00C34772" w:rsidRPr="00B45C55" w:rsidRDefault="00C34772" w:rsidP="002754A6">
            <w:pPr>
              <w:tabs>
                <w:tab w:val="right" w:pos="8732"/>
              </w:tabs>
              <w:spacing w:before="0"/>
              <w:rPr>
                <w:rFonts w:ascii="Verdana" w:hAnsi="Verdana"/>
                <w:b/>
                <w:bCs/>
                <w:iCs/>
                <w:sz w:val="18"/>
                <w:szCs w:val="18"/>
              </w:rPr>
            </w:pPr>
          </w:p>
        </w:tc>
        <w:tc>
          <w:tcPr>
            <w:tcW w:w="3355" w:type="dxa"/>
            <w:gridSpan w:val="2"/>
            <w:vAlign w:val="center"/>
          </w:tcPr>
          <w:p w:rsidR="00C34772" w:rsidRPr="00B45C55" w:rsidRDefault="00C34772" w:rsidP="002754A6">
            <w:pPr>
              <w:spacing w:before="0"/>
              <w:ind w:left="993" w:hanging="993"/>
              <w:jc w:val="right"/>
              <w:rPr>
                <w:rFonts w:ascii="Verdana" w:hAnsi="Verdana"/>
                <w:sz w:val="18"/>
                <w:szCs w:val="18"/>
              </w:rPr>
            </w:pPr>
          </w:p>
        </w:tc>
      </w:tr>
    </w:tbl>
    <w:p w:rsidR="00C34772" w:rsidRPr="00B45C55" w:rsidRDefault="00C34772" w:rsidP="00303D62">
      <w:pPr>
        <w:tabs>
          <w:tab w:val="clear" w:pos="794"/>
          <w:tab w:val="clear" w:pos="1191"/>
          <w:tab w:val="clear" w:pos="1588"/>
          <w:tab w:val="clear" w:pos="1985"/>
          <w:tab w:val="left" w:pos="4962"/>
        </w:tabs>
      </w:pPr>
    </w:p>
    <w:p w:rsidR="00B46ABE" w:rsidRPr="00B45C55" w:rsidRDefault="00B46ABE" w:rsidP="005E0DFB">
      <w:pPr>
        <w:tabs>
          <w:tab w:val="clear" w:pos="794"/>
          <w:tab w:val="clear" w:pos="1191"/>
          <w:tab w:val="clear" w:pos="1588"/>
          <w:tab w:val="clear" w:pos="1985"/>
          <w:tab w:val="left" w:pos="4962"/>
        </w:tabs>
        <w:spacing w:before="0"/>
      </w:pPr>
      <w:bookmarkStart w:id="1" w:name="StartTyping_S"/>
      <w:bookmarkStart w:id="2" w:name="suitetext"/>
      <w:bookmarkStart w:id="3" w:name="text"/>
      <w:bookmarkEnd w:id="1"/>
      <w:bookmarkEnd w:id="2"/>
      <w:bookmarkEnd w:id="3"/>
      <w:r w:rsidRPr="00B45C55">
        <w:tab/>
        <w:t xml:space="preserve">Ginebra, </w:t>
      </w:r>
      <w:r w:rsidR="005E0DFB" w:rsidRPr="00B45C55">
        <w:t>17</w:t>
      </w:r>
      <w:r w:rsidRPr="00B45C55">
        <w:t xml:space="preserve"> de </w:t>
      </w:r>
      <w:r w:rsidR="005E0DFB" w:rsidRPr="00B45C55">
        <w:t>enero</w:t>
      </w:r>
      <w:r w:rsidRPr="00B45C55">
        <w:t xml:space="preserve"> de 201</w:t>
      </w:r>
      <w:r w:rsidR="005E0DFB" w:rsidRPr="00B45C55">
        <w:t>7</w:t>
      </w:r>
    </w:p>
    <w:p w:rsidR="00B46ABE" w:rsidRPr="00B45C55" w:rsidRDefault="00B46ABE" w:rsidP="00E83164"/>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6ABE" w:rsidRPr="00B45C55" w:rsidTr="00303D62">
        <w:trPr>
          <w:cantSplit/>
          <w:trHeight w:val="340"/>
        </w:trPr>
        <w:tc>
          <w:tcPr>
            <w:tcW w:w="993" w:type="dxa"/>
          </w:tcPr>
          <w:p w:rsidR="00B46ABE" w:rsidRPr="00B45C55" w:rsidRDefault="00B46ABE" w:rsidP="00121D7F">
            <w:pPr>
              <w:pStyle w:val="Tabletext0"/>
              <w:tabs>
                <w:tab w:val="clear" w:pos="1134"/>
                <w:tab w:val="clear" w:pos="2268"/>
                <w:tab w:val="left" w:pos="794"/>
                <w:tab w:val="left" w:pos="1191"/>
                <w:tab w:val="left" w:pos="1588"/>
              </w:tabs>
              <w:spacing w:before="0" w:after="0"/>
              <w:rPr>
                <w:sz w:val="24"/>
                <w:szCs w:val="24"/>
              </w:rPr>
            </w:pPr>
            <w:r w:rsidRPr="00B45C55">
              <w:rPr>
                <w:sz w:val="24"/>
                <w:szCs w:val="24"/>
              </w:rPr>
              <w:t>Ref.:</w:t>
            </w:r>
          </w:p>
          <w:p w:rsidR="00B46ABE" w:rsidRPr="00B45C55"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B45C55"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B45C55" w:rsidRDefault="00B46ABE" w:rsidP="00121D7F">
            <w:pPr>
              <w:pStyle w:val="Tabletext0"/>
              <w:tabs>
                <w:tab w:val="clear" w:pos="1134"/>
                <w:tab w:val="clear" w:pos="2268"/>
                <w:tab w:val="left" w:pos="794"/>
                <w:tab w:val="left" w:pos="1191"/>
                <w:tab w:val="left" w:pos="1588"/>
              </w:tabs>
              <w:spacing w:before="0" w:after="0"/>
              <w:rPr>
                <w:sz w:val="24"/>
                <w:szCs w:val="24"/>
              </w:rPr>
            </w:pPr>
            <w:r w:rsidRPr="00B45C55">
              <w:rPr>
                <w:sz w:val="24"/>
                <w:szCs w:val="24"/>
              </w:rPr>
              <w:t>Tel.:</w:t>
            </w:r>
            <w:r w:rsidRPr="00B45C55">
              <w:rPr>
                <w:sz w:val="24"/>
                <w:szCs w:val="24"/>
              </w:rPr>
              <w:br/>
              <w:t>Fax:</w:t>
            </w:r>
          </w:p>
        </w:tc>
        <w:tc>
          <w:tcPr>
            <w:tcW w:w="3884" w:type="dxa"/>
          </w:tcPr>
          <w:p w:rsidR="00B46ABE" w:rsidRPr="00B45C55" w:rsidRDefault="00B46ABE" w:rsidP="005E0DFB">
            <w:pPr>
              <w:tabs>
                <w:tab w:val="left" w:pos="4111"/>
              </w:tabs>
              <w:spacing w:before="0"/>
              <w:ind w:left="57"/>
              <w:rPr>
                <w:b/>
                <w:szCs w:val="24"/>
              </w:rPr>
            </w:pPr>
            <w:r w:rsidRPr="00B45C55">
              <w:rPr>
                <w:b/>
                <w:szCs w:val="24"/>
              </w:rPr>
              <w:t xml:space="preserve">Circular TSB </w:t>
            </w:r>
            <w:r w:rsidR="00190DE7" w:rsidRPr="00B45C55">
              <w:rPr>
                <w:b/>
                <w:szCs w:val="24"/>
              </w:rPr>
              <w:t>2</w:t>
            </w:r>
          </w:p>
          <w:p w:rsidR="00B46ABE" w:rsidRPr="00B45C55" w:rsidRDefault="005E0DFB" w:rsidP="008B0DA2">
            <w:pPr>
              <w:tabs>
                <w:tab w:val="left" w:pos="4111"/>
              </w:tabs>
              <w:spacing w:before="0"/>
              <w:ind w:left="57"/>
              <w:rPr>
                <w:b/>
                <w:szCs w:val="24"/>
              </w:rPr>
            </w:pPr>
            <w:r w:rsidRPr="00B45C55">
              <w:t>SG15/HO</w:t>
            </w:r>
          </w:p>
          <w:p w:rsidR="00B46ABE" w:rsidRPr="00B45C55" w:rsidRDefault="00B46ABE" w:rsidP="00121D7F">
            <w:pPr>
              <w:tabs>
                <w:tab w:val="left" w:pos="4111"/>
              </w:tabs>
              <w:spacing w:before="0"/>
              <w:ind w:left="57"/>
              <w:rPr>
                <w:szCs w:val="24"/>
              </w:rPr>
            </w:pPr>
          </w:p>
          <w:p w:rsidR="00B46ABE" w:rsidRPr="00B45C55" w:rsidRDefault="00B46ABE" w:rsidP="008B0DA2">
            <w:pPr>
              <w:tabs>
                <w:tab w:val="left" w:pos="4111"/>
              </w:tabs>
              <w:spacing w:before="0"/>
              <w:ind w:left="57"/>
              <w:rPr>
                <w:szCs w:val="24"/>
              </w:rPr>
            </w:pPr>
            <w:r w:rsidRPr="00B45C55">
              <w:rPr>
                <w:szCs w:val="24"/>
              </w:rPr>
              <w:t xml:space="preserve">+41 22 730 </w:t>
            </w:r>
            <w:r w:rsidR="005E0DFB" w:rsidRPr="00B45C55">
              <w:t>6356</w:t>
            </w:r>
            <w:r w:rsidRPr="00B45C55">
              <w:rPr>
                <w:szCs w:val="24"/>
              </w:rPr>
              <w:br/>
              <w:t xml:space="preserve">+41 22 730 </w:t>
            </w:r>
            <w:r w:rsidR="005E0DFB" w:rsidRPr="00B45C55">
              <w:t>5853</w:t>
            </w:r>
          </w:p>
        </w:tc>
        <w:tc>
          <w:tcPr>
            <w:tcW w:w="5329" w:type="dxa"/>
          </w:tcPr>
          <w:p w:rsidR="00B46ABE" w:rsidRPr="00B45C55" w:rsidRDefault="00B46ABE" w:rsidP="00303D62">
            <w:pPr>
              <w:tabs>
                <w:tab w:val="clear" w:pos="794"/>
                <w:tab w:val="clear" w:pos="1191"/>
                <w:tab w:val="clear" w:pos="1588"/>
                <w:tab w:val="clear" w:pos="1985"/>
                <w:tab w:val="left" w:pos="284"/>
              </w:tabs>
              <w:spacing w:before="0"/>
              <w:ind w:left="284" w:hanging="227"/>
              <w:rPr>
                <w:szCs w:val="24"/>
              </w:rPr>
            </w:pPr>
            <w:r w:rsidRPr="00B45C55">
              <w:rPr>
                <w:szCs w:val="24"/>
              </w:rPr>
              <w:t>-</w:t>
            </w:r>
            <w:r w:rsidRPr="00B45C55">
              <w:rPr>
                <w:szCs w:val="24"/>
              </w:rPr>
              <w:tab/>
              <w:t xml:space="preserve">A las Administraciones de los Estados Miembros </w:t>
            </w:r>
            <w:r w:rsidRPr="00B45C55">
              <w:rPr>
                <w:szCs w:val="24"/>
              </w:rPr>
              <w:br/>
              <w:t>de la Unión</w:t>
            </w:r>
          </w:p>
        </w:tc>
      </w:tr>
      <w:tr w:rsidR="00B46ABE" w:rsidRPr="00B45C55" w:rsidTr="00303D62">
        <w:trPr>
          <w:cantSplit/>
        </w:trPr>
        <w:tc>
          <w:tcPr>
            <w:tcW w:w="993" w:type="dxa"/>
          </w:tcPr>
          <w:p w:rsidR="00B46ABE" w:rsidRPr="00B45C55" w:rsidRDefault="00B46ABE" w:rsidP="00121D7F">
            <w:pPr>
              <w:pStyle w:val="Tabletext0"/>
              <w:tabs>
                <w:tab w:val="clear" w:pos="1134"/>
                <w:tab w:val="clear" w:pos="2268"/>
                <w:tab w:val="left" w:pos="794"/>
                <w:tab w:val="left" w:pos="1191"/>
                <w:tab w:val="left" w:pos="1588"/>
              </w:tabs>
              <w:spacing w:before="0" w:after="0"/>
              <w:rPr>
                <w:sz w:val="24"/>
                <w:szCs w:val="24"/>
              </w:rPr>
            </w:pPr>
            <w:r w:rsidRPr="00B45C55">
              <w:rPr>
                <w:sz w:val="24"/>
                <w:szCs w:val="24"/>
              </w:rPr>
              <w:t>Correo-e:</w:t>
            </w:r>
          </w:p>
        </w:tc>
        <w:tc>
          <w:tcPr>
            <w:tcW w:w="3884" w:type="dxa"/>
          </w:tcPr>
          <w:p w:rsidR="00B46ABE" w:rsidRPr="00B45C55" w:rsidRDefault="00121D7F" w:rsidP="005E0DFB">
            <w:pPr>
              <w:pStyle w:val="Tabletext0"/>
              <w:tabs>
                <w:tab w:val="clear" w:pos="1134"/>
                <w:tab w:val="clear" w:pos="2268"/>
                <w:tab w:val="left" w:pos="794"/>
                <w:tab w:val="left" w:pos="1191"/>
                <w:tab w:val="left" w:pos="1588"/>
              </w:tabs>
              <w:spacing w:before="0" w:after="0"/>
              <w:rPr>
                <w:sz w:val="24"/>
                <w:szCs w:val="24"/>
              </w:rPr>
            </w:pPr>
            <w:r w:rsidRPr="00B45C55">
              <w:rPr>
                <w:sz w:val="24"/>
                <w:szCs w:val="24"/>
              </w:rPr>
              <w:t xml:space="preserve"> </w:t>
            </w:r>
            <w:hyperlink r:id="rId9" w:history="1">
              <w:r w:rsidR="005E0DFB" w:rsidRPr="00B45C55">
                <w:rPr>
                  <w:rStyle w:val="Hyperlink"/>
                  <w:sz w:val="24"/>
                  <w:szCs w:val="24"/>
                </w:rPr>
                <w:t>tsbsg15@itu.int</w:t>
              </w:r>
            </w:hyperlink>
            <w:r w:rsidR="00B46ABE" w:rsidRPr="00B45C55">
              <w:rPr>
                <w:sz w:val="24"/>
                <w:szCs w:val="24"/>
              </w:rPr>
              <w:t xml:space="preserve"> </w:t>
            </w:r>
          </w:p>
        </w:tc>
        <w:tc>
          <w:tcPr>
            <w:tcW w:w="5329" w:type="dxa"/>
          </w:tcPr>
          <w:p w:rsidR="00B46ABE" w:rsidRPr="00B45C55" w:rsidRDefault="00B46ABE" w:rsidP="00303D62">
            <w:pPr>
              <w:tabs>
                <w:tab w:val="left" w:pos="4111"/>
              </w:tabs>
              <w:spacing w:before="0"/>
              <w:rPr>
                <w:szCs w:val="24"/>
              </w:rPr>
            </w:pPr>
            <w:r w:rsidRPr="00B45C55">
              <w:rPr>
                <w:b/>
                <w:szCs w:val="24"/>
              </w:rPr>
              <w:t>Copia</w:t>
            </w:r>
            <w:r w:rsidRPr="00B45C55">
              <w:rPr>
                <w:szCs w:val="24"/>
              </w:rPr>
              <w:t>:</w:t>
            </w:r>
          </w:p>
          <w:p w:rsidR="00B46ABE" w:rsidRPr="00B45C55" w:rsidRDefault="00B46ABE" w:rsidP="00303D62">
            <w:pPr>
              <w:tabs>
                <w:tab w:val="clear" w:pos="794"/>
                <w:tab w:val="left" w:pos="226"/>
                <w:tab w:val="left" w:pos="4111"/>
              </w:tabs>
              <w:spacing w:before="0"/>
              <w:rPr>
                <w:szCs w:val="24"/>
              </w:rPr>
            </w:pPr>
            <w:r w:rsidRPr="00B45C55">
              <w:rPr>
                <w:szCs w:val="24"/>
              </w:rPr>
              <w:t>-</w:t>
            </w:r>
            <w:r w:rsidRPr="00B45C55">
              <w:rPr>
                <w:szCs w:val="24"/>
              </w:rPr>
              <w:tab/>
              <w:t>A los Miembros del Sector UIT</w:t>
            </w:r>
            <w:r w:rsidRPr="00B45C55">
              <w:rPr>
                <w:szCs w:val="24"/>
              </w:rPr>
              <w:noBreakHyphen/>
              <w:t>T;</w:t>
            </w:r>
          </w:p>
          <w:p w:rsidR="00B46ABE" w:rsidRPr="00B45C55" w:rsidRDefault="00B46ABE" w:rsidP="005E0DFB">
            <w:pPr>
              <w:tabs>
                <w:tab w:val="clear" w:pos="794"/>
                <w:tab w:val="left" w:pos="226"/>
                <w:tab w:val="left" w:pos="4111"/>
              </w:tabs>
              <w:spacing w:before="0"/>
              <w:ind w:left="226" w:hanging="226"/>
              <w:rPr>
                <w:szCs w:val="24"/>
              </w:rPr>
            </w:pPr>
            <w:r w:rsidRPr="00B45C55">
              <w:rPr>
                <w:szCs w:val="24"/>
              </w:rPr>
              <w:t>-</w:t>
            </w:r>
            <w:r w:rsidRPr="00B45C55">
              <w:rPr>
                <w:szCs w:val="24"/>
              </w:rPr>
              <w:tab/>
              <w:t>A los Asociados del UIT-T;</w:t>
            </w:r>
          </w:p>
          <w:p w:rsidR="00B46ABE" w:rsidRPr="00B45C55" w:rsidRDefault="00B46ABE" w:rsidP="00DF1632">
            <w:pPr>
              <w:tabs>
                <w:tab w:val="clear" w:pos="794"/>
                <w:tab w:val="left" w:pos="226"/>
                <w:tab w:val="left" w:pos="4111"/>
              </w:tabs>
              <w:spacing w:before="0"/>
              <w:rPr>
                <w:szCs w:val="24"/>
              </w:rPr>
            </w:pPr>
            <w:r w:rsidRPr="00B45C55">
              <w:rPr>
                <w:szCs w:val="24"/>
              </w:rPr>
              <w:t>-</w:t>
            </w:r>
            <w:r w:rsidRPr="00B45C55">
              <w:rPr>
                <w:szCs w:val="24"/>
              </w:rPr>
              <w:tab/>
              <w:t>A las Instituciones Académicas de</w:t>
            </w:r>
            <w:r w:rsidR="00DF1632">
              <w:rPr>
                <w:szCs w:val="24"/>
              </w:rPr>
              <w:t xml:space="preserve"> </w:t>
            </w:r>
            <w:r w:rsidRPr="00B45C55">
              <w:rPr>
                <w:szCs w:val="24"/>
              </w:rPr>
              <w:t>l</w:t>
            </w:r>
            <w:r w:rsidR="00DF1632">
              <w:rPr>
                <w:szCs w:val="24"/>
              </w:rPr>
              <w:t>a UIT</w:t>
            </w:r>
            <w:r w:rsidRPr="00B45C55">
              <w:rPr>
                <w:szCs w:val="24"/>
              </w:rPr>
              <w:t>;</w:t>
            </w:r>
          </w:p>
          <w:p w:rsidR="00B46ABE" w:rsidRPr="00B45C55" w:rsidRDefault="00B46ABE" w:rsidP="005E0DFB">
            <w:pPr>
              <w:tabs>
                <w:tab w:val="left" w:pos="226"/>
                <w:tab w:val="left" w:pos="4111"/>
              </w:tabs>
              <w:spacing w:before="0"/>
              <w:ind w:left="226" w:hanging="226"/>
              <w:rPr>
                <w:szCs w:val="24"/>
              </w:rPr>
            </w:pPr>
            <w:r w:rsidRPr="00B45C55">
              <w:rPr>
                <w:szCs w:val="24"/>
              </w:rPr>
              <w:t>-</w:t>
            </w:r>
            <w:r w:rsidRPr="00B45C55">
              <w:rPr>
                <w:szCs w:val="24"/>
              </w:rPr>
              <w:tab/>
              <w:t xml:space="preserve">Al Presidente y a los Vicepresidentes de la </w:t>
            </w:r>
            <w:r w:rsidRPr="00B45C55">
              <w:rPr>
                <w:szCs w:val="24"/>
              </w:rPr>
              <w:br/>
              <w:t xml:space="preserve">Comisión de Estudio </w:t>
            </w:r>
            <w:r w:rsidR="005E0DFB" w:rsidRPr="00B45C55">
              <w:rPr>
                <w:szCs w:val="24"/>
              </w:rPr>
              <w:t>15 del UIT-T</w:t>
            </w:r>
            <w:r w:rsidRPr="00B45C55">
              <w:rPr>
                <w:szCs w:val="24"/>
              </w:rPr>
              <w:t>;</w:t>
            </w:r>
          </w:p>
          <w:p w:rsidR="00B46ABE" w:rsidRPr="00B45C55" w:rsidRDefault="00B46ABE" w:rsidP="008B0DA2">
            <w:pPr>
              <w:tabs>
                <w:tab w:val="left" w:pos="226"/>
                <w:tab w:val="left" w:pos="4111"/>
              </w:tabs>
              <w:spacing w:before="0"/>
              <w:ind w:left="226" w:hanging="226"/>
              <w:rPr>
                <w:szCs w:val="24"/>
              </w:rPr>
            </w:pPr>
            <w:r w:rsidRPr="00B45C55">
              <w:rPr>
                <w:szCs w:val="24"/>
              </w:rPr>
              <w:t>-</w:t>
            </w:r>
            <w:r w:rsidRPr="00B45C55">
              <w:rPr>
                <w:szCs w:val="24"/>
              </w:rPr>
              <w:tab/>
              <w:t>Al Director de la Oficina de Desarrollo de las Telecomunicaciones;</w:t>
            </w:r>
          </w:p>
          <w:p w:rsidR="00B46ABE" w:rsidRPr="00B45C55" w:rsidRDefault="00B46ABE" w:rsidP="008B0DA2">
            <w:pPr>
              <w:tabs>
                <w:tab w:val="left" w:pos="226"/>
                <w:tab w:val="left" w:pos="4111"/>
              </w:tabs>
              <w:spacing w:before="0"/>
              <w:ind w:left="226" w:hanging="226"/>
              <w:rPr>
                <w:szCs w:val="24"/>
              </w:rPr>
            </w:pPr>
            <w:r w:rsidRPr="00B45C55">
              <w:rPr>
                <w:szCs w:val="24"/>
              </w:rPr>
              <w:t>-</w:t>
            </w:r>
            <w:r w:rsidRPr="00B45C55">
              <w:rPr>
                <w:szCs w:val="24"/>
              </w:rPr>
              <w:tab/>
              <w:t>Al Director de la Oficina de Radiocomunicaciones</w:t>
            </w:r>
          </w:p>
        </w:tc>
      </w:tr>
    </w:tbl>
    <w:p w:rsidR="00B46ABE" w:rsidRPr="00B45C55" w:rsidRDefault="00B46ABE" w:rsidP="00303D62">
      <w:pPr>
        <w:rPr>
          <w:sz w:val="16"/>
          <w:szCs w:val="16"/>
        </w:rPr>
      </w:pPr>
    </w:p>
    <w:tbl>
      <w:tblPr>
        <w:tblW w:w="10057" w:type="dxa"/>
        <w:tblInd w:w="8" w:type="dxa"/>
        <w:tblLayout w:type="fixed"/>
        <w:tblCellMar>
          <w:left w:w="0" w:type="dxa"/>
          <w:right w:w="0" w:type="dxa"/>
        </w:tblCellMar>
        <w:tblLook w:val="0000" w:firstRow="0" w:lastRow="0" w:firstColumn="0" w:lastColumn="0" w:noHBand="0" w:noVBand="0"/>
      </w:tblPr>
      <w:tblGrid>
        <w:gridCol w:w="985"/>
        <w:gridCol w:w="9072"/>
      </w:tblGrid>
      <w:tr w:rsidR="00B46ABE" w:rsidRPr="00B45C55" w:rsidTr="002F2E21">
        <w:trPr>
          <w:cantSplit/>
        </w:trPr>
        <w:tc>
          <w:tcPr>
            <w:tcW w:w="985" w:type="dxa"/>
          </w:tcPr>
          <w:p w:rsidR="00B46ABE" w:rsidRPr="00B45C55" w:rsidRDefault="00B46ABE" w:rsidP="00303D62">
            <w:pPr>
              <w:tabs>
                <w:tab w:val="left" w:pos="4111"/>
              </w:tabs>
              <w:spacing w:before="10"/>
              <w:ind w:left="57"/>
              <w:rPr>
                <w:szCs w:val="24"/>
              </w:rPr>
            </w:pPr>
            <w:r w:rsidRPr="00B45C55">
              <w:rPr>
                <w:szCs w:val="24"/>
              </w:rPr>
              <w:t>Asunto:</w:t>
            </w:r>
          </w:p>
        </w:tc>
        <w:tc>
          <w:tcPr>
            <w:tcW w:w="9072" w:type="dxa"/>
          </w:tcPr>
          <w:p w:rsidR="00B46ABE" w:rsidRPr="00B45C55" w:rsidRDefault="00B46ABE" w:rsidP="004E458C">
            <w:pPr>
              <w:tabs>
                <w:tab w:val="left" w:pos="4111"/>
              </w:tabs>
              <w:spacing w:before="0"/>
              <w:ind w:left="57"/>
              <w:rPr>
                <w:b/>
                <w:szCs w:val="24"/>
              </w:rPr>
            </w:pPr>
            <w:r w:rsidRPr="00B45C55">
              <w:rPr>
                <w:b/>
              </w:rPr>
              <w:t>Reunión</w:t>
            </w:r>
            <w:r w:rsidRPr="00B45C55">
              <w:rPr>
                <w:b/>
                <w:szCs w:val="24"/>
              </w:rPr>
              <w:t xml:space="preserve"> de la Comisión de Estudio </w:t>
            </w:r>
            <w:r w:rsidR="005E0DFB" w:rsidRPr="00B45C55">
              <w:rPr>
                <w:b/>
                <w:szCs w:val="24"/>
              </w:rPr>
              <w:t>15 del UIT-T, 19-30 de junio de 2017, Ginebra,</w:t>
            </w:r>
            <w:r w:rsidRPr="00B45C55">
              <w:rPr>
                <w:b/>
                <w:szCs w:val="24"/>
              </w:rPr>
              <w:t xml:space="preserve"> para la aprobación de</w:t>
            </w:r>
            <w:r w:rsidR="005E0DFB" w:rsidRPr="00B45C55">
              <w:rPr>
                <w:b/>
                <w:szCs w:val="24"/>
              </w:rPr>
              <w:t xml:space="preserve"> </w:t>
            </w:r>
            <w:r w:rsidRPr="00B45C55">
              <w:rPr>
                <w:b/>
                <w:szCs w:val="24"/>
              </w:rPr>
              <w:t>l</w:t>
            </w:r>
            <w:r w:rsidR="005E0DFB" w:rsidRPr="00B45C55">
              <w:rPr>
                <w:b/>
                <w:szCs w:val="24"/>
              </w:rPr>
              <w:t>os</w:t>
            </w:r>
            <w:r w:rsidRPr="00B45C55">
              <w:rPr>
                <w:b/>
                <w:szCs w:val="24"/>
              </w:rPr>
              <w:t xml:space="preserve"> proyecto</w:t>
            </w:r>
            <w:r w:rsidR="005E0DFB" w:rsidRPr="00B45C55">
              <w:rPr>
                <w:b/>
                <w:szCs w:val="24"/>
              </w:rPr>
              <w:t>s</w:t>
            </w:r>
            <w:r w:rsidRPr="00B45C55">
              <w:rPr>
                <w:b/>
                <w:szCs w:val="24"/>
              </w:rPr>
              <w:t xml:space="preserve"> de </w:t>
            </w:r>
            <w:r w:rsidR="005E0DFB" w:rsidRPr="00B45C55">
              <w:rPr>
                <w:b/>
                <w:szCs w:val="24"/>
              </w:rPr>
              <w:t>Recomendaciones</w:t>
            </w:r>
            <w:r w:rsidRPr="00B45C55">
              <w:rPr>
                <w:b/>
                <w:szCs w:val="24"/>
              </w:rPr>
              <w:t xml:space="preserve"> UIT-T </w:t>
            </w:r>
            <w:r w:rsidR="005E0DFB" w:rsidRPr="00B45C55">
              <w:rPr>
                <w:b/>
              </w:rPr>
              <w:t xml:space="preserve">G.9700 (2014) </w:t>
            </w:r>
            <w:r w:rsidR="004E458C">
              <w:rPr>
                <w:b/>
              </w:rPr>
              <w:t>Enm</w:t>
            </w:r>
            <w:r w:rsidR="005E0DFB" w:rsidRPr="00B45C55">
              <w:rPr>
                <w:b/>
              </w:rPr>
              <w:t>.2 y G.9901</w:t>
            </w:r>
            <w:r w:rsidRPr="00B45C55">
              <w:rPr>
                <w:b/>
                <w:szCs w:val="24"/>
              </w:rPr>
              <w:t>, de conformidad con las dis</w:t>
            </w:r>
            <w:r w:rsidR="00AD7553" w:rsidRPr="00B45C55">
              <w:rPr>
                <w:b/>
                <w:szCs w:val="24"/>
              </w:rPr>
              <w:t>posiciones de la Resolución 1</w:t>
            </w:r>
            <w:r w:rsidR="005E0DFB" w:rsidRPr="00B45C55">
              <w:rPr>
                <w:b/>
                <w:szCs w:val="24"/>
              </w:rPr>
              <w:t xml:space="preserve"> (Rev. Hammamet, 2016)</w:t>
            </w:r>
            <w:r w:rsidR="00AD7553" w:rsidRPr="00B45C55">
              <w:rPr>
                <w:b/>
                <w:szCs w:val="24"/>
              </w:rPr>
              <w:t>, S</w:t>
            </w:r>
            <w:r w:rsidRPr="00B45C55">
              <w:rPr>
                <w:b/>
                <w:szCs w:val="24"/>
              </w:rPr>
              <w:t>ecci</w:t>
            </w:r>
            <w:r w:rsidR="00387034" w:rsidRPr="00B45C55">
              <w:rPr>
                <w:b/>
                <w:szCs w:val="24"/>
              </w:rPr>
              <w:t xml:space="preserve">ón 9, de la AMNT </w:t>
            </w:r>
          </w:p>
        </w:tc>
      </w:tr>
    </w:tbl>
    <w:p w:rsidR="00B46ABE" w:rsidRPr="00B45C55" w:rsidRDefault="00B46ABE" w:rsidP="00E83164">
      <w:pPr>
        <w:spacing w:before="360"/>
      </w:pPr>
      <w:r w:rsidRPr="00B45C55">
        <w:t>Muy Señora mía/Muy Señor mío:</w:t>
      </w:r>
    </w:p>
    <w:p w:rsidR="00B46ABE" w:rsidRPr="00B45C55" w:rsidRDefault="00B46ABE" w:rsidP="00A612E4">
      <w:pPr>
        <w:pStyle w:val="Normalaftertitle"/>
        <w:spacing w:before="120"/>
      </w:pPr>
      <w:r w:rsidRPr="00B45C55">
        <w:rPr>
          <w:bCs/>
        </w:rPr>
        <w:t>1</w:t>
      </w:r>
      <w:r w:rsidRPr="00B45C55">
        <w:tab/>
        <w:t xml:space="preserve">A petición del Presidente de la Comisión de Estudio </w:t>
      </w:r>
      <w:r w:rsidR="005E0DFB" w:rsidRPr="00B45C55">
        <w:t>15</w:t>
      </w:r>
      <w:r w:rsidR="00A612E4">
        <w:t>:</w:t>
      </w:r>
      <w:r w:rsidRPr="00B45C55">
        <w:t xml:space="preserve"> </w:t>
      </w:r>
      <w:r w:rsidR="00A612E4" w:rsidRPr="00A612E4">
        <w:rPr>
          <w:i/>
          <w:iCs/>
        </w:rPr>
        <w:t>Redes, tecnologías e infraestructuras de las redes de transporte, de acceso y domésticas</w:t>
      </w:r>
      <w:r w:rsidRPr="00B45C55">
        <w:t xml:space="preserve">, tengo el honor de informarle que esta Comisión de Estudio, que se reunirá del </w:t>
      </w:r>
      <w:r w:rsidR="005E0DFB" w:rsidRPr="00B45C55">
        <w:t>19</w:t>
      </w:r>
      <w:r w:rsidR="00055877" w:rsidRPr="00B45C55">
        <w:t xml:space="preserve"> </w:t>
      </w:r>
      <w:r w:rsidR="005E0DFB" w:rsidRPr="00B45C55">
        <w:t xml:space="preserve">de junio de 2017 </w:t>
      </w:r>
      <w:r w:rsidR="00055877" w:rsidRPr="00B45C55">
        <w:t xml:space="preserve">al </w:t>
      </w:r>
      <w:r w:rsidR="005E0DFB" w:rsidRPr="00B45C55">
        <w:t xml:space="preserve">30 </w:t>
      </w:r>
      <w:r w:rsidR="00055877" w:rsidRPr="00B45C55">
        <w:t xml:space="preserve">de </w:t>
      </w:r>
      <w:r w:rsidR="005E0DFB" w:rsidRPr="00B45C55">
        <w:t xml:space="preserve">junio </w:t>
      </w:r>
      <w:r w:rsidRPr="00B45C55">
        <w:t>de 201</w:t>
      </w:r>
      <w:r w:rsidR="005E0DFB" w:rsidRPr="00B45C55">
        <w:t>7</w:t>
      </w:r>
      <w:r w:rsidRPr="00B45C55">
        <w:t>, se propone aplicar el procedimiento descrito en la Res</w:t>
      </w:r>
      <w:r w:rsidR="00387034" w:rsidRPr="00B45C55">
        <w:t>olución 1, S</w:t>
      </w:r>
      <w:r w:rsidRPr="00B45C55">
        <w:t>ección 9, de la AMNT (</w:t>
      </w:r>
      <w:r w:rsidR="005E0DFB" w:rsidRPr="00B45C55">
        <w:t>Rev. Hammamet</w:t>
      </w:r>
      <w:r w:rsidRPr="00B45C55">
        <w:t>, 201</w:t>
      </w:r>
      <w:r w:rsidR="004E458C">
        <w:t>6</w:t>
      </w:r>
      <w:r w:rsidRPr="00B45C55">
        <w:t xml:space="preserve">) para la aprobación </w:t>
      </w:r>
      <w:r w:rsidR="008B0DA2" w:rsidRPr="00B45C55">
        <w:t xml:space="preserve">del proyecto de </w:t>
      </w:r>
      <w:r w:rsidR="00055877" w:rsidRPr="00B45C55">
        <w:t>revisión de la</w:t>
      </w:r>
      <w:r w:rsidR="008B0DA2" w:rsidRPr="00B45C55">
        <w:t xml:space="preserve"> Recomendación </w:t>
      </w:r>
      <w:r w:rsidR="00055877" w:rsidRPr="00B45C55">
        <w:t>que arriba se menciona</w:t>
      </w:r>
      <w:r w:rsidRPr="00B45C55">
        <w:t>.</w:t>
      </w:r>
    </w:p>
    <w:p w:rsidR="00B46ABE" w:rsidRPr="00B45C55" w:rsidRDefault="00B46ABE" w:rsidP="005E0DFB">
      <w:r w:rsidRPr="00B45C55">
        <w:rPr>
          <w:bCs/>
        </w:rPr>
        <w:t>2</w:t>
      </w:r>
      <w:r w:rsidRPr="00B45C55">
        <w:tab/>
        <w:t>E</w:t>
      </w:r>
      <w:r w:rsidR="008B0DA2" w:rsidRPr="00B45C55">
        <w:t>n e</w:t>
      </w:r>
      <w:r w:rsidRPr="00B45C55">
        <w:t xml:space="preserve">l </w:t>
      </w:r>
      <w:r w:rsidRPr="00B45C55">
        <w:rPr>
          <w:b/>
        </w:rPr>
        <w:t>Anexo 1</w:t>
      </w:r>
      <w:r w:rsidRPr="00B45C55">
        <w:t xml:space="preserve"> </w:t>
      </w:r>
      <w:r w:rsidR="008B0DA2" w:rsidRPr="00B45C55">
        <w:t>figura</w:t>
      </w:r>
      <w:r w:rsidR="00055877" w:rsidRPr="00B45C55">
        <w:t>rá</w:t>
      </w:r>
      <w:r w:rsidR="008B0DA2" w:rsidRPr="00B45C55">
        <w:t>n</w:t>
      </w:r>
      <w:r w:rsidRPr="00B45C55">
        <w:t xml:space="preserve"> el título y el resumen </w:t>
      </w:r>
      <w:r w:rsidR="008B0DA2" w:rsidRPr="00B45C55">
        <w:t>de</w:t>
      </w:r>
      <w:r w:rsidR="005E0DFB" w:rsidRPr="00B45C55">
        <w:t xml:space="preserve"> </w:t>
      </w:r>
      <w:r w:rsidR="008B0DA2" w:rsidRPr="00B45C55">
        <w:t>l</w:t>
      </w:r>
      <w:r w:rsidR="005E0DFB" w:rsidRPr="00B45C55">
        <w:t>os</w:t>
      </w:r>
      <w:r w:rsidR="008B0DA2" w:rsidRPr="00B45C55">
        <w:t xml:space="preserve"> proyecto</w:t>
      </w:r>
      <w:r w:rsidR="005E0DFB" w:rsidRPr="00B45C55">
        <w:t>s de Recomendaciones</w:t>
      </w:r>
      <w:r w:rsidR="00DC6733" w:rsidRPr="00B45C55">
        <w:t xml:space="preserve"> </w:t>
      </w:r>
      <w:r w:rsidR="004E458C">
        <w:t xml:space="preserve">UIT-T </w:t>
      </w:r>
      <w:r w:rsidR="005E0DFB" w:rsidRPr="00B45C55">
        <w:t>propuestos para su aprobación</w:t>
      </w:r>
      <w:r w:rsidRPr="00B45C55">
        <w:t>, con indicación del documento en que figura.</w:t>
      </w:r>
    </w:p>
    <w:p w:rsidR="00B46ABE" w:rsidRPr="00B45C55" w:rsidRDefault="00B46ABE" w:rsidP="008B0DA2">
      <w:r w:rsidRPr="00B45C55">
        <w:rPr>
          <w:bCs/>
        </w:rPr>
        <w:t>3</w:t>
      </w:r>
      <w:r w:rsidRPr="00B45C55">
        <w:tab/>
        <w:t>Todo Estado Miembro, Miembro de Sector, Asociado o Institución Académica de la UIT consciente de la titularidad de una patente propia o ajena que pueda cubrir total o parcialmente los elementos del proyecto de Recomendación propuesto para aprobación debe poner esa información en conocimiento de la TSB, de conformidad con la política sobre patentes del UIT</w:t>
      </w:r>
      <w:r w:rsidRPr="00B45C55">
        <w:noBreakHyphen/>
        <w:t>T/UIT-R/ISO/CEI.</w:t>
      </w:r>
    </w:p>
    <w:p w:rsidR="00B46ABE" w:rsidRPr="00B45C55" w:rsidRDefault="00B46ABE" w:rsidP="008B0DA2">
      <w:r w:rsidRPr="00B45C55">
        <w:t>Puede accederse en línea a la información disponible sobre patentes a través del sitio web del UIT</w:t>
      </w:r>
      <w:r w:rsidRPr="00B45C55">
        <w:noBreakHyphen/>
        <w:t>T (</w:t>
      </w:r>
      <w:hyperlink r:id="rId10" w:history="1">
        <w:r w:rsidRPr="00B45C55">
          <w:rPr>
            <w:rStyle w:val="Hyperlink"/>
          </w:rPr>
          <w:t>www.itu.int/ipr/</w:t>
        </w:r>
      </w:hyperlink>
      <w:r w:rsidRPr="00B45C55">
        <w:t>).</w:t>
      </w:r>
    </w:p>
    <w:p w:rsidR="00B46ABE" w:rsidRPr="00B45C55" w:rsidRDefault="00B46ABE" w:rsidP="004E458C">
      <w:pPr>
        <w:keepNext/>
        <w:keepLines/>
      </w:pPr>
      <w:r w:rsidRPr="00B45C55">
        <w:rPr>
          <w:bCs/>
        </w:rPr>
        <w:lastRenderedPageBreak/>
        <w:t>4</w:t>
      </w:r>
      <w:r w:rsidRPr="00B45C55">
        <w:tab/>
        <w:t xml:space="preserve">Teniendo en cuenta las disposiciones de la Resolución 1, </w:t>
      </w:r>
      <w:r w:rsidR="00387034" w:rsidRPr="00B45C55">
        <w:t>S</w:t>
      </w:r>
      <w:r w:rsidRPr="00B45C55">
        <w:t xml:space="preserve">ección 9, le agradecería que me comunicase </w:t>
      </w:r>
      <w:r w:rsidRPr="00B45C55">
        <w:rPr>
          <w:b/>
        </w:rPr>
        <w:t>antes</w:t>
      </w:r>
      <w:r w:rsidRPr="00B45C55">
        <w:t xml:space="preserve"> de las 24.00 horas UTC </w:t>
      </w:r>
      <w:r w:rsidRPr="00B45C55">
        <w:rPr>
          <w:bCs/>
        </w:rPr>
        <w:t xml:space="preserve">del </w:t>
      </w:r>
      <w:r w:rsidR="005E0DFB" w:rsidRPr="00B45C55">
        <w:rPr>
          <w:b/>
        </w:rPr>
        <w:t>7</w:t>
      </w:r>
      <w:r w:rsidRPr="00B45C55">
        <w:rPr>
          <w:b/>
        </w:rPr>
        <w:t xml:space="preserve"> de </w:t>
      </w:r>
      <w:r w:rsidR="005E0DFB" w:rsidRPr="00B45C55">
        <w:rPr>
          <w:b/>
        </w:rPr>
        <w:t xml:space="preserve">junio </w:t>
      </w:r>
      <w:r w:rsidR="008B0DA2" w:rsidRPr="00B45C55">
        <w:rPr>
          <w:b/>
        </w:rPr>
        <w:t>de 201</w:t>
      </w:r>
      <w:r w:rsidR="005E0DFB" w:rsidRPr="00B45C55">
        <w:rPr>
          <w:b/>
        </w:rPr>
        <w:t>7</w:t>
      </w:r>
      <w:r w:rsidRPr="00B45C55">
        <w:rPr>
          <w:b/>
        </w:rPr>
        <w:t xml:space="preserve"> </w:t>
      </w:r>
      <w:r w:rsidRPr="00B45C55">
        <w:t xml:space="preserve">si su Administración otorga a la Comisión de Estudio </w:t>
      </w:r>
      <w:r w:rsidR="005E0DFB" w:rsidRPr="00B45C55">
        <w:t>15 del UIT-T</w:t>
      </w:r>
      <w:r w:rsidRPr="00B45C55">
        <w:t xml:space="preserve"> la autoridad necesaria para que, durante su reunión, pueda considerar la aprobación de est</w:t>
      </w:r>
      <w:r w:rsidR="005E0DFB" w:rsidRPr="00B45C55">
        <w:t>os</w:t>
      </w:r>
      <w:r w:rsidRPr="00B45C55">
        <w:t xml:space="preserve"> proyecto</w:t>
      </w:r>
      <w:r w:rsidR="005E0DFB" w:rsidRPr="00B45C55">
        <w:t>s de Recomendaciones</w:t>
      </w:r>
      <w:r w:rsidRPr="00B45C55">
        <w:t>.</w:t>
      </w:r>
    </w:p>
    <w:p w:rsidR="00B46ABE" w:rsidRPr="00B45C55" w:rsidRDefault="00373C93" w:rsidP="00DC6733">
      <w:r w:rsidRPr="00B45C55">
        <w:tab/>
      </w:r>
      <w:r w:rsidR="00B46ABE" w:rsidRPr="00B45C55">
        <w:t>Si algunos Estados Miembros opinan que no puede procederse a considerar la aprobación, deben indicar sus razones de desaprobación así como los posibles cambios que facilitarían el nuevo examen y la aprobación del proyecto de Recomendación</w:t>
      </w:r>
      <w:r w:rsidR="00DC6733" w:rsidRPr="00B45C55">
        <w:t xml:space="preserve"> revisada</w:t>
      </w:r>
      <w:r w:rsidR="00B46ABE" w:rsidRPr="00B45C55">
        <w:t>.</w:t>
      </w:r>
    </w:p>
    <w:p w:rsidR="00B46ABE" w:rsidRPr="00B45C55" w:rsidRDefault="00B46ABE" w:rsidP="005E0DFB">
      <w:r w:rsidRPr="00B45C55">
        <w:rPr>
          <w:bCs/>
        </w:rPr>
        <w:t>5</w:t>
      </w:r>
      <w:r w:rsidRPr="00B45C55">
        <w:tab/>
        <w:t>Si el 70% como mínimo de las respuestas de los Estados Miembros están a favor de que se considere la aprobación de est</w:t>
      </w:r>
      <w:r w:rsidR="005E0DFB" w:rsidRPr="00B45C55">
        <w:t>os</w:t>
      </w:r>
      <w:r w:rsidRPr="00B45C55">
        <w:t xml:space="preserve"> proyecto</w:t>
      </w:r>
      <w:r w:rsidR="005E0DFB" w:rsidRPr="00B45C55">
        <w:t>s de Recomendaciones</w:t>
      </w:r>
      <w:r w:rsidR="00DC6733" w:rsidRPr="00B45C55">
        <w:t xml:space="preserve"> </w:t>
      </w:r>
      <w:r w:rsidRPr="00B45C55">
        <w:t xml:space="preserve">en la reunión de la Comisión de Estudio, </w:t>
      </w:r>
      <w:r w:rsidRPr="00B45C55">
        <w:rPr>
          <w:bCs/>
        </w:rPr>
        <w:t xml:space="preserve">el </w:t>
      </w:r>
      <w:r w:rsidR="005E0DFB" w:rsidRPr="00B45C55">
        <w:rPr>
          <w:b/>
          <w:szCs w:val="24"/>
        </w:rPr>
        <w:t>30</w:t>
      </w:r>
      <w:r w:rsidR="008B0DA2" w:rsidRPr="00B45C55">
        <w:rPr>
          <w:b/>
          <w:szCs w:val="24"/>
        </w:rPr>
        <w:t xml:space="preserve"> de </w:t>
      </w:r>
      <w:r w:rsidR="005E0DFB" w:rsidRPr="00B45C55">
        <w:rPr>
          <w:b/>
          <w:szCs w:val="24"/>
        </w:rPr>
        <w:t xml:space="preserve">junio </w:t>
      </w:r>
      <w:r w:rsidR="008B0DA2" w:rsidRPr="00B45C55">
        <w:rPr>
          <w:b/>
          <w:szCs w:val="24"/>
        </w:rPr>
        <w:t>de 201</w:t>
      </w:r>
      <w:r w:rsidR="005E0DFB" w:rsidRPr="00B45C55">
        <w:rPr>
          <w:b/>
          <w:szCs w:val="24"/>
        </w:rPr>
        <w:t>7</w:t>
      </w:r>
      <w:r w:rsidR="008B0DA2" w:rsidRPr="00B45C55">
        <w:rPr>
          <w:b/>
          <w:szCs w:val="24"/>
        </w:rPr>
        <w:t xml:space="preserve"> </w:t>
      </w:r>
      <w:r w:rsidRPr="00B45C55">
        <w:t>se dedicará una Sesión Plenaria a la aplicación del procedimiento de aprobación.</w:t>
      </w:r>
    </w:p>
    <w:p w:rsidR="00B46ABE" w:rsidRPr="00B45C55" w:rsidRDefault="00373C93" w:rsidP="008B0DA2">
      <w:r w:rsidRPr="00B45C55">
        <w:tab/>
      </w:r>
      <w:r w:rsidR="00B46ABE" w:rsidRPr="00B45C55">
        <w:t xml:space="preserve">Invito pues a su Administración a que envíe un representante a dicha reunión. Se invita a las </w:t>
      </w:r>
      <w:r w:rsidR="00B46ABE" w:rsidRPr="00B45C55">
        <w:rPr>
          <w:b/>
        </w:rPr>
        <w:t>Administraciones de los Estados Miembros de la Unión</w:t>
      </w:r>
      <w:r w:rsidR="00B46ABE" w:rsidRPr="00B45C55">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B46ABE" w:rsidRPr="00B45C55" w:rsidRDefault="00B46ABE" w:rsidP="004E458C">
      <w:r w:rsidRPr="00B45C55">
        <w:rPr>
          <w:bCs/>
        </w:rPr>
        <w:t>6</w:t>
      </w:r>
      <w:r w:rsidRPr="00B45C55">
        <w:tab/>
        <w:t>El orden del día y toda la información pertinente sobre la reunión de la Comisión de Estudio </w:t>
      </w:r>
      <w:r w:rsidR="005E0DFB" w:rsidRPr="00B45C55">
        <w:t>15 del UIT-T</w:t>
      </w:r>
      <w:r w:rsidRPr="00B45C55">
        <w:t xml:space="preserve"> figurarán en la Carta Colectiva </w:t>
      </w:r>
      <w:r w:rsidR="005E0DFB" w:rsidRPr="00B45C55">
        <w:t>1/15</w:t>
      </w:r>
      <w:r w:rsidRPr="00B45C55">
        <w:t>.</w:t>
      </w:r>
    </w:p>
    <w:p w:rsidR="00B46ABE" w:rsidRPr="00B45C55" w:rsidRDefault="00B46ABE" w:rsidP="008B0DA2">
      <w:r w:rsidRPr="00B45C55">
        <w:rPr>
          <w:bCs/>
        </w:rPr>
        <w:t>7</w:t>
      </w:r>
      <w:r w:rsidRPr="00B45C55">
        <w:tab/>
        <w:t>Después de la reunión, el Director de la TSB notificará por Circular la decisión tomada sobre esta</w:t>
      </w:r>
      <w:r w:rsidR="005E0DFB" w:rsidRPr="00B45C55">
        <w:t>s</w:t>
      </w:r>
      <w:r w:rsidRPr="00B45C55">
        <w:t xml:space="preserve"> </w:t>
      </w:r>
      <w:r w:rsidR="008B0DA2" w:rsidRPr="00B45C55">
        <w:t>Recomendaci</w:t>
      </w:r>
      <w:r w:rsidR="005E0DFB" w:rsidRPr="00B45C55">
        <w:t>ones</w:t>
      </w:r>
      <w:r w:rsidRPr="00B45C55">
        <w:t>. Dicha información se publicará también en el Boletín de Explotación de la UIT.</w:t>
      </w:r>
    </w:p>
    <w:p w:rsidR="00B46ABE" w:rsidRPr="00B45C55" w:rsidRDefault="00DF1632" w:rsidP="008B0DA2">
      <w:pPr>
        <w:ind w:right="92"/>
      </w:pPr>
      <w:r>
        <w:t>Le saluda muy atentamente,</w:t>
      </w:r>
    </w:p>
    <w:p w:rsidR="00373C93" w:rsidRPr="00B45C55" w:rsidRDefault="00373C93" w:rsidP="008B0DA2">
      <w:pPr>
        <w:ind w:right="92"/>
      </w:pPr>
    </w:p>
    <w:p w:rsidR="00B46ABE" w:rsidRPr="00B45C55" w:rsidRDefault="00A928AE" w:rsidP="00373C93">
      <w:pPr>
        <w:spacing w:before="600"/>
        <w:ind w:right="91"/>
      </w:pPr>
      <w:r w:rsidRPr="00B45C55">
        <w:t>Chaes</w:t>
      </w:r>
      <w:r w:rsidR="00B46ABE" w:rsidRPr="00B45C55">
        <w:t>ub L</w:t>
      </w:r>
      <w:bookmarkStart w:id="4" w:name="_GoBack"/>
      <w:r w:rsidR="00B46ABE" w:rsidRPr="00B45C55">
        <w:t>ee</w:t>
      </w:r>
      <w:bookmarkEnd w:id="4"/>
      <w:r w:rsidR="00B46ABE" w:rsidRPr="00B45C55">
        <w:br/>
        <w:t>Director de la Oficina de</w:t>
      </w:r>
      <w:r w:rsidR="00B46ABE" w:rsidRPr="00B45C55">
        <w:br/>
        <w:t>Normalización de las Telecomunicaciones</w:t>
      </w:r>
    </w:p>
    <w:p w:rsidR="00B46ABE" w:rsidRPr="00B45C55" w:rsidRDefault="00B46ABE" w:rsidP="00B46ABE">
      <w:pPr>
        <w:spacing w:before="1800"/>
        <w:rPr>
          <w:bCs/>
        </w:rPr>
      </w:pPr>
      <w:r w:rsidRPr="00B45C55">
        <w:rPr>
          <w:b/>
        </w:rPr>
        <w:t xml:space="preserve">Anexo: </w:t>
      </w:r>
      <w:r w:rsidRPr="00A612E4">
        <w:rPr>
          <w:bCs/>
        </w:rPr>
        <w:t>1</w:t>
      </w:r>
    </w:p>
    <w:p w:rsidR="00B46ABE" w:rsidRPr="00B45C55" w:rsidRDefault="00B46ABE">
      <w:pPr>
        <w:tabs>
          <w:tab w:val="clear" w:pos="794"/>
          <w:tab w:val="clear" w:pos="1191"/>
          <w:tab w:val="clear" w:pos="1588"/>
          <w:tab w:val="clear" w:pos="1985"/>
        </w:tabs>
        <w:overflowPunct/>
        <w:autoSpaceDE/>
        <w:autoSpaceDN/>
        <w:adjustRightInd/>
        <w:spacing w:before="0"/>
        <w:textAlignment w:val="auto"/>
      </w:pPr>
      <w:r w:rsidRPr="00B45C55">
        <w:br w:type="page"/>
      </w:r>
    </w:p>
    <w:p w:rsidR="00B46ABE" w:rsidRPr="004E458C" w:rsidRDefault="00B46ABE" w:rsidP="00B45C55">
      <w:pPr>
        <w:pStyle w:val="Annex"/>
        <w:rPr>
          <w:b/>
          <w:bCs/>
        </w:rPr>
      </w:pPr>
      <w:r w:rsidRPr="004E458C">
        <w:rPr>
          <w:b/>
          <w:bCs/>
        </w:rPr>
        <w:lastRenderedPageBreak/>
        <w:t>ANEXO 1</w:t>
      </w:r>
      <w:r w:rsidRPr="004E458C">
        <w:rPr>
          <w:b/>
          <w:bCs/>
        </w:rPr>
        <w:br/>
      </w:r>
      <w:r w:rsidRPr="00AC748F">
        <w:t>(</w:t>
      </w:r>
      <w:r w:rsidR="00B45C55" w:rsidRPr="00AC748F">
        <w:rPr>
          <w:caps w:val="0"/>
        </w:rPr>
        <w:t xml:space="preserve">a la Circular </w:t>
      </w:r>
      <w:r w:rsidRPr="00AC748F">
        <w:t xml:space="preserve">TSB </w:t>
      </w:r>
      <w:r w:rsidR="00055877" w:rsidRPr="00AC748F">
        <w:t>2</w:t>
      </w:r>
      <w:r w:rsidRPr="00AC748F">
        <w:t>)</w:t>
      </w:r>
    </w:p>
    <w:p w:rsidR="008B0DA2" w:rsidRPr="004E458C" w:rsidRDefault="00B46ABE" w:rsidP="00B45C55">
      <w:pPr>
        <w:pStyle w:val="AnnexTitle"/>
        <w:rPr>
          <w:bCs/>
        </w:rPr>
      </w:pPr>
      <w:r w:rsidRPr="004E458C">
        <w:rPr>
          <w:bCs/>
        </w:rPr>
        <w:t xml:space="preserve">Resumen y ubicación </w:t>
      </w:r>
    </w:p>
    <w:p w:rsidR="00CF4255" w:rsidRPr="00B45C55" w:rsidRDefault="00CF4255" w:rsidP="004E458C">
      <w:pPr>
        <w:pStyle w:val="Heading1"/>
      </w:pPr>
      <w:r w:rsidRPr="00B45C55">
        <w:t>1</w:t>
      </w:r>
      <w:r w:rsidRPr="00B45C55">
        <w:tab/>
        <w:t xml:space="preserve">Proyecto de Recomendación UIT-T G.9700 (2014) </w:t>
      </w:r>
      <w:r w:rsidR="004E458C">
        <w:t>Enm</w:t>
      </w:r>
      <w:r w:rsidRPr="00B45C55">
        <w:t>.2 (</w:t>
      </w:r>
      <w:hyperlink r:id="rId11" w:history="1">
        <w:r w:rsidRPr="00B45C55">
          <w:rPr>
            <w:rStyle w:val="Hyperlink"/>
          </w:rPr>
          <w:t>R 33</w:t>
        </w:r>
      </w:hyperlink>
      <w:r w:rsidRPr="00B45C55">
        <w:t>)</w:t>
      </w:r>
    </w:p>
    <w:p w:rsidR="00CF4255" w:rsidRPr="00B45C55" w:rsidRDefault="00CF4255" w:rsidP="00CF4255">
      <w:r w:rsidRPr="00B45C55">
        <w:t xml:space="preserve">Acceso rápido a terminales de abonado (G.fast) </w:t>
      </w:r>
      <w:r w:rsidR="004E458C">
        <w:t>–</w:t>
      </w:r>
      <w:r w:rsidRPr="00B45C55">
        <w:t xml:space="preserve"> Especificación de densidad espectral de potencia: Enmienda 2</w:t>
      </w:r>
    </w:p>
    <w:p w:rsidR="00CF4255" w:rsidRPr="00B45C55" w:rsidRDefault="00CF4255" w:rsidP="00B45C55">
      <w:pPr>
        <w:pStyle w:val="Headingb0"/>
      </w:pPr>
      <w:r w:rsidRPr="00B45C55">
        <w:t>Resumen</w:t>
      </w:r>
    </w:p>
    <w:p w:rsidR="00CF4255" w:rsidRPr="00B45C55" w:rsidRDefault="00CF4255" w:rsidP="00CF4255">
      <w:r w:rsidRPr="00B45C55">
        <w:t>La Enmienda 2 a la Recomendación UIT-T G.9700 (2014) completa la especificación de los perfiles de 212 MHz y añade el Anexo X "Adaptación al medio coaxial" en apoyo del Anexo X "Funcionamiento sin la coordinación multilínea destinada a un entorno libre de diafonía" especificado en la Enmienda 3 a la Recomendación UIT-T G.9701.</w:t>
      </w:r>
    </w:p>
    <w:p w:rsidR="00CF4255" w:rsidRPr="00B45C55" w:rsidRDefault="00CF4255" w:rsidP="00CF4255">
      <w:pPr>
        <w:pStyle w:val="Heading1"/>
      </w:pPr>
      <w:r w:rsidRPr="00B45C55">
        <w:t>2</w:t>
      </w:r>
      <w:r w:rsidRPr="00B45C55">
        <w:tab/>
        <w:t>Proyecto de Recomendación UIT-T G.9901 (</w:t>
      </w:r>
      <w:hyperlink r:id="rId12" w:history="1">
        <w:r w:rsidRPr="00B45C55">
          <w:rPr>
            <w:rStyle w:val="Hyperlink"/>
          </w:rPr>
          <w:t>R 34</w:t>
        </w:r>
      </w:hyperlink>
      <w:r w:rsidRPr="00B45C55">
        <w:t>)</w:t>
      </w:r>
    </w:p>
    <w:p w:rsidR="00CF4255" w:rsidRPr="00B45C55" w:rsidRDefault="00D53176" w:rsidP="00B45C55">
      <w:r w:rsidRPr="00B45C55">
        <w:t>Transceptores de comunicación de banda estrecha por la red de suministro eléctrico con multiplexión por división de frecuencia ortogonal – Especificación de la densidad espectral de potencia</w:t>
      </w:r>
    </w:p>
    <w:p w:rsidR="00CF4255" w:rsidRPr="00B45C55" w:rsidRDefault="00D53176" w:rsidP="00B45C55">
      <w:pPr>
        <w:pStyle w:val="Headingb0"/>
      </w:pPr>
      <w:r w:rsidRPr="00B45C55">
        <w:t>Resumen</w:t>
      </w:r>
    </w:p>
    <w:p w:rsidR="00D53176" w:rsidRPr="00B45C55" w:rsidRDefault="00D53176" w:rsidP="00985FB3">
      <w:r w:rsidRPr="00B45C55">
        <w:t>En la Recomendación UIT-T G.9901 se especifica</w:t>
      </w:r>
      <w:r w:rsidR="00985FB3">
        <w:t xml:space="preserve"> la tensión de salida transmitida en la banda 9</w:t>
      </w:r>
      <w:r w:rsidR="00985FB3">
        <w:noBreakHyphen/>
        <w:t>535 kHz,</w:t>
      </w:r>
      <w:r w:rsidRPr="00B45C55">
        <w:t xml:space="preserve"> los parámetros de control que determinan el contenido espectral, los requisitos de la máscara de densidad espectral de potencia (PSD), una serie de herramientas para el soporte de la reducción de la PSD de transmisión, los medios para medir esa PSD en la transmisión por líneas eléctricas, así como la potencia total de transmisión permitida con una impedancia de terminación especificada. Esta Recomendación también complementa las especificaciones de la arquitectura de sistema, la capa física (PHY) y la capa de enlace de datos (DLL) de las Recomendaciones UIT-T G.9902 (G.hnem), UIT-T G.9903 (G3-PLC) y UIT-T G.9904 (PRIME).</w:t>
      </w:r>
      <w:r w:rsidR="004E458C">
        <w:t xml:space="preserve"> </w:t>
      </w:r>
      <w:r w:rsidRPr="00B45C55">
        <w:t>Esta revisión contiene las siguientes modificaciones:</w:t>
      </w:r>
    </w:p>
    <w:p w:rsidR="00D53176" w:rsidRPr="00B45C55" w:rsidRDefault="00D53176" w:rsidP="00D53176">
      <w:pPr>
        <w:pStyle w:val="enumlev1"/>
      </w:pPr>
      <w:r w:rsidRPr="00B45C55">
        <w:t>•</w:t>
      </w:r>
      <w:r w:rsidRPr="00B45C55">
        <w:tab/>
        <w:t xml:space="preserve">Los límites de intensidad de salida fijados para la banda FCC-2 de G.9902 se han ampliado a la tecnología G.9903 y, de esta manera, se ha situado en el cuerpo principal. Se ha tenido cuidado de hacer referencia en la medida de lo posible a las normas existentes. </w:t>
      </w:r>
    </w:p>
    <w:p w:rsidR="00D53176" w:rsidRDefault="00D53176" w:rsidP="00B45C55">
      <w:pPr>
        <w:pStyle w:val="enumlev1"/>
      </w:pPr>
      <w:r w:rsidRPr="00B45C55">
        <w:t>•</w:t>
      </w:r>
      <w:r w:rsidRPr="00B45C55">
        <w:tab/>
        <w:t>La aclaración de la característica de enmascaramiento de todo en el Anexo B.</w:t>
      </w:r>
    </w:p>
    <w:p w:rsidR="00721B0E" w:rsidRDefault="00721B0E" w:rsidP="00721B0E"/>
    <w:p w:rsidR="00721B0E" w:rsidRDefault="00721B0E">
      <w:pPr>
        <w:jc w:val="center"/>
      </w:pPr>
      <w:r>
        <w:t>______________</w:t>
      </w:r>
    </w:p>
    <w:sectPr w:rsidR="00721B0E"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50" w:rsidRDefault="00AE0150">
      <w:r>
        <w:separator/>
      </w:r>
    </w:p>
  </w:endnote>
  <w:endnote w:type="continuationSeparator" w:id="0">
    <w:p w:rsidR="00AE0150" w:rsidRDefault="00AE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A2" w:rsidRPr="00373C93" w:rsidRDefault="00373C93" w:rsidP="004E458C">
    <w:pPr>
      <w:pStyle w:val="Footer"/>
      <w:jc w:val="center"/>
    </w:pPr>
    <w:r w:rsidRPr="002E0A6B">
      <w:rPr>
        <w:caps w:val="0"/>
        <w:szCs w:val="18"/>
      </w:rPr>
      <w:t>U</w:t>
    </w:r>
    <w:r>
      <w:rPr>
        <w:caps w:val="0"/>
        <w:szCs w:val="18"/>
      </w:rPr>
      <w:t>nión Internacional de Telecomunicaciones • Place d</w:t>
    </w:r>
    <w:r w:rsidRPr="002E0A6B">
      <w:rPr>
        <w:caps w:val="0"/>
        <w:szCs w:val="18"/>
      </w:rPr>
      <w:t xml:space="preserve">es </w:t>
    </w:r>
    <w:proofErr w:type="spellStart"/>
    <w:r w:rsidRPr="002E0A6B">
      <w:rPr>
        <w:caps w:val="0"/>
        <w:szCs w:val="18"/>
      </w:rPr>
      <w:t>Nations</w:t>
    </w:r>
    <w:proofErr w:type="spellEnd"/>
    <w:r>
      <w:rPr>
        <w:caps w:val="0"/>
        <w:szCs w:val="18"/>
      </w:rPr>
      <w:t xml:space="preserve"> • CH</w:t>
    </w:r>
    <w:r w:rsidRPr="002E0A6B">
      <w:rPr>
        <w:caps w:val="0"/>
        <w:szCs w:val="18"/>
      </w:rPr>
      <w:noBreakHyphen/>
      <w:t>1211 Ginebra</w:t>
    </w:r>
    <w:r>
      <w:rPr>
        <w:caps w:val="0"/>
        <w:szCs w:val="18"/>
      </w:rPr>
      <w:t xml:space="preserve"> 20 </w:t>
    </w:r>
    <w:r w:rsidRPr="002E0A6B">
      <w:rPr>
        <w:caps w:val="0"/>
        <w:szCs w:val="18"/>
      </w:rPr>
      <w:t xml:space="preserve">• Suiza </w:t>
    </w:r>
    <w:r w:rsidRPr="002E0A6B">
      <w:rPr>
        <w:caps w:val="0"/>
        <w:szCs w:val="18"/>
      </w:rPr>
      <w:br/>
      <w:t>Tel.: +41 22 730</w:t>
    </w:r>
    <w:r>
      <w:rPr>
        <w:caps w:val="0"/>
        <w:szCs w:val="18"/>
      </w:rPr>
      <w:t xml:space="preserve"> 5111 • Fax: +41 22 733 7256 • </w:t>
    </w:r>
    <w:r w:rsidRPr="002E0A6B">
      <w:rPr>
        <w:caps w:val="0"/>
        <w:szCs w:val="18"/>
      </w:rPr>
      <w:t>Correo-</w:t>
    </w:r>
    <w:r>
      <w:rPr>
        <w:caps w:val="0"/>
        <w:szCs w:val="18"/>
      </w:rPr>
      <w:t>e</w:t>
    </w:r>
    <w:r w:rsidRPr="002E0A6B">
      <w:rPr>
        <w:szCs w:val="18"/>
      </w:rPr>
      <w:t xml:space="preserve">: </w:t>
    </w:r>
    <w:hyperlink r:id="rId1" w:history="1">
      <w:r w:rsidRPr="002E0A6B">
        <w:rPr>
          <w:caps w:val="0"/>
          <w:color w:val="0000FF"/>
          <w:szCs w:val="18"/>
          <w:u w:val="single"/>
        </w:rPr>
        <w:t>itumail@itu.int</w:t>
      </w:r>
    </w:hyperlink>
    <w:r w:rsidRPr="002E0A6B">
      <w:rPr>
        <w:caps w:val="0"/>
        <w:szCs w:val="18"/>
      </w:rPr>
      <w:t xml:space="preserve"> • </w:t>
    </w:r>
    <w:hyperlink r:id="rId2" w:history="1">
      <w:r w:rsidRPr="002E0A6B">
        <w:rPr>
          <w:caps w:val="0"/>
          <w:color w:val="0000FF"/>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50" w:rsidRDefault="00AE0150">
      <w:r>
        <w:t>____________________</w:t>
      </w:r>
    </w:p>
  </w:footnote>
  <w:footnote w:type="continuationSeparator" w:id="0">
    <w:p w:rsidR="00AE0150" w:rsidRDefault="00AE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6"/>
      </w:rPr>
      <w:id w:val="-1020624929"/>
      <w:docPartObj>
        <w:docPartGallery w:val="Page Numbers (Top of Page)"/>
        <w:docPartUnique/>
      </w:docPartObj>
    </w:sdtPr>
    <w:sdtEndPr>
      <w:rPr>
        <w:noProof/>
      </w:rPr>
    </w:sdtEndPr>
    <w:sdtContent>
      <w:p w:rsidR="008B0DA2" w:rsidRPr="00373C93" w:rsidRDefault="00373C93" w:rsidP="005C1809">
        <w:pPr>
          <w:pStyle w:val="Header"/>
          <w:rPr>
            <w:sz w:val="18"/>
            <w:szCs w:val="16"/>
          </w:rPr>
        </w:pPr>
        <w:r w:rsidRPr="00373C93">
          <w:rPr>
            <w:sz w:val="18"/>
            <w:szCs w:val="16"/>
          </w:rPr>
          <w:t xml:space="preserve">- </w:t>
        </w:r>
        <w:r w:rsidR="008B0DA2" w:rsidRPr="00373C93">
          <w:rPr>
            <w:sz w:val="18"/>
            <w:szCs w:val="16"/>
          </w:rPr>
          <w:fldChar w:fldCharType="begin"/>
        </w:r>
        <w:r w:rsidR="008B0DA2" w:rsidRPr="00373C93">
          <w:rPr>
            <w:sz w:val="18"/>
            <w:szCs w:val="16"/>
          </w:rPr>
          <w:instrText xml:space="preserve"> PAGE   \* MERGEFORMAT </w:instrText>
        </w:r>
        <w:r w:rsidR="008B0DA2" w:rsidRPr="00373C93">
          <w:rPr>
            <w:sz w:val="18"/>
            <w:szCs w:val="16"/>
          </w:rPr>
          <w:fldChar w:fldCharType="separate"/>
        </w:r>
        <w:r w:rsidR="00DF1632">
          <w:rPr>
            <w:noProof/>
            <w:sz w:val="18"/>
            <w:szCs w:val="16"/>
          </w:rPr>
          <w:t>3</w:t>
        </w:r>
        <w:r w:rsidR="008B0DA2" w:rsidRPr="00373C93">
          <w:rPr>
            <w:noProof/>
            <w:sz w:val="18"/>
            <w:szCs w:val="16"/>
          </w:rPr>
          <w:fldChar w:fldCharType="end"/>
        </w:r>
        <w:r w:rsidRPr="00373C93">
          <w:rPr>
            <w:noProof/>
            <w:sz w:val="18"/>
            <w:szCs w:val="16"/>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B23207"/>
    <w:multiLevelType w:val="hybridMultilevel"/>
    <w:tmpl w:val="0BF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002529"/>
    <w:rsid w:val="00055877"/>
    <w:rsid w:val="00085662"/>
    <w:rsid w:val="000C382F"/>
    <w:rsid w:val="001173CC"/>
    <w:rsid w:val="00121D7F"/>
    <w:rsid w:val="00124271"/>
    <w:rsid w:val="00190DE7"/>
    <w:rsid w:val="001A54CC"/>
    <w:rsid w:val="001B085D"/>
    <w:rsid w:val="001E42DA"/>
    <w:rsid w:val="00257FB4"/>
    <w:rsid w:val="00274807"/>
    <w:rsid w:val="002754A6"/>
    <w:rsid w:val="00291227"/>
    <w:rsid w:val="002E496E"/>
    <w:rsid w:val="002F17AF"/>
    <w:rsid w:val="002F2E21"/>
    <w:rsid w:val="00303D62"/>
    <w:rsid w:val="00317032"/>
    <w:rsid w:val="00317B80"/>
    <w:rsid w:val="00335367"/>
    <w:rsid w:val="003620D6"/>
    <w:rsid w:val="003651C0"/>
    <w:rsid w:val="00370C2D"/>
    <w:rsid w:val="00373C93"/>
    <w:rsid w:val="00387034"/>
    <w:rsid w:val="003D1E8D"/>
    <w:rsid w:val="003D673B"/>
    <w:rsid w:val="003F2855"/>
    <w:rsid w:val="00401C20"/>
    <w:rsid w:val="004C4144"/>
    <w:rsid w:val="004E458C"/>
    <w:rsid w:val="00526872"/>
    <w:rsid w:val="005B182D"/>
    <w:rsid w:val="005C1809"/>
    <w:rsid w:val="005C2648"/>
    <w:rsid w:val="005E0DFB"/>
    <w:rsid w:val="00635F18"/>
    <w:rsid w:val="006969B4"/>
    <w:rsid w:val="006E4F7B"/>
    <w:rsid w:val="00721B0E"/>
    <w:rsid w:val="007525F3"/>
    <w:rsid w:val="00781E2A"/>
    <w:rsid w:val="007933A2"/>
    <w:rsid w:val="00814503"/>
    <w:rsid w:val="008258C2"/>
    <w:rsid w:val="008505BD"/>
    <w:rsid w:val="00850C78"/>
    <w:rsid w:val="00884734"/>
    <w:rsid w:val="008B0DA2"/>
    <w:rsid w:val="008C17AD"/>
    <w:rsid w:val="008D02CD"/>
    <w:rsid w:val="0095172A"/>
    <w:rsid w:val="009709D9"/>
    <w:rsid w:val="00985FB3"/>
    <w:rsid w:val="009A0BA0"/>
    <w:rsid w:val="00A54E47"/>
    <w:rsid w:val="00A612E4"/>
    <w:rsid w:val="00A928AE"/>
    <w:rsid w:val="00A93FA8"/>
    <w:rsid w:val="00AB6E3A"/>
    <w:rsid w:val="00AC748F"/>
    <w:rsid w:val="00AD7553"/>
    <w:rsid w:val="00AE0150"/>
    <w:rsid w:val="00AE7093"/>
    <w:rsid w:val="00B3259B"/>
    <w:rsid w:val="00B422BC"/>
    <w:rsid w:val="00B43F77"/>
    <w:rsid w:val="00B45C55"/>
    <w:rsid w:val="00B46ABE"/>
    <w:rsid w:val="00B55A3E"/>
    <w:rsid w:val="00B87E9E"/>
    <w:rsid w:val="00B937E0"/>
    <w:rsid w:val="00B95F0A"/>
    <w:rsid w:val="00B96180"/>
    <w:rsid w:val="00B964F2"/>
    <w:rsid w:val="00C17AC0"/>
    <w:rsid w:val="00C30019"/>
    <w:rsid w:val="00C34772"/>
    <w:rsid w:val="00C5465A"/>
    <w:rsid w:val="00C576DB"/>
    <w:rsid w:val="00C73F7C"/>
    <w:rsid w:val="00C9546D"/>
    <w:rsid w:val="00CF4255"/>
    <w:rsid w:val="00D53176"/>
    <w:rsid w:val="00D54642"/>
    <w:rsid w:val="00D9390C"/>
    <w:rsid w:val="00DC6733"/>
    <w:rsid w:val="00DD77C9"/>
    <w:rsid w:val="00DF1632"/>
    <w:rsid w:val="00DF3538"/>
    <w:rsid w:val="00E30880"/>
    <w:rsid w:val="00E408AF"/>
    <w:rsid w:val="00E669A7"/>
    <w:rsid w:val="00E83164"/>
    <w:rsid w:val="00E839B0"/>
    <w:rsid w:val="00E92C09"/>
    <w:rsid w:val="00F14380"/>
    <w:rsid w:val="00F14ACB"/>
    <w:rsid w:val="00F2028D"/>
    <w:rsid w:val="00F53894"/>
    <w:rsid w:val="00F6461F"/>
    <w:rsid w:val="00F90542"/>
    <w:rsid w:val="00FD2B2D"/>
    <w:rsid w:val="00FD33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C4F8332-3D07-44F6-BEAF-BE3C9FA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46A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9709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09D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8926">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5-R-00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5-R-00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81DA-8FEB-4346-96A5-388D6DCA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13</TotalTime>
  <Pages>3</Pages>
  <Words>952</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6061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Siles, Sidma Jeanneth</dc:creator>
  <cp:keywords/>
  <dc:description>150S.DOCX  For: _x000d_Document date: _x000d_Saved by ITU51006837 at 16:51:54 on 07/05/15</dc:description>
  <cp:lastModifiedBy>Osvath, Alexandra</cp:lastModifiedBy>
  <cp:revision>5</cp:revision>
  <cp:lastPrinted>2017-01-27T13:55:00Z</cp:lastPrinted>
  <dcterms:created xsi:type="dcterms:W3CDTF">2017-01-25T14:47:00Z</dcterms:created>
  <dcterms:modified xsi:type="dcterms:W3CDTF">2017-01-27T13:55:00Z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