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E038BB">
        <w:trPr>
          <w:trHeight w:val="1282"/>
        </w:trPr>
        <w:tc>
          <w:tcPr>
            <w:tcW w:w="1276" w:type="dxa"/>
            <w:gridSpan w:val="2"/>
            <w:shd w:val="clear" w:color="auto" w:fill="auto"/>
            <w:tcMar>
              <w:left w:w="0" w:type="dxa"/>
              <w:right w:w="0" w:type="dxa"/>
            </w:tcMar>
            <w:vAlign w:val="center"/>
          </w:tcPr>
          <w:p w:rsidR="00E038BB" w:rsidRDefault="004806EF">
            <w:pPr>
              <w:pStyle w:val="Tabletext"/>
              <w:jc w:val="center"/>
            </w:pPr>
            <w:r w:rsidRPr="000D1116">
              <w:rPr>
                <w:noProof/>
                <w:lang w:eastAsia="zh-CN"/>
              </w:rPr>
              <w:drawing>
                <wp:inline distT="0" distB="0" distL="0" distR="0">
                  <wp:extent cx="713740" cy="833755"/>
                  <wp:effectExtent l="0" t="0" r="0" b="4445"/>
                  <wp:docPr id="1" name="Picture 1" descr="itu-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740" cy="8337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E038BB" w:rsidRDefault="00847320">
            <w:pPr>
              <w:spacing w:before="0"/>
              <w:rPr>
                <w:rFonts w:cs="Times New Roman Bold"/>
                <w:b/>
                <w:bCs/>
                <w:smallCaps/>
                <w:sz w:val="26"/>
                <w:szCs w:val="26"/>
              </w:rPr>
            </w:pPr>
            <w:r>
              <w:rPr>
                <w:rFonts w:cs="Times New Roman Bold"/>
                <w:b/>
                <w:bCs/>
                <w:smallCaps/>
                <w:sz w:val="36"/>
                <w:szCs w:val="36"/>
              </w:rPr>
              <w:t>International telecommunication union</w:t>
            </w:r>
          </w:p>
          <w:p w:rsidR="00E038BB" w:rsidRDefault="00847320">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rsidR="00E038BB" w:rsidRDefault="00E038BB">
            <w:pPr>
              <w:spacing w:before="0"/>
              <w:jc w:val="right"/>
              <w:rPr>
                <w:rFonts w:ascii="Verdana" w:hAnsi="Verdana"/>
                <w:color w:val="FFFFFF"/>
                <w:sz w:val="26"/>
                <w:szCs w:val="26"/>
              </w:rPr>
            </w:pPr>
          </w:p>
        </w:tc>
      </w:tr>
      <w:tr w:rsidR="00E038BB">
        <w:trPr>
          <w:cantSplit/>
          <w:trHeight w:val="80"/>
        </w:trPr>
        <w:tc>
          <w:tcPr>
            <w:tcW w:w="4678" w:type="dxa"/>
            <w:gridSpan w:val="3"/>
            <w:vAlign w:val="center"/>
          </w:tcPr>
          <w:p w:rsidR="00E038BB" w:rsidRDefault="00E038BB">
            <w:pPr>
              <w:pStyle w:val="Tabletext"/>
              <w:jc w:val="right"/>
            </w:pPr>
          </w:p>
        </w:tc>
        <w:tc>
          <w:tcPr>
            <w:tcW w:w="5103" w:type="dxa"/>
            <w:gridSpan w:val="2"/>
            <w:vAlign w:val="center"/>
          </w:tcPr>
          <w:p w:rsidR="00E038BB" w:rsidRDefault="002D09FB">
            <w:pPr>
              <w:pStyle w:val="Tabletext"/>
              <w:spacing w:before="480" w:after="120"/>
            </w:pPr>
            <w:r>
              <w:t>Geneva, 17 January 2017</w:t>
            </w:r>
          </w:p>
        </w:tc>
      </w:tr>
      <w:tr w:rsidR="00E038BB">
        <w:trPr>
          <w:cantSplit/>
          <w:trHeight w:val="746"/>
        </w:trPr>
        <w:tc>
          <w:tcPr>
            <w:tcW w:w="1134" w:type="dxa"/>
          </w:tcPr>
          <w:p w:rsidR="00E038BB" w:rsidRDefault="00847320">
            <w:pPr>
              <w:pStyle w:val="Tabletext"/>
            </w:pPr>
            <w:r>
              <w:rPr>
                <w:b/>
              </w:rPr>
              <w:t>Ref:</w:t>
            </w:r>
          </w:p>
        </w:tc>
        <w:tc>
          <w:tcPr>
            <w:tcW w:w="3544" w:type="dxa"/>
            <w:gridSpan w:val="2"/>
          </w:tcPr>
          <w:p w:rsidR="00E038BB" w:rsidRDefault="00847320">
            <w:pPr>
              <w:pStyle w:val="Tabletext"/>
              <w:rPr>
                <w:b/>
                <w:bCs/>
              </w:rPr>
            </w:pPr>
            <w:r>
              <w:rPr>
                <w:b/>
                <w:bCs/>
              </w:rPr>
              <w:t>TSB Circular 2</w:t>
            </w:r>
          </w:p>
          <w:p w:rsidR="00E038BB" w:rsidRDefault="00847320">
            <w:pPr>
              <w:pStyle w:val="Tabletext"/>
            </w:pPr>
            <w:r>
              <w:t>SG15/HO</w:t>
            </w:r>
          </w:p>
        </w:tc>
        <w:tc>
          <w:tcPr>
            <w:tcW w:w="5103" w:type="dxa"/>
            <w:gridSpan w:val="2"/>
            <w:vMerge w:val="restart"/>
          </w:tcPr>
          <w:p w:rsidR="00E038BB" w:rsidRDefault="00847320">
            <w:pPr>
              <w:pStyle w:val="Tabletext"/>
            </w:pPr>
            <w:r>
              <w:rPr>
                <w:b/>
              </w:rPr>
              <w:t>To:</w:t>
            </w:r>
          </w:p>
          <w:p w:rsidR="00E038BB" w:rsidRDefault="00847320">
            <w:pPr>
              <w:pStyle w:val="Tabletext"/>
              <w:ind w:left="283" w:hanging="283"/>
            </w:pPr>
            <w:r>
              <w:t>-</w:t>
            </w:r>
            <w:r>
              <w:tab/>
              <w:t>Administrations of Member States of the Union</w:t>
            </w:r>
          </w:p>
        </w:tc>
      </w:tr>
      <w:tr w:rsidR="00E038BB">
        <w:trPr>
          <w:cantSplit/>
          <w:trHeight w:val="221"/>
        </w:trPr>
        <w:tc>
          <w:tcPr>
            <w:tcW w:w="1134" w:type="dxa"/>
          </w:tcPr>
          <w:p w:rsidR="00E038BB" w:rsidRDefault="00847320">
            <w:pPr>
              <w:pStyle w:val="Tabletext"/>
            </w:pPr>
            <w:r>
              <w:rPr>
                <w:b/>
              </w:rPr>
              <w:t>Tel:</w:t>
            </w:r>
          </w:p>
        </w:tc>
        <w:tc>
          <w:tcPr>
            <w:tcW w:w="3544" w:type="dxa"/>
            <w:gridSpan w:val="2"/>
          </w:tcPr>
          <w:p w:rsidR="00E038BB" w:rsidRDefault="00847320">
            <w:pPr>
              <w:pStyle w:val="Tabletext"/>
              <w:rPr>
                <w:b/>
              </w:rPr>
            </w:pPr>
            <w:r>
              <w:rPr>
                <w:lang w:val="en-US"/>
              </w:rPr>
              <w:t>+41 22 730 6356</w:t>
            </w:r>
          </w:p>
        </w:tc>
        <w:tc>
          <w:tcPr>
            <w:tcW w:w="5103" w:type="dxa"/>
            <w:gridSpan w:val="2"/>
            <w:vMerge/>
          </w:tcPr>
          <w:p w:rsidR="00E038BB" w:rsidRDefault="00E038BB">
            <w:pPr>
              <w:pStyle w:val="Tabletext"/>
              <w:ind w:left="142" w:hanging="142"/>
            </w:pPr>
          </w:p>
        </w:tc>
      </w:tr>
      <w:tr w:rsidR="00E038BB">
        <w:trPr>
          <w:cantSplit/>
          <w:trHeight w:val="282"/>
        </w:trPr>
        <w:tc>
          <w:tcPr>
            <w:tcW w:w="1134" w:type="dxa"/>
          </w:tcPr>
          <w:p w:rsidR="00E038BB" w:rsidRDefault="00847320">
            <w:pPr>
              <w:pStyle w:val="Tabletext"/>
            </w:pPr>
            <w:r>
              <w:rPr>
                <w:b/>
              </w:rPr>
              <w:t>Fax:</w:t>
            </w:r>
          </w:p>
        </w:tc>
        <w:tc>
          <w:tcPr>
            <w:tcW w:w="3544" w:type="dxa"/>
            <w:gridSpan w:val="2"/>
          </w:tcPr>
          <w:p w:rsidR="00E038BB" w:rsidRDefault="00847320">
            <w:pPr>
              <w:pStyle w:val="Tabletext"/>
              <w:rPr>
                <w:b/>
              </w:rPr>
            </w:pPr>
            <w:r>
              <w:t>+41 22 730 5853</w:t>
            </w:r>
          </w:p>
        </w:tc>
        <w:tc>
          <w:tcPr>
            <w:tcW w:w="5103" w:type="dxa"/>
            <w:gridSpan w:val="2"/>
            <w:vMerge/>
          </w:tcPr>
          <w:p w:rsidR="00E038BB" w:rsidRDefault="00E038BB">
            <w:pPr>
              <w:pStyle w:val="Tabletext"/>
              <w:ind w:left="142" w:hanging="142"/>
            </w:pPr>
          </w:p>
        </w:tc>
      </w:tr>
      <w:tr w:rsidR="00E038BB">
        <w:trPr>
          <w:cantSplit/>
          <w:trHeight w:val="1652"/>
        </w:trPr>
        <w:tc>
          <w:tcPr>
            <w:tcW w:w="1134" w:type="dxa"/>
          </w:tcPr>
          <w:p w:rsidR="00E038BB" w:rsidRDefault="00847320">
            <w:pPr>
              <w:pStyle w:val="Tabletext"/>
            </w:pPr>
            <w:r>
              <w:rPr>
                <w:b/>
              </w:rPr>
              <w:t>E-mail:</w:t>
            </w:r>
          </w:p>
        </w:tc>
        <w:tc>
          <w:tcPr>
            <w:tcW w:w="3544" w:type="dxa"/>
            <w:gridSpan w:val="2"/>
          </w:tcPr>
          <w:p w:rsidR="00E038BB" w:rsidRDefault="00460C7B">
            <w:pPr>
              <w:pStyle w:val="Tabletext"/>
            </w:pPr>
            <w:hyperlink r:id="rId9" w:history="1">
              <w:r w:rsidR="00847320">
                <w:rPr>
                  <w:rStyle w:val="Hyperlink"/>
                </w:rPr>
                <w:t>tsbsg15@itu.int</w:t>
              </w:r>
            </w:hyperlink>
          </w:p>
        </w:tc>
        <w:tc>
          <w:tcPr>
            <w:tcW w:w="5103" w:type="dxa"/>
            <w:gridSpan w:val="2"/>
          </w:tcPr>
          <w:p w:rsidR="00E038BB" w:rsidRDefault="00847320">
            <w:pPr>
              <w:pStyle w:val="Tabletext"/>
            </w:pPr>
            <w:r>
              <w:rPr>
                <w:b/>
              </w:rPr>
              <w:t>Copy to:</w:t>
            </w:r>
          </w:p>
          <w:p w:rsidR="00E038BB" w:rsidRDefault="00847320">
            <w:pPr>
              <w:pStyle w:val="Tabletext"/>
              <w:ind w:left="283" w:hanging="283"/>
            </w:pPr>
            <w:r>
              <w:t>-</w:t>
            </w:r>
            <w:r>
              <w:tab/>
              <w:t>ITU-T Sector Members</w:t>
            </w:r>
          </w:p>
          <w:p w:rsidR="00E038BB" w:rsidRPr="00B01147" w:rsidRDefault="00847320">
            <w:pPr>
              <w:pStyle w:val="Tabletext"/>
              <w:ind w:left="283" w:hanging="283"/>
              <w:rPr>
                <w:lang w:val="fr-FR"/>
              </w:rPr>
            </w:pPr>
            <w:r w:rsidRPr="00B01147">
              <w:rPr>
                <w:lang w:val="fr-FR"/>
              </w:rPr>
              <w:t>-</w:t>
            </w:r>
            <w:r w:rsidRPr="00B01147">
              <w:rPr>
                <w:lang w:val="fr-FR"/>
              </w:rPr>
              <w:tab/>
              <w:t>ITU-T Associates;</w:t>
            </w:r>
          </w:p>
          <w:p w:rsidR="00E038BB" w:rsidRPr="00B01147" w:rsidRDefault="00847320">
            <w:pPr>
              <w:pStyle w:val="Tabletext"/>
              <w:ind w:left="283" w:hanging="283"/>
              <w:rPr>
                <w:lang w:val="fr-FR"/>
              </w:rPr>
            </w:pPr>
            <w:r w:rsidRPr="00B01147">
              <w:rPr>
                <w:lang w:val="fr-FR"/>
              </w:rPr>
              <w:t>-</w:t>
            </w:r>
            <w:r w:rsidRPr="00B01147">
              <w:rPr>
                <w:lang w:val="fr-FR"/>
              </w:rPr>
              <w:tab/>
              <w:t>ITU Academia;</w:t>
            </w:r>
          </w:p>
          <w:p w:rsidR="00E038BB" w:rsidRDefault="00847320">
            <w:pPr>
              <w:pStyle w:val="Tabletext"/>
              <w:ind w:left="283" w:hanging="283"/>
            </w:pPr>
            <w:r>
              <w:t>-</w:t>
            </w:r>
            <w:r>
              <w:tab/>
              <w:t>The Chairman and Vice-Chairmen of ITU-T Study Group 15;</w:t>
            </w:r>
          </w:p>
          <w:p w:rsidR="00E038BB" w:rsidRDefault="00847320">
            <w:pPr>
              <w:pStyle w:val="Tabletext"/>
              <w:ind w:left="283" w:hanging="283"/>
            </w:pPr>
            <w:r>
              <w:t>-</w:t>
            </w:r>
            <w:r>
              <w:tab/>
              <w:t>The Director of the Telecommunication Development Bureau;</w:t>
            </w:r>
          </w:p>
          <w:p w:rsidR="00E038BB" w:rsidRDefault="00847320">
            <w:pPr>
              <w:pStyle w:val="Tabletext"/>
              <w:ind w:left="283" w:hanging="283"/>
            </w:pPr>
            <w:r>
              <w:t>-</w:t>
            </w:r>
            <w:r>
              <w:tab/>
              <w:t>The Director of the Radiocommunication Bureau</w:t>
            </w:r>
          </w:p>
        </w:tc>
      </w:tr>
      <w:tr w:rsidR="00E038BB">
        <w:trPr>
          <w:cantSplit/>
          <w:trHeight w:val="618"/>
        </w:trPr>
        <w:tc>
          <w:tcPr>
            <w:tcW w:w="1134" w:type="dxa"/>
          </w:tcPr>
          <w:p w:rsidR="00E038BB" w:rsidRDefault="00847320">
            <w:pPr>
              <w:pStyle w:val="Tabletext"/>
            </w:pPr>
            <w:r>
              <w:rPr>
                <w:b/>
              </w:rPr>
              <w:t>Subject:</w:t>
            </w:r>
          </w:p>
        </w:tc>
        <w:tc>
          <w:tcPr>
            <w:tcW w:w="8647" w:type="dxa"/>
            <w:gridSpan w:val="4"/>
          </w:tcPr>
          <w:p w:rsidR="00E038BB" w:rsidRDefault="00847320" w:rsidP="00B01147">
            <w:pPr>
              <w:pStyle w:val="Tabletext"/>
            </w:pPr>
            <w:r>
              <w:rPr>
                <w:b/>
              </w:rPr>
              <w:t xml:space="preserve">Meeting of ITU-T Study Group 15, 19-30 June 2017, Geneva, with a view to approving draft Recommendations </w:t>
            </w:r>
            <w:r w:rsidR="00B01147">
              <w:rPr>
                <w:b/>
              </w:rPr>
              <w:t xml:space="preserve">ITU-T </w:t>
            </w:r>
            <w:r>
              <w:rPr>
                <w:b/>
              </w:rPr>
              <w:t xml:space="preserve">G.9700 (2014) Amd.2, G.9901 in accordance with the provisions of Resolution 1, Section 9, of WTSA (Rev. </w:t>
            </w:r>
            <w:r w:rsidR="00B01147">
              <w:rPr>
                <w:b/>
              </w:rPr>
              <w:t>Hammamet</w:t>
            </w:r>
            <w:r>
              <w:rPr>
                <w:b/>
              </w:rPr>
              <w:t xml:space="preserve"> 201</w:t>
            </w:r>
            <w:r w:rsidR="00B01147">
              <w:rPr>
                <w:b/>
              </w:rPr>
              <w:t>6</w:t>
            </w:r>
            <w:r>
              <w:rPr>
                <w:b/>
              </w:rPr>
              <w:t>)</w:t>
            </w:r>
          </w:p>
        </w:tc>
      </w:tr>
    </w:tbl>
    <w:p w:rsidR="00E038BB" w:rsidRDefault="00E038BB"/>
    <w:p w:rsidR="00E038BB" w:rsidRDefault="00E038BB"/>
    <w:p w:rsidR="00E038BB" w:rsidRDefault="00847320">
      <w:r>
        <w:t>Dear Sir/Madam,</w:t>
      </w:r>
    </w:p>
    <w:p w:rsidR="00E038BB" w:rsidRDefault="00847320" w:rsidP="00460C7B">
      <w:pPr>
        <w:rPr>
          <w:szCs w:val="22"/>
        </w:rPr>
      </w:pPr>
      <w:r>
        <w:rPr>
          <w:bCs/>
          <w:szCs w:val="22"/>
        </w:rPr>
        <w:t>1</w:t>
      </w:r>
      <w:r>
        <w:rPr>
          <w:szCs w:val="22"/>
        </w:rPr>
        <w:tab/>
        <w:t xml:space="preserve">At the request of the Chairman of ITU-T Study Group 15: </w:t>
      </w:r>
      <w:r w:rsidR="00460C7B" w:rsidRPr="00460C7B">
        <w:rPr>
          <w:i/>
          <w:iCs/>
        </w:rPr>
        <w:t>Networks, technologies and infrastructures for transport, access and home</w:t>
      </w:r>
      <w:bookmarkStart w:id="0" w:name="_GoBack"/>
      <w:bookmarkEnd w:id="0"/>
      <w:r>
        <w:t xml:space="preserve">, I have the honour to inform you that this Study Group, which will meet from 19 June 2017 to 30 June 2017, </w:t>
      </w:r>
      <w:r>
        <w:rPr>
          <w:szCs w:val="22"/>
        </w:rPr>
        <w:t>intends to apply the procedure described in Resolution 1, Section 9, of WTSA (Hamma</w:t>
      </w:r>
      <w:r w:rsidR="00B01147">
        <w:rPr>
          <w:szCs w:val="22"/>
        </w:rPr>
        <w:t>m</w:t>
      </w:r>
      <w:r>
        <w:rPr>
          <w:szCs w:val="22"/>
        </w:rPr>
        <w:t>et, 2016) for the approval of the above-mentioned draft Recommendations.</w:t>
      </w:r>
    </w:p>
    <w:p w:rsidR="00E038BB" w:rsidRDefault="00847320" w:rsidP="003A34C9">
      <w:pPr>
        <w:rPr>
          <w:szCs w:val="22"/>
        </w:rPr>
      </w:pPr>
      <w:r>
        <w:rPr>
          <w:bCs/>
          <w:szCs w:val="22"/>
        </w:rPr>
        <w:t>2</w:t>
      </w:r>
      <w:r>
        <w:rPr>
          <w:szCs w:val="22"/>
        </w:rPr>
        <w:tab/>
        <w:t>The titles, summaries and locations of the draft ITU-T Recommendations proposed for approval will be found in Annex 1.</w:t>
      </w:r>
    </w:p>
    <w:p w:rsidR="00E038BB" w:rsidRDefault="00847320">
      <w:pPr>
        <w:rPr>
          <w:szCs w:val="22"/>
        </w:rPr>
      </w:pPr>
      <w:r>
        <w:rPr>
          <w:bCs/>
          <w:szCs w:val="22"/>
        </w:rPr>
        <w:t>3</w:t>
      </w:r>
      <w:r>
        <w:rPr>
          <w:szCs w:val="22"/>
        </w:rPr>
        <w:tab/>
        <w:t>Any ITU Member State, Sector Member, Associate or Academic Institution aware of a patent held by itself or others which may fully or partly cover elements of the draft Recommendations proposed for approval is requested to disclose such information to TSB, in accordance with the Common Patent Policy for ITU-T/ITU-R/ISO/IEC.</w:t>
      </w:r>
    </w:p>
    <w:p w:rsidR="00E038BB" w:rsidRDefault="00847320" w:rsidP="002D09FB">
      <w:pPr>
        <w:ind w:right="-426"/>
        <w:rPr>
          <w:szCs w:val="22"/>
        </w:rPr>
      </w:pPr>
      <w:r>
        <w:rPr>
          <w:szCs w:val="22"/>
        </w:rPr>
        <w:t>Available patent information can be accessed online via the ITU-T website (</w:t>
      </w:r>
      <w:hyperlink r:id="rId10" w:history="1">
        <w:r>
          <w:rPr>
            <w:rStyle w:val="Hyperlink"/>
            <w:szCs w:val="22"/>
          </w:rPr>
          <w:t>www.itu.int/ipr/</w:t>
        </w:r>
      </w:hyperlink>
      <w:r>
        <w:rPr>
          <w:szCs w:val="22"/>
        </w:rPr>
        <w:t>).</w:t>
      </w:r>
    </w:p>
    <w:p w:rsidR="00E038BB" w:rsidRDefault="00847320">
      <w:r>
        <w:rPr>
          <w:bCs/>
        </w:rPr>
        <w:br w:type="page"/>
      </w:r>
      <w:r>
        <w:rPr>
          <w:bCs/>
        </w:rPr>
        <w:lastRenderedPageBreak/>
        <w:t>4</w:t>
      </w:r>
      <w:r>
        <w:tab/>
        <w:t xml:space="preserve">Having regard to the provisions of Resolution 1, Section 9, I should be grateful if you would inform me by 2400 hours UTC on </w:t>
      </w:r>
      <w:r w:rsidRPr="00B01147">
        <w:rPr>
          <w:b/>
          <w:bCs/>
        </w:rPr>
        <w:t>7 June 2017</w:t>
      </w:r>
      <w:r>
        <w:t xml:space="preserve"> whether your Administration assigns authority to ITU-T Study Group 15 that these draft Recommendations should be considered for approval at the Study Group meeting.</w:t>
      </w:r>
    </w:p>
    <w:p w:rsidR="00E038BB" w:rsidRDefault="00847320">
      <w:r>
        <w:tab/>
        <w:t>Should any Member States be of the opinion that consideration for approval should not proceed, they should advise their reasons for disapproving and indicate the possible changes that would facilitate further consideration and approval of the draft Recommendations.</w:t>
      </w:r>
    </w:p>
    <w:p w:rsidR="00E038BB" w:rsidRDefault="00847320">
      <w:r>
        <w:rPr>
          <w:bCs/>
        </w:rPr>
        <w:t>5</w:t>
      </w:r>
      <w:r>
        <w:tab/>
        <w:t xml:space="preserve">If 70% or more of the replies from Member States support consideration for approval of these draft Recommendations at the Study Group meeting, one Plenary session will be devoted on </w:t>
      </w:r>
      <w:r w:rsidRPr="00B01147">
        <w:rPr>
          <w:b/>
          <w:bCs/>
        </w:rPr>
        <w:t>30 June 2017</w:t>
      </w:r>
      <w:r>
        <w:t xml:space="preserve"> to apply the approval procedure.</w:t>
      </w:r>
    </w:p>
    <w:p w:rsidR="00E038BB" w:rsidRDefault="00847320">
      <w:r>
        <w:t xml:space="preserve">I accordingly invite your Administration to send a representative to the meeting. </w:t>
      </w:r>
      <w:r>
        <w:rPr>
          <w:b/>
        </w:rPr>
        <w:t xml:space="preserve">The Administrations of Member States of the Union are invited to supply the name of the head of their delegation. If your Administration wishes to be represented at the meeting by a recognized operating agency, </w:t>
      </w:r>
      <w:r>
        <w:t>a scientific or industrial organization or another entity dealing with telecommunication matters, the Director should be duly informed, in accordance with Article 19, No. 239, of the ITU Convention.</w:t>
      </w:r>
    </w:p>
    <w:p w:rsidR="00E038BB" w:rsidRDefault="00847320" w:rsidP="00B01147">
      <w:r>
        <w:rPr>
          <w:bCs/>
        </w:rPr>
        <w:t>6</w:t>
      </w:r>
      <w:r>
        <w:tab/>
        <w:t xml:space="preserve">The agenda and all relevant information concerning the ITU-T Study Group 15 meeting will be available from Collective </w:t>
      </w:r>
      <w:r w:rsidRPr="00B01147">
        <w:t>letter</w:t>
      </w:r>
      <w:r w:rsidR="00B01147">
        <w:t xml:space="preserve"> 1/15.</w:t>
      </w:r>
    </w:p>
    <w:p w:rsidR="00E038BB" w:rsidRDefault="00847320">
      <w:r>
        <w:rPr>
          <w:bCs/>
        </w:rPr>
        <w:t>7</w:t>
      </w:r>
      <w:r>
        <w:tab/>
        <w:t>After the meeting, the Director of TSB will notify, in a circular, the decision taken on these Recommendations. This information will also be published in the ITU Operational Bulletin.</w:t>
      </w:r>
    </w:p>
    <w:p w:rsidR="00E038BB" w:rsidRDefault="00847320">
      <w:pPr>
        <w:spacing w:before="360"/>
      </w:pPr>
      <w:r>
        <w:t>Yours faithfully,</w:t>
      </w:r>
    </w:p>
    <w:p w:rsidR="00E038BB" w:rsidRDefault="00E038BB"/>
    <w:p w:rsidR="00E038BB" w:rsidRDefault="00847320">
      <w:r>
        <w:t>Chaesub Lee</w:t>
      </w:r>
      <w:r>
        <w:br/>
        <w:t>Director of the Telecommunication</w:t>
      </w:r>
      <w:r>
        <w:br/>
        <w:t>Standardization Bureau</w:t>
      </w:r>
    </w:p>
    <w:p w:rsidR="00E038BB" w:rsidRDefault="00847320">
      <w:pPr>
        <w:spacing w:before="360"/>
        <w:rPr>
          <w:b/>
          <w:bCs/>
        </w:rPr>
      </w:pPr>
      <w:r>
        <w:rPr>
          <w:b/>
        </w:rPr>
        <w:t>Annex: 1</w:t>
      </w:r>
    </w:p>
    <w:p w:rsidR="00E038BB" w:rsidRDefault="00847320">
      <w:pPr>
        <w:tabs>
          <w:tab w:val="clear" w:pos="794"/>
          <w:tab w:val="clear" w:pos="1191"/>
          <w:tab w:val="clear" w:pos="1588"/>
          <w:tab w:val="clear" w:pos="1985"/>
        </w:tabs>
        <w:overflowPunct/>
        <w:autoSpaceDE/>
        <w:autoSpaceDN/>
        <w:adjustRightInd/>
        <w:spacing w:before="0"/>
        <w:textAlignment w:val="auto"/>
      </w:pPr>
      <w:r>
        <w:br w:type="page"/>
      </w:r>
    </w:p>
    <w:p w:rsidR="00E038BB" w:rsidRDefault="00847320">
      <w:pPr>
        <w:pStyle w:val="Annextitle"/>
      </w:pPr>
      <w:r>
        <w:lastRenderedPageBreak/>
        <w:t>Annex 1</w:t>
      </w:r>
      <w:r>
        <w:br/>
        <w:t>(to TSB Circular 2)</w:t>
      </w:r>
    </w:p>
    <w:p w:rsidR="00E038BB" w:rsidRDefault="00847320">
      <w:pPr>
        <w:pStyle w:val="Annextitle"/>
      </w:pPr>
      <w:r>
        <w:t>Summary and location</w:t>
      </w:r>
    </w:p>
    <w:p w:rsidR="00E038BB" w:rsidRDefault="00847320">
      <w:pPr>
        <w:pStyle w:val="Heading1"/>
      </w:pPr>
      <w:r>
        <w:t>1</w:t>
      </w:r>
      <w:r>
        <w:tab/>
        <w:t>Draft Recommendation ITU-T G.9700 (2014) Amd.2 (</w:t>
      </w:r>
      <w:hyperlink r:id="rId11" w:history="1">
        <w:r>
          <w:rPr>
            <w:rStyle w:val="Hyperlink"/>
          </w:rPr>
          <w:t>R 33</w:t>
        </w:r>
      </w:hyperlink>
      <w:r>
        <w:t>)</w:t>
      </w:r>
    </w:p>
    <w:p w:rsidR="00E038BB" w:rsidRDefault="00847320">
      <w:r>
        <w:t>Fast access to subscriber terminals (G.fast) - Power spectral density specification: Amendment 2</w:t>
      </w:r>
    </w:p>
    <w:p w:rsidR="00E038BB" w:rsidRDefault="00847320">
      <w:pPr>
        <w:pStyle w:val="Heading2"/>
      </w:pPr>
      <w:r>
        <w:t>Summary</w:t>
      </w:r>
    </w:p>
    <w:p w:rsidR="00E038BB" w:rsidRDefault="00847320">
      <w:r>
        <w:t>Amendment 2 to Recommendation ITU-T G.9700 (2014) completes the specification of 212 MHz profiles and adds Annex X "Adaptation to the coax medium" in support of Annex X " Operation without multi-line coordination intended for a crosstalk free environment" that has been specified in amendment 3 to Recommendation ITU-T G.9701.</w:t>
      </w:r>
    </w:p>
    <w:p w:rsidR="00E038BB" w:rsidRPr="00B01147" w:rsidRDefault="00847320">
      <w:pPr>
        <w:pStyle w:val="Heading1"/>
        <w:rPr>
          <w:lang w:val="fr-FR"/>
        </w:rPr>
      </w:pPr>
      <w:r w:rsidRPr="00B01147">
        <w:rPr>
          <w:lang w:val="fr-FR"/>
        </w:rPr>
        <w:t>2</w:t>
      </w:r>
      <w:r w:rsidRPr="00B01147">
        <w:rPr>
          <w:lang w:val="fr-FR"/>
        </w:rPr>
        <w:tab/>
        <w:t>Draft Recommendation ITU-T G.9901 (</w:t>
      </w:r>
      <w:hyperlink r:id="rId12" w:history="1">
        <w:r w:rsidRPr="00B01147">
          <w:rPr>
            <w:rStyle w:val="Hyperlink"/>
            <w:lang w:val="fr-FR"/>
          </w:rPr>
          <w:t>R 34</w:t>
        </w:r>
      </w:hyperlink>
      <w:r w:rsidRPr="00B01147">
        <w:rPr>
          <w:lang w:val="fr-FR"/>
        </w:rPr>
        <w:t>)</w:t>
      </w:r>
    </w:p>
    <w:p w:rsidR="00E038BB" w:rsidRDefault="00847320">
      <w:r>
        <w:t>Narrow-band orthogonal frequency division multiplexing power line communication transceivers - power spectral density specification</w:t>
      </w:r>
    </w:p>
    <w:p w:rsidR="00E038BB" w:rsidRDefault="00847320">
      <w:pPr>
        <w:pStyle w:val="Heading2"/>
      </w:pPr>
      <w:r>
        <w:t>Summary</w:t>
      </w:r>
    </w:p>
    <w:p w:rsidR="00B01147" w:rsidRDefault="00847320">
      <w:r>
        <w:t xml:space="preserve">Recommendation ITU-T G.9901 specifies the transmitted output voltage in the band 9-535 kHz, the control parameters that determine spectral content, power spectral density (PSD) mask requirements, a set of tools to support the reduction of the transmit PSD, the means to measure this PSD for transmission over power line wiring, as well as the allowable total transmit power into a specified termination impedance. It also complements the system architecture, physical layer (PHY) and data link layer (DLL) specifications in Recommendations ITU T G.9902 (G.hnem), ITU-T G.9903 (G3-PLC), and ITU-T G.9904 (PRIME). This revision contains the following modifications: </w:t>
      </w:r>
    </w:p>
    <w:p w:rsidR="00B01147" w:rsidRDefault="00847320" w:rsidP="00B01147">
      <w:pPr>
        <w:numPr>
          <w:ilvl w:val="0"/>
          <w:numId w:val="11"/>
        </w:numPr>
        <w:tabs>
          <w:tab w:val="clear" w:pos="794"/>
          <w:tab w:val="clear" w:pos="1191"/>
          <w:tab w:val="left" w:pos="709"/>
        </w:tabs>
      </w:pPr>
      <w:r>
        <w:t xml:space="preserve">The output voltage limits set for the G.9902 FCC-2 bandplan have been extended to G.9903 technology and thus placed in the main body. Care has been taken to reference existing standards as much as possible. </w:t>
      </w:r>
    </w:p>
    <w:p w:rsidR="00E038BB" w:rsidRDefault="00847320" w:rsidP="00B01147">
      <w:pPr>
        <w:numPr>
          <w:ilvl w:val="0"/>
          <w:numId w:val="11"/>
        </w:numPr>
        <w:tabs>
          <w:tab w:val="clear" w:pos="794"/>
          <w:tab w:val="clear" w:pos="1191"/>
          <w:tab w:val="left" w:pos="709"/>
        </w:tabs>
      </w:pPr>
      <w:r>
        <w:t xml:space="preserve">The clarification of the tone masking feature in Annex B. </w:t>
      </w:r>
    </w:p>
    <w:p w:rsidR="00E038BB" w:rsidRDefault="00847320">
      <w:pPr>
        <w:spacing w:before="720"/>
        <w:jc w:val="center"/>
      </w:pPr>
      <w:r>
        <w:t>___________</w:t>
      </w:r>
    </w:p>
    <w:sectPr w:rsidR="00E038BB" w:rsidSect="00E038BB">
      <w:headerReference w:type="default" r:id="rId13"/>
      <w:foot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530" w:rsidRDefault="00AD7530">
      <w:r>
        <w:separator/>
      </w:r>
    </w:p>
  </w:endnote>
  <w:endnote w:type="continuationSeparator" w:id="0">
    <w:p w:rsidR="00AD7530" w:rsidRDefault="00AD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BB" w:rsidRDefault="00847320" w:rsidP="00B01147">
    <w:pPr>
      <w:pStyle w:val="Footer"/>
      <w:tabs>
        <w:tab w:val="clear" w:pos="794"/>
        <w:tab w:val="clear" w:pos="1191"/>
        <w:tab w:val="clear" w:pos="1588"/>
        <w:tab w:val="clear" w:pos="1985"/>
      </w:tabs>
      <w:rPr>
        <w:lang w:val="fr-CH"/>
      </w:rPr>
    </w:pPr>
    <w:r>
      <w:rPr>
        <w:lang w:val="fr-CH"/>
      </w:rPr>
      <w:t>ITU-T\BUREAU\CIRC\</w:t>
    </w:r>
    <w:r w:rsidR="00B01147">
      <w:rPr>
        <w:lang w:val="fr-CH"/>
      </w:rPr>
      <w:t>002</w:t>
    </w:r>
    <w:r>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BB" w:rsidRDefault="00847320">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530" w:rsidRDefault="00AD7530">
      <w:r>
        <w:t>____________________</w:t>
      </w:r>
    </w:p>
  </w:footnote>
  <w:footnote w:type="continuationSeparator" w:id="0">
    <w:p w:rsidR="00AD7530" w:rsidRDefault="00AD7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BB" w:rsidRDefault="00847320">
    <w:pPr>
      <w:pStyle w:val="Header"/>
    </w:pPr>
    <w:r>
      <w:t xml:space="preserve">- </w:t>
    </w:r>
    <w:r w:rsidR="000D1116">
      <w:fldChar w:fldCharType="begin"/>
    </w:r>
    <w:r>
      <w:instrText xml:space="preserve"> PAGE   \* MERGEFORMAT </w:instrText>
    </w:r>
    <w:r w:rsidR="000D1116">
      <w:fldChar w:fldCharType="separate"/>
    </w:r>
    <w:r w:rsidR="00460C7B">
      <w:rPr>
        <w:noProof/>
      </w:rPr>
      <w:t>2</w:t>
    </w:r>
    <w:r w:rsidR="000D1116">
      <w:rPr>
        <w:noProof/>
      </w:rPr>
      <w:fldChar w:fldCharType="end"/>
    </w:r>
    <w:r>
      <w:rPr>
        <w:noProof/>
      </w:rPr>
      <w:t xml:space="preserve"> -</w:t>
    </w:r>
  </w:p>
  <w:p w:rsidR="00E038BB" w:rsidRDefault="00E038B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ï‚·"/>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ï‚·"/>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ï‚·"/>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ï‚·"/>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ï‚·"/>
      <w:lvlJc w:val="left"/>
      <w:pPr>
        <w:tabs>
          <w:tab w:val="num" w:pos="360"/>
        </w:tabs>
        <w:ind w:left="360" w:hanging="360"/>
      </w:pPr>
      <w:rPr>
        <w:rFonts w:ascii="Symbol" w:hAnsi="Symbol" w:hint="default"/>
      </w:rPr>
    </w:lvl>
  </w:abstractNum>
  <w:abstractNum w:abstractNumId="10" w15:restartNumberingAfterBreak="0">
    <w:nsid w:val="77B23207"/>
    <w:multiLevelType w:val="hybridMultilevel"/>
    <w:tmpl w:val="0BFE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BB"/>
    <w:rsid w:val="0009117E"/>
    <w:rsid w:val="000D1116"/>
    <w:rsid w:val="002D09FB"/>
    <w:rsid w:val="003A34C9"/>
    <w:rsid w:val="00460C7B"/>
    <w:rsid w:val="004806EF"/>
    <w:rsid w:val="00690E96"/>
    <w:rsid w:val="007752F7"/>
    <w:rsid w:val="008439EE"/>
    <w:rsid w:val="00847320"/>
    <w:rsid w:val="00AD7530"/>
    <w:rsid w:val="00B01147"/>
    <w:rsid w:val="00E038BB"/>
    <w:rsid w:val="00E12902"/>
    <w:rsid w:val="00E4449D"/>
    <w:rsid w:val="00EA1C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8DB1942D-0747-4142-91C2-135D016A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3A34C9"/>
    <w:rPr>
      <w:b/>
      <w:bCs/>
    </w:rPr>
  </w:style>
  <w:style w:type="character" w:customStyle="1" w:styleId="CommentSubjectChar">
    <w:name w:val="Comment Subject Char"/>
    <w:link w:val="CommentSubject"/>
    <w:rsid w:val="003A34C9"/>
    <w:rPr>
      <w:rFonts w:ascii="Calibri" w:hAnsi="Calibri"/>
      <w:b/>
      <w:bCs/>
      <w:lang w:val="en-GB" w:eastAsia="en-US"/>
    </w:rPr>
  </w:style>
  <w:style w:type="paragraph" w:styleId="Revision">
    <w:name w:val="Revision"/>
    <w:hidden/>
    <w:rsid w:val="003A34C9"/>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tu.int/" TargetMode="External"/><Relationship Id="rId12" Type="http://schemas.openxmlformats.org/officeDocument/2006/relationships/hyperlink" Target="http://www.itu.int/md/T13-SG15-R-00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T13-SG15-R-003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ipr/" TargetMode="External"/><Relationship Id="rId4" Type="http://schemas.openxmlformats.org/officeDocument/2006/relationships/webSettings" Target="webSettings.xml"/><Relationship Id="rId9" Type="http://schemas.openxmlformats.org/officeDocument/2006/relationships/hyperlink" Target="mailto:tsbsg15@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lastModifiedBy>TSB (RC)</cp:lastModifiedBy>
  <cp:revision>2</cp:revision>
  <cp:lastPrinted>2017-01-24T16:24:00Z</cp:lastPrinted>
  <dcterms:created xsi:type="dcterms:W3CDTF">2017-01-24T16:49:00Z</dcterms:created>
  <dcterms:modified xsi:type="dcterms:W3CDTF">2017-01-24T16:49:00Z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