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CellMar>
          <w:left w:w="57" w:type="dxa"/>
          <w:right w:w="57" w:type="dxa"/>
        </w:tblCellMar>
        <w:tblLook w:val="0000" w:firstRow="0" w:lastRow="0" w:firstColumn="0" w:lastColumn="0" w:noHBand="0" w:noVBand="0"/>
      </w:tblPr>
      <w:tblGrid>
        <w:gridCol w:w="1188"/>
        <w:gridCol w:w="372"/>
        <w:gridCol w:w="53"/>
        <w:gridCol w:w="3617"/>
        <w:gridCol w:w="440"/>
        <w:gridCol w:w="4231"/>
        <w:gridCol w:w="22"/>
      </w:tblGrid>
      <w:tr w:rsidR="00D96D87" w:rsidRPr="00D96D87" w14:paraId="7E303F4D" w14:textId="77777777" w:rsidTr="00D96D87">
        <w:trPr>
          <w:gridAfter w:val="1"/>
          <w:wAfter w:w="22" w:type="dxa"/>
          <w:cantSplit/>
        </w:trPr>
        <w:tc>
          <w:tcPr>
            <w:tcW w:w="1188" w:type="dxa"/>
            <w:vMerge w:val="restart"/>
          </w:tcPr>
          <w:p w14:paraId="29571DEB" w14:textId="77777777" w:rsidR="00D96D87" w:rsidRPr="00D96D87" w:rsidRDefault="00D96D87" w:rsidP="00D96D87">
            <w:pPr>
              <w:rPr>
                <w:sz w:val="20"/>
              </w:rPr>
            </w:pPr>
            <w:bookmarkStart w:id="0" w:name="irecnoe"/>
            <w:bookmarkStart w:id="1" w:name="dnum" w:colFirst="2" w:colLast="2"/>
            <w:bookmarkStart w:id="2" w:name="dtableau"/>
            <w:bookmarkEnd w:id="0"/>
            <w:r w:rsidRPr="00D96D87">
              <w:rPr>
                <w:noProof/>
                <w:sz w:val="20"/>
                <w:lang w:val="en-US"/>
              </w:rPr>
              <w:drawing>
                <wp:inline distT="0" distB="0" distL="0" distR="0" wp14:anchorId="1B63FE1C" wp14:editId="66182D5E">
                  <wp:extent cx="647700" cy="828675"/>
                  <wp:effectExtent l="0" t="0" r="0" b="0"/>
                  <wp:docPr id="1" name="Picture 1"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42" w:type="dxa"/>
            <w:gridSpan w:val="3"/>
            <w:vMerge w:val="restart"/>
          </w:tcPr>
          <w:p w14:paraId="0E238BE7" w14:textId="77777777" w:rsidR="00D96D87" w:rsidRPr="00D96D87" w:rsidRDefault="00D96D87" w:rsidP="00D96D87">
            <w:pPr>
              <w:rPr>
                <w:sz w:val="16"/>
                <w:szCs w:val="16"/>
              </w:rPr>
            </w:pPr>
            <w:r w:rsidRPr="00D96D87">
              <w:rPr>
                <w:sz w:val="16"/>
                <w:szCs w:val="16"/>
              </w:rPr>
              <w:t>INTERNATIONAL TELECOMMUNICATION UNION</w:t>
            </w:r>
          </w:p>
          <w:p w14:paraId="04BAD3FF" w14:textId="77777777" w:rsidR="00D96D87" w:rsidRPr="00D96D87" w:rsidRDefault="00D96D87" w:rsidP="00D96D87">
            <w:pPr>
              <w:rPr>
                <w:b/>
                <w:bCs/>
                <w:sz w:val="26"/>
                <w:szCs w:val="26"/>
              </w:rPr>
            </w:pPr>
            <w:r w:rsidRPr="00D96D87">
              <w:rPr>
                <w:b/>
                <w:bCs/>
                <w:sz w:val="26"/>
                <w:szCs w:val="26"/>
              </w:rPr>
              <w:t>TELECOMMUNICATION</w:t>
            </w:r>
            <w:r w:rsidRPr="00D96D87">
              <w:rPr>
                <w:b/>
                <w:bCs/>
                <w:sz w:val="26"/>
                <w:szCs w:val="26"/>
              </w:rPr>
              <w:br/>
              <w:t>STANDARDIZATION SECTOR</w:t>
            </w:r>
          </w:p>
          <w:p w14:paraId="0E637E29" w14:textId="77777777" w:rsidR="00D96D87" w:rsidRPr="00D96D87" w:rsidRDefault="00D96D87" w:rsidP="00D96D87">
            <w:pPr>
              <w:rPr>
                <w:sz w:val="20"/>
              </w:rPr>
            </w:pPr>
            <w:r w:rsidRPr="00D96D87">
              <w:rPr>
                <w:sz w:val="20"/>
              </w:rPr>
              <w:t xml:space="preserve">STUDY PERIOD </w:t>
            </w:r>
            <w:bookmarkStart w:id="3" w:name="dstudyperiod"/>
            <w:r w:rsidRPr="00D96D87">
              <w:rPr>
                <w:sz w:val="20"/>
              </w:rPr>
              <w:t>2017-2020</w:t>
            </w:r>
            <w:bookmarkEnd w:id="3"/>
          </w:p>
        </w:tc>
        <w:tc>
          <w:tcPr>
            <w:tcW w:w="4671" w:type="dxa"/>
            <w:gridSpan w:val="2"/>
            <w:vAlign w:val="center"/>
          </w:tcPr>
          <w:p w14:paraId="19EB97EE" w14:textId="522B56B5" w:rsidR="00D96D87" w:rsidRPr="00D96D87" w:rsidRDefault="00D96D87" w:rsidP="00D96D87">
            <w:pPr>
              <w:pStyle w:val="Docnumber"/>
              <w:rPr>
                <w:sz w:val="32"/>
              </w:rPr>
            </w:pPr>
            <w:r>
              <w:rPr>
                <w:sz w:val="32"/>
              </w:rPr>
              <w:t>TSAG-</w:t>
            </w:r>
            <w:r w:rsidR="002F3545">
              <w:rPr>
                <w:sz w:val="32"/>
              </w:rPr>
              <w:t>TD</w:t>
            </w:r>
            <w:r w:rsidR="00106139">
              <w:rPr>
                <w:sz w:val="32"/>
              </w:rPr>
              <w:t>1251</w:t>
            </w:r>
          </w:p>
        </w:tc>
      </w:tr>
      <w:tr w:rsidR="00D96D87" w:rsidRPr="00D96D87" w14:paraId="444946E4" w14:textId="77777777" w:rsidTr="00D96D87">
        <w:trPr>
          <w:gridAfter w:val="1"/>
          <w:wAfter w:w="22" w:type="dxa"/>
          <w:cantSplit/>
        </w:trPr>
        <w:tc>
          <w:tcPr>
            <w:tcW w:w="1188" w:type="dxa"/>
            <w:vMerge/>
          </w:tcPr>
          <w:p w14:paraId="1BF975DF" w14:textId="77777777" w:rsidR="00D96D87" w:rsidRPr="00D96D87" w:rsidRDefault="00D96D87" w:rsidP="00D96D87">
            <w:pPr>
              <w:rPr>
                <w:smallCaps/>
                <w:sz w:val="20"/>
              </w:rPr>
            </w:pPr>
            <w:bookmarkStart w:id="4" w:name="dsg" w:colFirst="2" w:colLast="2"/>
            <w:bookmarkEnd w:id="1"/>
          </w:p>
        </w:tc>
        <w:tc>
          <w:tcPr>
            <w:tcW w:w="4042" w:type="dxa"/>
            <w:gridSpan w:val="3"/>
            <w:vMerge/>
          </w:tcPr>
          <w:p w14:paraId="4C2B9A18" w14:textId="77777777" w:rsidR="00D96D87" w:rsidRPr="00D96D87" w:rsidRDefault="00D96D87" w:rsidP="00D96D87">
            <w:pPr>
              <w:rPr>
                <w:smallCaps/>
                <w:sz w:val="20"/>
              </w:rPr>
            </w:pPr>
          </w:p>
        </w:tc>
        <w:tc>
          <w:tcPr>
            <w:tcW w:w="4671" w:type="dxa"/>
            <w:gridSpan w:val="2"/>
          </w:tcPr>
          <w:p w14:paraId="3FC35965" w14:textId="4DD067C9" w:rsidR="00D96D87" w:rsidRPr="00D96D87" w:rsidRDefault="00D96D87" w:rsidP="00D96D87">
            <w:pPr>
              <w:jc w:val="right"/>
              <w:rPr>
                <w:b/>
                <w:bCs/>
                <w:smallCaps/>
                <w:sz w:val="28"/>
                <w:szCs w:val="28"/>
              </w:rPr>
            </w:pPr>
            <w:r>
              <w:rPr>
                <w:b/>
                <w:bCs/>
                <w:smallCaps/>
                <w:sz w:val="28"/>
                <w:szCs w:val="28"/>
              </w:rPr>
              <w:t>TSAG</w:t>
            </w:r>
          </w:p>
        </w:tc>
      </w:tr>
      <w:bookmarkEnd w:id="4"/>
      <w:tr w:rsidR="00D96D87" w:rsidRPr="00D96D87" w14:paraId="67C62054" w14:textId="77777777" w:rsidTr="00D96D87">
        <w:trPr>
          <w:gridAfter w:val="1"/>
          <w:wAfter w:w="22" w:type="dxa"/>
          <w:cantSplit/>
        </w:trPr>
        <w:tc>
          <w:tcPr>
            <w:tcW w:w="1188" w:type="dxa"/>
            <w:vMerge/>
            <w:tcBorders>
              <w:bottom w:val="single" w:sz="12" w:space="0" w:color="auto"/>
            </w:tcBorders>
          </w:tcPr>
          <w:p w14:paraId="4A317271" w14:textId="77777777" w:rsidR="00D96D87" w:rsidRPr="00D96D87" w:rsidRDefault="00D96D87" w:rsidP="00D96D87">
            <w:pPr>
              <w:rPr>
                <w:b/>
                <w:bCs/>
                <w:sz w:val="26"/>
              </w:rPr>
            </w:pPr>
          </w:p>
        </w:tc>
        <w:tc>
          <w:tcPr>
            <w:tcW w:w="4042" w:type="dxa"/>
            <w:gridSpan w:val="3"/>
            <w:vMerge/>
            <w:tcBorders>
              <w:bottom w:val="single" w:sz="12" w:space="0" w:color="auto"/>
            </w:tcBorders>
          </w:tcPr>
          <w:p w14:paraId="66003C2E" w14:textId="77777777" w:rsidR="00D96D87" w:rsidRPr="00D96D87" w:rsidRDefault="00D96D87" w:rsidP="00D96D87">
            <w:pPr>
              <w:rPr>
                <w:b/>
                <w:bCs/>
                <w:sz w:val="26"/>
              </w:rPr>
            </w:pPr>
          </w:p>
        </w:tc>
        <w:tc>
          <w:tcPr>
            <w:tcW w:w="4671" w:type="dxa"/>
            <w:gridSpan w:val="2"/>
            <w:tcBorders>
              <w:bottom w:val="single" w:sz="12" w:space="0" w:color="auto"/>
            </w:tcBorders>
            <w:vAlign w:val="center"/>
          </w:tcPr>
          <w:p w14:paraId="32119677" w14:textId="77777777" w:rsidR="00D96D87" w:rsidRPr="00D96D87" w:rsidRDefault="00D96D87" w:rsidP="00D96D87">
            <w:pPr>
              <w:jc w:val="right"/>
              <w:rPr>
                <w:b/>
                <w:bCs/>
                <w:sz w:val="28"/>
                <w:szCs w:val="28"/>
              </w:rPr>
            </w:pPr>
            <w:r w:rsidRPr="00D96D87">
              <w:rPr>
                <w:b/>
                <w:bCs/>
                <w:sz w:val="28"/>
                <w:szCs w:val="28"/>
              </w:rPr>
              <w:t>Original: English</w:t>
            </w:r>
          </w:p>
        </w:tc>
      </w:tr>
      <w:tr w:rsidR="00D96D87" w:rsidRPr="00D96D87" w14:paraId="09B253AB" w14:textId="77777777" w:rsidTr="00D96D87">
        <w:trPr>
          <w:gridAfter w:val="1"/>
          <w:wAfter w:w="22" w:type="dxa"/>
          <w:cantSplit/>
        </w:trPr>
        <w:tc>
          <w:tcPr>
            <w:tcW w:w="1613" w:type="dxa"/>
            <w:gridSpan w:val="3"/>
          </w:tcPr>
          <w:p w14:paraId="36D33332" w14:textId="77777777" w:rsidR="00D96D87" w:rsidRPr="00D96D87" w:rsidRDefault="00D96D87" w:rsidP="00D96D87">
            <w:pPr>
              <w:rPr>
                <w:b/>
                <w:bCs/>
                <w:szCs w:val="24"/>
              </w:rPr>
            </w:pPr>
            <w:bookmarkStart w:id="5" w:name="dbluepink" w:colFirst="1" w:colLast="1"/>
            <w:bookmarkStart w:id="6" w:name="dmeeting" w:colFirst="2" w:colLast="2"/>
            <w:r w:rsidRPr="00D96D87">
              <w:rPr>
                <w:b/>
                <w:bCs/>
                <w:szCs w:val="24"/>
              </w:rPr>
              <w:t>Question(s):</w:t>
            </w:r>
          </w:p>
        </w:tc>
        <w:tc>
          <w:tcPr>
            <w:tcW w:w="3617" w:type="dxa"/>
          </w:tcPr>
          <w:p w14:paraId="5F5FE898" w14:textId="0469666C" w:rsidR="00D96D87" w:rsidRPr="00D96D87" w:rsidRDefault="00D96D87" w:rsidP="00D96D87">
            <w:pPr>
              <w:rPr>
                <w:szCs w:val="24"/>
              </w:rPr>
            </w:pPr>
            <w:r>
              <w:rPr>
                <w:szCs w:val="24"/>
              </w:rPr>
              <w:t>N/A</w:t>
            </w:r>
          </w:p>
        </w:tc>
        <w:tc>
          <w:tcPr>
            <w:tcW w:w="4671" w:type="dxa"/>
            <w:gridSpan w:val="2"/>
          </w:tcPr>
          <w:p w14:paraId="7D6AEA7A" w14:textId="6A7CF784" w:rsidR="00D96D87" w:rsidRPr="00D96D87" w:rsidRDefault="00B66609" w:rsidP="00D96D87">
            <w:pPr>
              <w:jc w:val="right"/>
              <w:rPr>
                <w:szCs w:val="24"/>
              </w:rPr>
            </w:pPr>
            <w:r>
              <w:rPr>
                <w:szCs w:val="24"/>
              </w:rPr>
              <w:t>E-meeting</w:t>
            </w:r>
            <w:r w:rsidR="00D96D87" w:rsidRPr="00D96D87">
              <w:rPr>
                <w:szCs w:val="24"/>
              </w:rPr>
              <w:t xml:space="preserve">, </w:t>
            </w:r>
            <w:r w:rsidR="00316274">
              <w:rPr>
                <w:szCs w:val="24"/>
              </w:rPr>
              <w:t>10-17</w:t>
            </w:r>
            <w:r w:rsidRPr="00D96D87">
              <w:rPr>
                <w:szCs w:val="24"/>
              </w:rPr>
              <w:t xml:space="preserve"> </w:t>
            </w:r>
            <w:r w:rsidR="00D96D87" w:rsidRPr="00D96D87">
              <w:rPr>
                <w:szCs w:val="24"/>
              </w:rPr>
              <w:t>January 202</w:t>
            </w:r>
            <w:r w:rsidR="00316274">
              <w:rPr>
                <w:szCs w:val="24"/>
              </w:rPr>
              <w:t>2</w:t>
            </w:r>
          </w:p>
        </w:tc>
      </w:tr>
      <w:tr w:rsidR="00D96D87" w:rsidRPr="00D96D87" w14:paraId="5961549D" w14:textId="77777777" w:rsidTr="00D96D87">
        <w:trPr>
          <w:gridAfter w:val="1"/>
          <w:wAfter w:w="22" w:type="dxa"/>
          <w:cantSplit/>
        </w:trPr>
        <w:tc>
          <w:tcPr>
            <w:tcW w:w="9901" w:type="dxa"/>
            <w:gridSpan w:val="6"/>
          </w:tcPr>
          <w:p w14:paraId="194078A7" w14:textId="618F6411" w:rsidR="00D96D87" w:rsidRPr="00D96D87" w:rsidRDefault="00D96D87" w:rsidP="00D96D87">
            <w:pPr>
              <w:jc w:val="center"/>
              <w:rPr>
                <w:b/>
                <w:bCs/>
                <w:szCs w:val="24"/>
              </w:rPr>
            </w:pPr>
            <w:bookmarkStart w:id="7" w:name="ddoctype" w:colFirst="0" w:colLast="0"/>
            <w:bookmarkEnd w:id="5"/>
            <w:bookmarkEnd w:id="6"/>
            <w:r w:rsidRPr="00D96D87">
              <w:rPr>
                <w:b/>
                <w:bCs/>
                <w:szCs w:val="24"/>
              </w:rPr>
              <w:t>TD</w:t>
            </w:r>
          </w:p>
        </w:tc>
      </w:tr>
      <w:tr w:rsidR="00D96D87" w:rsidRPr="00D96D87" w14:paraId="7A961503" w14:textId="77777777" w:rsidTr="00D96D87">
        <w:trPr>
          <w:gridAfter w:val="1"/>
          <w:wAfter w:w="22" w:type="dxa"/>
          <w:cantSplit/>
        </w:trPr>
        <w:tc>
          <w:tcPr>
            <w:tcW w:w="1613" w:type="dxa"/>
            <w:gridSpan w:val="3"/>
          </w:tcPr>
          <w:p w14:paraId="05F802D9" w14:textId="77777777" w:rsidR="00D96D87" w:rsidRPr="00D96D87" w:rsidRDefault="00D96D87" w:rsidP="00D96D87">
            <w:pPr>
              <w:rPr>
                <w:b/>
                <w:bCs/>
                <w:szCs w:val="24"/>
              </w:rPr>
            </w:pPr>
            <w:bookmarkStart w:id="8" w:name="dsource" w:colFirst="1" w:colLast="1"/>
            <w:bookmarkEnd w:id="7"/>
            <w:r w:rsidRPr="00D96D87">
              <w:rPr>
                <w:b/>
                <w:bCs/>
                <w:szCs w:val="24"/>
              </w:rPr>
              <w:t>Source:</w:t>
            </w:r>
          </w:p>
        </w:tc>
        <w:tc>
          <w:tcPr>
            <w:tcW w:w="8288" w:type="dxa"/>
            <w:gridSpan w:val="3"/>
          </w:tcPr>
          <w:p w14:paraId="16920352" w14:textId="0E6222B7" w:rsidR="00D96D87" w:rsidRPr="00D96D87" w:rsidRDefault="00D9588A" w:rsidP="00D96D87">
            <w:pPr>
              <w:rPr>
                <w:szCs w:val="24"/>
              </w:rPr>
            </w:pPr>
            <w:bookmarkStart w:id="9" w:name="_GoBack"/>
            <w:r w:rsidRPr="009117FD">
              <w:rPr>
                <w:szCs w:val="24"/>
              </w:rPr>
              <w:t xml:space="preserve">Rapporteurs of the </w:t>
            </w:r>
            <w:r>
              <w:rPr>
                <w:szCs w:val="24"/>
              </w:rPr>
              <w:t xml:space="preserve">TSB Director’s </w:t>
            </w:r>
            <w:r w:rsidRPr="009117FD">
              <w:rPr>
                <w:szCs w:val="24"/>
              </w:rPr>
              <w:t>ad hoc group on IPR</w:t>
            </w:r>
            <w:r w:rsidR="009207CD">
              <w:rPr>
                <w:szCs w:val="24"/>
              </w:rPr>
              <w:t xml:space="preserve"> (IPR AHG)</w:t>
            </w:r>
            <w:bookmarkEnd w:id="9"/>
          </w:p>
        </w:tc>
      </w:tr>
      <w:tr w:rsidR="00D96D87" w:rsidRPr="00D96D87" w14:paraId="7FF7E2F4" w14:textId="77777777" w:rsidTr="00D96D87">
        <w:trPr>
          <w:gridAfter w:val="1"/>
          <w:wAfter w:w="22" w:type="dxa"/>
          <w:cantSplit/>
        </w:trPr>
        <w:tc>
          <w:tcPr>
            <w:tcW w:w="1613" w:type="dxa"/>
            <w:gridSpan w:val="3"/>
          </w:tcPr>
          <w:p w14:paraId="6AB10514" w14:textId="77777777" w:rsidR="00D96D87" w:rsidRPr="00D96D87" w:rsidRDefault="00D96D87" w:rsidP="00D96D87">
            <w:pPr>
              <w:rPr>
                <w:szCs w:val="24"/>
              </w:rPr>
            </w:pPr>
            <w:bookmarkStart w:id="10" w:name="dtitle1" w:colFirst="1" w:colLast="1"/>
            <w:bookmarkEnd w:id="8"/>
            <w:r w:rsidRPr="00D96D87">
              <w:rPr>
                <w:b/>
                <w:bCs/>
                <w:szCs w:val="24"/>
              </w:rPr>
              <w:t>Title:</w:t>
            </w:r>
          </w:p>
        </w:tc>
        <w:tc>
          <w:tcPr>
            <w:tcW w:w="8288" w:type="dxa"/>
            <w:gridSpan w:val="3"/>
          </w:tcPr>
          <w:p w14:paraId="241CCD2C" w14:textId="0AB08996" w:rsidR="00D96D87" w:rsidRPr="00D96D87" w:rsidRDefault="00D9588A" w:rsidP="00D96D87">
            <w:pPr>
              <w:rPr>
                <w:szCs w:val="24"/>
              </w:rPr>
            </w:pPr>
            <w:r w:rsidRPr="009117FD">
              <w:rPr>
                <w:szCs w:val="24"/>
              </w:rPr>
              <w:t xml:space="preserve">Report of the </w:t>
            </w:r>
            <w:r>
              <w:rPr>
                <w:szCs w:val="24"/>
              </w:rPr>
              <w:t xml:space="preserve">IPR </w:t>
            </w:r>
            <w:r w:rsidR="009207CD">
              <w:rPr>
                <w:szCs w:val="24"/>
              </w:rPr>
              <w:t xml:space="preserve">AHG </w:t>
            </w:r>
            <w:r>
              <w:rPr>
                <w:szCs w:val="24"/>
              </w:rPr>
              <w:t xml:space="preserve">meeting (7 December 2021) on TSAG </w:t>
            </w:r>
            <w:r w:rsidRPr="009117FD">
              <w:rPr>
                <w:szCs w:val="24"/>
              </w:rPr>
              <w:t>Contributions C195 and C197</w:t>
            </w:r>
          </w:p>
        </w:tc>
      </w:tr>
      <w:tr w:rsidR="00D96D87" w:rsidRPr="00D96D87" w14:paraId="1B18A44E" w14:textId="77777777" w:rsidTr="00D96D87">
        <w:trPr>
          <w:gridAfter w:val="1"/>
          <w:wAfter w:w="22" w:type="dxa"/>
          <w:cantSplit/>
        </w:trPr>
        <w:tc>
          <w:tcPr>
            <w:tcW w:w="1613" w:type="dxa"/>
            <w:gridSpan w:val="3"/>
            <w:tcBorders>
              <w:bottom w:val="single" w:sz="8" w:space="0" w:color="auto"/>
            </w:tcBorders>
          </w:tcPr>
          <w:p w14:paraId="63CA9FE7" w14:textId="77777777" w:rsidR="00D96D87" w:rsidRPr="00D96D87" w:rsidRDefault="00D96D87" w:rsidP="00D96D87">
            <w:pPr>
              <w:rPr>
                <w:b/>
                <w:bCs/>
                <w:szCs w:val="24"/>
              </w:rPr>
            </w:pPr>
            <w:bookmarkStart w:id="11" w:name="dpurpose" w:colFirst="1" w:colLast="1"/>
            <w:bookmarkEnd w:id="10"/>
            <w:r w:rsidRPr="00D96D87">
              <w:rPr>
                <w:b/>
                <w:bCs/>
                <w:szCs w:val="24"/>
              </w:rPr>
              <w:t>Purpose:</w:t>
            </w:r>
          </w:p>
        </w:tc>
        <w:tc>
          <w:tcPr>
            <w:tcW w:w="8288" w:type="dxa"/>
            <w:gridSpan w:val="3"/>
            <w:tcBorders>
              <w:bottom w:val="single" w:sz="8" w:space="0" w:color="auto"/>
            </w:tcBorders>
          </w:tcPr>
          <w:p w14:paraId="6F654518" w14:textId="1F976E1C" w:rsidR="00D96D87" w:rsidRPr="00D96D87" w:rsidRDefault="00D96D87" w:rsidP="00D96D87">
            <w:pPr>
              <w:rPr>
                <w:szCs w:val="24"/>
              </w:rPr>
            </w:pPr>
            <w:r>
              <w:rPr>
                <w:szCs w:val="24"/>
              </w:rPr>
              <w:t>Information</w:t>
            </w:r>
          </w:p>
        </w:tc>
      </w:tr>
      <w:bookmarkEnd w:id="2"/>
      <w:bookmarkEnd w:id="11"/>
      <w:tr w:rsidR="00E42308" w:rsidRPr="005427AC" w14:paraId="41ADC8CD" w14:textId="77777777" w:rsidTr="008A7662">
        <w:tblPrEx>
          <w:jc w:val="center"/>
        </w:tblPrEx>
        <w:trPr>
          <w:cantSplit/>
          <w:jc w:val="center"/>
        </w:trPr>
        <w:tc>
          <w:tcPr>
            <w:tcW w:w="1560" w:type="dxa"/>
            <w:gridSpan w:val="2"/>
            <w:tcBorders>
              <w:top w:val="single" w:sz="6" w:space="0" w:color="auto"/>
              <w:bottom w:val="single" w:sz="6" w:space="0" w:color="auto"/>
            </w:tcBorders>
          </w:tcPr>
          <w:p w14:paraId="6E17434E" w14:textId="0A340F79" w:rsidR="00E42308" w:rsidRPr="002E7F40" w:rsidRDefault="00E42308" w:rsidP="00E42308">
            <w:pPr>
              <w:rPr>
                <w:rFonts w:asciiTheme="majorBidi" w:hAnsiTheme="majorBidi" w:cstheme="majorBidi"/>
                <w:b/>
                <w:bCs/>
                <w:szCs w:val="24"/>
              </w:rPr>
            </w:pPr>
            <w:r w:rsidRPr="009117FD">
              <w:rPr>
                <w:b/>
                <w:bCs/>
                <w:szCs w:val="24"/>
              </w:rPr>
              <w:t>Contact:</w:t>
            </w:r>
          </w:p>
        </w:tc>
        <w:tc>
          <w:tcPr>
            <w:tcW w:w="4110" w:type="dxa"/>
            <w:gridSpan w:val="3"/>
            <w:tcBorders>
              <w:top w:val="single" w:sz="6" w:space="0" w:color="auto"/>
              <w:bottom w:val="single" w:sz="6" w:space="0" w:color="auto"/>
            </w:tcBorders>
          </w:tcPr>
          <w:p w14:paraId="0D7DFEED" w14:textId="0A424716" w:rsidR="00E42308" w:rsidRPr="002E7F40" w:rsidRDefault="00E42308" w:rsidP="00E42308">
            <w:pPr>
              <w:jc w:val="left"/>
              <w:rPr>
                <w:rFonts w:asciiTheme="majorBidi" w:hAnsiTheme="majorBidi" w:cstheme="majorBidi"/>
                <w:szCs w:val="24"/>
              </w:rPr>
            </w:pPr>
            <w:r w:rsidRPr="009117FD">
              <w:rPr>
                <w:szCs w:val="24"/>
              </w:rPr>
              <w:t>Serge Raes</w:t>
            </w:r>
            <w:r w:rsidRPr="009117FD">
              <w:rPr>
                <w:szCs w:val="24"/>
              </w:rPr>
              <w:br/>
              <w:t>Orange</w:t>
            </w:r>
          </w:p>
        </w:tc>
        <w:tc>
          <w:tcPr>
            <w:tcW w:w="4253" w:type="dxa"/>
            <w:gridSpan w:val="2"/>
            <w:tcBorders>
              <w:top w:val="single" w:sz="6" w:space="0" w:color="auto"/>
              <w:bottom w:val="single" w:sz="6" w:space="0" w:color="auto"/>
            </w:tcBorders>
          </w:tcPr>
          <w:p w14:paraId="35A979AE" w14:textId="4836ECFE" w:rsidR="00E42308" w:rsidRPr="0069111F" w:rsidRDefault="00E42308" w:rsidP="00E42308">
            <w:pPr>
              <w:jc w:val="left"/>
              <w:rPr>
                <w:rFonts w:asciiTheme="majorBidi" w:hAnsiTheme="majorBidi" w:cstheme="majorBidi"/>
                <w:szCs w:val="24"/>
                <w:lang w:val="fr-FR"/>
              </w:rPr>
            </w:pPr>
            <w:r w:rsidRPr="009117FD">
              <w:rPr>
                <w:rFonts w:asciiTheme="majorBidi" w:hAnsiTheme="majorBidi" w:cstheme="majorBidi"/>
                <w:szCs w:val="24"/>
                <w:lang w:val="fr-CH"/>
              </w:rPr>
              <w:t>E-mail:</w:t>
            </w:r>
            <w:r w:rsidRPr="005427AC">
              <w:rPr>
                <w:szCs w:val="24"/>
                <w:lang w:val="fr-CH"/>
              </w:rPr>
              <w:t xml:space="preserve"> </w:t>
            </w:r>
            <w:hyperlink r:id="rId14" w:history="1">
              <w:r w:rsidRPr="009117FD">
                <w:rPr>
                  <w:rStyle w:val="Hyperlink"/>
                  <w:rFonts w:asciiTheme="majorBidi" w:hAnsiTheme="majorBidi" w:cstheme="majorBidi"/>
                  <w:szCs w:val="24"/>
                  <w:lang w:val="fr-CH"/>
                </w:rPr>
                <w:t>serge.raes@orange.com</w:t>
              </w:r>
            </w:hyperlink>
            <w:r w:rsidRPr="009117FD">
              <w:rPr>
                <w:rFonts w:asciiTheme="majorBidi" w:hAnsiTheme="majorBidi" w:cstheme="majorBidi"/>
                <w:szCs w:val="24"/>
                <w:lang w:val="fr-CH"/>
              </w:rPr>
              <w:t xml:space="preserve"> </w:t>
            </w:r>
          </w:p>
        </w:tc>
      </w:tr>
      <w:tr w:rsidR="00E42308" w:rsidRPr="005427AC" w14:paraId="039D7D67" w14:textId="77777777" w:rsidTr="008A7662">
        <w:tblPrEx>
          <w:jc w:val="center"/>
        </w:tblPrEx>
        <w:trPr>
          <w:cantSplit/>
          <w:jc w:val="center"/>
        </w:trPr>
        <w:tc>
          <w:tcPr>
            <w:tcW w:w="1560" w:type="dxa"/>
            <w:gridSpan w:val="2"/>
            <w:tcBorders>
              <w:top w:val="single" w:sz="6" w:space="0" w:color="auto"/>
              <w:bottom w:val="single" w:sz="6" w:space="0" w:color="auto"/>
            </w:tcBorders>
          </w:tcPr>
          <w:p w14:paraId="59BCD730" w14:textId="61A6F5AD" w:rsidR="00E42308" w:rsidRPr="00836F0B" w:rsidRDefault="00E42308" w:rsidP="00E42308">
            <w:pPr>
              <w:rPr>
                <w:b/>
                <w:bCs/>
                <w:szCs w:val="24"/>
              </w:rPr>
            </w:pPr>
            <w:r w:rsidRPr="009117FD">
              <w:rPr>
                <w:b/>
                <w:bCs/>
                <w:szCs w:val="24"/>
              </w:rPr>
              <w:t>Contact:</w:t>
            </w:r>
          </w:p>
        </w:tc>
        <w:tc>
          <w:tcPr>
            <w:tcW w:w="4110" w:type="dxa"/>
            <w:gridSpan w:val="3"/>
            <w:tcBorders>
              <w:top w:val="single" w:sz="6" w:space="0" w:color="auto"/>
              <w:bottom w:val="single" w:sz="6" w:space="0" w:color="auto"/>
            </w:tcBorders>
          </w:tcPr>
          <w:p w14:paraId="3C983DBB" w14:textId="5D2BD386" w:rsidR="00E42308" w:rsidRPr="002E7F40" w:rsidRDefault="00E42308" w:rsidP="00E42308">
            <w:pPr>
              <w:jc w:val="left"/>
              <w:rPr>
                <w:rFonts w:asciiTheme="majorBidi" w:hAnsiTheme="majorBidi" w:cstheme="majorBidi"/>
                <w:szCs w:val="24"/>
              </w:rPr>
            </w:pPr>
            <w:r w:rsidRPr="009117FD">
              <w:rPr>
                <w:szCs w:val="24"/>
              </w:rPr>
              <w:t>Hung Ling</w:t>
            </w:r>
            <w:r w:rsidRPr="009117FD">
              <w:rPr>
                <w:szCs w:val="24"/>
              </w:rPr>
              <w:br/>
              <w:t>Nokia</w:t>
            </w:r>
          </w:p>
        </w:tc>
        <w:tc>
          <w:tcPr>
            <w:tcW w:w="4253" w:type="dxa"/>
            <w:gridSpan w:val="2"/>
            <w:tcBorders>
              <w:top w:val="single" w:sz="6" w:space="0" w:color="auto"/>
              <w:bottom w:val="single" w:sz="6" w:space="0" w:color="auto"/>
            </w:tcBorders>
          </w:tcPr>
          <w:p w14:paraId="3784FAFD" w14:textId="4B66A0C9" w:rsidR="00E42308" w:rsidRPr="00C301DF" w:rsidRDefault="00E42308" w:rsidP="00E42308">
            <w:pPr>
              <w:jc w:val="left"/>
              <w:rPr>
                <w:szCs w:val="24"/>
                <w:lang w:val="fr-FR"/>
              </w:rPr>
            </w:pPr>
            <w:r w:rsidRPr="009117FD">
              <w:rPr>
                <w:rFonts w:asciiTheme="majorBidi" w:hAnsiTheme="majorBidi" w:cstheme="majorBidi"/>
                <w:szCs w:val="24"/>
                <w:lang w:val="fr-CH"/>
              </w:rPr>
              <w:t xml:space="preserve">E-mail: </w:t>
            </w:r>
            <w:hyperlink r:id="rId15" w:history="1">
              <w:r w:rsidRPr="009117FD">
                <w:rPr>
                  <w:rStyle w:val="Hyperlink"/>
                  <w:rFonts w:asciiTheme="majorBidi" w:hAnsiTheme="majorBidi" w:cstheme="majorBidi"/>
                  <w:szCs w:val="24"/>
                  <w:lang w:val="fr-CH"/>
                </w:rPr>
                <w:t>hung.ling@nokia.com</w:t>
              </w:r>
            </w:hyperlink>
            <w:r w:rsidRPr="009117FD">
              <w:rPr>
                <w:rFonts w:asciiTheme="majorBidi" w:hAnsiTheme="majorBidi" w:cstheme="majorBidi"/>
                <w:szCs w:val="24"/>
                <w:lang w:val="fr-CH"/>
              </w:rPr>
              <w:t xml:space="preserve"> </w:t>
            </w:r>
          </w:p>
        </w:tc>
      </w:tr>
    </w:tbl>
    <w:p w14:paraId="5D1235B7" w14:textId="77777777" w:rsidR="00677AFE" w:rsidRPr="005427AC" w:rsidRDefault="00677AFE">
      <w:pPr>
        <w:rPr>
          <w:lang w:val="fr-CH"/>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B66609" w:rsidRPr="00CA57E3" w14:paraId="0FF6BF4D" w14:textId="77777777" w:rsidTr="008A7662">
        <w:trPr>
          <w:cantSplit/>
        </w:trPr>
        <w:tc>
          <w:tcPr>
            <w:tcW w:w="1607" w:type="dxa"/>
          </w:tcPr>
          <w:p w14:paraId="1B2B1208" w14:textId="77777777" w:rsidR="00B66609" w:rsidRPr="00C83B6D" w:rsidRDefault="00B66609" w:rsidP="008A7662">
            <w:pPr>
              <w:rPr>
                <w:rFonts w:asciiTheme="majorBidi" w:hAnsiTheme="majorBidi" w:cstheme="majorBidi"/>
                <w:b/>
                <w:bCs/>
                <w:highlight w:val="yellow"/>
              </w:rPr>
            </w:pPr>
            <w:r w:rsidRPr="00C83B6D">
              <w:rPr>
                <w:rFonts w:asciiTheme="majorBidi" w:hAnsiTheme="majorBidi" w:cstheme="majorBidi"/>
                <w:b/>
                <w:bCs/>
              </w:rPr>
              <w:t>Keywords:</w:t>
            </w:r>
          </w:p>
        </w:tc>
        <w:tc>
          <w:tcPr>
            <w:tcW w:w="8316" w:type="dxa"/>
          </w:tcPr>
          <w:p w14:paraId="5E5F7ACC" w14:textId="6A1F0E54" w:rsidR="00B66609" w:rsidRPr="00CA57E3" w:rsidRDefault="00341AA7" w:rsidP="008A7662">
            <w:pPr>
              <w:rPr>
                <w:rFonts w:asciiTheme="majorBidi" w:hAnsiTheme="majorBidi" w:cstheme="majorBidi"/>
              </w:rPr>
            </w:pPr>
            <w:r>
              <w:rPr>
                <w:rFonts w:asciiTheme="majorBidi" w:hAnsiTheme="majorBidi" w:cstheme="majorBidi"/>
              </w:rPr>
              <w:t>A-series;</w:t>
            </w:r>
            <w:r w:rsidRPr="00341AA7">
              <w:rPr>
                <w:rFonts w:asciiTheme="majorBidi" w:hAnsiTheme="majorBidi" w:cstheme="majorBidi"/>
              </w:rPr>
              <w:t xml:space="preserve"> </w:t>
            </w:r>
            <w:r w:rsidR="00875B08" w:rsidRPr="00341AA7">
              <w:rPr>
                <w:rFonts w:asciiTheme="majorBidi" w:hAnsiTheme="majorBidi" w:cstheme="majorBidi"/>
              </w:rPr>
              <w:t>IPR</w:t>
            </w:r>
            <w:r w:rsidR="00875B08">
              <w:rPr>
                <w:rFonts w:asciiTheme="majorBidi" w:hAnsiTheme="majorBidi" w:cstheme="majorBidi"/>
              </w:rPr>
              <w:t>;</w:t>
            </w:r>
            <w:r w:rsidR="00875B08" w:rsidRPr="00341AA7">
              <w:rPr>
                <w:rFonts w:asciiTheme="majorBidi" w:hAnsiTheme="majorBidi" w:cstheme="majorBidi"/>
              </w:rPr>
              <w:t xml:space="preserve"> patents</w:t>
            </w:r>
            <w:r w:rsidR="00875B08">
              <w:rPr>
                <w:rFonts w:asciiTheme="majorBidi" w:hAnsiTheme="majorBidi" w:cstheme="majorBidi"/>
              </w:rPr>
              <w:t xml:space="preserve">; </w:t>
            </w:r>
            <w:r w:rsidRPr="00341AA7">
              <w:rPr>
                <w:rFonts w:asciiTheme="majorBidi" w:hAnsiTheme="majorBidi" w:cstheme="majorBidi"/>
              </w:rPr>
              <w:t>copyrights; marks Guidelines</w:t>
            </w:r>
            <w:r w:rsidR="005427AC">
              <w:rPr>
                <w:rFonts w:asciiTheme="majorBidi" w:hAnsiTheme="majorBidi" w:cstheme="majorBidi"/>
              </w:rPr>
              <w:t>;</w:t>
            </w:r>
          </w:p>
        </w:tc>
      </w:tr>
      <w:tr w:rsidR="00B66609" w:rsidRPr="00C83B6D" w14:paraId="190B6D00" w14:textId="77777777" w:rsidTr="008A7662">
        <w:trPr>
          <w:cantSplit/>
        </w:trPr>
        <w:tc>
          <w:tcPr>
            <w:tcW w:w="1607" w:type="dxa"/>
          </w:tcPr>
          <w:p w14:paraId="0815A2A0" w14:textId="77777777" w:rsidR="00B66609" w:rsidRPr="00C83B6D" w:rsidRDefault="00B66609" w:rsidP="008A7662">
            <w:pPr>
              <w:rPr>
                <w:rFonts w:asciiTheme="majorBidi" w:hAnsiTheme="majorBidi" w:cstheme="majorBidi"/>
                <w:b/>
                <w:bCs/>
                <w:highlight w:val="yellow"/>
              </w:rPr>
            </w:pPr>
            <w:r w:rsidRPr="00C83B6D">
              <w:rPr>
                <w:rFonts w:asciiTheme="majorBidi" w:hAnsiTheme="majorBidi" w:cstheme="majorBidi"/>
                <w:b/>
                <w:bCs/>
              </w:rPr>
              <w:t>Abstract:</w:t>
            </w:r>
          </w:p>
        </w:tc>
        <w:tc>
          <w:tcPr>
            <w:tcW w:w="8316" w:type="dxa"/>
          </w:tcPr>
          <w:p w14:paraId="410C89B3" w14:textId="509B45CF" w:rsidR="00365DF4" w:rsidRPr="00C83B6D" w:rsidRDefault="00036C23" w:rsidP="00036C23">
            <w:pPr>
              <w:rPr>
                <w:rFonts w:asciiTheme="majorBidi" w:hAnsiTheme="majorBidi" w:cstheme="majorBidi"/>
              </w:rPr>
            </w:pPr>
            <w:r>
              <w:rPr>
                <w:rFonts w:asciiTheme="majorBidi" w:hAnsiTheme="majorBidi" w:cstheme="majorBidi"/>
              </w:rPr>
              <w:t xml:space="preserve">Further to the special ad hoc session on IPR matters that took place during the </w:t>
            </w:r>
            <w:r w:rsidR="009B7508">
              <w:rPr>
                <w:rFonts w:asciiTheme="majorBidi" w:hAnsiTheme="majorBidi" w:cstheme="majorBidi"/>
              </w:rPr>
              <w:t>eighth meeting of TSAG</w:t>
            </w:r>
            <w:r w:rsidR="00365DF4">
              <w:rPr>
                <w:rFonts w:asciiTheme="majorBidi" w:hAnsiTheme="majorBidi" w:cstheme="majorBidi"/>
              </w:rPr>
              <w:t xml:space="preserve"> (</w:t>
            </w:r>
            <w:r>
              <w:rPr>
                <w:rFonts w:asciiTheme="majorBidi" w:hAnsiTheme="majorBidi" w:cstheme="majorBidi"/>
              </w:rPr>
              <w:t>2</w:t>
            </w:r>
            <w:r w:rsidR="00341AA7">
              <w:rPr>
                <w:rFonts w:asciiTheme="majorBidi" w:hAnsiTheme="majorBidi" w:cstheme="majorBidi"/>
              </w:rPr>
              <w:t>5</w:t>
            </w:r>
            <w:r>
              <w:rPr>
                <w:rFonts w:asciiTheme="majorBidi" w:hAnsiTheme="majorBidi" w:cstheme="majorBidi"/>
              </w:rPr>
              <w:t xml:space="preserve">-29 </w:t>
            </w:r>
            <w:r w:rsidR="009B7508">
              <w:rPr>
                <w:rFonts w:asciiTheme="majorBidi" w:hAnsiTheme="majorBidi" w:cstheme="majorBidi"/>
              </w:rPr>
              <w:t>October 2021</w:t>
            </w:r>
            <w:r w:rsidR="00365DF4">
              <w:rPr>
                <w:rFonts w:asciiTheme="majorBidi" w:hAnsiTheme="majorBidi" w:cstheme="majorBidi"/>
              </w:rPr>
              <w:t>)</w:t>
            </w:r>
            <w:r w:rsidR="00E36E68">
              <w:rPr>
                <w:rFonts w:asciiTheme="majorBidi" w:hAnsiTheme="majorBidi" w:cstheme="majorBidi"/>
              </w:rPr>
              <w:t xml:space="preserve"> to address </w:t>
            </w:r>
            <w:r w:rsidR="00E36E68" w:rsidRPr="00E36E68">
              <w:rPr>
                <w:rFonts w:asciiTheme="majorBidi" w:hAnsiTheme="majorBidi" w:cstheme="majorBidi"/>
              </w:rPr>
              <w:t>the IPR issues contained in contributions</w:t>
            </w:r>
            <w:r w:rsidR="00E36E68">
              <w:rPr>
                <w:rFonts w:asciiTheme="majorBidi" w:hAnsiTheme="majorBidi" w:cstheme="majorBidi"/>
              </w:rPr>
              <w:t xml:space="preserve"> </w:t>
            </w:r>
            <w:hyperlink r:id="rId16" w:history="1">
              <w:r w:rsidR="00E36E68" w:rsidRPr="00BE4E41">
                <w:rPr>
                  <w:rStyle w:val="Hyperlink"/>
                </w:rPr>
                <w:t>C197</w:t>
              </w:r>
            </w:hyperlink>
            <w:r w:rsidR="00E36E68" w:rsidRPr="00BE4E41">
              <w:t xml:space="preserve"> </w:t>
            </w:r>
            <w:r w:rsidR="00E36E68" w:rsidRPr="00BE4E41">
              <w:rPr>
                <w:rFonts w:asciiTheme="majorBidi" w:eastAsia="SimSun" w:hAnsiTheme="majorBidi" w:cstheme="majorBidi"/>
                <w:bCs/>
              </w:rPr>
              <w:t>and</w:t>
            </w:r>
            <w:r w:rsidR="00E36E68">
              <w:rPr>
                <w:rFonts w:asciiTheme="majorBidi" w:eastAsia="SimSun" w:hAnsiTheme="majorBidi" w:cstheme="majorBidi"/>
                <w:bCs/>
              </w:rPr>
              <w:t xml:space="preserve"> </w:t>
            </w:r>
            <w:hyperlink r:id="rId17" w:history="1">
              <w:r w:rsidR="00E36E68" w:rsidRPr="00BE4E41">
                <w:rPr>
                  <w:rStyle w:val="Hyperlink"/>
                </w:rPr>
                <w:t>C195</w:t>
              </w:r>
            </w:hyperlink>
            <w:r>
              <w:rPr>
                <w:rFonts w:asciiTheme="majorBidi" w:hAnsiTheme="majorBidi" w:cstheme="majorBidi"/>
              </w:rPr>
              <w:t>, and whose results are reflected in</w:t>
            </w:r>
            <w:r w:rsidR="009B7508">
              <w:rPr>
                <w:rFonts w:asciiTheme="majorBidi" w:hAnsiTheme="majorBidi" w:cstheme="majorBidi"/>
              </w:rPr>
              <w:t xml:space="preserve"> </w:t>
            </w:r>
            <w:hyperlink r:id="rId18" w:history="1">
              <w:r w:rsidRPr="00BE4E41">
                <w:rPr>
                  <w:rStyle w:val="Hyperlink"/>
                  <w:bCs/>
                </w:rPr>
                <w:t>TD1165</w:t>
              </w:r>
            </w:hyperlink>
            <w:r>
              <w:t xml:space="preserve">, </w:t>
            </w:r>
            <w:r w:rsidR="00625C80">
              <w:t xml:space="preserve">TSAG </w:t>
            </w:r>
            <w:r w:rsidR="009B7508">
              <w:rPr>
                <w:rFonts w:asciiTheme="majorBidi" w:hAnsiTheme="majorBidi" w:cstheme="majorBidi"/>
              </w:rPr>
              <w:t xml:space="preserve">encouraged the </w:t>
            </w:r>
            <w:r w:rsidR="00365DF4" w:rsidRPr="00BE4E41">
              <w:t>TSB Director's IPR</w:t>
            </w:r>
            <w:r w:rsidR="00341AA7">
              <w:t xml:space="preserve"> </w:t>
            </w:r>
            <w:r w:rsidR="00365DF4" w:rsidRPr="00BE4E41">
              <w:t>AHG to continue the discussions</w:t>
            </w:r>
            <w:r w:rsidR="00365DF4">
              <w:t xml:space="preserve"> on </w:t>
            </w:r>
            <w:r w:rsidR="00E36E68">
              <w:t xml:space="preserve">those </w:t>
            </w:r>
            <w:r w:rsidR="00365DF4">
              <w:t>contributions</w:t>
            </w:r>
            <w:r>
              <w:t xml:space="preserve">. </w:t>
            </w:r>
            <w:r w:rsidR="00365DF4">
              <w:t xml:space="preserve">This TD presents the results of the </w:t>
            </w:r>
            <w:r w:rsidR="00625C80">
              <w:t xml:space="preserve">subsequent meeting of the Group, which took place on </w:t>
            </w:r>
            <w:r w:rsidR="00365DF4">
              <w:t xml:space="preserve">7 December </w:t>
            </w:r>
            <w:r w:rsidR="00625C80">
              <w:t>2021.</w:t>
            </w:r>
          </w:p>
        </w:tc>
      </w:tr>
    </w:tbl>
    <w:p w14:paraId="3D821469" w14:textId="77777777" w:rsidR="00D62C95" w:rsidRPr="00B7711E" w:rsidRDefault="00D62C95" w:rsidP="00D62C95">
      <w:pPr>
        <w:pStyle w:val="Heading1"/>
        <w:rPr>
          <w:szCs w:val="24"/>
        </w:rPr>
      </w:pPr>
      <w:r w:rsidRPr="00B7711E">
        <w:rPr>
          <w:szCs w:val="24"/>
        </w:rPr>
        <w:t>Introduction</w:t>
      </w:r>
    </w:p>
    <w:p w14:paraId="4255CF7E" w14:textId="77777777" w:rsidR="00D62C95" w:rsidRDefault="00D62C95" w:rsidP="00D62C95">
      <w:pPr>
        <w:rPr>
          <w:szCs w:val="24"/>
        </w:rPr>
      </w:pPr>
      <w:r>
        <w:rPr>
          <w:szCs w:val="24"/>
        </w:rPr>
        <w:t xml:space="preserve">The first plenary meeting of TSAG, which took place on 25 October 2021, created an ad hoc group that would address the proposal to modify the IPR section on the covers of A-series Recommendations as described in </w:t>
      </w:r>
      <w:hyperlink r:id="rId19" w:history="1">
        <w:r w:rsidRPr="00822838">
          <w:rPr>
            <w:rStyle w:val="Hyperlink"/>
            <w:szCs w:val="24"/>
          </w:rPr>
          <w:t>TSAG-C-195</w:t>
        </w:r>
      </w:hyperlink>
      <w:r>
        <w:rPr>
          <w:szCs w:val="24"/>
        </w:rPr>
        <w:t xml:space="preserve">, as well as the proposal of modification of the ITU Marks Guidelines as contained in </w:t>
      </w:r>
      <w:hyperlink r:id="rId20" w:history="1">
        <w:r w:rsidRPr="00822838">
          <w:rPr>
            <w:rStyle w:val="Hyperlink"/>
            <w:szCs w:val="24"/>
          </w:rPr>
          <w:t>TSAG-C-197</w:t>
        </w:r>
      </w:hyperlink>
      <w:r>
        <w:rPr>
          <w:szCs w:val="24"/>
        </w:rPr>
        <w:t xml:space="preserve">. </w:t>
      </w:r>
    </w:p>
    <w:p w14:paraId="7105FC52" w14:textId="42241FD7" w:rsidR="00D62C95" w:rsidRDefault="00D62C95" w:rsidP="00D62C95">
      <w:pPr>
        <w:rPr>
          <w:szCs w:val="24"/>
        </w:rPr>
      </w:pPr>
      <w:r>
        <w:rPr>
          <w:szCs w:val="24"/>
        </w:rPr>
        <w:t xml:space="preserve">The meeting took place </w:t>
      </w:r>
      <w:r w:rsidRPr="00822838">
        <w:rPr>
          <w:szCs w:val="24"/>
        </w:rPr>
        <w:t>on Tuesday 26 October 2021, 16h30-17h30</w:t>
      </w:r>
      <w:r>
        <w:rPr>
          <w:szCs w:val="24"/>
        </w:rPr>
        <w:t xml:space="preserve">, and was chaired by Mr Serge Raes (Orange) for the issue on the IPR section, and by Mr Hung Ling (Nokia) for the Marks Guidelines. </w:t>
      </w:r>
      <w:hyperlink r:id="rId21" w:history="1">
        <w:r w:rsidRPr="00993512">
          <w:rPr>
            <w:rStyle w:val="Hyperlink"/>
            <w:szCs w:val="24"/>
            <w:lang w:val="en-US"/>
          </w:rPr>
          <w:t>TSAG-TD-GEN-1165</w:t>
        </w:r>
      </w:hyperlink>
      <w:r w:rsidR="00C778ED">
        <w:rPr>
          <w:szCs w:val="24"/>
        </w:rPr>
        <w:t xml:space="preserve"> r</w:t>
      </w:r>
      <w:r>
        <w:rPr>
          <w:szCs w:val="24"/>
        </w:rPr>
        <w:t>eflect</w:t>
      </w:r>
      <w:r w:rsidR="00C778ED">
        <w:rPr>
          <w:szCs w:val="24"/>
        </w:rPr>
        <w:t>s</w:t>
      </w:r>
      <w:r>
        <w:rPr>
          <w:szCs w:val="24"/>
        </w:rPr>
        <w:t xml:space="preserve"> the conclusions of this meeting. </w:t>
      </w:r>
    </w:p>
    <w:p w14:paraId="0DADD70B" w14:textId="020F2036" w:rsidR="00D62C95" w:rsidRDefault="00D62C95" w:rsidP="00D62C95">
      <w:pPr>
        <w:rPr>
          <w:szCs w:val="24"/>
        </w:rPr>
      </w:pPr>
      <w:r>
        <w:rPr>
          <w:szCs w:val="24"/>
        </w:rPr>
        <w:t xml:space="preserve">Subsequently, a special meeting (conducted virtually) of the </w:t>
      </w:r>
      <w:r w:rsidR="00736858">
        <w:rPr>
          <w:szCs w:val="24"/>
        </w:rPr>
        <w:t xml:space="preserve">TSB Director’s </w:t>
      </w:r>
      <w:r>
        <w:rPr>
          <w:szCs w:val="24"/>
        </w:rPr>
        <w:t xml:space="preserve">Ad Hoc Group </w:t>
      </w:r>
      <w:r w:rsidR="00736858">
        <w:rPr>
          <w:szCs w:val="24"/>
        </w:rPr>
        <w:t>on IPR matters</w:t>
      </w:r>
      <w:r>
        <w:rPr>
          <w:szCs w:val="24"/>
        </w:rPr>
        <w:t xml:space="preserve"> (IPR AHG) was organized on 7 December 2021, 16h-18h CET, to allow members of th</w:t>
      </w:r>
      <w:r w:rsidR="00736858">
        <w:rPr>
          <w:szCs w:val="24"/>
        </w:rPr>
        <w:t>e</w:t>
      </w:r>
      <w:r>
        <w:rPr>
          <w:szCs w:val="24"/>
        </w:rPr>
        <w:t xml:space="preserve"> IPR AHG to weigh in on the two above-mentioned contributions from the Russian Federation, as the expertise on IPR issues resides in the IPR AHG. The agenda of this session is contained in </w:t>
      </w:r>
      <w:hyperlink r:id="rId22" w:history="1">
        <w:r w:rsidR="00736858" w:rsidRPr="007E34F5">
          <w:rPr>
            <w:rStyle w:val="Hyperlink"/>
            <w:szCs w:val="24"/>
          </w:rPr>
          <w:t>IPR-</w:t>
        </w:r>
        <w:r w:rsidRPr="007E34F5">
          <w:rPr>
            <w:rStyle w:val="Hyperlink"/>
            <w:szCs w:val="24"/>
          </w:rPr>
          <w:t>TD 264</w:t>
        </w:r>
      </w:hyperlink>
      <w:r w:rsidR="007E34F5">
        <w:rPr>
          <w:szCs w:val="24"/>
        </w:rPr>
        <w:t>,</w:t>
      </w:r>
      <w:r>
        <w:rPr>
          <w:szCs w:val="24"/>
        </w:rPr>
        <w:t xml:space="preserve"> and the session was again managed in similar fashion to the TSAG ad hoc session on IPR matters. This TD </w:t>
      </w:r>
      <w:r w:rsidR="009C4F4B">
        <w:rPr>
          <w:szCs w:val="24"/>
        </w:rPr>
        <w:t xml:space="preserve">provides the background and </w:t>
      </w:r>
      <w:r>
        <w:rPr>
          <w:szCs w:val="24"/>
        </w:rPr>
        <w:t>reflects the conclusions of the IPR AHG virtual meeting.</w:t>
      </w:r>
    </w:p>
    <w:p w14:paraId="611F8135" w14:textId="77777777" w:rsidR="00D62C95" w:rsidRDefault="00D62C95" w:rsidP="00D62C95">
      <w:pPr>
        <w:rPr>
          <w:b/>
          <w:bCs/>
          <w:kern w:val="28"/>
          <w:szCs w:val="24"/>
        </w:rPr>
      </w:pPr>
      <w:r>
        <w:rPr>
          <w:szCs w:val="24"/>
        </w:rPr>
        <w:br w:type="page"/>
      </w:r>
    </w:p>
    <w:p w14:paraId="10ACC1A6" w14:textId="77777777" w:rsidR="00D62C95" w:rsidRPr="00B7711E" w:rsidRDefault="00D62C95" w:rsidP="00D62C95">
      <w:pPr>
        <w:pStyle w:val="Heading1"/>
        <w:jc w:val="both"/>
        <w:rPr>
          <w:szCs w:val="24"/>
        </w:rPr>
      </w:pPr>
      <w:r>
        <w:rPr>
          <w:szCs w:val="24"/>
        </w:rPr>
        <w:lastRenderedPageBreak/>
        <w:t xml:space="preserve">Discussion and </w:t>
      </w:r>
      <w:r w:rsidRPr="00B7711E">
        <w:rPr>
          <w:szCs w:val="24"/>
        </w:rPr>
        <w:t>Conclusions</w:t>
      </w:r>
    </w:p>
    <w:p w14:paraId="4E8DA64A" w14:textId="77777777" w:rsidR="00D62C95" w:rsidRPr="00822838" w:rsidRDefault="00D62C95" w:rsidP="00D62C95">
      <w:pPr>
        <w:rPr>
          <w:b/>
          <w:bCs/>
          <w:szCs w:val="24"/>
        </w:rPr>
      </w:pPr>
      <w:r w:rsidRPr="00822838">
        <w:rPr>
          <w:b/>
          <w:bCs/>
          <w:szCs w:val="24"/>
        </w:rPr>
        <w:t xml:space="preserve">1. IPR section as described in TSAG Contribution </w:t>
      </w:r>
      <w:hyperlink r:id="rId23" w:history="1">
        <w:r w:rsidRPr="00822838">
          <w:rPr>
            <w:rStyle w:val="Hyperlink"/>
            <w:b/>
            <w:bCs/>
            <w:szCs w:val="24"/>
          </w:rPr>
          <w:t>TSAG-C-195</w:t>
        </w:r>
      </w:hyperlink>
    </w:p>
    <w:p w14:paraId="2B314C6F" w14:textId="794120B2" w:rsidR="00D62C95" w:rsidRPr="00993512" w:rsidRDefault="00D62C95" w:rsidP="00D62C95">
      <w:pPr>
        <w:pStyle w:val="Heading2"/>
        <w:rPr>
          <w:b w:val="0"/>
          <w:bCs/>
          <w:szCs w:val="24"/>
        </w:rPr>
      </w:pPr>
      <w:r>
        <w:rPr>
          <w:szCs w:val="24"/>
        </w:rPr>
        <w:t xml:space="preserve">1.1 </w:t>
      </w:r>
      <w:r w:rsidRPr="00993512">
        <w:rPr>
          <w:szCs w:val="24"/>
        </w:rPr>
        <w:t>Ad Hoc session on 26 October 2021</w:t>
      </w:r>
    </w:p>
    <w:p w14:paraId="1D4E1937" w14:textId="77777777" w:rsidR="00D62C95" w:rsidRPr="00622EE7" w:rsidRDefault="00D62C95" w:rsidP="00D62C95">
      <w:pPr>
        <w:rPr>
          <w:b/>
          <w:bCs/>
          <w:szCs w:val="24"/>
        </w:rPr>
      </w:pPr>
      <w:r>
        <w:rPr>
          <w:szCs w:val="24"/>
        </w:rPr>
        <w:t>Chaired by Mr Serge Raes (Orange), rapporteur for patents issues of the TSB Director’s AHG on IPRs.</w:t>
      </w:r>
    </w:p>
    <w:p w14:paraId="582A131E" w14:textId="4C1DA73A" w:rsidR="00D62C95" w:rsidRPr="00822838" w:rsidRDefault="00D62C95" w:rsidP="00D62C95">
      <w:pPr>
        <w:rPr>
          <w:szCs w:val="24"/>
        </w:rPr>
      </w:pPr>
      <w:r w:rsidRPr="00822838">
        <w:rPr>
          <w:szCs w:val="24"/>
        </w:rPr>
        <w:t xml:space="preserve">The proposal to remove the boilerplate on Intellectual Property Rights at the bottom of the first page in the A-series of Recommendations, as shown </w:t>
      </w:r>
      <w:r>
        <w:rPr>
          <w:szCs w:val="24"/>
        </w:rPr>
        <w:t xml:space="preserve">on page 5 of </w:t>
      </w:r>
      <w:r w:rsidRPr="00822838">
        <w:rPr>
          <w:szCs w:val="24"/>
        </w:rPr>
        <w:t xml:space="preserve">Contribution </w:t>
      </w:r>
      <w:hyperlink r:id="rId24" w:history="1">
        <w:r w:rsidRPr="00822838">
          <w:rPr>
            <w:rStyle w:val="Hyperlink"/>
            <w:szCs w:val="24"/>
          </w:rPr>
          <w:t>TSAG-C-195</w:t>
        </w:r>
      </w:hyperlink>
      <w:r w:rsidRPr="00822838">
        <w:rPr>
          <w:szCs w:val="24"/>
        </w:rPr>
        <w:t>, or in its entirety</w:t>
      </w:r>
      <w:r>
        <w:rPr>
          <w:szCs w:val="24"/>
        </w:rPr>
        <w:t>,</w:t>
      </w:r>
      <w:r w:rsidRPr="00822838">
        <w:rPr>
          <w:szCs w:val="24"/>
        </w:rPr>
        <w:t xml:space="preserve"> as suggested during the meeting, was discussed during </w:t>
      </w:r>
      <w:r>
        <w:rPr>
          <w:szCs w:val="24"/>
        </w:rPr>
        <w:t xml:space="preserve">the first </w:t>
      </w:r>
      <w:r w:rsidRPr="00822838">
        <w:rPr>
          <w:szCs w:val="24"/>
        </w:rPr>
        <w:t xml:space="preserve">half of the </w:t>
      </w:r>
      <w:r>
        <w:rPr>
          <w:szCs w:val="24"/>
        </w:rPr>
        <w:t xml:space="preserve">meeting. </w:t>
      </w:r>
    </w:p>
    <w:p w14:paraId="612C5251" w14:textId="77777777" w:rsidR="00D62C95" w:rsidRPr="00822838" w:rsidRDefault="00D62C95" w:rsidP="00D62C95">
      <w:pPr>
        <w:rPr>
          <w:szCs w:val="24"/>
        </w:rPr>
      </w:pPr>
      <w:r>
        <w:rPr>
          <w:szCs w:val="24"/>
        </w:rPr>
        <w:t xml:space="preserve">It was recalled that TSAG has no authority to change this boilerplate, which is found in Resolution 1, and that it can only be amended by WTSA. </w:t>
      </w:r>
    </w:p>
    <w:p w14:paraId="7C5EE741" w14:textId="6A950DF3" w:rsidR="00D62C95" w:rsidRPr="00822838" w:rsidRDefault="00E947B8" w:rsidP="00D62C95">
      <w:pPr>
        <w:rPr>
          <w:szCs w:val="24"/>
        </w:rPr>
      </w:pPr>
      <w:r>
        <w:rPr>
          <w:szCs w:val="24"/>
        </w:rPr>
        <w:t>Several</w:t>
      </w:r>
      <w:r w:rsidR="00D62C95" w:rsidRPr="00822838">
        <w:rPr>
          <w:szCs w:val="24"/>
        </w:rPr>
        <w:t xml:space="preserve"> </w:t>
      </w:r>
      <w:r w:rsidR="00414B1A">
        <w:rPr>
          <w:szCs w:val="24"/>
        </w:rPr>
        <w:t xml:space="preserve">of the </w:t>
      </w:r>
      <w:r>
        <w:rPr>
          <w:szCs w:val="24"/>
        </w:rPr>
        <w:t xml:space="preserve">about </w:t>
      </w:r>
      <w:r w:rsidR="00414B1A">
        <w:rPr>
          <w:szCs w:val="24"/>
        </w:rPr>
        <w:t xml:space="preserve">95 </w:t>
      </w:r>
      <w:r w:rsidR="00D62C95" w:rsidRPr="00822838">
        <w:rPr>
          <w:szCs w:val="24"/>
        </w:rPr>
        <w:t>meeting participants acknowledge</w:t>
      </w:r>
      <w:r w:rsidR="00D62C95">
        <w:rPr>
          <w:szCs w:val="24"/>
        </w:rPr>
        <w:t>d</w:t>
      </w:r>
      <w:r w:rsidR="00D62C95" w:rsidRPr="00822838">
        <w:rPr>
          <w:szCs w:val="24"/>
        </w:rPr>
        <w:t xml:space="preserve"> that there is strictly speaking no need to have the </w:t>
      </w:r>
      <w:r w:rsidR="00D62C95">
        <w:rPr>
          <w:szCs w:val="24"/>
        </w:rPr>
        <w:t>boilerplate</w:t>
      </w:r>
      <w:r w:rsidR="00D62C95" w:rsidRPr="00822838">
        <w:rPr>
          <w:szCs w:val="24"/>
        </w:rPr>
        <w:t xml:space="preserve"> on Intellectual Property Rights (IPR </w:t>
      </w:r>
      <w:r w:rsidR="00D62C95">
        <w:rPr>
          <w:szCs w:val="24"/>
        </w:rPr>
        <w:t>boilerplate</w:t>
      </w:r>
      <w:r w:rsidR="00D62C95" w:rsidRPr="00822838">
        <w:rPr>
          <w:szCs w:val="24"/>
        </w:rPr>
        <w:t xml:space="preserve">) </w:t>
      </w:r>
      <w:r w:rsidR="00D62C95">
        <w:rPr>
          <w:szCs w:val="24"/>
        </w:rPr>
        <w:t xml:space="preserve">in the covers </w:t>
      </w:r>
      <w:r w:rsidR="00D62C95" w:rsidRPr="00822838">
        <w:rPr>
          <w:szCs w:val="24"/>
        </w:rPr>
        <w:t xml:space="preserve">of the A-series Recommendations because working methods and processes are not subject to </w:t>
      </w:r>
      <w:r w:rsidR="00D62C95" w:rsidRPr="00993512">
        <w:rPr>
          <w:szCs w:val="24"/>
          <w:u w:val="single"/>
        </w:rPr>
        <w:t>technical</w:t>
      </w:r>
      <w:r w:rsidR="00D62C95" w:rsidRPr="00822838">
        <w:rPr>
          <w:szCs w:val="24"/>
        </w:rPr>
        <w:t xml:space="preserve"> patents rights</w:t>
      </w:r>
      <w:r w:rsidR="00D62C95">
        <w:rPr>
          <w:szCs w:val="24"/>
        </w:rPr>
        <w:t>. T</w:t>
      </w:r>
      <w:r w:rsidR="00D62C95" w:rsidRPr="00822838">
        <w:rPr>
          <w:szCs w:val="24"/>
        </w:rPr>
        <w:t xml:space="preserve">wo </w:t>
      </w:r>
      <w:r w:rsidR="00D62C95">
        <w:rPr>
          <w:szCs w:val="24"/>
        </w:rPr>
        <w:t>options</w:t>
      </w:r>
      <w:r w:rsidR="00D62C95" w:rsidRPr="00822838">
        <w:rPr>
          <w:szCs w:val="24"/>
        </w:rPr>
        <w:t xml:space="preserve"> were </w:t>
      </w:r>
      <w:r w:rsidR="00D62C95">
        <w:rPr>
          <w:szCs w:val="24"/>
        </w:rPr>
        <w:t>discussed</w:t>
      </w:r>
      <w:r w:rsidR="00D62C95" w:rsidRPr="00822838">
        <w:rPr>
          <w:szCs w:val="24"/>
        </w:rPr>
        <w:t xml:space="preserve">: </w:t>
      </w:r>
    </w:p>
    <w:p w14:paraId="5FDAB627" w14:textId="77777777" w:rsidR="00D62C95" w:rsidRPr="00822838" w:rsidRDefault="00D62C95" w:rsidP="00D62C95">
      <w:pPr>
        <w:ind w:left="708"/>
        <w:rPr>
          <w:szCs w:val="24"/>
        </w:rPr>
      </w:pPr>
      <w:r w:rsidRPr="00993512">
        <w:rPr>
          <w:b/>
          <w:bCs/>
          <w:szCs w:val="24"/>
        </w:rPr>
        <w:t>Option 1</w:t>
      </w:r>
      <w:r w:rsidRPr="00822838">
        <w:rPr>
          <w:szCs w:val="24"/>
        </w:rPr>
        <w:t xml:space="preserve">: Status quo </w:t>
      </w:r>
      <w:r>
        <w:rPr>
          <w:szCs w:val="24"/>
        </w:rPr>
        <w:t>– no change to the current text.</w:t>
      </w:r>
      <w:r w:rsidRPr="00822838">
        <w:rPr>
          <w:szCs w:val="24"/>
        </w:rPr>
        <w:t xml:space="preserve"> </w:t>
      </w:r>
    </w:p>
    <w:p w14:paraId="648AD4A7" w14:textId="19535870" w:rsidR="00D62C95" w:rsidRPr="00822838" w:rsidRDefault="00D62C95" w:rsidP="00D62C95">
      <w:pPr>
        <w:ind w:left="708"/>
        <w:rPr>
          <w:szCs w:val="24"/>
        </w:rPr>
      </w:pPr>
      <w:r w:rsidRPr="00993512">
        <w:rPr>
          <w:b/>
          <w:bCs/>
          <w:szCs w:val="24"/>
        </w:rPr>
        <w:t>Option 2</w:t>
      </w:r>
      <w:r w:rsidRPr="00822838">
        <w:rPr>
          <w:szCs w:val="24"/>
        </w:rPr>
        <w:t>: Remov</w:t>
      </w:r>
      <w:r>
        <w:rPr>
          <w:szCs w:val="24"/>
        </w:rPr>
        <w:t>al of</w:t>
      </w:r>
      <w:r w:rsidRPr="00822838">
        <w:rPr>
          <w:szCs w:val="24"/>
        </w:rPr>
        <w:t xml:space="preserve"> the entire IPR </w:t>
      </w:r>
      <w:r>
        <w:rPr>
          <w:szCs w:val="24"/>
        </w:rPr>
        <w:t>boilerplate</w:t>
      </w:r>
      <w:r w:rsidRPr="00822838">
        <w:rPr>
          <w:szCs w:val="24"/>
        </w:rPr>
        <w:t xml:space="preserve"> </w:t>
      </w:r>
      <w:r w:rsidRPr="00993512">
        <w:rPr>
          <w:szCs w:val="24"/>
          <w:u w:val="single"/>
        </w:rPr>
        <w:t>or</w:t>
      </w:r>
      <w:r>
        <w:rPr>
          <w:szCs w:val="24"/>
        </w:rPr>
        <w:t xml:space="preserve"> adoption of a revised template for the A-series –</w:t>
      </w:r>
      <w:r w:rsidRPr="00822838">
        <w:rPr>
          <w:szCs w:val="24"/>
        </w:rPr>
        <w:t xml:space="preserve"> </w:t>
      </w:r>
      <w:r>
        <w:rPr>
          <w:szCs w:val="24"/>
        </w:rPr>
        <w:t>T</w:t>
      </w:r>
      <w:r w:rsidRPr="00822838">
        <w:rPr>
          <w:szCs w:val="24"/>
        </w:rPr>
        <w:t xml:space="preserve">his would require </w:t>
      </w:r>
      <w:r>
        <w:rPr>
          <w:szCs w:val="24"/>
        </w:rPr>
        <w:t xml:space="preserve">a </w:t>
      </w:r>
      <w:r w:rsidRPr="00822838">
        <w:rPr>
          <w:szCs w:val="24"/>
        </w:rPr>
        <w:t xml:space="preserve">change to Resolution 1. </w:t>
      </w:r>
    </w:p>
    <w:p w14:paraId="3D0CE661" w14:textId="77777777" w:rsidR="00D62C95" w:rsidRDefault="00D62C95" w:rsidP="00D62C95">
      <w:pPr>
        <w:rPr>
          <w:szCs w:val="24"/>
        </w:rPr>
      </w:pPr>
      <w:r>
        <w:rPr>
          <w:szCs w:val="24"/>
        </w:rPr>
        <w:t xml:space="preserve">Concern was expressed </w:t>
      </w:r>
      <w:r w:rsidRPr="00822838">
        <w:rPr>
          <w:szCs w:val="24"/>
        </w:rPr>
        <w:t xml:space="preserve">that the removal </w:t>
      </w:r>
      <w:r>
        <w:rPr>
          <w:szCs w:val="24"/>
        </w:rPr>
        <w:t xml:space="preserve">of the IPR section from the covers of the A-series Recommendations </w:t>
      </w:r>
      <w:r w:rsidRPr="00822838">
        <w:rPr>
          <w:szCs w:val="24"/>
        </w:rPr>
        <w:t xml:space="preserve">could </w:t>
      </w:r>
      <w:r>
        <w:rPr>
          <w:szCs w:val="24"/>
        </w:rPr>
        <w:t xml:space="preserve">propagate to other series, and that </w:t>
      </w:r>
      <w:r w:rsidRPr="00822838">
        <w:rPr>
          <w:szCs w:val="24"/>
        </w:rPr>
        <w:t xml:space="preserve">could create unexpected difficulties. </w:t>
      </w:r>
    </w:p>
    <w:p w14:paraId="32EEFDAB" w14:textId="77777777" w:rsidR="00D62C95" w:rsidRPr="00822838" w:rsidRDefault="00D62C95" w:rsidP="00D62C95">
      <w:pPr>
        <w:rPr>
          <w:szCs w:val="24"/>
        </w:rPr>
      </w:pPr>
      <w:r>
        <w:rPr>
          <w:szCs w:val="24"/>
        </w:rPr>
        <w:t>To conclude, t</w:t>
      </w:r>
      <w:r w:rsidRPr="00822838">
        <w:rPr>
          <w:szCs w:val="24"/>
        </w:rPr>
        <w:t xml:space="preserve">here was no consensus </w:t>
      </w:r>
      <w:r>
        <w:rPr>
          <w:szCs w:val="24"/>
        </w:rPr>
        <w:t>on the proposal.</w:t>
      </w:r>
      <w:r w:rsidRPr="00822838">
        <w:rPr>
          <w:szCs w:val="24"/>
        </w:rPr>
        <w:t xml:space="preserve"> </w:t>
      </w:r>
    </w:p>
    <w:p w14:paraId="15864837" w14:textId="56CF87DB" w:rsidR="00D62C95" w:rsidRPr="00993512" w:rsidRDefault="00D62C95" w:rsidP="00D62C95">
      <w:pPr>
        <w:pStyle w:val="Heading2"/>
        <w:rPr>
          <w:b w:val="0"/>
          <w:bCs/>
          <w:szCs w:val="24"/>
        </w:rPr>
      </w:pPr>
      <w:r w:rsidRPr="000C1700">
        <w:rPr>
          <w:szCs w:val="24"/>
        </w:rPr>
        <w:t xml:space="preserve">1.2 IPR </w:t>
      </w:r>
      <w:r w:rsidRPr="00993512">
        <w:rPr>
          <w:szCs w:val="24"/>
        </w:rPr>
        <w:t>Ad Hoc Group meeting on 7 December 2021</w:t>
      </w:r>
    </w:p>
    <w:p w14:paraId="5B8D1735" w14:textId="2461AFBD" w:rsidR="00D62C95" w:rsidRDefault="00D62C95" w:rsidP="00D62C95">
      <w:pPr>
        <w:rPr>
          <w:szCs w:val="24"/>
        </w:rPr>
      </w:pPr>
      <w:r>
        <w:rPr>
          <w:szCs w:val="24"/>
        </w:rPr>
        <w:t xml:space="preserve">The IPR </w:t>
      </w:r>
      <w:r w:rsidR="009C4F4B">
        <w:rPr>
          <w:szCs w:val="24"/>
        </w:rPr>
        <w:t>AHG</w:t>
      </w:r>
      <w:r>
        <w:rPr>
          <w:szCs w:val="24"/>
        </w:rPr>
        <w:t xml:space="preserve"> meeting on 7 December 2021 was chaired in turn by Mr Serge Raes (Orange), Rapporteur on patent</w:t>
      </w:r>
      <w:r w:rsidR="009C4F4B">
        <w:rPr>
          <w:szCs w:val="24"/>
        </w:rPr>
        <w:t>s</w:t>
      </w:r>
      <w:r>
        <w:rPr>
          <w:szCs w:val="24"/>
        </w:rPr>
        <w:t xml:space="preserve"> issues, and Mr Hung Ling (Nokia), Rapporteur on marks issues. </w:t>
      </w:r>
    </w:p>
    <w:p w14:paraId="4EC0330E" w14:textId="1079E76F" w:rsidR="00D62C95" w:rsidRDefault="00D62C95" w:rsidP="00D62C95">
      <w:pPr>
        <w:rPr>
          <w:szCs w:val="24"/>
        </w:rPr>
      </w:pPr>
      <w:r>
        <w:rPr>
          <w:szCs w:val="24"/>
        </w:rPr>
        <w:t>Mr Serge Raes chaired the first half of the meeting and started the meeting at 16h04 with the usual welcome greetings, adoption of the Agenda (</w:t>
      </w:r>
      <w:hyperlink r:id="rId25" w:history="1">
        <w:r w:rsidR="009C4F4B" w:rsidRPr="004F7C36">
          <w:rPr>
            <w:rStyle w:val="Hyperlink"/>
            <w:szCs w:val="24"/>
          </w:rPr>
          <w:t>IPR-</w:t>
        </w:r>
        <w:r w:rsidRPr="004F7C36">
          <w:rPr>
            <w:rStyle w:val="Hyperlink"/>
            <w:szCs w:val="24"/>
          </w:rPr>
          <w:t>TD-264</w:t>
        </w:r>
      </w:hyperlink>
      <w:r>
        <w:rPr>
          <w:szCs w:val="24"/>
        </w:rPr>
        <w:t>), and background introduction (</w:t>
      </w:r>
      <w:hyperlink r:id="rId26" w:history="1">
        <w:r>
          <w:rPr>
            <w:rStyle w:val="Hyperlink"/>
            <w:szCs w:val="32"/>
          </w:rPr>
          <w:t>IPR-T</w:t>
        </w:r>
        <w:r w:rsidRPr="00C722F3">
          <w:rPr>
            <w:rStyle w:val="Hyperlink"/>
            <w:szCs w:val="32"/>
          </w:rPr>
          <w:t>D-265</w:t>
        </w:r>
      </w:hyperlink>
      <w:r>
        <w:rPr>
          <w:szCs w:val="24"/>
        </w:rPr>
        <w:t xml:space="preserve">). He reminded all participants that the IPR AHG is composed of an international panel of experts in IPR matters and provides advice to the TSB Director on IPR issues – principally on patents copyrights and marks – related to the ITU-T standardization activities, and for which </w:t>
      </w:r>
      <w:r w:rsidR="00773625">
        <w:rPr>
          <w:szCs w:val="24"/>
        </w:rPr>
        <w:t xml:space="preserve">the </w:t>
      </w:r>
      <w:r>
        <w:rPr>
          <w:szCs w:val="24"/>
        </w:rPr>
        <w:t xml:space="preserve">corresponding Guidelines for technical experts are available and maintained. </w:t>
      </w:r>
    </w:p>
    <w:p w14:paraId="3E738205" w14:textId="2D748999" w:rsidR="00D62C95" w:rsidRDefault="00D62C95" w:rsidP="00D62C95">
      <w:pPr>
        <w:rPr>
          <w:szCs w:val="24"/>
        </w:rPr>
      </w:pPr>
      <w:r>
        <w:rPr>
          <w:szCs w:val="24"/>
        </w:rPr>
        <w:t xml:space="preserve">The Chair then outlined the methodology for handling the two TSAG Contributions from the Russian Federation </w:t>
      </w:r>
      <w:hyperlink r:id="rId27" w:history="1">
        <w:r w:rsidRPr="00822838">
          <w:rPr>
            <w:rStyle w:val="Hyperlink"/>
            <w:szCs w:val="24"/>
          </w:rPr>
          <w:t>TSAG-C-195</w:t>
        </w:r>
      </w:hyperlink>
      <w:r w:rsidRPr="00F0491E">
        <w:t xml:space="preserve"> and </w:t>
      </w:r>
      <w:hyperlink r:id="rId28" w:history="1">
        <w:r w:rsidRPr="0038642D">
          <w:rPr>
            <w:rStyle w:val="Hyperlink"/>
            <w:szCs w:val="24"/>
          </w:rPr>
          <w:t>TSAG-C-197</w:t>
        </w:r>
      </w:hyperlink>
      <w:r w:rsidR="00773625">
        <w:t xml:space="preserve">, </w:t>
      </w:r>
      <w:r w:rsidR="003F304D">
        <w:t xml:space="preserve">which are </w:t>
      </w:r>
      <w:r w:rsidR="00773625">
        <w:t>a</w:t>
      </w:r>
      <w:r w:rsidRPr="00F0491E">
        <w:t>uthored by Mr Dmitry Cherkesov</w:t>
      </w:r>
      <w:r w:rsidR="003F304D">
        <w:rPr>
          <w:szCs w:val="24"/>
        </w:rPr>
        <w:t>, as follows:</w:t>
      </w:r>
      <w:r>
        <w:rPr>
          <w:szCs w:val="24"/>
        </w:rPr>
        <w:t xml:space="preserve"> </w:t>
      </w:r>
    </w:p>
    <w:p w14:paraId="704FBCCD" w14:textId="77777777" w:rsidR="00D62C95" w:rsidRDefault="00D62C95" w:rsidP="00D62C95">
      <w:pPr>
        <w:pStyle w:val="ListParagraph"/>
        <w:numPr>
          <w:ilvl w:val="0"/>
          <w:numId w:val="7"/>
        </w:numPr>
        <w:tabs>
          <w:tab w:val="clear" w:pos="794"/>
          <w:tab w:val="clear" w:pos="1191"/>
          <w:tab w:val="clear" w:pos="1588"/>
          <w:tab w:val="clear" w:pos="1985"/>
        </w:tabs>
        <w:overflowPunct/>
        <w:autoSpaceDE/>
        <w:autoSpaceDN/>
        <w:adjustRightInd/>
        <w:contextualSpacing/>
        <w:textAlignment w:val="auto"/>
        <w:rPr>
          <w:szCs w:val="24"/>
        </w:rPr>
      </w:pPr>
      <w:r>
        <w:rPr>
          <w:szCs w:val="24"/>
        </w:rPr>
        <w:t xml:space="preserve">Summary introduction based on the TSAG ad hoc session report in </w:t>
      </w:r>
      <w:hyperlink r:id="rId29" w:history="1">
        <w:r w:rsidRPr="005C5E7E">
          <w:rPr>
            <w:rStyle w:val="Hyperlink"/>
            <w:szCs w:val="24"/>
            <w:lang w:val="en-US"/>
          </w:rPr>
          <w:t>TSAG-TD-GEN-1165</w:t>
        </w:r>
      </w:hyperlink>
      <w:r>
        <w:rPr>
          <w:szCs w:val="24"/>
        </w:rPr>
        <w:t xml:space="preserve">; </w:t>
      </w:r>
    </w:p>
    <w:p w14:paraId="3E0AED26" w14:textId="77777777" w:rsidR="00D62C95" w:rsidRDefault="00D62C95" w:rsidP="00D62C95">
      <w:pPr>
        <w:pStyle w:val="ListParagraph"/>
        <w:numPr>
          <w:ilvl w:val="0"/>
          <w:numId w:val="7"/>
        </w:numPr>
        <w:tabs>
          <w:tab w:val="clear" w:pos="794"/>
          <w:tab w:val="clear" w:pos="1191"/>
          <w:tab w:val="clear" w:pos="1588"/>
          <w:tab w:val="clear" w:pos="1985"/>
        </w:tabs>
        <w:overflowPunct/>
        <w:autoSpaceDE/>
        <w:autoSpaceDN/>
        <w:adjustRightInd/>
        <w:contextualSpacing/>
        <w:textAlignment w:val="auto"/>
        <w:rPr>
          <w:szCs w:val="24"/>
        </w:rPr>
      </w:pPr>
      <w:r>
        <w:rPr>
          <w:szCs w:val="24"/>
        </w:rPr>
        <w:t xml:space="preserve">Presentation by the author, Mr Dmitry Cherkesov; </w:t>
      </w:r>
    </w:p>
    <w:p w14:paraId="44389B34" w14:textId="77777777" w:rsidR="00D62C95" w:rsidRDefault="00D62C95" w:rsidP="00D62C95">
      <w:pPr>
        <w:pStyle w:val="ListParagraph"/>
        <w:numPr>
          <w:ilvl w:val="0"/>
          <w:numId w:val="7"/>
        </w:numPr>
        <w:tabs>
          <w:tab w:val="clear" w:pos="794"/>
          <w:tab w:val="clear" w:pos="1191"/>
          <w:tab w:val="clear" w:pos="1588"/>
          <w:tab w:val="clear" w:pos="1985"/>
        </w:tabs>
        <w:overflowPunct/>
        <w:autoSpaceDE/>
        <w:autoSpaceDN/>
        <w:adjustRightInd/>
        <w:contextualSpacing/>
        <w:textAlignment w:val="auto"/>
        <w:rPr>
          <w:szCs w:val="24"/>
        </w:rPr>
      </w:pPr>
      <w:r>
        <w:rPr>
          <w:szCs w:val="24"/>
        </w:rPr>
        <w:t xml:space="preserve">Clarifications followed by discussions; and finally </w:t>
      </w:r>
    </w:p>
    <w:p w14:paraId="4AA6EFE8" w14:textId="77777777" w:rsidR="00D62C95" w:rsidRPr="00993512" w:rsidRDefault="00D62C95" w:rsidP="00D62C95">
      <w:pPr>
        <w:pStyle w:val="ListParagraph"/>
        <w:numPr>
          <w:ilvl w:val="0"/>
          <w:numId w:val="7"/>
        </w:numPr>
        <w:tabs>
          <w:tab w:val="clear" w:pos="794"/>
          <w:tab w:val="clear" w:pos="1191"/>
          <w:tab w:val="clear" w:pos="1588"/>
          <w:tab w:val="clear" w:pos="1985"/>
        </w:tabs>
        <w:overflowPunct/>
        <w:autoSpaceDE/>
        <w:autoSpaceDN/>
        <w:adjustRightInd/>
        <w:contextualSpacing/>
        <w:textAlignment w:val="auto"/>
        <w:rPr>
          <w:szCs w:val="24"/>
        </w:rPr>
      </w:pPr>
      <w:r>
        <w:rPr>
          <w:szCs w:val="24"/>
        </w:rPr>
        <w:t xml:space="preserve">Conclusions. </w:t>
      </w:r>
    </w:p>
    <w:p w14:paraId="014E8535" w14:textId="77777777" w:rsidR="00D62C95" w:rsidRPr="00F0491E" w:rsidRDefault="00D62C95" w:rsidP="00D62C95">
      <w:r>
        <w:rPr>
          <w:szCs w:val="24"/>
        </w:rPr>
        <w:t xml:space="preserve">The Chair started with </w:t>
      </w:r>
      <w:hyperlink r:id="rId30" w:history="1">
        <w:r w:rsidRPr="00822838">
          <w:rPr>
            <w:rStyle w:val="Hyperlink"/>
            <w:szCs w:val="24"/>
          </w:rPr>
          <w:t>TSAG-C-195</w:t>
        </w:r>
      </w:hyperlink>
      <w:r w:rsidRPr="00F0491E">
        <w:t xml:space="preserve">, with focus on the IPR-related issue on page 5. </w:t>
      </w:r>
    </w:p>
    <w:p w14:paraId="3C58E146" w14:textId="77777777" w:rsidR="00D62C95" w:rsidRPr="00993512" w:rsidRDefault="00D62C95" w:rsidP="00D62C95">
      <w:pPr>
        <w:jc w:val="center"/>
        <w:rPr>
          <w:rStyle w:val="Hyperlink"/>
          <w:szCs w:val="24"/>
        </w:rPr>
      </w:pPr>
      <w:r w:rsidRPr="00245A7F">
        <w:rPr>
          <w:noProof/>
          <w:lang w:val="en-US"/>
        </w:rPr>
        <w:lastRenderedPageBreak/>
        <w:drawing>
          <wp:inline distT="0" distB="0" distL="0" distR="0" wp14:anchorId="620FA574" wp14:editId="0D4B500D">
            <wp:extent cx="6115685" cy="2499360"/>
            <wp:effectExtent l="0" t="0" r="0" b="0"/>
            <wp:docPr id="5" name="Image 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Graphical user interface, text, application, Word&#10;&#10;Description automatically generated"/>
                    <pic:cNvPicPr/>
                  </pic:nvPicPr>
                  <pic:blipFill rotWithShape="1">
                    <a:blip r:embed="rId31"/>
                    <a:srcRect t="18165" b="9174"/>
                    <a:stretch/>
                  </pic:blipFill>
                  <pic:spPr bwMode="auto">
                    <a:xfrm>
                      <a:off x="0" y="0"/>
                      <a:ext cx="6115685" cy="2499360"/>
                    </a:xfrm>
                    <a:prstGeom prst="rect">
                      <a:avLst/>
                    </a:prstGeom>
                    <a:ln>
                      <a:noFill/>
                    </a:ln>
                    <a:extLst>
                      <a:ext uri="{53640926-AAD7-44D8-BBD7-CCE9431645EC}">
                        <a14:shadowObscured xmlns:a14="http://schemas.microsoft.com/office/drawing/2010/main"/>
                      </a:ext>
                    </a:extLst>
                  </pic:spPr>
                </pic:pic>
              </a:graphicData>
            </a:graphic>
          </wp:inline>
        </w:drawing>
      </w:r>
    </w:p>
    <w:p w14:paraId="38C71BEA" w14:textId="74CEF243" w:rsidR="00D62C95" w:rsidRPr="003005DF" w:rsidRDefault="00D62C95" w:rsidP="00D62C95">
      <w:pPr>
        <w:jc w:val="center"/>
        <w:rPr>
          <w:b/>
          <w:bCs/>
        </w:rPr>
      </w:pPr>
      <w:r w:rsidRPr="003005DF">
        <w:rPr>
          <w:b/>
          <w:bCs/>
          <w:szCs w:val="24"/>
        </w:rPr>
        <w:t>Figure </w:t>
      </w:r>
      <w:r w:rsidR="00E56199" w:rsidRPr="003005DF">
        <w:rPr>
          <w:b/>
          <w:bCs/>
          <w:szCs w:val="24"/>
        </w:rPr>
        <w:t xml:space="preserve">1 – Snapshot </w:t>
      </w:r>
      <w:r w:rsidR="007A29B0" w:rsidRPr="003005DF">
        <w:rPr>
          <w:b/>
          <w:bCs/>
          <w:szCs w:val="24"/>
        </w:rPr>
        <w:t xml:space="preserve">from </w:t>
      </w:r>
      <w:r w:rsidR="00E56199" w:rsidRPr="003005DF">
        <w:rPr>
          <w:b/>
          <w:bCs/>
        </w:rPr>
        <w:t xml:space="preserve">page 5 of </w:t>
      </w:r>
      <w:hyperlink r:id="rId32" w:history="1">
        <w:r w:rsidRPr="003005DF">
          <w:rPr>
            <w:b/>
            <w:bCs/>
          </w:rPr>
          <w:t>TSAG-C-195</w:t>
        </w:r>
      </w:hyperlink>
      <w:r w:rsidR="007A29B0" w:rsidRPr="003005DF">
        <w:rPr>
          <w:b/>
          <w:bCs/>
        </w:rPr>
        <w:t xml:space="preserve"> </w:t>
      </w:r>
      <w:r w:rsidR="007A29B0" w:rsidRPr="003005DF">
        <w:rPr>
          <w:b/>
          <w:bCs/>
          <w:szCs w:val="24"/>
        </w:rPr>
        <w:t xml:space="preserve">reflecting the </w:t>
      </w:r>
      <w:r w:rsidR="007A29B0" w:rsidRPr="003005DF">
        <w:rPr>
          <w:b/>
          <w:bCs/>
        </w:rPr>
        <w:t xml:space="preserve">IPR-related issue </w:t>
      </w:r>
    </w:p>
    <w:p w14:paraId="4E5B651C" w14:textId="07DBA5BC" w:rsidR="00D62C95" w:rsidRPr="004F7C36" w:rsidRDefault="00D62C95" w:rsidP="00D62C95">
      <w:r w:rsidRPr="004F7C36">
        <w:t>After Mr Dmitry Cherkesov presented his contribution, i</w:t>
      </w:r>
      <w:r>
        <w:rPr>
          <w:szCs w:val="24"/>
        </w:rPr>
        <w:t xml:space="preserve">t </w:t>
      </w:r>
      <w:proofErr w:type="gramStart"/>
      <w:r>
        <w:rPr>
          <w:szCs w:val="24"/>
        </w:rPr>
        <w:t>was observed</w:t>
      </w:r>
      <w:proofErr w:type="gramEnd"/>
      <w:r>
        <w:rPr>
          <w:szCs w:val="24"/>
        </w:rPr>
        <w:t xml:space="preserve"> that the proposal on page 5 of </w:t>
      </w:r>
      <w:bookmarkStart w:id="12" w:name="_Hlk89808176"/>
      <w:r w:rsidRPr="008F1AF2">
        <w:rPr>
          <w:rStyle w:val="Hyperlink"/>
        </w:rPr>
        <w:fldChar w:fldCharType="begin"/>
      </w:r>
      <w:r w:rsidR="008F1AF2" w:rsidRPr="008F1AF2">
        <w:rPr>
          <w:rStyle w:val="Hyperlink"/>
        </w:rPr>
        <w:instrText>HYPERLINK "https://www.itu.int/md/T17-TSAG-C-0195/en"</w:instrText>
      </w:r>
      <w:r w:rsidRPr="008F1AF2">
        <w:rPr>
          <w:rStyle w:val="Hyperlink"/>
          <w:szCs w:val="24"/>
        </w:rPr>
        <w:fldChar w:fldCharType="separate"/>
      </w:r>
      <w:r w:rsidRPr="008F1AF2">
        <w:rPr>
          <w:rStyle w:val="Hyperlink"/>
          <w:szCs w:val="24"/>
        </w:rPr>
        <w:t>TSAG-C-195</w:t>
      </w:r>
      <w:r w:rsidRPr="008F1AF2">
        <w:rPr>
          <w:rStyle w:val="Hyperlink"/>
          <w:szCs w:val="24"/>
        </w:rPr>
        <w:fldChar w:fldCharType="end"/>
      </w:r>
      <w:r w:rsidRPr="004F7C36">
        <w:t xml:space="preserve"> </w:t>
      </w:r>
      <w:bookmarkEnd w:id="12"/>
      <w:r w:rsidRPr="004F7C36">
        <w:t>creates a redundancy with the custom</w:t>
      </w:r>
      <w:r w:rsidR="00E56199">
        <w:t>ary</w:t>
      </w:r>
      <w:r w:rsidRPr="004F7C36">
        <w:t xml:space="preserve"> copyright sentence at the very bottom of that page. Therefore, the sentence proposed to replace the entire IPR boilerplate should be removed for consistency with all the Recommendations. </w:t>
      </w:r>
    </w:p>
    <w:p w14:paraId="2342C6E7" w14:textId="77777777" w:rsidR="00D62C95" w:rsidRPr="004F7C36" w:rsidRDefault="00D62C95" w:rsidP="00D62C95">
      <w:pPr>
        <w:rPr>
          <w:rStyle w:val="Hyperlink"/>
          <w:color w:val="auto"/>
          <w:szCs w:val="24"/>
          <w:u w:val="none"/>
        </w:rPr>
      </w:pPr>
      <w:r w:rsidRPr="004F7C36">
        <w:rPr>
          <w:rStyle w:val="Hyperlink"/>
          <w:color w:val="auto"/>
          <w:szCs w:val="24"/>
          <w:u w:val="none"/>
        </w:rPr>
        <w:t xml:space="preserve">The remaining part of Option 2, according to </w:t>
      </w:r>
      <w:r w:rsidRPr="00E56199">
        <w:rPr>
          <w:szCs w:val="24"/>
        </w:rPr>
        <w:t xml:space="preserve">the report </w:t>
      </w:r>
      <w:hyperlink r:id="rId33" w:history="1">
        <w:r w:rsidRPr="00E56199">
          <w:rPr>
            <w:rStyle w:val="Hyperlink"/>
            <w:szCs w:val="24"/>
            <w:lang w:val="en-US"/>
          </w:rPr>
          <w:t>TSAG-TD-GEN-1165</w:t>
        </w:r>
      </w:hyperlink>
      <w:r w:rsidRPr="004F7C36">
        <w:rPr>
          <w:rStyle w:val="Hyperlink"/>
          <w:szCs w:val="24"/>
          <w:lang w:val="en-US"/>
        </w:rPr>
        <w:t>,</w:t>
      </w:r>
      <w:r w:rsidRPr="004F7C36">
        <w:rPr>
          <w:rStyle w:val="Hyperlink"/>
          <w:color w:val="auto"/>
          <w:szCs w:val="24"/>
          <w:u w:val="none"/>
        </w:rPr>
        <w:t xml:space="preserve"> was to delete the entire IPR boilerplate. </w:t>
      </w:r>
    </w:p>
    <w:p w14:paraId="53D55CB1" w14:textId="46C3FD2B" w:rsidR="00D62C95" w:rsidRPr="004F7C36" w:rsidRDefault="00D62C95" w:rsidP="00D62C95">
      <w:pPr>
        <w:rPr>
          <w:rStyle w:val="Hyperlink"/>
          <w:color w:val="auto"/>
          <w:szCs w:val="24"/>
          <w:u w:val="none"/>
        </w:rPr>
      </w:pPr>
      <w:r w:rsidRPr="004F7C36">
        <w:rPr>
          <w:rStyle w:val="Hyperlink"/>
          <w:color w:val="auto"/>
          <w:szCs w:val="24"/>
          <w:u w:val="none"/>
        </w:rPr>
        <w:t xml:space="preserve">This was opposed by all the regular participants to the IPR Ad Hoc Group for the following non-exhaustive list of reasons: </w:t>
      </w:r>
    </w:p>
    <w:p w14:paraId="3B51C4CC" w14:textId="00E91CD1" w:rsidR="00D62C95" w:rsidRPr="004F7C36" w:rsidRDefault="00D62C95" w:rsidP="00D62C95">
      <w:pPr>
        <w:pStyle w:val="ListParagraph"/>
        <w:numPr>
          <w:ilvl w:val="0"/>
          <w:numId w:val="6"/>
        </w:numPr>
        <w:tabs>
          <w:tab w:val="clear" w:pos="794"/>
          <w:tab w:val="clear" w:pos="1191"/>
          <w:tab w:val="clear" w:pos="1588"/>
          <w:tab w:val="clear" w:pos="1985"/>
        </w:tabs>
        <w:overflowPunct/>
        <w:autoSpaceDE/>
        <w:autoSpaceDN/>
        <w:adjustRightInd/>
        <w:contextualSpacing/>
        <w:textAlignment w:val="auto"/>
        <w:rPr>
          <w:rStyle w:val="Hyperlink"/>
          <w:color w:val="auto"/>
          <w:szCs w:val="24"/>
          <w:u w:val="none"/>
        </w:rPr>
      </w:pPr>
      <w:r w:rsidRPr="004F7C36">
        <w:rPr>
          <w:rStyle w:val="Hyperlink"/>
          <w:color w:val="auto"/>
          <w:szCs w:val="24"/>
          <w:u w:val="none"/>
        </w:rPr>
        <w:t>The IPR boilerplate is neither limited to patent rights, nor to technical patents in particular</w:t>
      </w:r>
      <w:r w:rsidR="007B6C66">
        <w:rPr>
          <w:rStyle w:val="Hyperlink"/>
          <w:color w:val="auto"/>
          <w:szCs w:val="24"/>
          <w:u w:val="none"/>
        </w:rPr>
        <w:t>.</w:t>
      </w:r>
      <w:r w:rsidRPr="004F7C36">
        <w:rPr>
          <w:rStyle w:val="Hyperlink"/>
          <w:color w:val="auto"/>
          <w:szCs w:val="24"/>
          <w:u w:val="none"/>
        </w:rPr>
        <w:t xml:space="preserve"> </w:t>
      </w:r>
      <w:r w:rsidR="007B6C66">
        <w:rPr>
          <w:rStyle w:val="Hyperlink"/>
          <w:color w:val="auto"/>
          <w:szCs w:val="24"/>
          <w:u w:val="none"/>
        </w:rPr>
        <w:t>I</w:t>
      </w:r>
      <w:r w:rsidRPr="004F7C36">
        <w:rPr>
          <w:rStyle w:val="Hyperlink"/>
          <w:color w:val="auto"/>
          <w:szCs w:val="24"/>
          <w:u w:val="none"/>
        </w:rPr>
        <w:t xml:space="preserve">t covers all sorts of patent rights (including e.g. business method </w:t>
      </w:r>
      <w:r w:rsidR="00D406E0">
        <w:rPr>
          <w:rStyle w:val="Hyperlink"/>
          <w:color w:val="auto"/>
          <w:szCs w:val="24"/>
          <w:u w:val="none"/>
        </w:rPr>
        <w:t>or</w:t>
      </w:r>
      <w:r w:rsidRPr="004F7C36">
        <w:rPr>
          <w:rStyle w:val="Hyperlink"/>
          <w:color w:val="auto"/>
          <w:szCs w:val="24"/>
          <w:u w:val="none"/>
        </w:rPr>
        <w:t xml:space="preserve"> utility model</w:t>
      </w:r>
      <w:r w:rsidR="00D406E0" w:rsidRPr="00D406E0">
        <w:rPr>
          <w:rStyle w:val="Hyperlink"/>
          <w:color w:val="auto"/>
          <w:szCs w:val="24"/>
          <w:u w:val="none"/>
        </w:rPr>
        <w:t xml:space="preserve"> </w:t>
      </w:r>
      <w:r w:rsidR="00D406E0" w:rsidRPr="00C11352">
        <w:rPr>
          <w:rStyle w:val="Hyperlink"/>
          <w:color w:val="auto"/>
          <w:szCs w:val="24"/>
          <w:u w:val="none"/>
        </w:rPr>
        <w:t>patents</w:t>
      </w:r>
      <w:r w:rsidRPr="004F7C36">
        <w:rPr>
          <w:rStyle w:val="Hyperlink"/>
          <w:color w:val="auto"/>
          <w:szCs w:val="24"/>
          <w:u w:val="none"/>
        </w:rPr>
        <w:t>, where appropriate), copyrights and any other intellectual property rights</w:t>
      </w:r>
      <w:r w:rsidR="007B6C66">
        <w:rPr>
          <w:rStyle w:val="Hyperlink"/>
          <w:color w:val="auto"/>
          <w:szCs w:val="24"/>
          <w:u w:val="none"/>
        </w:rPr>
        <w:t>,</w:t>
      </w:r>
      <w:r w:rsidRPr="004F7C36">
        <w:rPr>
          <w:rStyle w:val="Hyperlink"/>
          <w:color w:val="auto"/>
          <w:szCs w:val="24"/>
          <w:u w:val="none"/>
        </w:rPr>
        <w:t xml:space="preserve"> the use of which would need a permission or a license, whether for a fee or </w:t>
      </w:r>
      <w:proofErr w:type="gramStart"/>
      <w:r w:rsidRPr="004F7C36">
        <w:rPr>
          <w:rStyle w:val="Hyperlink"/>
          <w:color w:val="auto"/>
          <w:szCs w:val="24"/>
          <w:u w:val="none"/>
        </w:rPr>
        <w:t>for free</w:t>
      </w:r>
      <w:proofErr w:type="gramEnd"/>
      <w:r w:rsidR="00C527DC">
        <w:rPr>
          <w:rStyle w:val="Hyperlink"/>
          <w:color w:val="auto"/>
          <w:szCs w:val="24"/>
          <w:u w:val="none"/>
        </w:rPr>
        <w:t>.</w:t>
      </w:r>
      <w:r w:rsidRPr="004F7C36">
        <w:rPr>
          <w:rStyle w:val="Hyperlink"/>
          <w:color w:val="auto"/>
          <w:szCs w:val="24"/>
          <w:u w:val="none"/>
        </w:rPr>
        <w:t xml:space="preserve"> </w:t>
      </w:r>
      <w:r w:rsidR="00C527DC">
        <w:rPr>
          <w:rStyle w:val="Hyperlink"/>
          <w:color w:val="auto"/>
          <w:szCs w:val="24"/>
          <w:u w:val="none"/>
        </w:rPr>
        <w:t>T</w:t>
      </w:r>
      <w:r w:rsidRPr="004F7C36">
        <w:rPr>
          <w:rStyle w:val="Hyperlink"/>
          <w:color w:val="auto"/>
          <w:szCs w:val="24"/>
          <w:u w:val="none"/>
        </w:rPr>
        <w:t>he</w:t>
      </w:r>
      <w:r w:rsidRPr="004F7C36">
        <w:rPr>
          <w:rStyle w:val="Hyperlink"/>
          <w:color w:val="auto"/>
          <w:szCs w:val="24"/>
        </w:rPr>
        <w:t xml:space="preserve"> </w:t>
      </w:r>
      <w:r w:rsidR="00C527DC" w:rsidRPr="004F7C36">
        <w:rPr>
          <w:rStyle w:val="Hyperlink"/>
          <w:color w:val="auto"/>
          <w:szCs w:val="24"/>
          <w:u w:val="none"/>
        </w:rPr>
        <w:t xml:space="preserve">use </w:t>
      </w:r>
      <w:r w:rsidRPr="004F7C36">
        <w:rPr>
          <w:rStyle w:val="Hyperlink"/>
          <w:color w:val="auto"/>
          <w:szCs w:val="24"/>
          <w:u w:val="none"/>
        </w:rPr>
        <w:t>of software tools during the standard</w:t>
      </w:r>
      <w:r w:rsidR="00D406E0">
        <w:rPr>
          <w:rStyle w:val="Hyperlink"/>
          <w:color w:val="auto"/>
          <w:szCs w:val="24"/>
          <w:u w:val="none"/>
        </w:rPr>
        <w:t>s</w:t>
      </w:r>
      <w:r w:rsidRPr="004F7C36">
        <w:rPr>
          <w:rStyle w:val="Hyperlink"/>
          <w:color w:val="auto"/>
          <w:szCs w:val="24"/>
          <w:u w:val="none"/>
        </w:rPr>
        <w:t xml:space="preserve"> development phase or afterwards (e.g. for testing purposes) was </w:t>
      </w:r>
      <w:r w:rsidR="00C527DC">
        <w:rPr>
          <w:rStyle w:val="Hyperlink"/>
          <w:color w:val="auto"/>
          <w:szCs w:val="24"/>
          <w:u w:val="none"/>
        </w:rPr>
        <w:t>cited as an example</w:t>
      </w:r>
      <w:r w:rsidRPr="004F7C36">
        <w:rPr>
          <w:rStyle w:val="Hyperlink"/>
          <w:color w:val="auto"/>
          <w:szCs w:val="24"/>
          <w:u w:val="none"/>
        </w:rPr>
        <w:t xml:space="preserve">; </w:t>
      </w:r>
    </w:p>
    <w:p w14:paraId="4AF79F6C" w14:textId="3E1376C2" w:rsidR="00D62C95" w:rsidRPr="004F7C36" w:rsidRDefault="00D62C95" w:rsidP="00D62C95">
      <w:pPr>
        <w:pStyle w:val="ListParagraph"/>
        <w:numPr>
          <w:ilvl w:val="0"/>
          <w:numId w:val="6"/>
        </w:numPr>
        <w:tabs>
          <w:tab w:val="clear" w:pos="794"/>
          <w:tab w:val="clear" w:pos="1191"/>
          <w:tab w:val="clear" w:pos="1588"/>
          <w:tab w:val="clear" w:pos="1985"/>
        </w:tabs>
        <w:overflowPunct/>
        <w:autoSpaceDE/>
        <w:autoSpaceDN/>
        <w:adjustRightInd/>
        <w:contextualSpacing/>
        <w:textAlignment w:val="auto"/>
        <w:rPr>
          <w:rStyle w:val="Hyperlink"/>
          <w:color w:val="auto"/>
          <w:szCs w:val="24"/>
          <w:u w:val="none"/>
        </w:rPr>
      </w:pPr>
      <w:r w:rsidRPr="004F7C36">
        <w:rPr>
          <w:rStyle w:val="Hyperlink"/>
          <w:color w:val="auto"/>
          <w:szCs w:val="24"/>
          <w:u w:val="none"/>
        </w:rPr>
        <w:t xml:space="preserve">The IPR boilerplate is a notification (!attention!) intended to remind practitioners and implementers that appropriate permission or licenses </w:t>
      </w:r>
      <w:r w:rsidRPr="004F7C36">
        <w:rPr>
          <w:rStyle w:val="Hyperlink"/>
          <w:b/>
          <w:bCs/>
          <w:color w:val="auto"/>
          <w:szCs w:val="24"/>
          <w:u w:val="none"/>
        </w:rPr>
        <w:t>may be</w:t>
      </w:r>
      <w:r w:rsidRPr="004F7C36">
        <w:rPr>
          <w:rStyle w:val="Hyperlink"/>
          <w:color w:val="auto"/>
          <w:szCs w:val="24"/>
          <w:u w:val="none"/>
        </w:rPr>
        <w:t xml:space="preserve"> required - or not</w:t>
      </w:r>
      <w:r w:rsidR="00C527DC">
        <w:rPr>
          <w:rStyle w:val="Hyperlink"/>
          <w:color w:val="auto"/>
          <w:szCs w:val="24"/>
          <w:u w:val="none"/>
        </w:rPr>
        <w:t>.</w:t>
      </w:r>
      <w:r w:rsidRPr="004F7C36">
        <w:rPr>
          <w:rStyle w:val="Hyperlink"/>
          <w:color w:val="auto"/>
          <w:szCs w:val="24"/>
          <w:u w:val="none"/>
        </w:rPr>
        <w:t xml:space="preserve"> </w:t>
      </w:r>
      <w:r w:rsidR="00C527DC">
        <w:rPr>
          <w:rStyle w:val="Hyperlink"/>
          <w:color w:val="auto"/>
          <w:szCs w:val="24"/>
          <w:u w:val="none"/>
        </w:rPr>
        <w:t>T</w:t>
      </w:r>
      <w:r w:rsidRPr="004F7C36">
        <w:rPr>
          <w:rStyle w:val="Hyperlink"/>
          <w:color w:val="auto"/>
          <w:szCs w:val="24"/>
          <w:u w:val="none"/>
        </w:rPr>
        <w:t xml:space="preserve">his depends on the circumstances; </w:t>
      </w:r>
    </w:p>
    <w:p w14:paraId="18ABDFDB" w14:textId="77777777" w:rsidR="00D62C95" w:rsidRPr="004F7C36" w:rsidRDefault="00D62C95" w:rsidP="00D62C95">
      <w:pPr>
        <w:pStyle w:val="ListParagraph"/>
        <w:numPr>
          <w:ilvl w:val="0"/>
          <w:numId w:val="6"/>
        </w:numPr>
        <w:tabs>
          <w:tab w:val="clear" w:pos="794"/>
          <w:tab w:val="clear" w:pos="1191"/>
          <w:tab w:val="clear" w:pos="1588"/>
          <w:tab w:val="clear" w:pos="1985"/>
        </w:tabs>
        <w:overflowPunct/>
        <w:autoSpaceDE/>
        <w:autoSpaceDN/>
        <w:adjustRightInd/>
        <w:contextualSpacing/>
        <w:textAlignment w:val="auto"/>
        <w:rPr>
          <w:rStyle w:val="Hyperlink"/>
          <w:color w:val="auto"/>
          <w:szCs w:val="24"/>
          <w:u w:val="none"/>
        </w:rPr>
      </w:pPr>
      <w:r w:rsidRPr="004F7C36">
        <w:rPr>
          <w:rStyle w:val="Hyperlink"/>
          <w:color w:val="auto"/>
          <w:szCs w:val="24"/>
          <w:u w:val="none"/>
        </w:rPr>
        <w:t xml:space="preserve">The IPR boilerplate is not trying to protect the ITU against claims of infringement, because the ITU is a specialized Agency of the United Nations Organization and enjoys immunity; </w:t>
      </w:r>
    </w:p>
    <w:p w14:paraId="14B7A46F" w14:textId="77777777" w:rsidR="00D62C95" w:rsidRPr="004F7C36" w:rsidRDefault="00D62C95" w:rsidP="00D62C95">
      <w:pPr>
        <w:pStyle w:val="ListParagraph"/>
        <w:numPr>
          <w:ilvl w:val="0"/>
          <w:numId w:val="6"/>
        </w:numPr>
        <w:tabs>
          <w:tab w:val="clear" w:pos="794"/>
          <w:tab w:val="clear" w:pos="1191"/>
          <w:tab w:val="clear" w:pos="1588"/>
          <w:tab w:val="clear" w:pos="1985"/>
        </w:tabs>
        <w:overflowPunct/>
        <w:autoSpaceDE/>
        <w:autoSpaceDN/>
        <w:adjustRightInd/>
        <w:contextualSpacing/>
        <w:textAlignment w:val="auto"/>
        <w:rPr>
          <w:rStyle w:val="Hyperlink"/>
          <w:color w:val="auto"/>
          <w:szCs w:val="24"/>
          <w:u w:val="none"/>
        </w:rPr>
      </w:pPr>
      <w:r w:rsidRPr="004F7C36">
        <w:rPr>
          <w:rStyle w:val="Hyperlink"/>
          <w:color w:val="auto"/>
          <w:szCs w:val="24"/>
          <w:u w:val="none"/>
        </w:rPr>
        <w:t xml:space="preserve">The IPR boilerplate permits the ITU to take distance (i.e. no position) with any claimed intellectual property rights regarding evidence, validity or applicability, whether from inside the Membership or from the outside; </w:t>
      </w:r>
    </w:p>
    <w:p w14:paraId="642C01ED" w14:textId="20A50F72" w:rsidR="00D62C95" w:rsidRPr="004F7C36" w:rsidRDefault="00D62C95" w:rsidP="00D62C95">
      <w:pPr>
        <w:pStyle w:val="ListParagraph"/>
        <w:numPr>
          <w:ilvl w:val="0"/>
          <w:numId w:val="6"/>
        </w:numPr>
        <w:tabs>
          <w:tab w:val="clear" w:pos="794"/>
          <w:tab w:val="clear" w:pos="1191"/>
          <w:tab w:val="clear" w:pos="1588"/>
          <w:tab w:val="clear" w:pos="1985"/>
        </w:tabs>
        <w:overflowPunct/>
        <w:autoSpaceDE/>
        <w:autoSpaceDN/>
        <w:adjustRightInd/>
        <w:contextualSpacing/>
        <w:textAlignment w:val="auto"/>
        <w:rPr>
          <w:rStyle w:val="Hyperlink"/>
          <w:color w:val="auto"/>
          <w:szCs w:val="24"/>
          <w:u w:val="none"/>
        </w:rPr>
      </w:pPr>
      <w:r w:rsidRPr="004F7C36">
        <w:rPr>
          <w:rStyle w:val="Hyperlink"/>
          <w:color w:val="auto"/>
          <w:szCs w:val="24"/>
          <w:u w:val="none"/>
        </w:rPr>
        <w:t xml:space="preserve">The IPR boilerplate permits to provide a snapshot in time when the information provided has been collected, but warns any user that this information may not be complete, accurate, or may become progressively obsolete as time </w:t>
      </w:r>
      <w:r w:rsidR="00FC7A76">
        <w:rPr>
          <w:rStyle w:val="Hyperlink"/>
          <w:color w:val="auto"/>
          <w:szCs w:val="24"/>
          <w:u w:val="none"/>
        </w:rPr>
        <w:t>passes</w:t>
      </w:r>
      <w:r w:rsidRPr="004F7C36">
        <w:rPr>
          <w:rStyle w:val="Hyperlink"/>
          <w:color w:val="auto"/>
          <w:szCs w:val="24"/>
          <w:u w:val="none"/>
        </w:rPr>
        <w:t xml:space="preserve">; </w:t>
      </w:r>
    </w:p>
    <w:p w14:paraId="0752C581" w14:textId="77777777" w:rsidR="00D62C95" w:rsidRPr="004F7C36" w:rsidRDefault="00D62C95" w:rsidP="00D62C95">
      <w:pPr>
        <w:pStyle w:val="ListParagraph"/>
        <w:numPr>
          <w:ilvl w:val="0"/>
          <w:numId w:val="6"/>
        </w:numPr>
        <w:tabs>
          <w:tab w:val="clear" w:pos="794"/>
          <w:tab w:val="clear" w:pos="1191"/>
          <w:tab w:val="clear" w:pos="1588"/>
          <w:tab w:val="clear" w:pos="1985"/>
        </w:tabs>
        <w:overflowPunct/>
        <w:autoSpaceDE/>
        <w:autoSpaceDN/>
        <w:adjustRightInd/>
        <w:contextualSpacing/>
        <w:textAlignment w:val="auto"/>
        <w:rPr>
          <w:rStyle w:val="Hyperlink"/>
          <w:color w:val="auto"/>
          <w:szCs w:val="24"/>
          <w:u w:val="none"/>
        </w:rPr>
      </w:pPr>
      <w:r w:rsidRPr="004F7C36">
        <w:rPr>
          <w:rStyle w:val="Hyperlink"/>
          <w:color w:val="auto"/>
          <w:szCs w:val="24"/>
          <w:u w:val="none"/>
        </w:rPr>
        <w:t xml:space="preserve">The IPR boilerplate permits the ITU to advertise its very valuable IPR database, which should contain the most up-to-date information with respect to any declared technical patent that may be essential to a Recommendation; </w:t>
      </w:r>
    </w:p>
    <w:p w14:paraId="0D6FA8A1" w14:textId="4D2614C0" w:rsidR="00D62C95" w:rsidRPr="004F7C36" w:rsidRDefault="00D62C95" w:rsidP="00D62C95">
      <w:pPr>
        <w:pStyle w:val="ListParagraph"/>
        <w:numPr>
          <w:ilvl w:val="0"/>
          <w:numId w:val="6"/>
        </w:numPr>
        <w:tabs>
          <w:tab w:val="clear" w:pos="794"/>
          <w:tab w:val="clear" w:pos="1191"/>
          <w:tab w:val="clear" w:pos="1588"/>
          <w:tab w:val="clear" w:pos="1985"/>
        </w:tabs>
        <w:overflowPunct/>
        <w:autoSpaceDE/>
        <w:autoSpaceDN/>
        <w:adjustRightInd/>
        <w:contextualSpacing/>
        <w:textAlignment w:val="auto"/>
        <w:rPr>
          <w:rStyle w:val="Hyperlink"/>
          <w:color w:val="auto"/>
          <w:szCs w:val="24"/>
          <w:u w:val="none"/>
        </w:rPr>
      </w:pPr>
      <w:r w:rsidRPr="004F7C36">
        <w:rPr>
          <w:rStyle w:val="Hyperlink"/>
          <w:color w:val="auto"/>
          <w:szCs w:val="24"/>
          <w:u w:val="none"/>
        </w:rPr>
        <w:t>And finally, it is innocuous to keep the IPR boilerplate as it is for all Recommendations, including the A-Series of Recommendations</w:t>
      </w:r>
      <w:r w:rsidR="00FC7A76">
        <w:rPr>
          <w:rStyle w:val="Hyperlink"/>
          <w:color w:val="auto"/>
          <w:szCs w:val="24"/>
          <w:u w:val="none"/>
        </w:rPr>
        <w:t>,</w:t>
      </w:r>
      <w:r w:rsidRPr="004F7C36">
        <w:rPr>
          <w:rStyle w:val="Hyperlink"/>
          <w:color w:val="auto"/>
          <w:szCs w:val="24"/>
          <w:u w:val="none"/>
        </w:rPr>
        <w:t xml:space="preserve"> because this practice is future-proof, especially if and when working methods may be developed in order to produce software or any machine-readable representation (such as SDL as specified in [ITU Z.100], or codec reference implementation or test-suites in the C-language [ISO 9899] or any other formal language); </w:t>
      </w:r>
    </w:p>
    <w:p w14:paraId="0FA4D5E6" w14:textId="6FDADE37" w:rsidR="00D62C95" w:rsidRPr="004F7C36" w:rsidRDefault="00D62C95" w:rsidP="00D62C95">
      <w:pPr>
        <w:pStyle w:val="ListParagraph"/>
        <w:numPr>
          <w:ilvl w:val="0"/>
          <w:numId w:val="6"/>
        </w:numPr>
        <w:tabs>
          <w:tab w:val="clear" w:pos="794"/>
          <w:tab w:val="clear" w:pos="1191"/>
          <w:tab w:val="clear" w:pos="1588"/>
          <w:tab w:val="clear" w:pos="1985"/>
        </w:tabs>
        <w:overflowPunct/>
        <w:autoSpaceDE/>
        <w:autoSpaceDN/>
        <w:adjustRightInd/>
        <w:contextualSpacing/>
        <w:textAlignment w:val="auto"/>
        <w:rPr>
          <w:rStyle w:val="Hyperlink"/>
          <w:color w:val="auto"/>
          <w:szCs w:val="24"/>
          <w:u w:val="none"/>
        </w:rPr>
      </w:pPr>
      <w:r w:rsidRPr="004F7C36">
        <w:rPr>
          <w:rStyle w:val="Hyperlink"/>
          <w:color w:val="auto"/>
          <w:szCs w:val="24"/>
          <w:u w:val="none"/>
        </w:rPr>
        <w:lastRenderedPageBreak/>
        <w:t xml:space="preserve">There may be other reasons which were provided at this meeting or during the TSAG ad hoc session, but the above list is amply sufficient to demonstrate the intended benefits of keeping the IPR boilerplate as is (Option 1: status quo). </w:t>
      </w:r>
    </w:p>
    <w:p w14:paraId="41AE8EE1" w14:textId="5EBE6F80" w:rsidR="00D62C95" w:rsidRPr="005C5E7E" w:rsidRDefault="00D62C95" w:rsidP="00D62C95">
      <w:pPr>
        <w:pStyle w:val="Heading2"/>
        <w:rPr>
          <w:szCs w:val="24"/>
        </w:rPr>
      </w:pPr>
      <w:r w:rsidRPr="000C1700">
        <w:rPr>
          <w:szCs w:val="24"/>
        </w:rPr>
        <w:t>1.</w:t>
      </w:r>
      <w:r>
        <w:rPr>
          <w:szCs w:val="24"/>
        </w:rPr>
        <w:t>3</w:t>
      </w:r>
      <w:r w:rsidRPr="000C1700">
        <w:rPr>
          <w:szCs w:val="24"/>
        </w:rPr>
        <w:t xml:space="preserve"> </w:t>
      </w:r>
      <w:r>
        <w:rPr>
          <w:szCs w:val="24"/>
        </w:rPr>
        <w:t xml:space="preserve">Conclusion of the </w:t>
      </w:r>
      <w:r w:rsidRPr="000C1700">
        <w:rPr>
          <w:szCs w:val="24"/>
        </w:rPr>
        <w:t xml:space="preserve">IPR </w:t>
      </w:r>
      <w:r w:rsidRPr="005C5E7E">
        <w:rPr>
          <w:szCs w:val="24"/>
        </w:rPr>
        <w:t>Ad Hoc Group meeting on 7 December 2021</w:t>
      </w:r>
    </w:p>
    <w:p w14:paraId="60AC1BA9" w14:textId="77777777" w:rsidR="00D62C95" w:rsidRPr="00FC7A76" w:rsidRDefault="00D62C95" w:rsidP="00D62C95">
      <w:pPr>
        <w:rPr>
          <w:rStyle w:val="Hyperlink"/>
          <w:color w:val="auto"/>
          <w:szCs w:val="24"/>
          <w:u w:val="none"/>
        </w:rPr>
      </w:pPr>
      <w:r w:rsidRPr="00FC7A76">
        <w:rPr>
          <w:rStyle w:val="Hyperlink"/>
          <w:color w:val="auto"/>
          <w:szCs w:val="24"/>
          <w:u w:val="none"/>
        </w:rPr>
        <w:t xml:space="preserve">After hearing : </w:t>
      </w:r>
    </w:p>
    <w:p w14:paraId="45AE1F00" w14:textId="7DE1205A" w:rsidR="00D62C95" w:rsidRPr="00FC7A76" w:rsidRDefault="00D62C95" w:rsidP="0052030E">
      <w:pPr>
        <w:pStyle w:val="ListParagraph"/>
        <w:numPr>
          <w:ilvl w:val="0"/>
          <w:numId w:val="8"/>
        </w:numPr>
        <w:tabs>
          <w:tab w:val="clear" w:pos="794"/>
          <w:tab w:val="clear" w:pos="1191"/>
          <w:tab w:val="clear" w:pos="1588"/>
          <w:tab w:val="clear" w:pos="1985"/>
        </w:tabs>
        <w:overflowPunct/>
        <w:autoSpaceDE/>
        <w:autoSpaceDN/>
        <w:adjustRightInd/>
        <w:contextualSpacing/>
        <w:textAlignment w:val="auto"/>
        <w:rPr>
          <w:rStyle w:val="Hyperlink"/>
          <w:color w:val="auto"/>
          <w:szCs w:val="24"/>
          <w:u w:val="none"/>
        </w:rPr>
      </w:pPr>
      <w:r w:rsidRPr="00FC7A76">
        <w:rPr>
          <w:rStyle w:val="Hyperlink"/>
          <w:color w:val="auto"/>
          <w:szCs w:val="24"/>
          <w:u w:val="none"/>
        </w:rPr>
        <w:t xml:space="preserve">only opposition and no support at all for any of the changes proposed in Option 2 of </w:t>
      </w:r>
      <w:hyperlink r:id="rId34" w:history="1">
        <w:r w:rsidRPr="0052030E">
          <w:rPr>
            <w:rStyle w:val="Hyperlink"/>
            <w:szCs w:val="24"/>
          </w:rPr>
          <w:t>TSAG-TD-GEN-1165</w:t>
        </w:r>
      </w:hyperlink>
      <w:r w:rsidRPr="00FC7A76">
        <w:rPr>
          <w:szCs w:val="24"/>
        </w:rPr>
        <w:t xml:space="preserve"> (building upon and expanding the proposal on page 5 of </w:t>
      </w:r>
      <w:hyperlink r:id="rId35" w:history="1">
        <w:r w:rsidRPr="00FC7A76">
          <w:rPr>
            <w:rStyle w:val="Hyperlink"/>
            <w:color w:val="auto"/>
            <w:szCs w:val="24"/>
            <w:u w:val="none"/>
          </w:rPr>
          <w:t>TSAG-C-195</w:t>
        </w:r>
      </w:hyperlink>
      <w:r w:rsidRPr="00FC7A76">
        <w:rPr>
          <w:szCs w:val="24"/>
        </w:rPr>
        <w:t xml:space="preserve">) </w:t>
      </w:r>
      <w:r w:rsidRPr="00FC7A76">
        <w:rPr>
          <w:rStyle w:val="Hyperlink"/>
          <w:color w:val="auto"/>
          <w:szCs w:val="24"/>
          <w:u w:val="none"/>
        </w:rPr>
        <w:t>to the current IPR boilerplate;</w:t>
      </w:r>
    </w:p>
    <w:p w14:paraId="43E81F76" w14:textId="77777777" w:rsidR="00D62C95" w:rsidRPr="00FC7A76" w:rsidRDefault="00D62C95" w:rsidP="0052030E">
      <w:pPr>
        <w:pStyle w:val="ListParagraph"/>
        <w:numPr>
          <w:ilvl w:val="0"/>
          <w:numId w:val="8"/>
        </w:numPr>
        <w:tabs>
          <w:tab w:val="clear" w:pos="794"/>
          <w:tab w:val="clear" w:pos="1191"/>
          <w:tab w:val="clear" w:pos="1588"/>
          <w:tab w:val="clear" w:pos="1985"/>
        </w:tabs>
        <w:overflowPunct/>
        <w:autoSpaceDE/>
        <w:autoSpaceDN/>
        <w:adjustRightInd/>
        <w:contextualSpacing/>
        <w:textAlignment w:val="auto"/>
        <w:rPr>
          <w:rStyle w:val="Hyperlink"/>
          <w:color w:val="auto"/>
          <w:szCs w:val="24"/>
          <w:u w:val="none"/>
        </w:rPr>
      </w:pPr>
      <w:r w:rsidRPr="00FC7A76">
        <w:rPr>
          <w:rStyle w:val="Hyperlink"/>
          <w:color w:val="auto"/>
          <w:szCs w:val="24"/>
          <w:u w:val="none"/>
        </w:rPr>
        <w:t xml:space="preserve">no adverse effect in keeping the IPR boilerplate as is for all Recommendations including the A-series; and </w:t>
      </w:r>
    </w:p>
    <w:p w14:paraId="3B0BD140" w14:textId="77777777" w:rsidR="00D62C95" w:rsidRPr="00FC7A76" w:rsidRDefault="00D62C95" w:rsidP="0052030E">
      <w:pPr>
        <w:pStyle w:val="ListParagraph"/>
        <w:numPr>
          <w:ilvl w:val="0"/>
          <w:numId w:val="8"/>
        </w:numPr>
        <w:tabs>
          <w:tab w:val="clear" w:pos="794"/>
          <w:tab w:val="clear" w:pos="1191"/>
          <w:tab w:val="clear" w:pos="1588"/>
          <w:tab w:val="clear" w:pos="1985"/>
        </w:tabs>
        <w:overflowPunct/>
        <w:autoSpaceDE/>
        <w:autoSpaceDN/>
        <w:adjustRightInd/>
        <w:contextualSpacing/>
        <w:textAlignment w:val="auto"/>
        <w:rPr>
          <w:rStyle w:val="Hyperlink"/>
          <w:color w:val="auto"/>
          <w:szCs w:val="24"/>
          <w:u w:val="none"/>
        </w:rPr>
      </w:pPr>
      <w:r w:rsidRPr="00FC7A76">
        <w:rPr>
          <w:rStyle w:val="Hyperlink"/>
          <w:color w:val="auto"/>
          <w:szCs w:val="24"/>
          <w:u w:val="none"/>
        </w:rPr>
        <w:t xml:space="preserve">only intended and positive effects of the current IPR boilerplate; </w:t>
      </w:r>
    </w:p>
    <w:p w14:paraId="4CE1BAE5" w14:textId="3E4054EF" w:rsidR="00D62C95" w:rsidRPr="00FC7A76" w:rsidRDefault="00D62C95" w:rsidP="00D62C95">
      <w:pPr>
        <w:rPr>
          <w:rStyle w:val="Hyperlink"/>
          <w:color w:val="auto"/>
          <w:szCs w:val="24"/>
          <w:u w:val="none"/>
        </w:rPr>
      </w:pPr>
      <w:r w:rsidRPr="00FC7A76">
        <w:rPr>
          <w:rStyle w:val="Hyperlink"/>
          <w:color w:val="auto"/>
          <w:szCs w:val="24"/>
          <w:u w:val="none"/>
        </w:rPr>
        <w:t xml:space="preserve">the Chair ended the discussion by asking if there were any objection to keep the IPR boilerplate as </w:t>
      </w:r>
      <w:r w:rsidR="00AF28ED">
        <w:rPr>
          <w:rStyle w:val="Hyperlink"/>
          <w:color w:val="auto"/>
          <w:szCs w:val="24"/>
          <w:u w:val="none"/>
        </w:rPr>
        <w:t xml:space="preserve">it </w:t>
      </w:r>
      <w:r w:rsidRPr="00FC7A76">
        <w:rPr>
          <w:rStyle w:val="Hyperlink"/>
          <w:color w:val="auto"/>
          <w:szCs w:val="24"/>
          <w:u w:val="none"/>
        </w:rPr>
        <w:t>is</w:t>
      </w:r>
      <w:r w:rsidR="00AF28ED">
        <w:rPr>
          <w:rStyle w:val="Hyperlink"/>
          <w:color w:val="auto"/>
          <w:szCs w:val="24"/>
          <w:u w:val="none"/>
        </w:rPr>
        <w:t>,</w:t>
      </w:r>
      <w:r w:rsidRPr="00FC7A76">
        <w:rPr>
          <w:rStyle w:val="Hyperlink"/>
          <w:color w:val="auto"/>
          <w:szCs w:val="24"/>
          <w:u w:val="none"/>
        </w:rPr>
        <w:t xml:space="preserve"> and hearing none, concluded that </w:t>
      </w:r>
      <w:r w:rsidRPr="00FC7A76">
        <w:rPr>
          <w:rStyle w:val="Hyperlink"/>
          <w:b/>
          <w:bCs/>
          <w:color w:val="auto"/>
          <w:szCs w:val="24"/>
          <w:u w:val="none"/>
        </w:rPr>
        <w:t>by consensus the IPR Ad Hoc Group meeting advises the TSB Director to keep the IPR boilerplate as</w:t>
      </w:r>
      <w:r w:rsidR="00AF28ED">
        <w:rPr>
          <w:rStyle w:val="Hyperlink"/>
          <w:b/>
          <w:bCs/>
          <w:color w:val="auto"/>
          <w:szCs w:val="24"/>
          <w:u w:val="none"/>
        </w:rPr>
        <w:t xml:space="preserve"> it</w:t>
      </w:r>
      <w:r w:rsidRPr="00FC7A76">
        <w:rPr>
          <w:rStyle w:val="Hyperlink"/>
          <w:b/>
          <w:bCs/>
          <w:color w:val="auto"/>
          <w:szCs w:val="24"/>
          <w:u w:val="none"/>
        </w:rPr>
        <w:t xml:space="preserve"> is for all Recommendations</w:t>
      </w:r>
      <w:r w:rsidRPr="00FC7A76">
        <w:rPr>
          <w:rStyle w:val="Hyperlink"/>
          <w:color w:val="auto"/>
          <w:szCs w:val="24"/>
          <w:u w:val="none"/>
        </w:rPr>
        <w:t xml:space="preserve">. </w:t>
      </w:r>
    </w:p>
    <w:p w14:paraId="0ACBCD25" w14:textId="1D278C8B" w:rsidR="00D62C95" w:rsidRPr="00FC7A76" w:rsidRDefault="00D62C95" w:rsidP="00D62C95">
      <w:pPr>
        <w:rPr>
          <w:rStyle w:val="Hyperlink"/>
          <w:color w:val="auto"/>
          <w:szCs w:val="24"/>
          <w:u w:val="none"/>
        </w:rPr>
      </w:pPr>
      <w:r w:rsidRPr="00FC7A76">
        <w:rPr>
          <w:rStyle w:val="Hyperlink"/>
          <w:color w:val="auto"/>
          <w:szCs w:val="24"/>
          <w:u w:val="none"/>
        </w:rPr>
        <w:t xml:space="preserve">The Author of </w:t>
      </w:r>
      <w:hyperlink r:id="rId36" w:history="1">
        <w:r w:rsidR="004C6617" w:rsidRPr="00822838">
          <w:rPr>
            <w:rStyle w:val="Hyperlink"/>
            <w:szCs w:val="24"/>
          </w:rPr>
          <w:t>TSAG-C-195</w:t>
        </w:r>
      </w:hyperlink>
      <w:r w:rsidRPr="00FC7A76">
        <w:rPr>
          <w:rStyle w:val="Hyperlink"/>
          <w:color w:val="auto"/>
          <w:szCs w:val="24"/>
          <w:u w:val="none"/>
        </w:rPr>
        <w:t xml:space="preserve">, Mr Dmitry Cherkesov, asked the Chair to prepare a meeting report in a more substantial format than usual for the record. That was accepted by the Chair and there was no objection. </w:t>
      </w:r>
    </w:p>
    <w:p w14:paraId="0875CEA7" w14:textId="34BF8C8D" w:rsidR="00D62C95" w:rsidRDefault="00D62C95" w:rsidP="00D62C95">
      <w:pPr>
        <w:rPr>
          <w:rStyle w:val="Hyperlink"/>
          <w:color w:val="auto"/>
          <w:szCs w:val="24"/>
          <w:u w:val="none"/>
        </w:rPr>
      </w:pPr>
      <w:r w:rsidRPr="00FC7A76">
        <w:rPr>
          <w:rStyle w:val="Hyperlink"/>
          <w:color w:val="auto"/>
          <w:szCs w:val="24"/>
          <w:u w:val="none"/>
        </w:rPr>
        <w:t>Having used half the meeting time</w:t>
      </w:r>
      <w:r w:rsidR="00AF28ED">
        <w:rPr>
          <w:rStyle w:val="Hyperlink"/>
          <w:color w:val="auto"/>
          <w:szCs w:val="24"/>
          <w:u w:val="none"/>
        </w:rPr>
        <w:t>,</w:t>
      </w:r>
      <w:r w:rsidRPr="00FC7A76">
        <w:rPr>
          <w:rStyle w:val="Hyperlink"/>
          <w:color w:val="auto"/>
          <w:szCs w:val="24"/>
          <w:u w:val="none"/>
        </w:rPr>
        <w:t xml:space="preserve"> at 17h07 Mr Serge Raes, Rapporteur on patent issues, handed it over to Mr Hung Ling, Rapporteur on marks issues, who chaired the 2</w:t>
      </w:r>
      <w:r w:rsidRPr="00FC7A76">
        <w:rPr>
          <w:rStyle w:val="Hyperlink"/>
          <w:color w:val="auto"/>
          <w:szCs w:val="24"/>
          <w:u w:val="none"/>
          <w:vertAlign w:val="superscript"/>
        </w:rPr>
        <w:t>nd</w:t>
      </w:r>
      <w:r w:rsidRPr="00FC7A76">
        <w:rPr>
          <w:rStyle w:val="Hyperlink"/>
          <w:color w:val="auto"/>
          <w:szCs w:val="24"/>
          <w:u w:val="none"/>
        </w:rPr>
        <w:t xml:space="preserve"> half of the meeting dedicated to the presentation and discussion of </w:t>
      </w:r>
      <w:hyperlink r:id="rId37" w:history="1">
        <w:r w:rsidRPr="00FC7A76">
          <w:rPr>
            <w:rStyle w:val="Hyperlink"/>
            <w:color w:val="auto"/>
            <w:szCs w:val="24"/>
            <w:u w:val="none"/>
          </w:rPr>
          <w:t>TSAG-C-197</w:t>
        </w:r>
      </w:hyperlink>
      <w:r w:rsidRPr="00FC7A76">
        <w:rPr>
          <w:rStyle w:val="Hyperlink"/>
          <w:color w:val="auto"/>
          <w:szCs w:val="24"/>
          <w:u w:val="none"/>
        </w:rPr>
        <w:t xml:space="preserve"> </w:t>
      </w:r>
      <w:r w:rsidR="00FD7DB9">
        <w:rPr>
          <w:rStyle w:val="Hyperlink"/>
          <w:color w:val="auto"/>
          <w:szCs w:val="24"/>
          <w:u w:val="none"/>
        </w:rPr>
        <w:t xml:space="preserve">as described in </w:t>
      </w:r>
      <w:r w:rsidRPr="00FC7A76">
        <w:rPr>
          <w:rStyle w:val="Hyperlink"/>
          <w:color w:val="auto"/>
          <w:szCs w:val="24"/>
          <w:u w:val="none"/>
        </w:rPr>
        <w:t xml:space="preserve">Section 2.2. </w:t>
      </w:r>
    </w:p>
    <w:p w14:paraId="49B7D329" w14:textId="2373F6DF" w:rsidR="00FA20E4" w:rsidRPr="000A6122" w:rsidRDefault="00680603" w:rsidP="000A6122">
      <w:pPr>
        <w:rPr>
          <w:rStyle w:val="Hyperlink"/>
          <w:color w:val="auto"/>
          <w:szCs w:val="24"/>
          <w:u w:val="none"/>
        </w:rPr>
      </w:pPr>
      <w:r w:rsidRPr="0036170E">
        <w:rPr>
          <w:rStyle w:val="Hyperlink"/>
          <w:color w:val="auto"/>
          <w:szCs w:val="24"/>
          <w:u w:val="none"/>
        </w:rPr>
        <w:t>Subsequently to the meeting, t</w:t>
      </w:r>
      <w:r w:rsidR="00FA20E4" w:rsidRPr="0036170E">
        <w:rPr>
          <w:rStyle w:val="Hyperlink"/>
          <w:color w:val="auto"/>
          <w:szCs w:val="24"/>
          <w:u w:val="none"/>
        </w:rPr>
        <w:t>he</w:t>
      </w:r>
      <w:r w:rsidR="00FA20E4">
        <w:t xml:space="preserve"> Russian Federation provided the following statement:</w:t>
      </w:r>
    </w:p>
    <w:p w14:paraId="2A85885A" w14:textId="6D6D76FA" w:rsidR="00D62C95" w:rsidRDefault="00FA20E4" w:rsidP="00D62C95">
      <w:pPr>
        <w:rPr>
          <w:szCs w:val="24"/>
        </w:rPr>
      </w:pPr>
      <w:r>
        <w:rPr>
          <w:rStyle w:val="Hyperlink"/>
          <w:color w:val="auto"/>
          <w:szCs w:val="24"/>
          <w:u w:val="none"/>
        </w:rPr>
        <w:t>“</w:t>
      </w:r>
      <w:r w:rsidR="000A6122" w:rsidRPr="00C7162C">
        <w:rPr>
          <w:rStyle w:val="Hyperlink"/>
          <w:i/>
          <w:iCs/>
          <w:color w:val="auto"/>
          <w:szCs w:val="24"/>
          <w:u w:val="none"/>
        </w:rPr>
        <w:t>Russian Federation strongly oppose conclusion made in 1.2 point 7, because it makes possible claim any IPR rights to A-series implementers, if working methods of ITU described in A-series will be implemented outside of ITU. It is also contradicts with Plenipotentiary Resolution 66 Documents and publications of the Union, at least resolves 5 and 6.</w:t>
      </w:r>
      <w:r>
        <w:rPr>
          <w:rStyle w:val="Hyperlink"/>
          <w:color w:val="auto"/>
          <w:szCs w:val="24"/>
          <w:u w:val="none"/>
        </w:rPr>
        <w:t>”</w:t>
      </w:r>
    </w:p>
    <w:p w14:paraId="5FCCBA90" w14:textId="77777777" w:rsidR="00D62C95" w:rsidRDefault="00D62C95" w:rsidP="00D62C95">
      <w:pPr>
        <w:rPr>
          <w:szCs w:val="24"/>
        </w:rPr>
      </w:pPr>
      <w:r w:rsidRPr="0038642D">
        <w:rPr>
          <w:b/>
          <w:bCs/>
          <w:szCs w:val="24"/>
        </w:rPr>
        <w:t xml:space="preserve">2. </w:t>
      </w:r>
      <w:hyperlink r:id="rId38" w:history="1">
        <w:r w:rsidRPr="0038642D">
          <w:rPr>
            <w:rStyle w:val="Hyperlink"/>
            <w:b/>
            <w:bCs/>
            <w:szCs w:val="24"/>
          </w:rPr>
          <w:t>TSAG-C-197</w:t>
        </w:r>
      </w:hyperlink>
      <w:r>
        <w:rPr>
          <w:szCs w:val="24"/>
        </w:rPr>
        <w:t xml:space="preserve"> </w:t>
      </w:r>
    </w:p>
    <w:p w14:paraId="4C1E064C" w14:textId="50343A5C" w:rsidR="00D62C95" w:rsidRPr="00993512" w:rsidRDefault="00D62C95" w:rsidP="00D62C95">
      <w:pPr>
        <w:pStyle w:val="Heading2"/>
        <w:rPr>
          <w:b w:val="0"/>
          <w:bCs/>
          <w:szCs w:val="24"/>
        </w:rPr>
      </w:pPr>
      <w:r w:rsidRPr="005653BD">
        <w:rPr>
          <w:szCs w:val="24"/>
        </w:rPr>
        <w:t xml:space="preserve">2.1 </w:t>
      </w:r>
      <w:r w:rsidRPr="00993512">
        <w:rPr>
          <w:szCs w:val="24"/>
        </w:rPr>
        <w:t>Ad Hoc session on 26 October 2021</w:t>
      </w:r>
    </w:p>
    <w:p w14:paraId="36E45F3C" w14:textId="3831A020" w:rsidR="00D62C95" w:rsidRPr="00622EE7" w:rsidRDefault="00D62C95" w:rsidP="00D62C95">
      <w:pPr>
        <w:rPr>
          <w:b/>
          <w:bCs/>
          <w:szCs w:val="24"/>
        </w:rPr>
      </w:pPr>
      <w:r>
        <w:rPr>
          <w:szCs w:val="24"/>
        </w:rPr>
        <w:t>Chaired by Mr Hung Ling (Nokia), rapporteur for marks issues of the TSB Director’s AHG on IPR.</w:t>
      </w:r>
    </w:p>
    <w:p w14:paraId="72266187" w14:textId="77777777" w:rsidR="00D62C95" w:rsidRPr="0038642D" w:rsidRDefault="00D62C95" w:rsidP="00D62C95">
      <w:pPr>
        <w:rPr>
          <w:szCs w:val="24"/>
        </w:rPr>
      </w:pPr>
      <w:r>
        <w:rPr>
          <w:szCs w:val="24"/>
        </w:rPr>
        <w:t xml:space="preserve">During the Plenary meeting on Monday 25 October, </w:t>
      </w:r>
      <w:r w:rsidRPr="0038642D">
        <w:rPr>
          <w:szCs w:val="24"/>
        </w:rPr>
        <w:t xml:space="preserve">Mr Gracie provided a response to the questions posted in </w:t>
      </w:r>
      <w:hyperlink r:id="rId39" w:history="1">
        <w:r w:rsidRPr="0038642D">
          <w:rPr>
            <w:rStyle w:val="Hyperlink"/>
            <w:szCs w:val="24"/>
          </w:rPr>
          <w:t>TSAG-C-197</w:t>
        </w:r>
      </w:hyperlink>
      <w:r w:rsidRPr="0038642D">
        <w:rPr>
          <w:szCs w:val="24"/>
        </w:rPr>
        <w:t>.</w:t>
      </w:r>
    </w:p>
    <w:p w14:paraId="457864FD" w14:textId="6B8924D4" w:rsidR="00D62C95" w:rsidRDefault="00D62C95" w:rsidP="00D62C95">
      <w:pPr>
        <w:rPr>
          <w:szCs w:val="24"/>
        </w:rPr>
      </w:pPr>
      <w:r w:rsidRPr="0038642D">
        <w:rPr>
          <w:szCs w:val="24"/>
        </w:rPr>
        <w:t xml:space="preserve">For the Russian </w:t>
      </w:r>
      <w:r>
        <w:rPr>
          <w:szCs w:val="24"/>
        </w:rPr>
        <w:t xml:space="preserve">Federation </w:t>
      </w:r>
      <w:r w:rsidRPr="0038642D">
        <w:rPr>
          <w:szCs w:val="24"/>
        </w:rPr>
        <w:t xml:space="preserve">contribution to the IPR AHG on Marks issues, </w:t>
      </w:r>
      <w:r>
        <w:rPr>
          <w:szCs w:val="24"/>
        </w:rPr>
        <w:t>Mr Dmitry Cherkesov</w:t>
      </w:r>
      <w:r w:rsidRPr="0038642D">
        <w:rPr>
          <w:szCs w:val="24"/>
        </w:rPr>
        <w:t xml:space="preserve"> was offered the opportunity to speak and elaborate </w:t>
      </w:r>
      <w:r w:rsidR="002E0800" w:rsidRPr="0036170E">
        <w:rPr>
          <w:szCs w:val="24"/>
        </w:rPr>
        <w:t>on</w:t>
      </w:r>
      <w:r w:rsidR="002E0800">
        <w:rPr>
          <w:szCs w:val="24"/>
        </w:rPr>
        <w:t xml:space="preserve"> </w:t>
      </w:r>
      <w:r w:rsidR="000A6122" w:rsidRPr="000A6122">
        <w:rPr>
          <w:szCs w:val="24"/>
        </w:rPr>
        <w:t>some</w:t>
      </w:r>
      <w:r w:rsidR="000A6122">
        <w:rPr>
          <w:szCs w:val="24"/>
        </w:rPr>
        <w:t xml:space="preserve"> </w:t>
      </w:r>
      <w:r w:rsidRPr="0038642D">
        <w:rPr>
          <w:szCs w:val="24"/>
        </w:rPr>
        <w:t xml:space="preserve">on its concerns raised in its contribution to a TSAG audience. Two highlighted proposals were: </w:t>
      </w:r>
    </w:p>
    <w:p w14:paraId="36C71BF2" w14:textId="77777777" w:rsidR="00D62C95" w:rsidRDefault="00D62C95" w:rsidP="00D62C95">
      <w:pPr>
        <w:rPr>
          <w:szCs w:val="24"/>
        </w:rPr>
      </w:pPr>
      <w:r w:rsidRPr="0038642D">
        <w:rPr>
          <w:szCs w:val="24"/>
        </w:rPr>
        <w:t xml:space="preserve">(1) Section 2/paragraph 2: </w:t>
      </w:r>
      <w:r>
        <w:rPr>
          <w:szCs w:val="24"/>
        </w:rPr>
        <w:t>the Russian Federation</w:t>
      </w:r>
      <w:r w:rsidRPr="0038642D">
        <w:rPr>
          <w:szCs w:val="24"/>
        </w:rPr>
        <w:t xml:space="preserve"> proposes to change “should” to “shall” in “if the use of a mark is such that it would require a license, then it should not be included in the Recommendation.”; and </w:t>
      </w:r>
    </w:p>
    <w:p w14:paraId="0F87EB2F" w14:textId="77777777" w:rsidR="00D62C95" w:rsidRPr="0038642D" w:rsidRDefault="00D62C95" w:rsidP="00D62C95">
      <w:pPr>
        <w:rPr>
          <w:szCs w:val="24"/>
        </w:rPr>
      </w:pPr>
      <w:r w:rsidRPr="0038642D">
        <w:rPr>
          <w:szCs w:val="24"/>
        </w:rPr>
        <w:t xml:space="preserve">(2) Section 2/paragraph 1: </w:t>
      </w:r>
      <w:r>
        <w:rPr>
          <w:szCs w:val="24"/>
        </w:rPr>
        <w:t>the Russian Federation</w:t>
      </w:r>
      <w:r w:rsidRPr="0038642D">
        <w:rPr>
          <w:szCs w:val="24"/>
        </w:rPr>
        <w:t xml:space="preserve"> believes there is not alignment in the sentence of “The appearance that a Recommendation endorses any particular products, services or companies/organizations must be avoided” and the following sentence where the word “should” is used in “Therefore, proper names, trademarks, service marks or certification marks of specific companies/organizations, products or services should not be included in the text of an ITU-T Recommendation or in an appendix (or the equivalent) if it appears that they might cause this effect on a reader of an ITU-T Recommendation</w:t>
      </w:r>
      <w:r>
        <w:rPr>
          <w:szCs w:val="24"/>
        </w:rPr>
        <w:t>”</w:t>
      </w:r>
      <w:r w:rsidRPr="0038642D">
        <w:rPr>
          <w:szCs w:val="24"/>
        </w:rPr>
        <w:t>.</w:t>
      </w:r>
    </w:p>
    <w:p w14:paraId="6C561C80" w14:textId="2A85FCA9" w:rsidR="00D62C95" w:rsidRPr="0038642D" w:rsidRDefault="00D62C95" w:rsidP="00D62C95">
      <w:pPr>
        <w:rPr>
          <w:szCs w:val="24"/>
        </w:rPr>
      </w:pPr>
      <w:r w:rsidRPr="0038642D">
        <w:rPr>
          <w:szCs w:val="24"/>
        </w:rPr>
        <w:lastRenderedPageBreak/>
        <w:t>There was no opinion expressed to sup</w:t>
      </w:r>
      <w:bookmarkStart w:id="13" w:name="OpenAt"/>
      <w:bookmarkEnd w:id="13"/>
      <w:r w:rsidRPr="0038642D">
        <w:rPr>
          <w:szCs w:val="24"/>
        </w:rPr>
        <w:t xml:space="preserve">port those concerns in the session, while a number of opinions </w:t>
      </w:r>
      <w:r>
        <w:rPr>
          <w:szCs w:val="24"/>
        </w:rPr>
        <w:t>were</w:t>
      </w:r>
      <w:r w:rsidRPr="0038642D">
        <w:rPr>
          <w:szCs w:val="24"/>
        </w:rPr>
        <w:t xml:space="preserve"> expressed to support NO change to the Marks Guidelines document (other than a minor correction to a link embedded in the document). The reasons vary from op</w:t>
      </w:r>
      <w:r>
        <w:rPr>
          <w:szCs w:val="24"/>
        </w:rPr>
        <w:t>t</w:t>
      </w:r>
      <w:r w:rsidRPr="0038642D">
        <w:rPr>
          <w:szCs w:val="24"/>
        </w:rPr>
        <w:t>ing to give ITU flexibility and possibility to negotiate for a “no license needed” to concern about unintended consequences from such proposed changes.</w:t>
      </w:r>
    </w:p>
    <w:p w14:paraId="3E903DB5" w14:textId="77777777" w:rsidR="00D62C95" w:rsidRDefault="00D62C95" w:rsidP="00D62C95">
      <w:pPr>
        <w:rPr>
          <w:szCs w:val="24"/>
        </w:rPr>
      </w:pPr>
      <w:r w:rsidRPr="0038642D">
        <w:rPr>
          <w:szCs w:val="24"/>
        </w:rPr>
        <w:t>The Chair concluded as such, and as the IPR AHG is the guardian of the Marks Guidelines, will bring the topic and collective comments from the TSAG session back to the IPR AHG one more time to see if there is consensus to continue such discussion on the mailing list or via an e-meeting.</w:t>
      </w:r>
    </w:p>
    <w:p w14:paraId="3E9C0F1D" w14:textId="45ED816B" w:rsidR="00D62C95" w:rsidRPr="00993512" w:rsidRDefault="00D62C95" w:rsidP="00D62C95">
      <w:pPr>
        <w:pStyle w:val="Heading2"/>
        <w:rPr>
          <w:b w:val="0"/>
          <w:bCs/>
          <w:szCs w:val="24"/>
        </w:rPr>
      </w:pPr>
      <w:r w:rsidRPr="005653BD">
        <w:rPr>
          <w:szCs w:val="24"/>
        </w:rPr>
        <w:t xml:space="preserve">2.2 IPR </w:t>
      </w:r>
      <w:r w:rsidRPr="00993512">
        <w:rPr>
          <w:szCs w:val="24"/>
        </w:rPr>
        <w:t>Ad Hoc Group meeting on 7 December 2021</w:t>
      </w:r>
    </w:p>
    <w:p w14:paraId="03FC9485" w14:textId="71C7A829" w:rsidR="00D62C95" w:rsidRDefault="00D62C95" w:rsidP="00D62C95">
      <w:pPr>
        <w:rPr>
          <w:szCs w:val="24"/>
        </w:rPr>
      </w:pPr>
      <w:r>
        <w:rPr>
          <w:szCs w:val="24"/>
        </w:rPr>
        <w:t xml:space="preserve">At the start of the discussion of </w:t>
      </w:r>
      <w:hyperlink r:id="rId40" w:history="1">
        <w:r w:rsidRPr="0038642D">
          <w:rPr>
            <w:rStyle w:val="Hyperlink"/>
            <w:szCs w:val="24"/>
          </w:rPr>
          <w:t>TSAG-C-197</w:t>
        </w:r>
      </w:hyperlink>
      <w:r>
        <w:rPr>
          <w:rStyle w:val="Hyperlink"/>
          <w:szCs w:val="24"/>
        </w:rPr>
        <w:t xml:space="preserve"> </w:t>
      </w:r>
      <w:r>
        <w:rPr>
          <w:szCs w:val="24"/>
        </w:rPr>
        <w:t xml:space="preserve">during the second half of the AHG virtual meeting, the Chair made a general comment that the principal purpose of the Marks Guidelines is to avoid the appearance of endorsement in ITU standards (Recommendations) of “any particular products, services or companies/organizations”. On the contrary, the adoption of these Guidelines does not aim to prohibit ITU to incorporate or </w:t>
      </w:r>
      <w:proofErr w:type="gramStart"/>
      <w:r>
        <w:rPr>
          <w:szCs w:val="24"/>
        </w:rPr>
        <w:t>make reference</w:t>
      </w:r>
      <w:proofErr w:type="gramEnd"/>
      <w:r>
        <w:rPr>
          <w:szCs w:val="24"/>
        </w:rPr>
        <w:t xml:space="preserve"> to texts or standards belonging to another SDO in cases </w:t>
      </w:r>
      <w:r w:rsidR="00FD7DB9">
        <w:rPr>
          <w:szCs w:val="24"/>
        </w:rPr>
        <w:t xml:space="preserve">where </w:t>
      </w:r>
      <w:r>
        <w:rPr>
          <w:szCs w:val="24"/>
        </w:rPr>
        <w:t xml:space="preserve">the names of these standards are protected by trademark laws. If there are concerns regarding potential liability of ITU from using such names in ITU Recommendations, the ITU Secretariat may always seek an assurance from the SDO in question that they have no objection indeed for ITU to use such names. Examples of making appropriate references to an outside SDO and standard were provided, with reference to Section 3.1, point 2, of the Guidelines. </w:t>
      </w:r>
    </w:p>
    <w:p w14:paraId="0BDA62A6" w14:textId="138B1F50" w:rsidR="00D62C95" w:rsidRDefault="00317431" w:rsidP="00D62C95">
      <w:pPr>
        <w:rPr>
          <w:szCs w:val="24"/>
        </w:rPr>
      </w:pPr>
      <w:hyperlink r:id="rId41" w:history="1">
        <w:r w:rsidR="00D62C95" w:rsidRPr="005C5E7E">
          <w:rPr>
            <w:rStyle w:val="Hyperlink"/>
            <w:szCs w:val="24"/>
            <w:lang w:val="en-US"/>
          </w:rPr>
          <w:t>TSAG-TD-GEN-1165</w:t>
        </w:r>
      </w:hyperlink>
      <w:r w:rsidR="00D62C95">
        <w:rPr>
          <w:szCs w:val="24"/>
        </w:rPr>
        <w:t xml:space="preserve"> was opened to show the conclusion from the TSAG ad hoc session on IPR matters and then the floor was given to Mr Dmitry Cherkesov to speak to his contribution on marks issue, which was embedded in </w:t>
      </w:r>
      <w:hyperlink r:id="rId42" w:history="1">
        <w:r w:rsidR="00D62C95" w:rsidRPr="0038642D">
          <w:rPr>
            <w:rStyle w:val="Hyperlink"/>
            <w:szCs w:val="24"/>
          </w:rPr>
          <w:t>TSAG-C-197</w:t>
        </w:r>
      </w:hyperlink>
      <w:r w:rsidR="00D62C95">
        <w:rPr>
          <w:szCs w:val="24"/>
        </w:rPr>
        <w:t>. Comments from attendees are captured as follows by the main topic being discussed:</w:t>
      </w:r>
    </w:p>
    <w:p w14:paraId="540733D9" w14:textId="77777777" w:rsidR="00D62C95" w:rsidRDefault="00D62C95" w:rsidP="00D62C95">
      <w:pPr>
        <w:rPr>
          <w:szCs w:val="24"/>
        </w:rPr>
      </w:pPr>
      <w:r>
        <w:rPr>
          <w:szCs w:val="24"/>
        </w:rPr>
        <w:t>● Section 2: The use of “must” in sentence #2 versus the use of “should” in sentence #4</w:t>
      </w:r>
    </w:p>
    <w:p w14:paraId="335CF8DB" w14:textId="77777777" w:rsidR="00D62C95" w:rsidRPr="00993512" w:rsidRDefault="00D62C95" w:rsidP="0052030E">
      <w:pPr>
        <w:pStyle w:val="ListParagraph"/>
        <w:numPr>
          <w:ilvl w:val="0"/>
          <w:numId w:val="9"/>
        </w:numPr>
        <w:tabs>
          <w:tab w:val="clear" w:pos="794"/>
          <w:tab w:val="clear" w:pos="1191"/>
          <w:tab w:val="clear" w:pos="1588"/>
          <w:tab w:val="clear" w:pos="1985"/>
        </w:tabs>
        <w:overflowPunct/>
        <w:autoSpaceDE/>
        <w:autoSpaceDN/>
        <w:adjustRightInd/>
        <w:contextualSpacing/>
        <w:jc w:val="left"/>
        <w:textAlignment w:val="auto"/>
        <w:rPr>
          <w:szCs w:val="24"/>
        </w:rPr>
      </w:pPr>
      <w:r w:rsidRPr="00993512">
        <w:rPr>
          <w:szCs w:val="24"/>
        </w:rPr>
        <w:t>The use of “must” represents a strict requirement to avoid any chance of endorsement of any kind that will go down the commercial path</w:t>
      </w:r>
      <w:r>
        <w:rPr>
          <w:szCs w:val="24"/>
        </w:rPr>
        <w:t xml:space="preserve">; </w:t>
      </w:r>
    </w:p>
    <w:p w14:paraId="10C3A80D" w14:textId="77777777" w:rsidR="00D62C95" w:rsidRPr="00993512" w:rsidRDefault="00D62C95" w:rsidP="0052030E">
      <w:pPr>
        <w:pStyle w:val="ListParagraph"/>
        <w:numPr>
          <w:ilvl w:val="0"/>
          <w:numId w:val="9"/>
        </w:numPr>
        <w:tabs>
          <w:tab w:val="clear" w:pos="794"/>
          <w:tab w:val="clear" w:pos="1191"/>
          <w:tab w:val="clear" w:pos="1588"/>
          <w:tab w:val="clear" w:pos="1985"/>
        </w:tabs>
        <w:overflowPunct/>
        <w:autoSpaceDE/>
        <w:autoSpaceDN/>
        <w:adjustRightInd/>
        <w:contextualSpacing/>
        <w:jc w:val="left"/>
        <w:textAlignment w:val="auto"/>
        <w:rPr>
          <w:szCs w:val="24"/>
        </w:rPr>
      </w:pPr>
      <w:r w:rsidRPr="00993512">
        <w:rPr>
          <w:szCs w:val="24"/>
        </w:rPr>
        <w:t>The subsequent use of “should” in sentence #4 represents an explanation and expansion on sentence #2 and hence may include terms that do not require trademark protection</w:t>
      </w:r>
      <w:r>
        <w:rPr>
          <w:szCs w:val="24"/>
        </w:rPr>
        <w:t xml:space="preserve">; </w:t>
      </w:r>
    </w:p>
    <w:p w14:paraId="3D12C0EE" w14:textId="77777777" w:rsidR="00D62C95" w:rsidRPr="00993512" w:rsidRDefault="00D62C95" w:rsidP="0052030E">
      <w:pPr>
        <w:pStyle w:val="ListParagraph"/>
        <w:numPr>
          <w:ilvl w:val="0"/>
          <w:numId w:val="9"/>
        </w:numPr>
        <w:tabs>
          <w:tab w:val="clear" w:pos="794"/>
          <w:tab w:val="clear" w:pos="1191"/>
          <w:tab w:val="clear" w:pos="1588"/>
          <w:tab w:val="clear" w:pos="1985"/>
        </w:tabs>
        <w:overflowPunct/>
        <w:autoSpaceDE/>
        <w:autoSpaceDN/>
        <w:adjustRightInd/>
        <w:contextualSpacing/>
        <w:jc w:val="left"/>
        <w:textAlignment w:val="auto"/>
        <w:rPr>
          <w:szCs w:val="24"/>
        </w:rPr>
      </w:pPr>
      <w:r w:rsidRPr="00993512">
        <w:rPr>
          <w:szCs w:val="24"/>
        </w:rPr>
        <w:t>To people with expertise in such area, the distinction is clear and obvious but could be confusing to people not versed in the subject; it will take an extraordinary amount of effort to detail the distinctions and such effort is not necessary as the ITU Secretariat can adequately address any related questions</w:t>
      </w:r>
      <w:r>
        <w:rPr>
          <w:szCs w:val="24"/>
        </w:rPr>
        <w:t xml:space="preserve">, and has already addressed them several times in the present case prior to this meeting; </w:t>
      </w:r>
    </w:p>
    <w:p w14:paraId="13804BDF" w14:textId="77777777" w:rsidR="00D62C95" w:rsidRPr="00993512" w:rsidRDefault="00D62C95" w:rsidP="0052030E">
      <w:pPr>
        <w:pStyle w:val="ListParagraph"/>
        <w:numPr>
          <w:ilvl w:val="0"/>
          <w:numId w:val="9"/>
        </w:numPr>
        <w:tabs>
          <w:tab w:val="clear" w:pos="794"/>
          <w:tab w:val="clear" w:pos="1191"/>
          <w:tab w:val="clear" w:pos="1588"/>
          <w:tab w:val="clear" w:pos="1985"/>
        </w:tabs>
        <w:overflowPunct/>
        <w:autoSpaceDE/>
        <w:autoSpaceDN/>
        <w:adjustRightInd/>
        <w:contextualSpacing/>
        <w:jc w:val="left"/>
        <w:textAlignment w:val="auto"/>
        <w:rPr>
          <w:szCs w:val="24"/>
        </w:rPr>
      </w:pPr>
      <w:r w:rsidRPr="00993512">
        <w:rPr>
          <w:szCs w:val="24"/>
        </w:rPr>
        <w:t xml:space="preserve">The marks </w:t>
      </w:r>
      <w:r w:rsidRPr="006614ED">
        <w:rPr>
          <w:szCs w:val="24"/>
        </w:rPr>
        <w:t xml:space="preserve">Guidelines </w:t>
      </w:r>
      <w:r w:rsidRPr="00993512">
        <w:rPr>
          <w:szCs w:val="24"/>
        </w:rPr>
        <w:t>document is time-tested over the years and no changes are needed</w:t>
      </w:r>
    </w:p>
    <w:p w14:paraId="3BEB6295" w14:textId="00AB8E9D" w:rsidR="00D62C95" w:rsidRPr="00993512" w:rsidRDefault="00D62C95" w:rsidP="0052030E">
      <w:pPr>
        <w:pStyle w:val="ListParagraph"/>
        <w:numPr>
          <w:ilvl w:val="0"/>
          <w:numId w:val="9"/>
        </w:numPr>
        <w:tabs>
          <w:tab w:val="clear" w:pos="794"/>
          <w:tab w:val="clear" w:pos="1191"/>
          <w:tab w:val="clear" w:pos="1588"/>
          <w:tab w:val="clear" w:pos="1985"/>
        </w:tabs>
        <w:overflowPunct/>
        <w:autoSpaceDE/>
        <w:autoSpaceDN/>
        <w:adjustRightInd/>
        <w:contextualSpacing/>
        <w:jc w:val="left"/>
        <w:textAlignment w:val="auto"/>
        <w:rPr>
          <w:szCs w:val="24"/>
        </w:rPr>
      </w:pPr>
      <w:r w:rsidRPr="00993512">
        <w:rPr>
          <w:szCs w:val="24"/>
        </w:rPr>
        <w:t xml:space="preserve">The marks </w:t>
      </w:r>
      <w:r w:rsidRPr="006614ED">
        <w:rPr>
          <w:szCs w:val="24"/>
        </w:rPr>
        <w:t xml:space="preserve">Guidelines </w:t>
      </w:r>
      <w:r w:rsidRPr="00993512">
        <w:rPr>
          <w:szCs w:val="24"/>
        </w:rPr>
        <w:t xml:space="preserve">dated back to 2005 and the goal, then and now, is to discourage commercial endorsement of any kind but does not want to totally exclude </w:t>
      </w:r>
      <w:r>
        <w:rPr>
          <w:szCs w:val="24"/>
        </w:rPr>
        <w:t xml:space="preserve">common and appropriate </w:t>
      </w:r>
      <w:r w:rsidRPr="00993512">
        <w:rPr>
          <w:szCs w:val="24"/>
        </w:rPr>
        <w:t>references (or citations)</w:t>
      </w:r>
      <w:r w:rsidR="00EC55F9">
        <w:rPr>
          <w:szCs w:val="24"/>
        </w:rPr>
        <w:t>.</w:t>
      </w:r>
    </w:p>
    <w:p w14:paraId="5031CD4A" w14:textId="77777777" w:rsidR="00D62C95" w:rsidRDefault="00D62C95" w:rsidP="00D62C95">
      <w:pPr>
        <w:rPr>
          <w:szCs w:val="24"/>
        </w:rPr>
      </w:pPr>
      <w:r>
        <w:rPr>
          <w:szCs w:val="24"/>
        </w:rPr>
        <w:t>● The term “proper names” is introduced in Section 2 without definition</w:t>
      </w:r>
    </w:p>
    <w:p w14:paraId="219D5D96" w14:textId="4E742E7E" w:rsidR="00D62C95" w:rsidRPr="00993512" w:rsidRDefault="00D62C95" w:rsidP="0052030E">
      <w:pPr>
        <w:pStyle w:val="ListParagraph"/>
        <w:numPr>
          <w:ilvl w:val="0"/>
          <w:numId w:val="10"/>
        </w:numPr>
        <w:tabs>
          <w:tab w:val="clear" w:pos="794"/>
          <w:tab w:val="clear" w:pos="1191"/>
          <w:tab w:val="clear" w:pos="1588"/>
          <w:tab w:val="clear" w:pos="1985"/>
        </w:tabs>
        <w:overflowPunct/>
        <w:autoSpaceDE/>
        <w:autoSpaceDN/>
        <w:adjustRightInd/>
        <w:contextualSpacing/>
        <w:jc w:val="left"/>
        <w:textAlignment w:val="auto"/>
        <w:rPr>
          <w:szCs w:val="24"/>
        </w:rPr>
      </w:pPr>
      <w:r w:rsidRPr="00993512">
        <w:rPr>
          <w:szCs w:val="24"/>
        </w:rPr>
        <w:t xml:space="preserve">It is noted that the term “proper names” is used and explained in Section 3 and hence Section 2 </w:t>
      </w:r>
      <w:r>
        <w:rPr>
          <w:szCs w:val="24"/>
        </w:rPr>
        <w:t xml:space="preserve">“General Approach” </w:t>
      </w:r>
      <w:r w:rsidRPr="00993512">
        <w:rPr>
          <w:szCs w:val="24"/>
        </w:rPr>
        <w:t>should not be read in isolation</w:t>
      </w:r>
      <w:r>
        <w:rPr>
          <w:szCs w:val="24"/>
        </w:rPr>
        <w:t xml:space="preserve"> to Section 3 “Exceptions to the General Approach”, which explicitly provides a broad and non-exhaustive list of such exceptions;</w:t>
      </w:r>
    </w:p>
    <w:p w14:paraId="2D1C04D5" w14:textId="77777777" w:rsidR="00D62C95" w:rsidRPr="00993512" w:rsidRDefault="00D62C95" w:rsidP="0052030E">
      <w:pPr>
        <w:pStyle w:val="ListParagraph"/>
        <w:numPr>
          <w:ilvl w:val="0"/>
          <w:numId w:val="10"/>
        </w:numPr>
        <w:tabs>
          <w:tab w:val="clear" w:pos="794"/>
          <w:tab w:val="clear" w:pos="1191"/>
          <w:tab w:val="clear" w:pos="1588"/>
          <w:tab w:val="clear" w:pos="1985"/>
        </w:tabs>
        <w:overflowPunct/>
        <w:autoSpaceDE/>
        <w:autoSpaceDN/>
        <w:adjustRightInd/>
        <w:contextualSpacing/>
        <w:jc w:val="left"/>
        <w:textAlignment w:val="auto"/>
        <w:rPr>
          <w:szCs w:val="24"/>
        </w:rPr>
      </w:pPr>
      <w:r w:rsidRPr="00993512">
        <w:rPr>
          <w:szCs w:val="24"/>
        </w:rPr>
        <w:t xml:space="preserve">Section 3.1 (2) also gives examples where </w:t>
      </w:r>
      <w:r>
        <w:rPr>
          <w:szCs w:val="24"/>
        </w:rPr>
        <w:t xml:space="preserve">it is appropriate and required that technical experts include the </w:t>
      </w:r>
      <w:r w:rsidRPr="00993512">
        <w:rPr>
          <w:color w:val="000000"/>
          <w:szCs w:val="24"/>
        </w:rPr>
        <w:t xml:space="preserve">name </w:t>
      </w:r>
      <w:r>
        <w:rPr>
          <w:color w:val="000000"/>
          <w:szCs w:val="24"/>
        </w:rPr>
        <w:t xml:space="preserve">of the source SDO </w:t>
      </w:r>
      <w:r w:rsidRPr="00993512">
        <w:rPr>
          <w:color w:val="000000"/>
          <w:szCs w:val="24"/>
        </w:rPr>
        <w:t xml:space="preserve">as part of the designation of the standards that they </w:t>
      </w:r>
      <w:r>
        <w:rPr>
          <w:color w:val="000000"/>
          <w:szCs w:val="24"/>
        </w:rPr>
        <w:t>reference;</w:t>
      </w:r>
    </w:p>
    <w:p w14:paraId="26F221D8" w14:textId="77777777" w:rsidR="00D62C95" w:rsidRPr="00993512" w:rsidRDefault="00D62C95" w:rsidP="0052030E">
      <w:pPr>
        <w:pStyle w:val="ListParagraph"/>
        <w:numPr>
          <w:ilvl w:val="0"/>
          <w:numId w:val="10"/>
        </w:numPr>
        <w:tabs>
          <w:tab w:val="clear" w:pos="794"/>
          <w:tab w:val="clear" w:pos="1191"/>
          <w:tab w:val="clear" w:pos="1588"/>
          <w:tab w:val="clear" w:pos="1985"/>
        </w:tabs>
        <w:overflowPunct/>
        <w:autoSpaceDE/>
        <w:autoSpaceDN/>
        <w:adjustRightInd/>
        <w:contextualSpacing/>
        <w:jc w:val="left"/>
        <w:textAlignment w:val="auto"/>
        <w:rPr>
          <w:szCs w:val="24"/>
        </w:rPr>
      </w:pPr>
      <w:r>
        <w:rPr>
          <w:szCs w:val="24"/>
        </w:rPr>
        <w:lastRenderedPageBreak/>
        <w:t xml:space="preserve">Section 3.2 gives 3 different categories of examples of incorrect versus correct usages of marks, and further examples along the same line (incorrect/correct) were provided at the meeting. </w:t>
      </w:r>
    </w:p>
    <w:p w14:paraId="3209135E" w14:textId="77777777" w:rsidR="00D62C95" w:rsidRDefault="00D62C95" w:rsidP="00D62C95">
      <w:pPr>
        <w:rPr>
          <w:szCs w:val="24"/>
        </w:rPr>
      </w:pPr>
      <w:r>
        <w:rPr>
          <w:szCs w:val="24"/>
        </w:rPr>
        <w:t>● What circumstance(s) will prompt a Study Group to seek marks protection as described in Section 4 (This was not an issue raised in the contribution from the Russian Federation)</w:t>
      </w:r>
    </w:p>
    <w:p w14:paraId="2138C3F5" w14:textId="26C9BBB4" w:rsidR="00D62C95" w:rsidRDefault="00D62C95" w:rsidP="0052030E">
      <w:pPr>
        <w:pStyle w:val="ListParagraph"/>
        <w:numPr>
          <w:ilvl w:val="0"/>
          <w:numId w:val="11"/>
        </w:numPr>
        <w:tabs>
          <w:tab w:val="clear" w:pos="794"/>
          <w:tab w:val="clear" w:pos="1191"/>
          <w:tab w:val="clear" w:pos="1588"/>
          <w:tab w:val="clear" w:pos="1985"/>
        </w:tabs>
        <w:overflowPunct/>
        <w:autoSpaceDE/>
        <w:autoSpaceDN/>
        <w:adjustRightInd/>
        <w:contextualSpacing/>
        <w:jc w:val="left"/>
        <w:textAlignment w:val="auto"/>
        <w:rPr>
          <w:szCs w:val="24"/>
        </w:rPr>
      </w:pPr>
      <w:r w:rsidRPr="00993512">
        <w:rPr>
          <w:szCs w:val="24"/>
        </w:rPr>
        <w:t xml:space="preserve">An example was given </w:t>
      </w:r>
      <w:r>
        <w:rPr>
          <w:szCs w:val="24"/>
        </w:rPr>
        <w:t xml:space="preserve">from </w:t>
      </w:r>
      <w:r w:rsidRPr="00993512">
        <w:rPr>
          <w:szCs w:val="24"/>
        </w:rPr>
        <w:t>Study Group 12</w:t>
      </w:r>
      <w:r>
        <w:rPr>
          <w:szCs w:val="24"/>
        </w:rPr>
        <w:t>/Q9</w:t>
      </w:r>
      <w:r w:rsidRPr="00993512">
        <w:rPr>
          <w:szCs w:val="24"/>
        </w:rPr>
        <w:t xml:space="preserve"> </w:t>
      </w:r>
      <w:r>
        <w:rPr>
          <w:szCs w:val="24"/>
        </w:rPr>
        <w:t>on testing the perceptual quality of voice and audio and the use of the registered names “PESQ” and “POLQA” for referring to the test suites and the testing software available under license from one of the company participant</w:t>
      </w:r>
      <w:r w:rsidR="00EC55F9">
        <w:rPr>
          <w:szCs w:val="24"/>
        </w:rPr>
        <w:t>s.</w:t>
      </w:r>
      <w:r>
        <w:rPr>
          <w:szCs w:val="24"/>
        </w:rPr>
        <w:t xml:space="preserve"> </w:t>
      </w:r>
      <w:r w:rsidR="00EC55F9">
        <w:rPr>
          <w:szCs w:val="24"/>
        </w:rPr>
        <w:t>F</w:t>
      </w:r>
      <w:r>
        <w:rPr>
          <w:szCs w:val="24"/>
        </w:rPr>
        <w:t xml:space="preserve">urther reading </w:t>
      </w:r>
      <w:r w:rsidR="00EC55F9">
        <w:rPr>
          <w:szCs w:val="24"/>
        </w:rPr>
        <w:t xml:space="preserve">is </w:t>
      </w:r>
      <w:r>
        <w:rPr>
          <w:szCs w:val="24"/>
        </w:rPr>
        <w:t xml:space="preserve">available at </w:t>
      </w:r>
      <w:hyperlink r:id="rId43" w:history="1">
        <w:r w:rsidRPr="00D21F26">
          <w:rPr>
            <w:rStyle w:val="Hyperlink"/>
            <w:szCs w:val="24"/>
          </w:rPr>
          <w:t>https://www.itu.int/ITU-D/tech/events/2011/Moscow_ZNIIS_April11/Presentations/09-Pomy-POLQA.pdf</w:t>
        </w:r>
      </w:hyperlink>
      <w:r>
        <w:rPr>
          <w:szCs w:val="24"/>
        </w:rPr>
        <w:t xml:space="preserve">; </w:t>
      </w:r>
    </w:p>
    <w:p w14:paraId="19C25A6F" w14:textId="134D507D" w:rsidR="00D62C95" w:rsidRPr="00993512" w:rsidRDefault="00D62C95" w:rsidP="0052030E">
      <w:pPr>
        <w:pStyle w:val="ListParagraph"/>
        <w:numPr>
          <w:ilvl w:val="0"/>
          <w:numId w:val="11"/>
        </w:numPr>
        <w:tabs>
          <w:tab w:val="clear" w:pos="794"/>
          <w:tab w:val="clear" w:pos="1191"/>
          <w:tab w:val="clear" w:pos="1588"/>
          <w:tab w:val="clear" w:pos="1985"/>
        </w:tabs>
        <w:overflowPunct/>
        <w:autoSpaceDE/>
        <w:autoSpaceDN/>
        <w:adjustRightInd/>
        <w:contextualSpacing/>
        <w:jc w:val="left"/>
        <w:textAlignment w:val="auto"/>
        <w:rPr>
          <w:szCs w:val="24"/>
        </w:rPr>
      </w:pPr>
      <w:r>
        <w:rPr>
          <w:szCs w:val="24"/>
        </w:rPr>
        <w:t xml:space="preserve">It was observed that Study Groups have a long track of experience and habits in their respective domain and so, based on this experience, </w:t>
      </w:r>
      <w:r w:rsidR="00EC55F9">
        <w:rPr>
          <w:szCs w:val="24"/>
        </w:rPr>
        <w:t xml:space="preserve">they </w:t>
      </w:r>
      <w:r>
        <w:rPr>
          <w:szCs w:val="24"/>
        </w:rPr>
        <w:t xml:space="preserve">do not need to systematically seek advice or </w:t>
      </w:r>
      <w:r w:rsidR="00EC55F9">
        <w:rPr>
          <w:szCs w:val="24"/>
        </w:rPr>
        <w:t xml:space="preserve">to </w:t>
      </w:r>
      <w:r>
        <w:rPr>
          <w:szCs w:val="24"/>
        </w:rPr>
        <w:t xml:space="preserve">advise the TSB Director on matters of their expertise and custom. </w:t>
      </w:r>
    </w:p>
    <w:p w14:paraId="5014124A" w14:textId="1E6FCCF4" w:rsidR="00D62C95" w:rsidRPr="005C5E7E" w:rsidRDefault="00D62C95" w:rsidP="00D62C95">
      <w:pPr>
        <w:pStyle w:val="Heading2"/>
        <w:rPr>
          <w:szCs w:val="24"/>
        </w:rPr>
      </w:pPr>
      <w:r>
        <w:rPr>
          <w:szCs w:val="24"/>
        </w:rPr>
        <w:t>2</w:t>
      </w:r>
      <w:r w:rsidRPr="000C1700">
        <w:rPr>
          <w:szCs w:val="24"/>
        </w:rPr>
        <w:t>.</w:t>
      </w:r>
      <w:r>
        <w:rPr>
          <w:szCs w:val="24"/>
        </w:rPr>
        <w:t>3</w:t>
      </w:r>
      <w:r w:rsidRPr="000C1700">
        <w:rPr>
          <w:szCs w:val="24"/>
        </w:rPr>
        <w:t xml:space="preserve"> </w:t>
      </w:r>
      <w:r>
        <w:rPr>
          <w:szCs w:val="24"/>
        </w:rPr>
        <w:t xml:space="preserve">Conclusion of the </w:t>
      </w:r>
      <w:r w:rsidRPr="000C1700">
        <w:rPr>
          <w:szCs w:val="24"/>
        </w:rPr>
        <w:t xml:space="preserve">IPR </w:t>
      </w:r>
      <w:r w:rsidRPr="005C5E7E">
        <w:rPr>
          <w:szCs w:val="24"/>
        </w:rPr>
        <w:t>Ad Hoc Group meeting on 7 December 2021</w:t>
      </w:r>
    </w:p>
    <w:p w14:paraId="2D0E830A" w14:textId="6ACF72F1" w:rsidR="00D62C95" w:rsidRDefault="00D62C95" w:rsidP="00D62C95">
      <w:pPr>
        <w:rPr>
          <w:szCs w:val="24"/>
        </w:rPr>
      </w:pPr>
      <w:r>
        <w:rPr>
          <w:szCs w:val="24"/>
        </w:rPr>
        <w:t xml:space="preserve">The IPR AHG first received the contribution on “Use of Marks in ITU-T Recommendations” from Mr </w:t>
      </w:r>
      <w:r w:rsidR="004C6617">
        <w:rPr>
          <w:szCs w:val="24"/>
        </w:rPr>
        <w:t xml:space="preserve">Dmitry </w:t>
      </w:r>
      <w:r>
        <w:rPr>
          <w:szCs w:val="24"/>
        </w:rPr>
        <w:t xml:space="preserve">Cherkesov on 7 August 2020 and so had more than one year to read and appreciate </w:t>
      </w:r>
      <w:r w:rsidR="00343156">
        <w:rPr>
          <w:szCs w:val="24"/>
        </w:rPr>
        <w:t xml:space="preserve">it </w:t>
      </w:r>
      <w:r>
        <w:rPr>
          <w:szCs w:val="24"/>
        </w:rPr>
        <w:t xml:space="preserve">prior to this meeting. </w:t>
      </w:r>
      <w:r w:rsidR="00343156">
        <w:rPr>
          <w:szCs w:val="24"/>
        </w:rPr>
        <w:t>It is n</w:t>
      </w:r>
      <w:r>
        <w:rPr>
          <w:szCs w:val="24"/>
        </w:rPr>
        <w:t>ote</w:t>
      </w:r>
      <w:r w:rsidR="00343156">
        <w:rPr>
          <w:szCs w:val="24"/>
        </w:rPr>
        <w:t>d</w:t>
      </w:r>
      <w:r>
        <w:rPr>
          <w:szCs w:val="24"/>
        </w:rPr>
        <w:t xml:space="preserve"> that the IPR AHG had already expressed its opinion of “no change needed” in response to an E-Mail consultation initiated by the Rapporteur on marks </w:t>
      </w:r>
      <w:r w:rsidRPr="003005DF">
        <w:rPr>
          <w:szCs w:val="24"/>
        </w:rPr>
        <w:t>issues</w:t>
      </w:r>
      <w:r w:rsidRPr="00993512">
        <w:rPr>
          <w:b/>
          <w:bCs/>
          <w:szCs w:val="24"/>
        </w:rPr>
        <w:t xml:space="preserve"> </w:t>
      </w:r>
      <w:r>
        <w:rPr>
          <w:b/>
          <w:bCs/>
          <w:szCs w:val="24"/>
        </w:rPr>
        <w:t xml:space="preserve">on 2 October 2020 and </w:t>
      </w:r>
      <w:r w:rsidR="00343156">
        <w:rPr>
          <w:b/>
          <w:bCs/>
          <w:szCs w:val="24"/>
        </w:rPr>
        <w:t xml:space="preserve">which </w:t>
      </w:r>
      <w:r>
        <w:rPr>
          <w:b/>
          <w:bCs/>
          <w:szCs w:val="24"/>
        </w:rPr>
        <w:t>concluded on 10 November 2020</w:t>
      </w:r>
      <w:r>
        <w:rPr>
          <w:szCs w:val="24"/>
        </w:rPr>
        <w:t xml:space="preserve">. </w:t>
      </w:r>
    </w:p>
    <w:p w14:paraId="20C5EE87" w14:textId="7C960DC2" w:rsidR="00D62C95" w:rsidRPr="00343156" w:rsidRDefault="00D62C95" w:rsidP="00D62C95">
      <w:pPr>
        <w:rPr>
          <w:rStyle w:val="Hyperlink"/>
          <w:color w:val="auto"/>
          <w:szCs w:val="24"/>
          <w:u w:val="none"/>
        </w:rPr>
      </w:pPr>
      <w:r>
        <w:rPr>
          <w:szCs w:val="24"/>
        </w:rPr>
        <w:t xml:space="preserve">The goal of </w:t>
      </w:r>
      <w:hyperlink r:id="rId44" w:history="1">
        <w:r w:rsidRPr="0038642D">
          <w:rPr>
            <w:rStyle w:val="Hyperlink"/>
            <w:szCs w:val="24"/>
          </w:rPr>
          <w:t>TSAG-C-197</w:t>
        </w:r>
      </w:hyperlink>
      <w:r>
        <w:rPr>
          <w:rStyle w:val="Hyperlink"/>
          <w:szCs w:val="24"/>
        </w:rPr>
        <w:t xml:space="preserve"> </w:t>
      </w:r>
      <w:r>
        <w:rPr>
          <w:szCs w:val="24"/>
        </w:rPr>
        <w:t xml:space="preserve">is to seek clarifications, advice, and to assess whether any change is needed in the current Marks Guidelines. In this meeting, this goal has been met with notably a significant deployment of resources and efforts by the Author of the Contribution, the TSB Secretariat and by a panel of international experts, the list of which is provided in Annex. </w:t>
      </w:r>
      <w:r w:rsidRPr="00343156">
        <w:rPr>
          <w:rStyle w:val="Hyperlink"/>
          <w:color w:val="auto"/>
          <w:szCs w:val="24"/>
          <w:u w:val="none"/>
        </w:rPr>
        <w:t xml:space="preserve">At the end of the time allocated to the discussion of </w:t>
      </w:r>
      <w:hyperlink r:id="rId45" w:history="1">
        <w:r w:rsidR="004C6617" w:rsidRPr="0038642D">
          <w:rPr>
            <w:rStyle w:val="Hyperlink"/>
            <w:szCs w:val="24"/>
          </w:rPr>
          <w:t>TSAG-C-197</w:t>
        </w:r>
      </w:hyperlink>
      <w:r w:rsidRPr="00343156">
        <w:rPr>
          <w:rStyle w:val="Hyperlink"/>
          <w:color w:val="auto"/>
          <w:szCs w:val="24"/>
          <w:u w:val="none"/>
        </w:rPr>
        <w:t>, the Chair concluded that no one spoke in support of the concerns raised in the contribution from the</w:t>
      </w:r>
      <w:r w:rsidR="00C01DD5">
        <w:rPr>
          <w:rStyle w:val="Hyperlink"/>
          <w:color w:val="auto"/>
          <w:szCs w:val="24"/>
          <w:u w:val="none"/>
        </w:rPr>
        <w:t xml:space="preserve"> </w:t>
      </w:r>
      <w:r w:rsidRPr="00343156">
        <w:rPr>
          <w:rStyle w:val="Hyperlink"/>
          <w:color w:val="auto"/>
          <w:szCs w:val="24"/>
          <w:u w:val="none"/>
        </w:rPr>
        <w:t xml:space="preserve">Russian Federation on the Use of Marks in ITU-T Recommendations, while attendees who spoke were all against making any changes to the existing Marks Guidelines. </w:t>
      </w:r>
      <w:r w:rsidRPr="00343156">
        <w:rPr>
          <w:rStyle w:val="Hyperlink"/>
          <w:b/>
          <w:bCs/>
          <w:color w:val="auto"/>
          <w:szCs w:val="24"/>
          <w:u w:val="none"/>
        </w:rPr>
        <w:t>There was no objection to keep the Marks Guidelines as they are, which reflects the consensus reached at the meeting.</w:t>
      </w:r>
    </w:p>
    <w:p w14:paraId="645C66FD" w14:textId="7DB7A684" w:rsidR="00D62C95" w:rsidRPr="00343156" w:rsidRDefault="00D62C95" w:rsidP="00D62C95">
      <w:pPr>
        <w:rPr>
          <w:rStyle w:val="Hyperlink"/>
          <w:color w:val="auto"/>
          <w:szCs w:val="24"/>
          <w:u w:val="none"/>
        </w:rPr>
      </w:pPr>
      <w:r w:rsidRPr="00343156">
        <w:rPr>
          <w:rStyle w:val="Hyperlink"/>
          <w:color w:val="auto"/>
          <w:szCs w:val="24"/>
          <w:u w:val="none"/>
        </w:rPr>
        <w:t xml:space="preserve">The Author of </w:t>
      </w:r>
      <w:hyperlink r:id="rId46" w:history="1">
        <w:r w:rsidR="004C6617" w:rsidRPr="0038642D">
          <w:rPr>
            <w:rStyle w:val="Hyperlink"/>
            <w:szCs w:val="24"/>
          </w:rPr>
          <w:t>TSAG-C-197</w:t>
        </w:r>
      </w:hyperlink>
      <w:r w:rsidRPr="00343156">
        <w:rPr>
          <w:rStyle w:val="Hyperlink"/>
          <w:color w:val="auto"/>
          <w:szCs w:val="24"/>
          <w:u w:val="none"/>
        </w:rPr>
        <w:t xml:space="preserve">, Mr Dmitry Cherkesov, asked the Chair to prepare a meeting report in a more substantial format than usual for the record. That was accepted by the Chair and there was no objection. </w:t>
      </w:r>
    </w:p>
    <w:p w14:paraId="47E7EFB8" w14:textId="75AC7F1A" w:rsidR="00D62C95" w:rsidRPr="00343156" w:rsidRDefault="00D62C95" w:rsidP="00D62C95">
      <w:pPr>
        <w:rPr>
          <w:rStyle w:val="Hyperlink"/>
          <w:color w:val="auto"/>
          <w:szCs w:val="24"/>
          <w:u w:val="none"/>
        </w:rPr>
      </w:pPr>
      <w:r w:rsidRPr="00343156">
        <w:rPr>
          <w:rStyle w:val="Hyperlink"/>
          <w:color w:val="auto"/>
          <w:szCs w:val="24"/>
          <w:u w:val="none"/>
        </w:rPr>
        <w:t xml:space="preserve">Then Mr Hung Ling, Rapporteur on marks issues, handed it over </w:t>
      </w:r>
      <w:r w:rsidR="001519B6">
        <w:rPr>
          <w:rStyle w:val="Hyperlink"/>
          <w:color w:val="auto"/>
          <w:szCs w:val="24"/>
          <w:u w:val="none"/>
        </w:rPr>
        <w:t xml:space="preserve">back </w:t>
      </w:r>
      <w:r w:rsidRPr="00343156">
        <w:rPr>
          <w:rStyle w:val="Hyperlink"/>
          <w:color w:val="auto"/>
          <w:szCs w:val="24"/>
          <w:u w:val="none"/>
        </w:rPr>
        <w:t xml:space="preserve">to Mr Serge Raes, Rapporteur on patent issues, for closing the meeting. </w:t>
      </w:r>
    </w:p>
    <w:p w14:paraId="27E450B1" w14:textId="5936C681" w:rsidR="00D62C95" w:rsidRPr="00343156" w:rsidRDefault="00D62C95" w:rsidP="00D62C95">
      <w:pPr>
        <w:rPr>
          <w:rStyle w:val="Hyperlink"/>
          <w:color w:val="auto"/>
          <w:szCs w:val="24"/>
          <w:u w:val="none"/>
        </w:rPr>
      </w:pPr>
      <w:r w:rsidRPr="00343156">
        <w:rPr>
          <w:rStyle w:val="Hyperlink"/>
          <w:color w:val="auto"/>
          <w:szCs w:val="24"/>
          <w:u w:val="none"/>
        </w:rPr>
        <w:t xml:space="preserve">The Chair Serge Raes closed the meeting at 18h01 CET by thanking all the </w:t>
      </w:r>
      <w:r w:rsidR="00BB79E5">
        <w:rPr>
          <w:rStyle w:val="Hyperlink"/>
          <w:color w:val="auto"/>
          <w:szCs w:val="24"/>
          <w:u w:val="none"/>
        </w:rPr>
        <w:t>35</w:t>
      </w:r>
      <w:r w:rsidR="00BB79E5" w:rsidRPr="00343156">
        <w:rPr>
          <w:rStyle w:val="Hyperlink"/>
          <w:color w:val="auto"/>
          <w:szCs w:val="24"/>
          <w:u w:val="none"/>
        </w:rPr>
        <w:t xml:space="preserve"> </w:t>
      </w:r>
      <w:r w:rsidRPr="00343156">
        <w:rPr>
          <w:rStyle w:val="Hyperlink"/>
          <w:color w:val="auto"/>
          <w:szCs w:val="24"/>
          <w:u w:val="none"/>
        </w:rPr>
        <w:t>IPR Ad Hoc Group participants for their valuable feedback on the contents of the two Contributions from the Russian Federation (</w:t>
      </w:r>
      <w:hyperlink r:id="rId47" w:history="1">
        <w:r w:rsidR="004C6617" w:rsidRPr="00822838">
          <w:rPr>
            <w:rStyle w:val="Hyperlink"/>
            <w:szCs w:val="24"/>
          </w:rPr>
          <w:t>TSAG-C-195</w:t>
        </w:r>
      </w:hyperlink>
      <w:r w:rsidRPr="00343156">
        <w:rPr>
          <w:rStyle w:val="Hyperlink"/>
          <w:color w:val="auto"/>
          <w:szCs w:val="24"/>
          <w:u w:val="none"/>
        </w:rPr>
        <w:t xml:space="preserve"> and </w:t>
      </w:r>
      <w:hyperlink r:id="rId48" w:history="1">
        <w:r w:rsidR="004C6617" w:rsidRPr="0038642D">
          <w:rPr>
            <w:rStyle w:val="Hyperlink"/>
            <w:szCs w:val="24"/>
          </w:rPr>
          <w:t>TSAG-C-197</w:t>
        </w:r>
      </w:hyperlink>
      <w:r w:rsidRPr="00343156">
        <w:rPr>
          <w:rStyle w:val="Hyperlink"/>
          <w:color w:val="auto"/>
          <w:szCs w:val="24"/>
          <w:u w:val="none"/>
        </w:rPr>
        <w:t xml:space="preserve">). The Chair also thanked the author of these two Contributions, </w:t>
      </w:r>
      <w:r w:rsidR="004C6617">
        <w:rPr>
          <w:rStyle w:val="Hyperlink"/>
          <w:color w:val="auto"/>
          <w:szCs w:val="24"/>
          <w:u w:val="none"/>
        </w:rPr>
        <w:t xml:space="preserve">Mr </w:t>
      </w:r>
      <w:r w:rsidRPr="00343156">
        <w:rPr>
          <w:rStyle w:val="Hyperlink"/>
          <w:color w:val="auto"/>
          <w:szCs w:val="24"/>
          <w:u w:val="none"/>
        </w:rPr>
        <w:t xml:space="preserve">Dmitry Cherkesov. The Chair thanked Anibal Cabrera Montoya, TSB Secretariat, for displaying and highlighting the text as appropriate during the whole meeting. </w:t>
      </w:r>
    </w:p>
    <w:p w14:paraId="7CF870E3" w14:textId="39101336" w:rsidR="00D62C95" w:rsidRDefault="00D62C95" w:rsidP="00D62C95">
      <w:pPr>
        <w:rPr>
          <w:rStyle w:val="Hyperlink"/>
          <w:color w:val="auto"/>
          <w:szCs w:val="24"/>
          <w:u w:val="none"/>
        </w:rPr>
      </w:pPr>
      <w:r w:rsidRPr="00343156">
        <w:rPr>
          <w:rStyle w:val="Hyperlink"/>
          <w:color w:val="auto"/>
          <w:szCs w:val="24"/>
          <w:u w:val="none"/>
        </w:rPr>
        <w:t xml:space="preserve">After the end of the meeting, Mr Bruce Gracie, Chair of TSAG, reminded that the IPR Ad Hoc Group meeting report </w:t>
      </w:r>
      <w:proofErr w:type="gramStart"/>
      <w:r w:rsidRPr="00343156">
        <w:rPr>
          <w:rStyle w:val="Hyperlink"/>
          <w:color w:val="auto"/>
          <w:szCs w:val="24"/>
          <w:u w:val="none"/>
        </w:rPr>
        <w:t>would be needed</w:t>
      </w:r>
      <w:proofErr w:type="gramEnd"/>
      <w:r w:rsidRPr="00343156">
        <w:rPr>
          <w:rStyle w:val="Hyperlink"/>
          <w:color w:val="auto"/>
          <w:szCs w:val="24"/>
          <w:u w:val="none"/>
        </w:rPr>
        <w:t xml:space="preserve"> in advance to the next TSAG meeting, i.e. at the latest on 22/12/2021. The Rapporteurs on patent issues and on marks issues agreed to undertake the writing of the Draft meeting report and to circulate it to the IPR Ad Hoc Group for comments before the deadline, with the support of the TSB Secretariat. </w:t>
      </w:r>
    </w:p>
    <w:p w14:paraId="53008446" w14:textId="691E18A8" w:rsidR="000A6122" w:rsidRPr="000A6122" w:rsidRDefault="002E0800" w:rsidP="000A6122">
      <w:pPr>
        <w:rPr>
          <w:rStyle w:val="Hyperlink"/>
          <w:color w:val="auto"/>
          <w:szCs w:val="24"/>
          <w:u w:val="none"/>
        </w:rPr>
      </w:pPr>
      <w:r w:rsidRPr="00C7162C">
        <w:t>Subsequently to the meeting, t</w:t>
      </w:r>
      <w:r w:rsidR="00FA20E4" w:rsidRPr="00C7162C">
        <w:t>he</w:t>
      </w:r>
      <w:r w:rsidR="00FA20E4">
        <w:t xml:space="preserve"> Russian Federation provided the following statement:</w:t>
      </w:r>
    </w:p>
    <w:p w14:paraId="55DF63D8" w14:textId="49ACCA31" w:rsidR="000A6122" w:rsidRPr="00C7162C" w:rsidRDefault="00FA20E4" w:rsidP="000A6122">
      <w:pPr>
        <w:rPr>
          <w:rStyle w:val="Hyperlink"/>
          <w:i/>
          <w:iCs/>
          <w:color w:val="auto"/>
          <w:szCs w:val="24"/>
          <w:u w:val="none"/>
        </w:rPr>
      </w:pPr>
      <w:r>
        <w:rPr>
          <w:rStyle w:val="Hyperlink"/>
          <w:color w:val="auto"/>
          <w:szCs w:val="24"/>
          <w:u w:val="none"/>
        </w:rPr>
        <w:lastRenderedPageBreak/>
        <w:t>“</w:t>
      </w:r>
      <w:r w:rsidR="000A6122" w:rsidRPr="00C7162C">
        <w:rPr>
          <w:rStyle w:val="Hyperlink"/>
          <w:i/>
          <w:iCs/>
          <w:color w:val="auto"/>
          <w:szCs w:val="24"/>
          <w:u w:val="none"/>
        </w:rPr>
        <w:t>Russian Federation strongly oppose conclusion made in 2.3. Meeting just ignored many points raised in Russian Federation contribution and presentation. At least there were ignorance between differences in the title with only 3 actors/entities/categories and many others that appear in different parts of the Guidelines.</w:t>
      </w:r>
    </w:p>
    <w:p w14:paraId="61825E43" w14:textId="6EDB992F" w:rsidR="00E466A4" w:rsidRPr="00C7162C" w:rsidRDefault="000A6122" w:rsidP="00E466A4">
      <w:pPr>
        <w:rPr>
          <w:rStyle w:val="Hyperlink"/>
          <w:i/>
          <w:iCs/>
          <w:color w:val="auto"/>
          <w:szCs w:val="24"/>
          <w:u w:val="none"/>
        </w:rPr>
      </w:pPr>
      <w:r w:rsidRPr="00C7162C">
        <w:rPr>
          <w:rStyle w:val="Hyperlink"/>
          <w:i/>
          <w:iCs/>
          <w:color w:val="auto"/>
          <w:szCs w:val="24"/>
          <w:u w:val="none"/>
        </w:rPr>
        <w:t>Meeting had no time just look at many issues raised in contribution, including editorial mistakes that already exist in the Guideline, including incorrect link to A.1 and WIPO web-site.</w:t>
      </w:r>
    </w:p>
    <w:p w14:paraId="0DA078A5" w14:textId="5568B27F" w:rsidR="0094294C" w:rsidRDefault="0094294C" w:rsidP="0094294C">
      <w:pPr>
        <w:rPr>
          <w:rStyle w:val="Hyperlink"/>
          <w:color w:val="auto"/>
          <w:szCs w:val="24"/>
          <w:u w:val="none"/>
        </w:rPr>
      </w:pPr>
      <w:r w:rsidRPr="00C7162C">
        <w:rPr>
          <w:rStyle w:val="Hyperlink"/>
          <w:i/>
          <w:iCs/>
          <w:color w:val="auto"/>
          <w:szCs w:val="24"/>
          <w:u w:val="none"/>
        </w:rPr>
        <w:t xml:space="preserve">Taking into account discussion at the meeting and Russian Federation statements, we </w:t>
      </w:r>
      <w:proofErr w:type="spellStart"/>
      <w:r w:rsidRPr="00C7162C">
        <w:rPr>
          <w:rStyle w:val="Hyperlink"/>
          <w:i/>
          <w:iCs/>
          <w:color w:val="auto"/>
          <w:szCs w:val="24"/>
          <w:u w:val="none"/>
        </w:rPr>
        <w:t>can not</w:t>
      </w:r>
      <w:proofErr w:type="spellEnd"/>
      <w:r w:rsidRPr="00C7162C">
        <w:rPr>
          <w:rStyle w:val="Hyperlink"/>
          <w:i/>
          <w:iCs/>
          <w:color w:val="auto"/>
          <w:szCs w:val="24"/>
          <w:u w:val="none"/>
        </w:rPr>
        <w:t xml:space="preserve"> agree that it was consensus at the meeting.</w:t>
      </w:r>
      <w:r w:rsidR="00FA20E4">
        <w:rPr>
          <w:rStyle w:val="Hyperlink"/>
          <w:color w:val="auto"/>
          <w:szCs w:val="24"/>
          <w:u w:val="none"/>
        </w:rPr>
        <w:t>”</w:t>
      </w:r>
    </w:p>
    <w:p w14:paraId="2C94A394" w14:textId="5D543EC1" w:rsidR="0052030E" w:rsidRDefault="0052030E" w:rsidP="0094294C">
      <w:pPr>
        <w:rPr>
          <w:rStyle w:val="Hyperlink"/>
          <w:color w:val="auto"/>
          <w:szCs w:val="24"/>
          <w:u w:val="none"/>
        </w:rPr>
      </w:pPr>
    </w:p>
    <w:p w14:paraId="03F851BA" w14:textId="6863F75A" w:rsidR="0052030E" w:rsidRDefault="0052030E" w:rsidP="0094294C">
      <w:pPr>
        <w:rPr>
          <w:rStyle w:val="Hyperlink"/>
          <w:color w:val="auto"/>
          <w:szCs w:val="24"/>
          <w:u w:val="none"/>
        </w:rPr>
      </w:pPr>
    </w:p>
    <w:p w14:paraId="5E152D08" w14:textId="77777777" w:rsidR="0052030E" w:rsidRDefault="0052030E" w:rsidP="0094294C">
      <w:pPr>
        <w:rPr>
          <w:rStyle w:val="Hyperlink"/>
          <w:color w:val="auto"/>
          <w:szCs w:val="24"/>
          <w:u w:val="none"/>
        </w:rPr>
      </w:pPr>
    </w:p>
    <w:p w14:paraId="02AEE1B1" w14:textId="1C278081" w:rsidR="00E466A4" w:rsidRDefault="005D41B4" w:rsidP="00C26B80">
      <w:r>
        <w:t>Annexes: 1</w:t>
      </w:r>
    </w:p>
    <w:p w14:paraId="327997ED" w14:textId="77777777" w:rsidR="00E466A4" w:rsidRDefault="00E466A4">
      <w:pPr>
        <w:widowControl w:val="0"/>
        <w:tabs>
          <w:tab w:val="clear" w:pos="794"/>
          <w:tab w:val="clear" w:pos="1191"/>
          <w:tab w:val="clear" w:pos="1588"/>
          <w:tab w:val="clear" w:pos="1985"/>
        </w:tabs>
        <w:overflowPunct/>
        <w:autoSpaceDE/>
        <w:autoSpaceDN/>
        <w:adjustRightInd/>
        <w:spacing w:before="0"/>
        <w:jc w:val="left"/>
        <w:textAlignment w:val="auto"/>
      </w:pPr>
      <w:r>
        <w:br w:type="page"/>
      </w:r>
    </w:p>
    <w:p w14:paraId="1D7D99CE" w14:textId="3F2CFEB2" w:rsidR="006854AD" w:rsidRDefault="005D41B4" w:rsidP="00D133E4">
      <w:pPr>
        <w:pStyle w:val="Heading1"/>
        <w:tabs>
          <w:tab w:val="center" w:pos="8222"/>
          <w:tab w:val="left" w:pos="14983"/>
        </w:tabs>
        <w:jc w:val="center"/>
      </w:pPr>
      <w:r>
        <w:lastRenderedPageBreak/>
        <w:t>Annex</w:t>
      </w:r>
    </w:p>
    <w:p w14:paraId="08F31ECE" w14:textId="0C6BC552" w:rsidR="006854AD" w:rsidRDefault="006854AD" w:rsidP="006854AD">
      <w:pPr>
        <w:pStyle w:val="Heading1"/>
        <w:jc w:val="center"/>
        <w:rPr>
          <w:rStyle w:val="Hyperlink"/>
          <w:szCs w:val="24"/>
        </w:rPr>
      </w:pPr>
      <w:r>
        <w:rPr>
          <w:szCs w:val="24"/>
        </w:rPr>
        <w:t>List of participants</w:t>
      </w:r>
    </w:p>
    <w:tbl>
      <w:tblPr>
        <w:tblpPr w:leftFromText="180" w:rightFromText="180" w:vertAnchor="text" w:tblpXSpec="center" w:tblpY="1"/>
        <w:tblOverlap w:val="never"/>
        <w:tblW w:w="6232" w:type="dxa"/>
        <w:tblLook w:val="04A0" w:firstRow="1" w:lastRow="0" w:firstColumn="1" w:lastColumn="0" w:noHBand="0" w:noVBand="1"/>
      </w:tblPr>
      <w:tblGrid>
        <w:gridCol w:w="3020"/>
        <w:gridCol w:w="3212"/>
      </w:tblGrid>
      <w:tr w:rsidR="003149D3" w:rsidRPr="003149D3" w14:paraId="022D897E"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70AD47" w:fill="70AD47"/>
            <w:noWrap/>
            <w:vAlign w:val="bottom"/>
            <w:hideMark/>
          </w:tcPr>
          <w:p w14:paraId="2CFE2069"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FFFFFF"/>
                <w:sz w:val="22"/>
                <w:szCs w:val="22"/>
                <w:lang w:eastAsia="en-GB"/>
              </w:rPr>
            </w:pPr>
            <w:r w:rsidRPr="003149D3">
              <w:rPr>
                <w:rFonts w:ascii="Calibri" w:hAnsi="Calibri" w:cs="Calibri"/>
                <w:b/>
                <w:bCs/>
                <w:color w:val="FFFFFF"/>
                <w:sz w:val="22"/>
                <w:szCs w:val="22"/>
                <w:lang w:eastAsia="en-GB"/>
              </w:rPr>
              <w:t>Name</w:t>
            </w:r>
          </w:p>
        </w:tc>
        <w:tc>
          <w:tcPr>
            <w:tcW w:w="3212" w:type="dxa"/>
            <w:tcBorders>
              <w:top w:val="single" w:sz="4" w:space="0" w:color="A9D08E"/>
              <w:left w:val="nil"/>
              <w:bottom w:val="single" w:sz="4" w:space="0" w:color="A9D08E"/>
              <w:right w:val="single" w:sz="4" w:space="0" w:color="A9D08E"/>
            </w:tcBorders>
            <w:shd w:val="clear" w:color="70AD47" w:fill="70AD47"/>
            <w:noWrap/>
            <w:vAlign w:val="bottom"/>
            <w:hideMark/>
          </w:tcPr>
          <w:p w14:paraId="2C2E2AD2"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FFFFFF"/>
                <w:sz w:val="22"/>
                <w:szCs w:val="22"/>
                <w:lang w:eastAsia="en-GB"/>
              </w:rPr>
            </w:pPr>
            <w:r w:rsidRPr="003149D3">
              <w:rPr>
                <w:rFonts w:ascii="Calibri" w:hAnsi="Calibri" w:cs="Calibri"/>
                <w:b/>
                <w:bCs/>
                <w:color w:val="FFFFFF"/>
                <w:sz w:val="22"/>
                <w:szCs w:val="22"/>
                <w:lang w:eastAsia="en-GB"/>
              </w:rPr>
              <w:t>Affiliation</w:t>
            </w:r>
          </w:p>
        </w:tc>
      </w:tr>
      <w:tr w:rsidR="003149D3" w:rsidRPr="003149D3" w14:paraId="4BA98274"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28005A07"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Amy Marasco</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308A7B50"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IPR AHG Rapporteur (Microsoft)</w:t>
            </w:r>
          </w:p>
        </w:tc>
      </w:tr>
      <w:tr w:rsidR="003149D3" w:rsidRPr="003149D3" w14:paraId="5AC7E7C9"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40FE868A"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Hung Ling</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7F7C3345"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IPR AHG Rapporteur (Nokia)</w:t>
            </w:r>
          </w:p>
        </w:tc>
      </w:tr>
      <w:tr w:rsidR="003149D3" w:rsidRPr="003149D3" w14:paraId="3002187B"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4213DE77"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Serge RAES</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0F4A49E9"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IPR AHG Rapporteur (Orange)</w:t>
            </w:r>
          </w:p>
        </w:tc>
      </w:tr>
      <w:tr w:rsidR="003149D3" w:rsidRPr="003149D3" w14:paraId="03E0A66B"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5B72004C"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Adrian Howes</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3F8246BD"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Nokia</w:t>
            </w:r>
          </w:p>
        </w:tc>
      </w:tr>
      <w:tr w:rsidR="003149D3" w:rsidRPr="003149D3" w14:paraId="462A1057"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5C5CFD9C"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Brian Dorini</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767A1FFC"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Interdigital</w:t>
            </w:r>
          </w:p>
        </w:tc>
      </w:tr>
      <w:tr w:rsidR="003149D3" w:rsidRPr="003149D3" w14:paraId="2EF3E132"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56C1B4F1"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Bridget Petruczok</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60476B7F"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Ericsson</w:t>
            </w:r>
          </w:p>
        </w:tc>
      </w:tr>
      <w:tr w:rsidR="003149D3" w:rsidRPr="003149D3" w14:paraId="7FF007AB"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5D1310E1"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Bruce Gracie</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3F7B8026"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TSAG Chairman (Ericsson)</w:t>
            </w:r>
          </w:p>
        </w:tc>
      </w:tr>
      <w:tr w:rsidR="003149D3" w:rsidRPr="003149D3" w14:paraId="052BA2F3"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36633178"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s-CO" w:eastAsia="en-GB"/>
              </w:rPr>
            </w:pPr>
            <w:proofErr w:type="spellStart"/>
            <w:r w:rsidRPr="003149D3">
              <w:rPr>
                <w:rFonts w:ascii="Calibri" w:hAnsi="Calibri" w:cs="Calibri"/>
                <w:color w:val="000000"/>
                <w:sz w:val="22"/>
                <w:szCs w:val="22"/>
                <w:lang w:val="es-CO" w:eastAsia="en-GB"/>
              </w:rPr>
              <w:t>Dirk</w:t>
            </w:r>
            <w:proofErr w:type="spellEnd"/>
            <w:r w:rsidRPr="003149D3">
              <w:rPr>
                <w:rFonts w:ascii="Calibri" w:hAnsi="Calibri" w:cs="Calibri"/>
                <w:color w:val="000000"/>
                <w:sz w:val="22"/>
                <w:szCs w:val="22"/>
                <w:lang w:val="es-CO" w:eastAsia="en-GB"/>
              </w:rPr>
              <w:t xml:space="preserve">-Oliver von der </w:t>
            </w:r>
            <w:proofErr w:type="spellStart"/>
            <w:r w:rsidRPr="003149D3">
              <w:rPr>
                <w:rFonts w:ascii="Calibri" w:hAnsi="Calibri" w:cs="Calibri"/>
                <w:color w:val="000000"/>
                <w:sz w:val="22"/>
                <w:szCs w:val="22"/>
                <w:lang w:val="es-CO" w:eastAsia="en-GB"/>
              </w:rPr>
              <w:t>Emden</w:t>
            </w:r>
            <w:proofErr w:type="spellEnd"/>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166D964C"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proofErr w:type="spellStart"/>
            <w:r w:rsidRPr="003149D3">
              <w:rPr>
                <w:rFonts w:ascii="Calibri" w:hAnsi="Calibri" w:cs="Calibri"/>
                <w:color w:val="000000"/>
                <w:sz w:val="22"/>
                <w:szCs w:val="22"/>
                <w:lang w:eastAsia="en-GB"/>
              </w:rPr>
              <w:t>Bakom</w:t>
            </w:r>
            <w:proofErr w:type="spellEnd"/>
          </w:p>
        </w:tc>
      </w:tr>
      <w:tr w:rsidR="003149D3" w:rsidRPr="003149D3" w14:paraId="47C84AB1"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761706BC"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 xml:space="preserve">Dmitry Cherkesov </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6C6A5EEB"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Russian Federation</w:t>
            </w:r>
          </w:p>
        </w:tc>
      </w:tr>
      <w:tr w:rsidR="003149D3" w:rsidRPr="003149D3" w14:paraId="79825E43"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69E642BD"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Earl Nied</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419B2FB7"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Intel</w:t>
            </w:r>
          </w:p>
        </w:tc>
      </w:tr>
      <w:tr w:rsidR="003149D3" w:rsidRPr="003149D3" w14:paraId="5BC3B795"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196727EE"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Einar Bohlin</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2573850B"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ARIN</w:t>
            </w:r>
          </w:p>
        </w:tc>
      </w:tr>
      <w:tr w:rsidR="003149D3" w:rsidRPr="003149D3" w14:paraId="6D13EB72"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7E66BEFE"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Elisabeth Opie</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46BA1DBE"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Fraunhofer ISS</w:t>
            </w:r>
          </w:p>
        </w:tc>
      </w:tr>
      <w:tr w:rsidR="003149D3" w:rsidRPr="003149D3" w14:paraId="3C8318D5"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303C640F"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Emilio Davila Gonzalez</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17D75FCE"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European Commission</w:t>
            </w:r>
          </w:p>
        </w:tc>
      </w:tr>
      <w:tr w:rsidR="003149D3" w:rsidRPr="003149D3" w14:paraId="5955DFB1"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0C5C89A9"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Franco Cordera</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5519C98C"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European Patents Office</w:t>
            </w:r>
          </w:p>
        </w:tc>
      </w:tr>
      <w:tr w:rsidR="003149D3" w:rsidRPr="003149D3" w14:paraId="01506452"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4E736F5A" w14:textId="2415A133" w:rsidR="003149D3" w:rsidRPr="003149D3" w:rsidRDefault="00273F3A"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proofErr w:type="spellStart"/>
            <w:r>
              <w:rPr>
                <w:rFonts w:ascii="Calibri" w:hAnsi="Calibri" w:cs="Calibri"/>
                <w:color w:val="000000"/>
                <w:sz w:val="22"/>
                <w:szCs w:val="22"/>
                <w:lang w:eastAsia="en-GB"/>
              </w:rPr>
              <w:t>G</w:t>
            </w:r>
            <w:r w:rsidR="003149D3" w:rsidRPr="003149D3">
              <w:rPr>
                <w:rFonts w:ascii="Calibri" w:hAnsi="Calibri" w:cs="Calibri"/>
                <w:color w:val="000000"/>
                <w:sz w:val="22"/>
                <w:szCs w:val="22"/>
                <w:lang w:eastAsia="en-GB"/>
              </w:rPr>
              <w:t>aelle</w:t>
            </w:r>
            <w:proofErr w:type="spellEnd"/>
            <w:r w:rsidR="003149D3" w:rsidRPr="003149D3">
              <w:rPr>
                <w:rFonts w:ascii="Calibri" w:hAnsi="Calibri" w:cs="Calibri"/>
                <w:color w:val="000000"/>
                <w:sz w:val="22"/>
                <w:szCs w:val="22"/>
                <w:lang w:eastAsia="en-GB"/>
              </w:rPr>
              <w:t xml:space="preserve"> </w:t>
            </w:r>
            <w:r>
              <w:rPr>
                <w:rFonts w:ascii="Calibri" w:hAnsi="Calibri" w:cs="Calibri"/>
                <w:color w:val="000000"/>
                <w:sz w:val="22"/>
                <w:szCs w:val="22"/>
                <w:lang w:eastAsia="en-GB"/>
              </w:rPr>
              <w:t>M</w:t>
            </w:r>
            <w:r w:rsidR="003149D3" w:rsidRPr="003149D3">
              <w:rPr>
                <w:rFonts w:ascii="Calibri" w:hAnsi="Calibri" w:cs="Calibri"/>
                <w:color w:val="000000"/>
                <w:sz w:val="22"/>
                <w:szCs w:val="22"/>
                <w:lang w:eastAsia="en-GB"/>
              </w:rPr>
              <w:t>artin-</w:t>
            </w:r>
            <w:proofErr w:type="spellStart"/>
            <w:r w:rsidR="003149D3" w:rsidRPr="003149D3">
              <w:rPr>
                <w:rFonts w:ascii="Calibri" w:hAnsi="Calibri" w:cs="Calibri"/>
                <w:color w:val="000000"/>
                <w:sz w:val="22"/>
                <w:szCs w:val="22"/>
                <w:lang w:eastAsia="en-GB"/>
              </w:rPr>
              <w:t>cocher</w:t>
            </w:r>
            <w:proofErr w:type="spellEnd"/>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3D83B8AC"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Interdigital</w:t>
            </w:r>
          </w:p>
        </w:tc>
      </w:tr>
      <w:tr w:rsidR="003149D3" w:rsidRPr="003149D3" w14:paraId="5A91D294"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04255C5C"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 xml:space="preserve">Georg </w:t>
            </w:r>
            <w:proofErr w:type="spellStart"/>
            <w:r w:rsidRPr="003149D3">
              <w:rPr>
                <w:rFonts w:ascii="Calibri" w:hAnsi="Calibri" w:cs="Calibri"/>
                <w:color w:val="000000"/>
                <w:sz w:val="22"/>
                <w:szCs w:val="22"/>
                <w:lang w:eastAsia="en-GB"/>
              </w:rPr>
              <w:t>Kreuz</w:t>
            </w:r>
            <w:proofErr w:type="spellEnd"/>
            <w:r w:rsidRPr="003149D3">
              <w:rPr>
                <w:rFonts w:ascii="Calibri" w:hAnsi="Calibri" w:cs="Calibri"/>
                <w:color w:val="000000"/>
                <w:sz w:val="22"/>
                <w:szCs w:val="22"/>
                <w:lang w:eastAsia="en-GB"/>
              </w:rPr>
              <w:t xml:space="preserve"> </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2854DC3D"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Huawei</w:t>
            </w:r>
          </w:p>
        </w:tc>
      </w:tr>
      <w:tr w:rsidR="003149D3" w:rsidRPr="003149D3" w14:paraId="344B7D6F"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27485E15"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Georg Nolte</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1E4E136A"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Panasonic</w:t>
            </w:r>
          </w:p>
        </w:tc>
      </w:tr>
      <w:tr w:rsidR="003149D3" w:rsidRPr="003149D3" w14:paraId="3CC96DBD"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4F17E071"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Gerard Damien Owens</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620A3613" w14:textId="242D5D5D"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European Patent Office</w:t>
            </w:r>
          </w:p>
        </w:tc>
      </w:tr>
      <w:tr w:rsidR="003149D3" w:rsidRPr="003149D3" w14:paraId="3E277DC8"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1683C8A6"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Gil Ohana</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58B54BBD"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Cisco</w:t>
            </w:r>
          </w:p>
        </w:tc>
      </w:tr>
      <w:tr w:rsidR="003149D3" w:rsidRPr="003149D3" w14:paraId="182AC694"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0C113F9F"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Helene Workman</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0CC261B3"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Apple</w:t>
            </w:r>
          </w:p>
        </w:tc>
      </w:tr>
      <w:tr w:rsidR="003149D3" w:rsidRPr="003149D3" w14:paraId="6E4BAD6E"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3C10D83C"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John Dubiansky</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6D443FAC"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Dolby</w:t>
            </w:r>
          </w:p>
        </w:tc>
      </w:tr>
      <w:tr w:rsidR="003149D3" w:rsidRPr="003149D3" w14:paraId="4979FFF0"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68495037"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Kengo Nagata</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5F97468A"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NTT</w:t>
            </w:r>
          </w:p>
        </w:tc>
      </w:tr>
      <w:tr w:rsidR="003149D3" w:rsidRPr="003149D3" w14:paraId="2C9A3C6F"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685C71ED"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Latonia Gordon</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3D8B85D6"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Apple</w:t>
            </w:r>
          </w:p>
        </w:tc>
      </w:tr>
      <w:tr w:rsidR="003149D3" w:rsidRPr="003149D3" w14:paraId="18BB321C"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340D320F"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Michael Atlass</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79464B14"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Qualcomm</w:t>
            </w:r>
          </w:p>
        </w:tc>
      </w:tr>
      <w:tr w:rsidR="003149D3" w:rsidRPr="003149D3" w14:paraId="73E85644"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607E08C1"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Michael Li</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5E22B0DF"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ZTE</w:t>
            </w:r>
          </w:p>
        </w:tc>
      </w:tr>
      <w:tr w:rsidR="003149D3" w:rsidRPr="003149D3" w14:paraId="09A24E4C"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33426730"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Monica Magnusson</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157D7947"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Ericsson</w:t>
            </w:r>
          </w:p>
        </w:tc>
      </w:tr>
      <w:tr w:rsidR="003149D3" w:rsidRPr="003149D3" w14:paraId="43DA166C"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32A2613F"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 xml:space="preserve">Olivier </w:t>
            </w:r>
            <w:proofErr w:type="spellStart"/>
            <w:r w:rsidRPr="003149D3">
              <w:rPr>
                <w:rFonts w:ascii="Calibri" w:hAnsi="Calibri" w:cs="Calibri"/>
                <w:color w:val="000000"/>
                <w:sz w:val="22"/>
                <w:szCs w:val="22"/>
                <w:lang w:eastAsia="en-GB"/>
              </w:rPr>
              <w:t>Dubuisson</w:t>
            </w:r>
            <w:proofErr w:type="spellEnd"/>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1A798B1A"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Orange</w:t>
            </w:r>
          </w:p>
        </w:tc>
      </w:tr>
      <w:tr w:rsidR="003149D3" w:rsidRPr="003149D3" w14:paraId="11ADCF28"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209B0CFF"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Paul Najarian</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774E4B5B"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United States</w:t>
            </w:r>
          </w:p>
        </w:tc>
      </w:tr>
      <w:tr w:rsidR="003149D3" w:rsidRPr="003149D3" w14:paraId="5F8C1B34"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53F0F6FD"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Stephane Tronchon</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5E40305C"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Interdigital</w:t>
            </w:r>
          </w:p>
        </w:tc>
      </w:tr>
      <w:tr w:rsidR="003149D3" w:rsidRPr="003149D3" w14:paraId="04C82968"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1CFC754E"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Valerie Hamelin</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1C2CFBE4"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Orange</w:t>
            </w:r>
          </w:p>
        </w:tc>
      </w:tr>
      <w:tr w:rsidR="003149D3" w:rsidRPr="003149D3" w14:paraId="2C8DEA2A"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0DE92A84"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proofErr w:type="spellStart"/>
            <w:r w:rsidRPr="003149D3">
              <w:rPr>
                <w:rFonts w:ascii="Calibri" w:hAnsi="Calibri" w:cs="Calibri"/>
                <w:color w:val="000000"/>
                <w:sz w:val="22"/>
                <w:szCs w:val="22"/>
                <w:lang w:eastAsia="en-GB"/>
              </w:rPr>
              <w:t>Xianghua</w:t>
            </w:r>
            <w:proofErr w:type="spellEnd"/>
            <w:r w:rsidRPr="003149D3">
              <w:rPr>
                <w:rFonts w:ascii="Calibri" w:hAnsi="Calibri" w:cs="Calibri"/>
                <w:color w:val="000000"/>
                <w:sz w:val="22"/>
                <w:szCs w:val="22"/>
                <w:lang w:eastAsia="en-GB"/>
              </w:rPr>
              <w:t xml:space="preserve"> Zhu</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4510B21D"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CNIS</w:t>
            </w:r>
          </w:p>
        </w:tc>
      </w:tr>
      <w:tr w:rsidR="003149D3" w:rsidRPr="003149D3" w14:paraId="0B172ECA"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5B5D08C0"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proofErr w:type="spellStart"/>
            <w:r w:rsidRPr="003149D3">
              <w:rPr>
                <w:rFonts w:ascii="Calibri" w:hAnsi="Calibri" w:cs="Calibri"/>
                <w:color w:val="000000"/>
                <w:sz w:val="22"/>
                <w:szCs w:val="22"/>
                <w:lang w:eastAsia="en-GB"/>
              </w:rPr>
              <w:t>Yongda</w:t>
            </w:r>
            <w:proofErr w:type="spellEnd"/>
            <w:r w:rsidRPr="003149D3">
              <w:rPr>
                <w:rFonts w:ascii="Calibri" w:hAnsi="Calibri" w:cs="Calibri"/>
                <w:color w:val="000000"/>
                <w:sz w:val="22"/>
                <w:szCs w:val="22"/>
                <w:lang w:eastAsia="en-GB"/>
              </w:rPr>
              <w:t xml:space="preserve"> </w:t>
            </w:r>
            <w:proofErr w:type="spellStart"/>
            <w:r w:rsidRPr="003149D3">
              <w:rPr>
                <w:rFonts w:ascii="Calibri" w:hAnsi="Calibri" w:cs="Calibri"/>
                <w:color w:val="000000"/>
                <w:sz w:val="22"/>
                <w:szCs w:val="22"/>
                <w:lang w:eastAsia="en-GB"/>
              </w:rPr>
              <w:t>Leng</w:t>
            </w:r>
            <w:proofErr w:type="spellEnd"/>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1B259022" w14:textId="32D4AE3E" w:rsidR="003149D3" w:rsidRPr="003149D3" w:rsidRDefault="007E7BB5"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Pr>
                <w:rFonts w:ascii="Calibri" w:hAnsi="Calibri" w:cs="Calibri"/>
                <w:color w:val="000000"/>
                <w:sz w:val="22"/>
                <w:szCs w:val="22"/>
                <w:lang w:eastAsia="en-GB"/>
              </w:rPr>
              <w:t>To be confirmed</w:t>
            </w:r>
          </w:p>
        </w:tc>
      </w:tr>
      <w:tr w:rsidR="003149D3" w:rsidRPr="003149D3" w14:paraId="3D85AA0B"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136AA4F9"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Anibal Cabrera</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7D4790A9"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ITU TSB</w:t>
            </w:r>
          </w:p>
        </w:tc>
      </w:tr>
      <w:tr w:rsidR="003149D3" w:rsidRPr="003149D3" w14:paraId="7E9D50EA"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auto" w:fill="auto"/>
            <w:noWrap/>
            <w:vAlign w:val="bottom"/>
            <w:hideMark/>
          </w:tcPr>
          <w:p w14:paraId="4BD92B35"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Martin Euchner</w:t>
            </w:r>
          </w:p>
        </w:tc>
        <w:tc>
          <w:tcPr>
            <w:tcW w:w="3212" w:type="dxa"/>
            <w:tcBorders>
              <w:top w:val="single" w:sz="4" w:space="0" w:color="A9D08E"/>
              <w:left w:val="nil"/>
              <w:bottom w:val="single" w:sz="4" w:space="0" w:color="A9D08E"/>
              <w:right w:val="single" w:sz="4" w:space="0" w:color="A9D08E"/>
            </w:tcBorders>
            <w:shd w:val="clear" w:color="auto" w:fill="auto"/>
            <w:noWrap/>
            <w:vAlign w:val="bottom"/>
            <w:hideMark/>
          </w:tcPr>
          <w:p w14:paraId="655B6778"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ITU TSB</w:t>
            </w:r>
          </w:p>
        </w:tc>
      </w:tr>
      <w:tr w:rsidR="003149D3" w:rsidRPr="003149D3" w14:paraId="4EADE231" w14:textId="77777777" w:rsidTr="007E7BB5">
        <w:trPr>
          <w:trHeight w:val="288"/>
        </w:trPr>
        <w:tc>
          <w:tcPr>
            <w:tcW w:w="3020" w:type="dxa"/>
            <w:tcBorders>
              <w:top w:val="single" w:sz="4" w:space="0" w:color="A9D08E"/>
              <w:left w:val="single" w:sz="4" w:space="0" w:color="A9D08E"/>
              <w:bottom w:val="single" w:sz="4" w:space="0" w:color="A9D08E"/>
              <w:right w:val="nil"/>
            </w:tcBorders>
            <w:shd w:val="clear" w:color="E2EFDA" w:fill="E2EFDA"/>
            <w:noWrap/>
            <w:vAlign w:val="bottom"/>
            <w:hideMark/>
          </w:tcPr>
          <w:p w14:paraId="7436178B"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Nikos Volanis</w:t>
            </w:r>
          </w:p>
        </w:tc>
        <w:tc>
          <w:tcPr>
            <w:tcW w:w="3212" w:type="dxa"/>
            <w:tcBorders>
              <w:top w:val="single" w:sz="4" w:space="0" w:color="A9D08E"/>
              <w:left w:val="nil"/>
              <w:bottom w:val="single" w:sz="4" w:space="0" w:color="A9D08E"/>
              <w:right w:val="single" w:sz="4" w:space="0" w:color="A9D08E"/>
            </w:tcBorders>
            <w:shd w:val="clear" w:color="E2EFDA" w:fill="E2EFDA"/>
            <w:noWrap/>
            <w:vAlign w:val="bottom"/>
            <w:hideMark/>
          </w:tcPr>
          <w:p w14:paraId="5A32171F" w14:textId="77777777" w:rsidR="003149D3" w:rsidRPr="003149D3" w:rsidRDefault="003149D3" w:rsidP="00273F3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eastAsia="en-GB"/>
              </w:rPr>
            </w:pPr>
            <w:r w:rsidRPr="003149D3">
              <w:rPr>
                <w:rFonts w:ascii="Calibri" w:hAnsi="Calibri" w:cs="Calibri"/>
                <w:color w:val="000000"/>
                <w:sz w:val="22"/>
                <w:szCs w:val="22"/>
                <w:lang w:eastAsia="en-GB"/>
              </w:rPr>
              <w:t>ITU LAU</w:t>
            </w:r>
          </w:p>
        </w:tc>
      </w:tr>
    </w:tbl>
    <w:p w14:paraId="7AB313BB" w14:textId="1EF9BD1C" w:rsidR="005D41B4" w:rsidRDefault="00273F3A" w:rsidP="003149D3">
      <w:pPr>
        <w:jc w:val="center"/>
      </w:pPr>
      <w:r>
        <w:br w:type="textWrapping" w:clear="all"/>
      </w:r>
    </w:p>
    <w:p w14:paraId="3BBCD4C0" w14:textId="5B89924A" w:rsidR="00317431" w:rsidRDefault="00317431" w:rsidP="003149D3">
      <w:pPr>
        <w:jc w:val="center"/>
      </w:pPr>
      <w:r>
        <w:t>_________________</w:t>
      </w:r>
    </w:p>
    <w:sectPr w:rsidR="00317431" w:rsidSect="005427AC">
      <w:headerReference w:type="default" r:id="rId49"/>
      <w:footerReference w:type="default" r:id="rId50"/>
      <w:pgSz w:w="11907" w:h="16840" w:code="9"/>
      <w:pgMar w:top="1417" w:right="1134" w:bottom="1417" w:left="1134" w:header="720" w:footer="720"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45C97" w14:textId="77777777" w:rsidR="00651331" w:rsidRDefault="00651331">
      <w:r>
        <w:separator/>
      </w:r>
    </w:p>
    <w:p w14:paraId="5CD117D9" w14:textId="77777777" w:rsidR="00651331" w:rsidRDefault="00651331"/>
  </w:endnote>
  <w:endnote w:type="continuationSeparator" w:id="0">
    <w:p w14:paraId="1D6B50C8" w14:textId="77777777" w:rsidR="00651331" w:rsidRDefault="00651331">
      <w:r>
        <w:continuationSeparator/>
      </w:r>
    </w:p>
    <w:p w14:paraId="3906BBFC" w14:textId="77777777" w:rsidR="00651331" w:rsidRDefault="00651331"/>
  </w:endnote>
  <w:endnote w:type="continuationNotice" w:id="1">
    <w:p w14:paraId="3FD489CA" w14:textId="77777777" w:rsidR="00651331" w:rsidRDefault="00651331"/>
    <w:p w14:paraId="57B6D7DC" w14:textId="77777777" w:rsidR="00651331" w:rsidRDefault="00651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C093F" w14:textId="57FD3E97" w:rsidR="00555286" w:rsidRPr="00D96D87" w:rsidRDefault="00555286" w:rsidP="00D96D87">
    <w:pPr>
      <w:pStyle w:val="Footer"/>
    </w:pPr>
    <w:r w:rsidRPr="00D96D8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F3979" w14:textId="77777777" w:rsidR="00651331" w:rsidRDefault="00651331" w:rsidP="00C20042">
      <w:r>
        <w:separator/>
      </w:r>
    </w:p>
  </w:footnote>
  <w:footnote w:type="continuationSeparator" w:id="0">
    <w:p w14:paraId="4CC9E71C" w14:textId="77777777" w:rsidR="00651331" w:rsidRDefault="00651331">
      <w:r>
        <w:continuationSeparator/>
      </w:r>
    </w:p>
    <w:p w14:paraId="78B3F728" w14:textId="77777777" w:rsidR="00651331" w:rsidRDefault="00651331"/>
  </w:footnote>
  <w:footnote w:type="continuationNotice" w:id="1">
    <w:p w14:paraId="2F488903" w14:textId="77777777" w:rsidR="00651331" w:rsidRDefault="00651331"/>
    <w:p w14:paraId="0CBD0711" w14:textId="77777777" w:rsidR="00651331" w:rsidRDefault="006513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029732"/>
      <w:docPartObj>
        <w:docPartGallery w:val="Page Numbers (Top of Page)"/>
        <w:docPartUnique/>
      </w:docPartObj>
    </w:sdtPr>
    <w:sdtEndPr>
      <w:rPr>
        <w:noProof/>
      </w:rPr>
    </w:sdtEndPr>
    <w:sdtContent>
      <w:p w14:paraId="271E3101" w14:textId="6812D3BD" w:rsidR="005427AC" w:rsidRDefault="005427AC">
        <w:pPr>
          <w:pStyle w:val="Header"/>
        </w:pPr>
        <w:r>
          <w:fldChar w:fldCharType="begin"/>
        </w:r>
        <w:r>
          <w:instrText xml:space="preserve"> PAGE   \* MERGEFORMAT </w:instrText>
        </w:r>
        <w:r>
          <w:fldChar w:fldCharType="separate"/>
        </w:r>
        <w:r w:rsidR="00317431">
          <w:rPr>
            <w:noProof/>
          </w:rPr>
          <w:t>- 2 -</w:t>
        </w:r>
        <w:r>
          <w:rPr>
            <w:noProof/>
          </w:rPr>
          <w:fldChar w:fldCharType="end"/>
        </w:r>
        <w:r>
          <w:rPr>
            <w:noProof/>
          </w:rPr>
          <w:br/>
          <w:t>TSAG-TD1251</w:t>
        </w:r>
      </w:p>
    </w:sdtContent>
  </w:sdt>
  <w:p w14:paraId="7044EDF6" w14:textId="77777777" w:rsidR="005427AC" w:rsidRDefault="00542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D5C40"/>
    <w:multiLevelType w:val="hybridMultilevel"/>
    <w:tmpl w:val="B5AE8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10245"/>
    <w:multiLevelType w:val="multilevel"/>
    <w:tmpl w:val="C8D2AFDA"/>
    <w:lvl w:ilvl="0">
      <w:start w:val="1"/>
      <w:numFmt w:val="decimal"/>
      <w:lvlText w:val="%1"/>
      <w:lvlJc w:val="left"/>
      <w:pPr>
        <w:ind w:left="907" w:hanging="795"/>
      </w:pPr>
      <w:rPr>
        <w:rFonts w:ascii="Times New Roman" w:eastAsia="Times New Roman" w:hAnsi="Times New Roman" w:hint="default"/>
        <w:b/>
        <w:bCs/>
        <w:sz w:val="24"/>
        <w:szCs w:val="24"/>
      </w:rPr>
    </w:lvl>
    <w:lvl w:ilvl="1">
      <w:start w:val="1"/>
      <w:numFmt w:val="decimal"/>
      <w:lvlText w:val="%1.%2"/>
      <w:lvlJc w:val="left"/>
      <w:pPr>
        <w:ind w:left="907" w:hanging="795"/>
      </w:pPr>
      <w:rPr>
        <w:rFonts w:ascii="Times New Roman" w:eastAsia="Times New Roman" w:hAnsi="Times New Roman" w:hint="default"/>
        <w:b/>
        <w:bCs/>
        <w:sz w:val="24"/>
        <w:szCs w:val="24"/>
      </w:rPr>
    </w:lvl>
    <w:lvl w:ilvl="2">
      <w:start w:val="1"/>
      <w:numFmt w:val="decimal"/>
      <w:lvlText w:val="%1.%2.%3"/>
      <w:lvlJc w:val="left"/>
      <w:pPr>
        <w:ind w:left="113" w:hanging="795"/>
      </w:pPr>
      <w:rPr>
        <w:rFonts w:ascii="Times New Roman" w:eastAsia="Times New Roman" w:hAnsi="Times New Roman" w:hint="default"/>
        <w:b/>
        <w:bCs/>
        <w:sz w:val="24"/>
        <w:szCs w:val="24"/>
      </w:rPr>
    </w:lvl>
    <w:lvl w:ilvl="3">
      <w:start w:val="1"/>
      <w:numFmt w:val="decimal"/>
      <w:lvlText w:val="%1.%2.%3.%4"/>
      <w:lvlJc w:val="left"/>
      <w:pPr>
        <w:ind w:left="113" w:hanging="795"/>
      </w:pPr>
      <w:rPr>
        <w:rFonts w:ascii="Times New Roman" w:eastAsia="Times New Roman" w:hAnsi="Times New Roman" w:hint="default"/>
        <w:b/>
        <w:bCs/>
        <w:i w:val="0"/>
        <w:sz w:val="24"/>
        <w:szCs w:val="24"/>
      </w:rPr>
    </w:lvl>
    <w:lvl w:ilvl="4">
      <w:start w:val="1"/>
      <w:numFmt w:val="bullet"/>
      <w:lvlText w:val="•"/>
      <w:lvlJc w:val="left"/>
      <w:pPr>
        <w:ind w:left="3893" w:hanging="795"/>
      </w:pPr>
      <w:rPr>
        <w:rFonts w:hint="default"/>
      </w:rPr>
    </w:lvl>
    <w:lvl w:ilvl="5">
      <w:start w:val="1"/>
      <w:numFmt w:val="bullet"/>
      <w:lvlText w:val="•"/>
      <w:lvlJc w:val="left"/>
      <w:pPr>
        <w:ind w:left="4889" w:hanging="795"/>
      </w:pPr>
      <w:rPr>
        <w:rFonts w:hint="default"/>
      </w:rPr>
    </w:lvl>
    <w:lvl w:ilvl="6">
      <w:start w:val="1"/>
      <w:numFmt w:val="bullet"/>
      <w:lvlText w:val="•"/>
      <w:lvlJc w:val="left"/>
      <w:pPr>
        <w:ind w:left="5884" w:hanging="795"/>
      </w:pPr>
      <w:rPr>
        <w:rFonts w:hint="default"/>
      </w:rPr>
    </w:lvl>
    <w:lvl w:ilvl="7">
      <w:start w:val="1"/>
      <w:numFmt w:val="bullet"/>
      <w:lvlText w:val="•"/>
      <w:lvlJc w:val="left"/>
      <w:pPr>
        <w:ind w:left="6880" w:hanging="795"/>
      </w:pPr>
      <w:rPr>
        <w:rFonts w:hint="default"/>
      </w:rPr>
    </w:lvl>
    <w:lvl w:ilvl="8">
      <w:start w:val="1"/>
      <w:numFmt w:val="bullet"/>
      <w:lvlText w:val="•"/>
      <w:lvlJc w:val="left"/>
      <w:pPr>
        <w:ind w:left="7875" w:hanging="795"/>
      </w:pPr>
      <w:rPr>
        <w:rFonts w:hint="default"/>
      </w:rPr>
    </w:lvl>
  </w:abstractNum>
  <w:abstractNum w:abstractNumId="2" w15:restartNumberingAfterBreak="0">
    <w:nsid w:val="207A29CA"/>
    <w:multiLevelType w:val="hybridMultilevel"/>
    <w:tmpl w:val="32565FE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F4269D"/>
    <w:multiLevelType w:val="hybridMultilevel"/>
    <w:tmpl w:val="5B2C11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6A5AD8"/>
    <w:multiLevelType w:val="hybridMultilevel"/>
    <w:tmpl w:val="32565FEC"/>
    <w:lvl w:ilvl="0" w:tplc="08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2675F4"/>
    <w:multiLevelType w:val="hybridMultilevel"/>
    <w:tmpl w:val="32565FE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8E10EF"/>
    <w:multiLevelType w:val="hybridMultilevel"/>
    <w:tmpl w:val="B8D2FEF6"/>
    <w:lvl w:ilvl="0" w:tplc="B6545CC8">
      <w:start w:val="1"/>
      <w:numFmt w:val="bullet"/>
      <w:lvlText w:val="–"/>
      <w:lvlJc w:val="left"/>
      <w:pPr>
        <w:ind w:left="907" w:hanging="795"/>
      </w:pPr>
      <w:rPr>
        <w:rFonts w:ascii="Times New Roman" w:eastAsia="Times New Roman" w:hAnsi="Times New Roman" w:hint="default"/>
        <w:sz w:val="24"/>
        <w:szCs w:val="24"/>
      </w:rPr>
    </w:lvl>
    <w:lvl w:ilvl="1" w:tplc="D378419A">
      <w:start w:val="1"/>
      <w:numFmt w:val="bullet"/>
      <w:lvlText w:val="•"/>
      <w:lvlJc w:val="left"/>
      <w:pPr>
        <w:ind w:left="1803" w:hanging="795"/>
      </w:pPr>
      <w:rPr>
        <w:rFonts w:hint="default"/>
      </w:rPr>
    </w:lvl>
    <w:lvl w:ilvl="2" w:tplc="2A66CF2A">
      <w:start w:val="1"/>
      <w:numFmt w:val="bullet"/>
      <w:lvlText w:val="•"/>
      <w:lvlJc w:val="left"/>
      <w:pPr>
        <w:ind w:left="2699" w:hanging="795"/>
      </w:pPr>
      <w:rPr>
        <w:rFonts w:hint="default"/>
      </w:rPr>
    </w:lvl>
    <w:lvl w:ilvl="3" w:tplc="F6DE6B0C">
      <w:start w:val="1"/>
      <w:numFmt w:val="bullet"/>
      <w:lvlText w:val="•"/>
      <w:lvlJc w:val="left"/>
      <w:pPr>
        <w:ind w:left="3595" w:hanging="795"/>
      </w:pPr>
      <w:rPr>
        <w:rFonts w:hint="default"/>
      </w:rPr>
    </w:lvl>
    <w:lvl w:ilvl="4" w:tplc="31E81918">
      <w:start w:val="1"/>
      <w:numFmt w:val="bullet"/>
      <w:lvlText w:val="•"/>
      <w:lvlJc w:val="left"/>
      <w:pPr>
        <w:ind w:left="4491" w:hanging="795"/>
      </w:pPr>
      <w:rPr>
        <w:rFonts w:hint="default"/>
      </w:rPr>
    </w:lvl>
    <w:lvl w:ilvl="5" w:tplc="2CC4EA6E">
      <w:start w:val="1"/>
      <w:numFmt w:val="bullet"/>
      <w:lvlText w:val="•"/>
      <w:lvlJc w:val="left"/>
      <w:pPr>
        <w:ind w:left="5387" w:hanging="795"/>
      </w:pPr>
      <w:rPr>
        <w:rFonts w:hint="default"/>
      </w:rPr>
    </w:lvl>
    <w:lvl w:ilvl="6" w:tplc="26563506">
      <w:start w:val="1"/>
      <w:numFmt w:val="bullet"/>
      <w:lvlText w:val="•"/>
      <w:lvlJc w:val="left"/>
      <w:pPr>
        <w:ind w:left="6282" w:hanging="795"/>
      </w:pPr>
      <w:rPr>
        <w:rFonts w:hint="default"/>
      </w:rPr>
    </w:lvl>
    <w:lvl w:ilvl="7" w:tplc="A8A08C58">
      <w:start w:val="1"/>
      <w:numFmt w:val="bullet"/>
      <w:lvlText w:val="•"/>
      <w:lvlJc w:val="left"/>
      <w:pPr>
        <w:ind w:left="7178" w:hanging="795"/>
      </w:pPr>
      <w:rPr>
        <w:rFonts w:hint="default"/>
      </w:rPr>
    </w:lvl>
    <w:lvl w:ilvl="8" w:tplc="6FD84AA6">
      <w:start w:val="1"/>
      <w:numFmt w:val="bullet"/>
      <w:lvlText w:val="•"/>
      <w:lvlJc w:val="left"/>
      <w:pPr>
        <w:ind w:left="8074" w:hanging="795"/>
      </w:pPr>
      <w:rPr>
        <w:rFonts w:hint="default"/>
      </w:rPr>
    </w:lvl>
  </w:abstractNum>
  <w:abstractNum w:abstractNumId="7" w15:restartNumberingAfterBreak="0">
    <w:nsid w:val="5CF26D24"/>
    <w:multiLevelType w:val="hybridMultilevel"/>
    <w:tmpl w:val="32565FE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A914AE"/>
    <w:multiLevelType w:val="hybridMultilevel"/>
    <w:tmpl w:val="17E4E0B6"/>
    <w:lvl w:ilvl="0" w:tplc="4E9C50C6">
      <w:start w:val="1"/>
      <w:numFmt w:val="lowerLetter"/>
      <w:lvlText w:val="%1)"/>
      <w:lvlJc w:val="left"/>
      <w:pPr>
        <w:ind w:left="907" w:hanging="795"/>
      </w:pPr>
      <w:rPr>
        <w:rFonts w:ascii="Times New Roman" w:eastAsia="Times New Roman" w:hAnsi="Times New Roman" w:hint="default"/>
        <w:i/>
        <w:sz w:val="24"/>
        <w:szCs w:val="24"/>
      </w:rPr>
    </w:lvl>
    <w:lvl w:ilvl="1" w:tplc="4F3AD5B8">
      <w:start w:val="1"/>
      <w:numFmt w:val="bullet"/>
      <w:lvlText w:val="•"/>
      <w:lvlJc w:val="left"/>
      <w:pPr>
        <w:ind w:left="1803" w:hanging="795"/>
      </w:pPr>
      <w:rPr>
        <w:rFonts w:hint="default"/>
      </w:rPr>
    </w:lvl>
    <w:lvl w:ilvl="2" w:tplc="9D06843C">
      <w:start w:val="1"/>
      <w:numFmt w:val="bullet"/>
      <w:lvlText w:val="•"/>
      <w:lvlJc w:val="left"/>
      <w:pPr>
        <w:ind w:left="2699" w:hanging="795"/>
      </w:pPr>
      <w:rPr>
        <w:rFonts w:hint="default"/>
      </w:rPr>
    </w:lvl>
    <w:lvl w:ilvl="3" w:tplc="7012D192">
      <w:start w:val="1"/>
      <w:numFmt w:val="bullet"/>
      <w:lvlText w:val="•"/>
      <w:lvlJc w:val="left"/>
      <w:pPr>
        <w:ind w:left="3595" w:hanging="795"/>
      </w:pPr>
      <w:rPr>
        <w:rFonts w:hint="default"/>
      </w:rPr>
    </w:lvl>
    <w:lvl w:ilvl="4" w:tplc="8782E8CC">
      <w:start w:val="1"/>
      <w:numFmt w:val="bullet"/>
      <w:lvlText w:val="•"/>
      <w:lvlJc w:val="left"/>
      <w:pPr>
        <w:ind w:left="4491" w:hanging="795"/>
      </w:pPr>
      <w:rPr>
        <w:rFonts w:hint="default"/>
      </w:rPr>
    </w:lvl>
    <w:lvl w:ilvl="5" w:tplc="A02408A4">
      <w:start w:val="1"/>
      <w:numFmt w:val="bullet"/>
      <w:lvlText w:val="•"/>
      <w:lvlJc w:val="left"/>
      <w:pPr>
        <w:ind w:left="5387" w:hanging="795"/>
      </w:pPr>
      <w:rPr>
        <w:rFonts w:hint="default"/>
      </w:rPr>
    </w:lvl>
    <w:lvl w:ilvl="6" w:tplc="D6D2BBB0">
      <w:start w:val="1"/>
      <w:numFmt w:val="bullet"/>
      <w:lvlText w:val="•"/>
      <w:lvlJc w:val="left"/>
      <w:pPr>
        <w:ind w:left="6282" w:hanging="795"/>
      </w:pPr>
      <w:rPr>
        <w:rFonts w:hint="default"/>
      </w:rPr>
    </w:lvl>
    <w:lvl w:ilvl="7" w:tplc="FDA662F0">
      <w:start w:val="1"/>
      <w:numFmt w:val="bullet"/>
      <w:lvlText w:val="•"/>
      <w:lvlJc w:val="left"/>
      <w:pPr>
        <w:ind w:left="7178" w:hanging="795"/>
      </w:pPr>
      <w:rPr>
        <w:rFonts w:hint="default"/>
      </w:rPr>
    </w:lvl>
    <w:lvl w:ilvl="8" w:tplc="23F84EA2">
      <w:start w:val="1"/>
      <w:numFmt w:val="bullet"/>
      <w:lvlText w:val="•"/>
      <w:lvlJc w:val="left"/>
      <w:pPr>
        <w:ind w:left="8074" w:hanging="795"/>
      </w:pPr>
      <w:rPr>
        <w:rFonts w:hint="default"/>
      </w:rPr>
    </w:lvl>
  </w:abstractNum>
  <w:abstractNum w:abstractNumId="9" w15:restartNumberingAfterBreak="0">
    <w:nsid w:val="6E75450D"/>
    <w:multiLevelType w:val="hybridMultilevel"/>
    <w:tmpl w:val="32565FE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2D27A0"/>
    <w:multiLevelType w:val="hybridMultilevel"/>
    <w:tmpl w:val="A6EAFCEC"/>
    <w:lvl w:ilvl="0" w:tplc="A7340584">
      <w:start w:val="1"/>
      <w:numFmt w:val="decimal"/>
      <w:lvlText w:val="%1"/>
      <w:lvlJc w:val="left"/>
      <w:pPr>
        <w:ind w:left="367" w:hanging="255"/>
      </w:pPr>
      <w:rPr>
        <w:rFonts w:ascii="Times New Roman" w:eastAsia="Times New Roman" w:hAnsi="Times New Roman" w:hint="default"/>
        <w:position w:val="6"/>
        <w:sz w:val="18"/>
        <w:szCs w:val="18"/>
      </w:rPr>
    </w:lvl>
    <w:lvl w:ilvl="1" w:tplc="D13A517E">
      <w:start w:val="1"/>
      <w:numFmt w:val="bullet"/>
      <w:lvlText w:val="•"/>
      <w:lvlJc w:val="left"/>
      <w:pPr>
        <w:ind w:left="1317" w:hanging="255"/>
      </w:pPr>
      <w:rPr>
        <w:rFonts w:hint="default"/>
      </w:rPr>
    </w:lvl>
    <w:lvl w:ilvl="2" w:tplc="C576ED8E">
      <w:start w:val="1"/>
      <w:numFmt w:val="bullet"/>
      <w:lvlText w:val="•"/>
      <w:lvlJc w:val="left"/>
      <w:pPr>
        <w:ind w:left="2267" w:hanging="255"/>
      </w:pPr>
      <w:rPr>
        <w:rFonts w:hint="default"/>
      </w:rPr>
    </w:lvl>
    <w:lvl w:ilvl="3" w:tplc="FFBC6A3C">
      <w:start w:val="1"/>
      <w:numFmt w:val="bullet"/>
      <w:lvlText w:val="•"/>
      <w:lvlJc w:val="left"/>
      <w:pPr>
        <w:ind w:left="3217" w:hanging="255"/>
      </w:pPr>
      <w:rPr>
        <w:rFonts w:hint="default"/>
      </w:rPr>
    </w:lvl>
    <w:lvl w:ilvl="4" w:tplc="E4D2FFE4">
      <w:start w:val="1"/>
      <w:numFmt w:val="bullet"/>
      <w:lvlText w:val="•"/>
      <w:lvlJc w:val="left"/>
      <w:pPr>
        <w:ind w:left="4167" w:hanging="255"/>
      </w:pPr>
      <w:rPr>
        <w:rFonts w:hint="default"/>
      </w:rPr>
    </w:lvl>
    <w:lvl w:ilvl="5" w:tplc="741025BA">
      <w:start w:val="1"/>
      <w:numFmt w:val="bullet"/>
      <w:lvlText w:val="•"/>
      <w:lvlJc w:val="left"/>
      <w:pPr>
        <w:ind w:left="5117" w:hanging="255"/>
      </w:pPr>
      <w:rPr>
        <w:rFonts w:hint="default"/>
      </w:rPr>
    </w:lvl>
    <w:lvl w:ilvl="6" w:tplc="B59E0ED0">
      <w:start w:val="1"/>
      <w:numFmt w:val="bullet"/>
      <w:lvlText w:val="•"/>
      <w:lvlJc w:val="left"/>
      <w:pPr>
        <w:ind w:left="6066" w:hanging="255"/>
      </w:pPr>
      <w:rPr>
        <w:rFonts w:hint="default"/>
      </w:rPr>
    </w:lvl>
    <w:lvl w:ilvl="7" w:tplc="91C6FCD2">
      <w:start w:val="1"/>
      <w:numFmt w:val="bullet"/>
      <w:lvlText w:val="•"/>
      <w:lvlJc w:val="left"/>
      <w:pPr>
        <w:ind w:left="7016" w:hanging="255"/>
      </w:pPr>
      <w:rPr>
        <w:rFonts w:hint="default"/>
      </w:rPr>
    </w:lvl>
    <w:lvl w:ilvl="8" w:tplc="99A4D630">
      <w:start w:val="1"/>
      <w:numFmt w:val="bullet"/>
      <w:lvlText w:val="•"/>
      <w:lvlJc w:val="left"/>
      <w:pPr>
        <w:ind w:left="7966" w:hanging="255"/>
      </w:pPr>
      <w:rPr>
        <w:rFonts w:hint="default"/>
      </w:rPr>
    </w:lvl>
  </w:abstractNum>
  <w:num w:numId="1">
    <w:abstractNumId w:val="8"/>
  </w:num>
  <w:num w:numId="2">
    <w:abstractNumId w:val="10"/>
  </w:num>
  <w:num w:numId="3">
    <w:abstractNumId w:val="6"/>
  </w:num>
  <w:num w:numId="4">
    <w:abstractNumId w:val="1"/>
  </w:num>
  <w:num w:numId="5">
    <w:abstractNumId w:val="0"/>
  </w:num>
  <w:num w:numId="6">
    <w:abstractNumId w:val="4"/>
  </w:num>
  <w:num w:numId="7">
    <w:abstractNumId w:val="3"/>
  </w:num>
  <w:num w:numId="8">
    <w:abstractNumId w:val="2"/>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D7"/>
    <w:rsid w:val="00000F05"/>
    <w:rsid w:val="00006E84"/>
    <w:rsid w:val="00030856"/>
    <w:rsid w:val="00036C23"/>
    <w:rsid w:val="00047ECA"/>
    <w:rsid w:val="0005466D"/>
    <w:rsid w:val="00061E8E"/>
    <w:rsid w:val="000644E5"/>
    <w:rsid w:val="00067EA6"/>
    <w:rsid w:val="00070583"/>
    <w:rsid w:val="000818DB"/>
    <w:rsid w:val="00085830"/>
    <w:rsid w:val="00086EAF"/>
    <w:rsid w:val="000963EF"/>
    <w:rsid w:val="000A01E3"/>
    <w:rsid w:val="000A1FE2"/>
    <w:rsid w:val="000A2795"/>
    <w:rsid w:val="000A4C52"/>
    <w:rsid w:val="000A6122"/>
    <w:rsid w:val="000B1952"/>
    <w:rsid w:val="000B4303"/>
    <w:rsid w:val="000B6803"/>
    <w:rsid w:val="000D3CCA"/>
    <w:rsid w:val="000D52E0"/>
    <w:rsid w:val="000D79D3"/>
    <w:rsid w:val="000F0A17"/>
    <w:rsid w:val="000F15D4"/>
    <w:rsid w:val="000F4FDB"/>
    <w:rsid w:val="001000F5"/>
    <w:rsid w:val="001056F2"/>
    <w:rsid w:val="00106139"/>
    <w:rsid w:val="001112DC"/>
    <w:rsid w:val="0011309E"/>
    <w:rsid w:val="00114225"/>
    <w:rsid w:val="00117EEE"/>
    <w:rsid w:val="00117F33"/>
    <w:rsid w:val="00123927"/>
    <w:rsid w:val="00132CA8"/>
    <w:rsid w:val="001348FF"/>
    <w:rsid w:val="001416AB"/>
    <w:rsid w:val="00142FBC"/>
    <w:rsid w:val="001519B6"/>
    <w:rsid w:val="00156A31"/>
    <w:rsid w:val="001579C1"/>
    <w:rsid w:val="00157DB4"/>
    <w:rsid w:val="00164120"/>
    <w:rsid w:val="001642DC"/>
    <w:rsid w:val="00166306"/>
    <w:rsid w:val="00170C89"/>
    <w:rsid w:val="00172264"/>
    <w:rsid w:val="0017594B"/>
    <w:rsid w:val="0018107D"/>
    <w:rsid w:val="00184220"/>
    <w:rsid w:val="00190362"/>
    <w:rsid w:val="00195BC4"/>
    <w:rsid w:val="001A43BF"/>
    <w:rsid w:val="001A5F04"/>
    <w:rsid w:val="001B2333"/>
    <w:rsid w:val="001B4C9B"/>
    <w:rsid w:val="001B5F82"/>
    <w:rsid w:val="001C0756"/>
    <w:rsid w:val="001C174C"/>
    <w:rsid w:val="001C3881"/>
    <w:rsid w:val="001D58F2"/>
    <w:rsid w:val="001D6582"/>
    <w:rsid w:val="001E1083"/>
    <w:rsid w:val="001F337C"/>
    <w:rsid w:val="00200156"/>
    <w:rsid w:val="0021679E"/>
    <w:rsid w:val="00240FCB"/>
    <w:rsid w:val="002424D9"/>
    <w:rsid w:val="00251205"/>
    <w:rsid w:val="00254C87"/>
    <w:rsid w:val="0026476A"/>
    <w:rsid w:val="00273F3A"/>
    <w:rsid w:val="002824CF"/>
    <w:rsid w:val="00291CDD"/>
    <w:rsid w:val="00294607"/>
    <w:rsid w:val="0029717E"/>
    <w:rsid w:val="00297EEF"/>
    <w:rsid w:val="002A437E"/>
    <w:rsid w:val="002A5D20"/>
    <w:rsid w:val="002B06D8"/>
    <w:rsid w:val="002B1648"/>
    <w:rsid w:val="002B3AE0"/>
    <w:rsid w:val="002B5303"/>
    <w:rsid w:val="002C0990"/>
    <w:rsid w:val="002C39B0"/>
    <w:rsid w:val="002D1F70"/>
    <w:rsid w:val="002D51DA"/>
    <w:rsid w:val="002D60C2"/>
    <w:rsid w:val="002E0800"/>
    <w:rsid w:val="002E142E"/>
    <w:rsid w:val="002E3D60"/>
    <w:rsid w:val="002F16D1"/>
    <w:rsid w:val="002F2152"/>
    <w:rsid w:val="002F3545"/>
    <w:rsid w:val="003005DF"/>
    <w:rsid w:val="003056E5"/>
    <w:rsid w:val="00311E76"/>
    <w:rsid w:val="003149D3"/>
    <w:rsid w:val="00315073"/>
    <w:rsid w:val="00316274"/>
    <w:rsid w:val="0031687A"/>
    <w:rsid w:val="00317431"/>
    <w:rsid w:val="00321780"/>
    <w:rsid w:val="00324476"/>
    <w:rsid w:val="003409FA"/>
    <w:rsid w:val="00341AA7"/>
    <w:rsid w:val="00343156"/>
    <w:rsid w:val="0034368B"/>
    <w:rsid w:val="0034434C"/>
    <w:rsid w:val="003445D8"/>
    <w:rsid w:val="0036170E"/>
    <w:rsid w:val="00361732"/>
    <w:rsid w:val="0036220B"/>
    <w:rsid w:val="00365DF4"/>
    <w:rsid w:val="00382135"/>
    <w:rsid w:val="00387AB3"/>
    <w:rsid w:val="0039065E"/>
    <w:rsid w:val="0039219F"/>
    <w:rsid w:val="003955B5"/>
    <w:rsid w:val="003A00A3"/>
    <w:rsid w:val="003B2424"/>
    <w:rsid w:val="003B75F0"/>
    <w:rsid w:val="003C3A2E"/>
    <w:rsid w:val="003C3CB9"/>
    <w:rsid w:val="003C4CD9"/>
    <w:rsid w:val="003C6B9C"/>
    <w:rsid w:val="003C78A0"/>
    <w:rsid w:val="003C79E6"/>
    <w:rsid w:val="003D383F"/>
    <w:rsid w:val="003D43E8"/>
    <w:rsid w:val="003D50DC"/>
    <w:rsid w:val="003E188D"/>
    <w:rsid w:val="003E190E"/>
    <w:rsid w:val="003F304D"/>
    <w:rsid w:val="003F542B"/>
    <w:rsid w:val="003F7178"/>
    <w:rsid w:val="003F79FE"/>
    <w:rsid w:val="004046E0"/>
    <w:rsid w:val="0040604E"/>
    <w:rsid w:val="00414B1A"/>
    <w:rsid w:val="00416458"/>
    <w:rsid w:val="004210C2"/>
    <w:rsid w:val="00423276"/>
    <w:rsid w:val="00442A8A"/>
    <w:rsid w:val="004437FF"/>
    <w:rsid w:val="00444BF5"/>
    <w:rsid w:val="004477C0"/>
    <w:rsid w:val="00451690"/>
    <w:rsid w:val="004523AD"/>
    <w:rsid w:val="004526B9"/>
    <w:rsid w:val="00453ACA"/>
    <w:rsid w:val="00453DA4"/>
    <w:rsid w:val="00467596"/>
    <w:rsid w:val="00467A88"/>
    <w:rsid w:val="00487FF8"/>
    <w:rsid w:val="0049097C"/>
    <w:rsid w:val="00496404"/>
    <w:rsid w:val="00496901"/>
    <w:rsid w:val="004B534C"/>
    <w:rsid w:val="004C6617"/>
    <w:rsid w:val="004C7169"/>
    <w:rsid w:val="004D266D"/>
    <w:rsid w:val="004E0723"/>
    <w:rsid w:val="004E216D"/>
    <w:rsid w:val="004E328D"/>
    <w:rsid w:val="004F00DA"/>
    <w:rsid w:val="004F30CD"/>
    <w:rsid w:val="004F6CAE"/>
    <w:rsid w:val="004F7C36"/>
    <w:rsid w:val="00500F8E"/>
    <w:rsid w:val="005111D4"/>
    <w:rsid w:val="005130E1"/>
    <w:rsid w:val="005152B0"/>
    <w:rsid w:val="0052030E"/>
    <w:rsid w:val="00520B2D"/>
    <w:rsid w:val="00520FE9"/>
    <w:rsid w:val="00530E7E"/>
    <w:rsid w:val="00533E8D"/>
    <w:rsid w:val="0053524F"/>
    <w:rsid w:val="005427AC"/>
    <w:rsid w:val="00543AEF"/>
    <w:rsid w:val="00545599"/>
    <w:rsid w:val="00555286"/>
    <w:rsid w:val="0056152D"/>
    <w:rsid w:val="00562B72"/>
    <w:rsid w:val="005801F2"/>
    <w:rsid w:val="00585CE3"/>
    <w:rsid w:val="00590EA5"/>
    <w:rsid w:val="0059262A"/>
    <w:rsid w:val="005A010F"/>
    <w:rsid w:val="005A7551"/>
    <w:rsid w:val="005B30A0"/>
    <w:rsid w:val="005B760A"/>
    <w:rsid w:val="005C2BB3"/>
    <w:rsid w:val="005C7FDD"/>
    <w:rsid w:val="005C7FDF"/>
    <w:rsid w:val="005D201B"/>
    <w:rsid w:val="005D3054"/>
    <w:rsid w:val="005D41B4"/>
    <w:rsid w:val="005E2247"/>
    <w:rsid w:val="005E7C31"/>
    <w:rsid w:val="0060413C"/>
    <w:rsid w:val="00612E5E"/>
    <w:rsid w:val="00625C80"/>
    <w:rsid w:val="00632344"/>
    <w:rsid w:val="00637022"/>
    <w:rsid w:val="00637A87"/>
    <w:rsid w:val="0064389E"/>
    <w:rsid w:val="006477C1"/>
    <w:rsid w:val="00650FA7"/>
    <w:rsid w:val="00651331"/>
    <w:rsid w:val="006535B6"/>
    <w:rsid w:val="00656442"/>
    <w:rsid w:val="00662D0B"/>
    <w:rsid w:val="006643FD"/>
    <w:rsid w:val="00665352"/>
    <w:rsid w:val="00670798"/>
    <w:rsid w:val="00677AFE"/>
    <w:rsid w:val="00680603"/>
    <w:rsid w:val="006820E1"/>
    <w:rsid w:val="006854AD"/>
    <w:rsid w:val="00687632"/>
    <w:rsid w:val="006967D0"/>
    <w:rsid w:val="006A1FFA"/>
    <w:rsid w:val="006A214F"/>
    <w:rsid w:val="006A798B"/>
    <w:rsid w:val="006B15FB"/>
    <w:rsid w:val="006C06C9"/>
    <w:rsid w:val="006C34D4"/>
    <w:rsid w:val="006C4740"/>
    <w:rsid w:val="006C6043"/>
    <w:rsid w:val="006D159A"/>
    <w:rsid w:val="006D251A"/>
    <w:rsid w:val="006D2C41"/>
    <w:rsid w:val="006D6524"/>
    <w:rsid w:val="006E2032"/>
    <w:rsid w:val="00713E1B"/>
    <w:rsid w:val="00730E19"/>
    <w:rsid w:val="007324D7"/>
    <w:rsid w:val="00736858"/>
    <w:rsid w:val="007411E7"/>
    <w:rsid w:val="00745998"/>
    <w:rsid w:val="00760895"/>
    <w:rsid w:val="00760D68"/>
    <w:rsid w:val="00772BB7"/>
    <w:rsid w:val="00773625"/>
    <w:rsid w:val="00773F9A"/>
    <w:rsid w:val="0077674E"/>
    <w:rsid w:val="00777B70"/>
    <w:rsid w:val="00777BA1"/>
    <w:rsid w:val="007929E0"/>
    <w:rsid w:val="007A29B0"/>
    <w:rsid w:val="007A7652"/>
    <w:rsid w:val="007A7F9B"/>
    <w:rsid w:val="007B13C1"/>
    <w:rsid w:val="007B6C66"/>
    <w:rsid w:val="007B7878"/>
    <w:rsid w:val="007C0D62"/>
    <w:rsid w:val="007D03AE"/>
    <w:rsid w:val="007D1798"/>
    <w:rsid w:val="007D1C76"/>
    <w:rsid w:val="007D27B7"/>
    <w:rsid w:val="007D3842"/>
    <w:rsid w:val="007E34F5"/>
    <w:rsid w:val="007E7ABF"/>
    <w:rsid w:val="007E7BB5"/>
    <w:rsid w:val="007F0064"/>
    <w:rsid w:val="007F33CB"/>
    <w:rsid w:val="007F3DA3"/>
    <w:rsid w:val="007F7A23"/>
    <w:rsid w:val="008003E1"/>
    <w:rsid w:val="00800E0F"/>
    <w:rsid w:val="00801EDC"/>
    <w:rsid w:val="008037E0"/>
    <w:rsid w:val="008049E5"/>
    <w:rsid w:val="00804EF1"/>
    <w:rsid w:val="008107CF"/>
    <w:rsid w:val="0081112C"/>
    <w:rsid w:val="008153F7"/>
    <w:rsid w:val="008156E4"/>
    <w:rsid w:val="00824180"/>
    <w:rsid w:val="0082684F"/>
    <w:rsid w:val="0082724C"/>
    <w:rsid w:val="00832B21"/>
    <w:rsid w:val="00836787"/>
    <w:rsid w:val="0083678C"/>
    <w:rsid w:val="008479BB"/>
    <w:rsid w:val="00851A7B"/>
    <w:rsid w:val="00862075"/>
    <w:rsid w:val="00863A83"/>
    <w:rsid w:val="00865579"/>
    <w:rsid w:val="00867467"/>
    <w:rsid w:val="00867A96"/>
    <w:rsid w:val="00875B08"/>
    <w:rsid w:val="0087657E"/>
    <w:rsid w:val="00876667"/>
    <w:rsid w:val="00887E36"/>
    <w:rsid w:val="00895337"/>
    <w:rsid w:val="008A7662"/>
    <w:rsid w:val="008B4C1C"/>
    <w:rsid w:val="008C5182"/>
    <w:rsid w:val="008C5558"/>
    <w:rsid w:val="008E3D95"/>
    <w:rsid w:val="008F1AF2"/>
    <w:rsid w:val="0090013B"/>
    <w:rsid w:val="00901795"/>
    <w:rsid w:val="00910948"/>
    <w:rsid w:val="00910BC7"/>
    <w:rsid w:val="009207CD"/>
    <w:rsid w:val="00926CBD"/>
    <w:rsid w:val="00927584"/>
    <w:rsid w:val="00935157"/>
    <w:rsid w:val="009356DD"/>
    <w:rsid w:val="0094294C"/>
    <w:rsid w:val="00944B6D"/>
    <w:rsid w:val="009513E4"/>
    <w:rsid w:val="009539FA"/>
    <w:rsid w:val="009610D7"/>
    <w:rsid w:val="009622EC"/>
    <w:rsid w:val="00964741"/>
    <w:rsid w:val="009650CD"/>
    <w:rsid w:val="00975C2D"/>
    <w:rsid w:val="00984653"/>
    <w:rsid w:val="009855E5"/>
    <w:rsid w:val="009B7508"/>
    <w:rsid w:val="009B7711"/>
    <w:rsid w:val="009C4F4B"/>
    <w:rsid w:val="009C5DD9"/>
    <w:rsid w:val="009C6681"/>
    <w:rsid w:val="009C69BD"/>
    <w:rsid w:val="009C6F62"/>
    <w:rsid w:val="009D2EB0"/>
    <w:rsid w:val="009E7588"/>
    <w:rsid w:val="009F40AE"/>
    <w:rsid w:val="009F4C8C"/>
    <w:rsid w:val="00A001D5"/>
    <w:rsid w:val="00A11781"/>
    <w:rsid w:val="00A24847"/>
    <w:rsid w:val="00A3271E"/>
    <w:rsid w:val="00A35D14"/>
    <w:rsid w:val="00A37BA1"/>
    <w:rsid w:val="00A4352D"/>
    <w:rsid w:val="00A45F83"/>
    <w:rsid w:val="00A57665"/>
    <w:rsid w:val="00A61243"/>
    <w:rsid w:val="00A61286"/>
    <w:rsid w:val="00A70A26"/>
    <w:rsid w:val="00A80BE0"/>
    <w:rsid w:val="00A81461"/>
    <w:rsid w:val="00A8189A"/>
    <w:rsid w:val="00A81B61"/>
    <w:rsid w:val="00A83BFB"/>
    <w:rsid w:val="00A857D8"/>
    <w:rsid w:val="00A87285"/>
    <w:rsid w:val="00A933FD"/>
    <w:rsid w:val="00A96F6C"/>
    <w:rsid w:val="00AA0A32"/>
    <w:rsid w:val="00AA17B4"/>
    <w:rsid w:val="00AA7CF9"/>
    <w:rsid w:val="00AC0264"/>
    <w:rsid w:val="00AC0503"/>
    <w:rsid w:val="00AC3374"/>
    <w:rsid w:val="00AC572F"/>
    <w:rsid w:val="00AD1CAC"/>
    <w:rsid w:val="00AD342F"/>
    <w:rsid w:val="00AD7930"/>
    <w:rsid w:val="00AD7B57"/>
    <w:rsid w:val="00AE1BFD"/>
    <w:rsid w:val="00AE3991"/>
    <w:rsid w:val="00AE5599"/>
    <w:rsid w:val="00AE7A49"/>
    <w:rsid w:val="00AE7F20"/>
    <w:rsid w:val="00AF0258"/>
    <w:rsid w:val="00AF28ED"/>
    <w:rsid w:val="00AF3462"/>
    <w:rsid w:val="00AF4894"/>
    <w:rsid w:val="00AF6CB5"/>
    <w:rsid w:val="00B01E65"/>
    <w:rsid w:val="00B03D79"/>
    <w:rsid w:val="00B1514E"/>
    <w:rsid w:val="00B177F8"/>
    <w:rsid w:val="00B25ED1"/>
    <w:rsid w:val="00B26C26"/>
    <w:rsid w:val="00B422EB"/>
    <w:rsid w:val="00B4323D"/>
    <w:rsid w:val="00B44E7D"/>
    <w:rsid w:val="00B52186"/>
    <w:rsid w:val="00B6152C"/>
    <w:rsid w:val="00B62247"/>
    <w:rsid w:val="00B647B9"/>
    <w:rsid w:val="00B64C95"/>
    <w:rsid w:val="00B66609"/>
    <w:rsid w:val="00B71DBD"/>
    <w:rsid w:val="00B72295"/>
    <w:rsid w:val="00B84A96"/>
    <w:rsid w:val="00B907D2"/>
    <w:rsid w:val="00B971E3"/>
    <w:rsid w:val="00BA1ECD"/>
    <w:rsid w:val="00BB28AB"/>
    <w:rsid w:val="00BB79E5"/>
    <w:rsid w:val="00BC688A"/>
    <w:rsid w:val="00BC6A7D"/>
    <w:rsid w:val="00BC7B3F"/>
    <w:rsid w:val="00BD4C31"/>
    <w:rsid w:val="00BD5270"/>
    <w:rsid w:val="00BE08B7"/>
    <w:rsid w:val="00BE45F1"/>
    <w:rsid w:val="00BF081F"/>
    <w:rsid w:val="00BF5542"/>
    <w:rsid w:val="00C01B8C"/>
    <w:rsid w:val="00C01DD5"/>
    <w:rsid w:val="00C06F91"/>
    <w:rsid w:val="00C075FA"/>
    <w:rsid w:val="00C11E89"/>
    <w:rsid w:val="00C13CBA"/>
    <w:rsid w:val="00C15CC9"/>
    <w:rsid w:val="00C20042"/>
    <w:rsid w:val="00C22E7E"/>
    <w:rsid w:val="00C267D0"/>
    <w:rsid w:val="00C26B80"/>
    <w:rsid w:val="00C301DF"/>
    <w:rsid w:val="00C37488"/>
    <w:rsid w:val="00C527DC"/>
    <w:rsid w:val="00C55F96"/>
    <w:rsid w:val="00C56A60"/>
    <w:rsid w:val="00C64BCF"/>
    <w:rsid w:val="00C7162C"/>
    <w:rsid w:val="00C71937"/>
    <w:rsid w:val="00C723BD"/>
    <w:rsid w:val="00C76BBC"/>
    <w:rsid w:val="00C778ED"/>
    <w:rsid w:val="00C920A2"/>
    <w:rsid w:val="00CA01E3"/>
    <w:rsid w:val="00CA5D36"/>
    <w:rsid w:val="00CA71E6"/>
    <w:rsid w:val="00CB0F79"/>
    <w:rsid w:val="00CB207E"/>
    <w:rsid w:val="00CB3287"/>
    <w:rsid w:val="00CC3F55"/>
    <w:rsid w:val="00CC5234"/>
    <w:rsid w:val="00CD130D"/>
    <w:rsid w:val="00CE53D7"/>
    <w:rsid w:val="00CE7EED"/>
    <w:rsid w:val="00CF0972"/>
    <w:rsid w:val="00CF5600"/>
    <w:rsid w:val="00D058A6"/>
    <w:rsid w:val="00D07C60"/>
    <w:rsid w:val="00D114BC"/>
    <w:rsid w:val="00D133E4"/>
    <w:rsid w:val="00D13443"/>
    <w:rsid w:val="00D157FE"/>
    <w:rsid w:val="00D24C4F"/>
    <w:rsid w:val="00D25767"/>
    <w:rsid w:val="00D3185D"/>
    <w:rsid w:val="00D3226A"/>
    <w:rsid w:val="00D34B3B"/>
    <w:rsid w:val="00D35D3A"/>
    <w:rsid w:val="00D406E0"/>
    <w:rsid w:val="00D4246C"/>
    <w:rsid w:val="00D526C0"/>
    <w:rsid w:val="00D54EBB"/>
    <w:rsid w:val="00D62C95"/>
    <w:rsid w:val="00D74D85"/>
    <w:rsid w:val="00D750D6"/>
    <w:rsid w:val="00D7706C"/>
    <w:rsid w:val="00D81D24"/>
    <w:rsid w:val="00D90985"/>
    <w:rsid w:val="00D93051"/>
    <w:rsid w:val="00D9588A"/>
    <w:rsid w:val="00D96D87"/>
    <w:rsid w:val="00DC42F8"/>
    <w:rsid w:val="00DC5EBA"/>
    <w:rsid w:val="00DD530F"/>
    <w:rsid w:val="00DD5860"/>
    <w:rsid w:val="00DD5BD5"/>
    <w:rsid w:val="00DD6AD6"/>
    <w:rsid w:val="00DE1DE9"/>
    <w:rsid w:val="00DE41D7"/>
    <w:rsid w:val="00DE4F56"/>
    <w:rsid w:val="00DF4026"/>
    <w:rsid w:val="00E0661D"/>
    <w:rsid w:val="00E157CD"/>
    <w:rsid w:val="00E16292"/>
    <w:rsid w:val="00E3003E"/>
    <w:rsid w:val="00E31562"/>
    <w:rsid w:val="00E3673A"/>
    <w:rsid w:val="00E36E68"/>
    <w:rsid w:val="00E40CA3"/>
    <w:rsid w:val="00E42308"/>
    <w:rsid w:val="00E459DE"/>
    <w:rsid w:val="00E45E16"/>
    <w:rsid w:val="00E466A4"/>
    <w:rsid w:val="00E55119"/>
    <w:rsid w:val="00E56199"/>
    <w:rsid w:val="00E56476"/>
    <w:rsid w:val="00E6609E"/>
    <w:rsid w:val="00E67BC7"/>
    <w:rsid w:val="00E70F4E"/>
    <w:rsid w:val="00E777CB"/>
    <w:rsid w:val="00E84466"/>
    <w:rsid w:val="00E84BEB"/>
    <w:rsid w:val="00E901A3"/>
    <w:rsid w:val="00E947B8"/>
    <w:rsid w:val="00EA0422"/>
    <w:rsid w:val="00EA15CD"/>
    <w:rsid w:val="00EB3B56"/>
    <w:rsid w:val="00EC4543"/>
    <w:rsid w:val="00EC55F9"/>
    <w:rsid w:val="00EC6082"/>
    <w:rsid w:val="00EC7B0F"/>
    <w:rsid w:val="00ED0FF8"/>
    <w:rsid w:val="00ED313D"/>
    <w:rsid w:val="00EF042A"/>
    <w:rsid w:val="00EF04DF"/>
    <w:rsid w:val="00EF2D09"/>
    <w:rsid w:val="00EF362C"/>
    <w:rsid w:val="00F012FA"/>
    <w:rsid w:val="00F02C49"/>
    <w:rsid w:val="00F0491E"/>
    <w:rsid w:val="00F0563A"/>
    <w:rsid w:val="00F10CB2"/>
    <w:rsid w:val="00F15D3E"/>
    <w:rsid w:val="00F15E8A"/>
    <w:rsid w:val="00F24ADC"/>
    <w:rsid w:val="00F36D5F"/>
    <w:rsid w:val="00F423FE"/>
    <w:rsid w:val="00F54F70"/>
    <w:rsid w:val="00F5612A"/>
    <w:rsid w:val="00F60356"/>
    <w:rsid w:val="00F65382"/>
    <w:rsid w:val="00F65A9A"/>
    <w:rsid w:val="00F72B0C"/>
    <w:rsid w:val="00F746CC"/>
    <w:rsid w:val="00F767E0"/>
    <w:rsid w:val="00F80386"/>
    <w:rsid w:val="00F843ED"/>
    <w:rsid w:val="00F924EB"/>
    <w:rsid w:val="00FA17A0"/>
    <w:rsid w:val="00FA20E4"/>
    <w:rsid w:val="00FA77B1"/>
    <w:rsid w:val="00FB1B4F"/>
    <w:rsid w:val="00FB3C84"/>
    <w:rsid w:val="00FC018E"/>
    <w:rsid w:val="00FC37B3"/>
    <w:rsid w:val="00FC4E0F"/>
    <w:rsid w:val="00FC518A"/>
    <w:rsid w:val="00FC6E0E"/>
    <w:rsid w:val="00FC7A76"/>
    <w:rsid w:val="00FD2395"/>
    <w:rsid w:val="00FD350B"/>
    <w:rsid w:val="00FD6112"/>
    <w:rsid w:val="00FD6550"/>
    <w:rsid w:val="00FD7ABA"/>
    <w:rsid w:val="00FD7DB9"/>
    <w:rsid w:val="00FE24D6"/>
    <w:rsid w:val="00FE61C0"/>
    <w:rsid w:val="00FE67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BC1DC"/>
  <w15:docId w15:val="{24ECE3F1-2440-4E29-8983-95087ED3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F8E"/>
    <w:pPr>
      <w:widowControl/>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500F8E"/>
    <w:pPr>
      <w:keepNext/>
      <w:keepLines/>
      <w:spacing w:before="360"/>
      <w:ind w:left="794" w:hanging="794"/>
      <w:jc w:val="left"/>
      <w:outlineLvl w:val="0"/>
    </w:pPr>
    <w:rPr>
      <w:b/>
    </w:rPr>
  </w:style>
  <w:style w:type="paragraph" w:styleId="Heading2">
    <w:name w:val="heading 2"/>
    <w:basedOn w:val="Heading1"/>
    <w:next w:val="Normal"/>
    <w:link w:val="Heading2Char"/>
    <w:qFormat/>
    <w:rsid w:val="00500F8E"/>
    <w:pPr>
      <w:spacing w:before="240"/>
      <w:outlineLvl w:val="1"/>
    </w:pPr>
  </w:style>
  <w:style w:type="paragraph" w:styleId="Heading3">
    <w:name w:val="heading 3"/>
    <w:basedOn w:val="Heading1"/>
    <w:next w:val="Normal"/>
    <w:link w:val="Heading3Char"/>
    <w:qFormat/>
    <w:rsid w:val="00500F8E"/>
    <w:pPr>
      <w:spacing w:before="160"/>
      <w:outlineLvl w:val="2"/>
    </w:pPr>
  </w:style>
  <w:style w:type="paragraph" w:styleId="Heading4">
    <w:name w:val="heading 4"/>
    <w:basedOn w:val="Heading3"/>
    <w:next w:val="Normal"/>
    <w:link w:val="Heading4Char"/>
    <w:qFormat/>
    <w:rsid w:val="00500F8E"/>
    <w:pPr>
      <w:tabs>
        <w:tab w:val="clear" w:pos="794"/>
        <w:tab w:val="left" w:pos="1021"/>
      </w:tabs>
      <w:ind w:left="1021" w:hanging="1021"/>
      <w:outlineLvl w:val="3"/>
    </w:pPr>
  </w:style>
  <w:style w:type="paragraph" w:styleId="Heading5">
    <w:name w:val="heading 5"/>
    <w:basedOn w:val="Heading4"/>
    <w:next w:val="Normal"/>
    <w:link w:val="Heading5Char"/>
    <w:qFormat/>
    <w:rsid w:val="00500F8E"/>
    <w:pPr>
      <w:outlineLvl w:val="4"/>
    </w:pPr>
  </w:style>
  <w:style w:type="paragraph" w:styleId="Heading6">
    <w:name w:val="heading 6"/>
    <w:basedOn w:val="Heading4"/>
    <w:next w:val="Normal"/>
    <w:link w:val="Heading6Char"/>
    <w:qFormat/>
    <w:rsid w:val="00500F8E"/>
    <w:pPr>
      <w:tabs>
        <w:tab w:val="clear" w:pos="1021"/>
        <w:tab w:val="clear" w:pos="1191"/>
      </w:tabs>
      <w:ind w:left="1588" w:hanging="1588"/>
      <w:outlineLvl w:val="5"/>
    </w:pPr>
  </w:style>
  <w:style w:type="paragraph" w:styleId="Heading7">
    <w:name w:val="heading 7"/>
    <w:basedOn w:val="Heading6"/>
    <w:next w:val="Normal"/>
    <w:link w:val="Heading7Char"/>
    <w:qFormat/>
    <w:rsid w:val="00500F8E"/>
    <w:pPr>
      <w:outlineLvl w:val="6"/>
    </w:pPr>
  </w:style>
  <w:style w:type="paragraph" w:styleId="Heading8">
    <w:name w:val="heading 8"/>
    <w:basedOn w:val="Heading6"/>
    <w:next w:val="Normal"/>
    <w:link w:val="Heading8Char"/>
    <w:qFormat/>
    <w:rsid w:val="00500F8E"/>
    <w:pPr>
      <w:outlineLvl w:val="7"/>
    </w:pPr>
  </w:style>
  <w:style w:type="paragraph" w:styleId="Heading9">
    <w:name w:val="heading 9"/>
    <w:basedOn w:val="Heading6"/>
    <w:next w:val="Normal"/>
    <w:link w:val="Heading9Char"/>
    <w:qFormat/>
    <w:rsid w:val="00500F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sid w:val="00500F8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rsid w:val="00500F8E"/>
    <w:pPr>
      <w:spacing w:before="80"/>
      <w:ind w:left="1531" w:hanging="851"/>
    </w:pPr>
  </w:style>
  <w:style w:type="paragraph" w:styleId="TOC3">
    <w:name w:val="toc 3"/>
    <w:basedOn w:val="TOC2"/>
    <w:rsid w:val="00500F8E"/>
  </w:style>
  <w:style w:type="paragraph" w:styleId="BodyText">
    <w:name w:val="Body Text"/>
    <w:basedOn w:val="Normal"/>
    <w:link w:val="BodyTextChar"/>
    <w:uiPriority w:val="1"/>
    <w:qFormat/>
    <w:pPr>
      <w:ind w:left="113"/>
    </w:pPr>
    <w:rPr>
      <w:szCs w:val="24"/>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rsid w:val="00500F8E"/>
    <w:pPr>
      <w:spacing w:before="0"/>
    </w:pPr>
    <w:rPr>
      <w:rFonts w:ascii="Tahoma" w:hAnsi="Tahoma" w:cs="Tahoma"/>
      <w:sz w:val="16"/>
      <w:szCs w:val="16"/>
    </w:rPr>
  </w:style>
  <w:style w:type="character" w:customStyle="1" w:styleId="BalloonTextChar">
    <w:name w:val="Balloon Text Char"/>
    <w:basedOn w:val="DefaultParagraphFont"/>
    <w:link w:val="BalloonText"/>
    <w:rsid w:val="00500F8E"/>
    <w:rPr>
      <w:rFonts w:ascii="Tahoma" w:eastAsia="Times New Roman" w:hAnsi="Tahoma" w:cs="Tahoma"/>
      <w:sz w:val="16"/>
      <w:szCs w:val="16"/>
      <w:lang w:val="en-GB"/>
    </w:rPr>
  </w:style>
  <w:style w:type="paragraph" w:styleId="FootnoteText">
    <w:name w:val="footnote text"/>
    <w:basedOn w:val="Note"/>
    <w:link w:val="FootnoteTextChar"/>
    <w:rsid w:val="00500F8E"/>
    <w:pPr>
      <w:keepLines/>
      <w:tabs>
        <w:tab w:val="left" w:pos="255"/>
      </w:tabs>
      <w:ind w:left="255" w:hanging="255"/>
    </w:pPr>
  </w:style>
  <w:style w:type="character" w:customStyle="1" w:styleId="FootnoteTextChar">
    <w:name w:val="Footnote Text Char"/>
    <w:basedOn w:val="DefaultParagraphFont"/>
    <w:link w:val="FootnoteText"/>
    <w:rsid w:val="0082724C"/>
    <w:rPr>
      <w:rFonts w:ascii="Times New Roman" w:eastAsia="Times New Roman" w:hAnsi="Times New Roman" w:cs="Times New Roman"/>
      <w:szCs w:val="20"/>
      <w:lang w:val="en-GB"/>
    </w:rPr>
  </w:style>
  <w:style w:type="paragraph" w:styleId="CommentText">
    <w:name w:val="annotation text"/>
    <w:basedOn w:val="Normal"/>
    <w:link w:val="CommentTextChar"/>
    <w:rsid w:val="00500F8E"/>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rsid w:val="0082724C"/>
    <w:rPr>
      <w:rFonts w:ascii="Times New Roman" w:eastAsia="Times New Roman" w:hAnsi="Times New Roman" w:cs="Times New Roman"/>
      <w:sz w:val="20"/>
      <w:szCs w:val="20"/>
    </w:rPr>
  </w:style>
  <w:style w:type="character" w:styleId="CommentReference">
    <w:name w:val="annotation reference"/>
    <w:basedOn w:val="DefaultParagraphFont"/>
    <w:rsid w:val="00500F8E"/>
    <w:rPr>
      <w:sz w:val="16"/>
      <w:szCs w:val="16"/>
    </w:rPr>
  </w:style>
  <w:style w:type="paragraph" w:styleId="CommentSubject">
    <w:name w:val="annotation subject"/>
    <w:basedOn w:val="CommentText"/>
    <w:next w:val="CommentText"/>
    <w:link w:val="CommentSubjectChar"/>
    <w:uiPriority w:val="99"/>
    <w:semiHidden/>
    <w:unhideWhenUsed/>
    <w:rsid w:val="001C0756"/>
    <w:rPr>
      <w:b/>
      <w:bCs/>
    </w:rPr>
  </w:style>
  <w:style w:type="character" w:customStyle="1" w:styleId="CommentSubjectChar">
    <w:name w:val="Comment Subject Char"/>
    <w:basedOn w:val="CommentTextChar"/>
    <w:link w:val="CommentSubject"/>
    <w:uiPriority w:val="99"/>
    <w:semiHidden/>
    <w:rsid w:val="001C075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D7706C"/>
    <w:rPr>
      <w:rFonts w:ascii="Times New Roman" w:eastAsia="Times New Roman" w:hAnsi="Times New Roman" w:cs="Times New Roman"/>
      <w:b/>
      <w:sz w:val="24"/>
      <w:szCs w:val="20"/>
      <w:lang w:val="en-GB"/>
    </w:rPr>
  </w:style>
  <w:style w:type="paragraph" w:styleId="Header">
    <w:name w:val="header"/>
    <w:basedOn w:val="Normal"/>
    <w:link w:val="HeaderChar"/>
    <w:uiPriority w:val="99"/>
    <w:rsid w:val="00500F8E"/>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2E142E"/>
    <w:rPr>
      <w:rFonts w:ascii="Times New Roman" w:eastAsia="Times New Roman" w:hAnsi="Times New Roman" w:cs="Times New Roman"/>
      <w:sz w:val="18"/>
      <w:szCs w:val="20"/>
      <w:lang w:val="en-GB"/>
    </w:rPr>
  </w:style>
  <w:style w:type="paragraph" w:styleId="Footer">
    <w:name w:val="footer"/>
    <w:basedOn w:val="Normal"/>
    <w:link w:val="FooterChar"/>
    <w:rsid w:val="00500F8E"/>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2E142E"/>
    <w:rPr>
      <w:rFonts w:ascii="Times New Roman" w:eastAsia="Times New Roman" w:hAnsi="Times New Roman" w:cs="Times New Roman"/>
      <w:caps/>
      <w:noProof/>
      <w:sz w:val="16"/>
      <w:szCs w:val="20"/>
      <w:lang w:val="en-GB"/>
    </w:rPr>
  </w:style>
  <w:style w:type="paragraph" w:customStyle="1" w:styleId="Docnumber">
    <w:name w:val="Docnumber"/>
    <w:basedOn w:val="Normal"/>
    <w:link w:val="DocnumberChar"/>
    <w:qFormat/>
    <w:rsid w:val="002E142E"/>
    <w:pPr>
      <w:jc w:val="right"/>
    </w:pPr>
    <w:rPr>
      <w:b/>
      <w:bCs/>
      <w:sz w:val="40"/>
    </w:rPr>
  </w:style>
  <w:style w:type="character" w:customStyle="1" w:styleId="DocnumberChar">
    <w:name w:val="Docnumber Char"/>
    <w:basedOn w:val="DefaultParagraphFont"/>
    <w:link w:val="Docnumber"/>
    <w:rsid w:val="002E142E"/>
    <w:rPr>
      <w:rFonts w:ascii="Times New Roman" w:eastAsia="Times New Roman" w:hAnsi="Times New Roman" w:cs="Times New Roman"/>
      <w:b/>
      <w:bCs/>
      <w:sz w:val="40"/>
      <w:szCs w:val="20"/>
      <w:lang w:val="en-GB"/>
    </w:rPr>
  </w:style>
  <w:style w:type="character" w:styleId="Hyperlink">
    <w:name w:val="Hyperlink"/>
    <w:aliases w:val="超级链接,超?级链,CEO_Hyperlink,Style 58,超????,하이퍼링크2,超链接1"/>
    <w:basedOn w:val="DefaultParagraphFont"/>
    <w:uiPriority w:val="99"/>
    <w:qFormat/>
    <w:rsid w:val="00500F8E"/>
    <w:rPr>
      <w:color w:val="0000FF"/>
      <w:u w:val="single"/>
    </w:rPr>
  </w:style>
  <w:style w:type="table" w:styleId="TableGrid">
    <w:name w:val="Table Grid"/>
    <w:basedOn w:val="TableNormal"/>
    <w:uiPriority w:val="39"/>
    <w:rsid w:val="00BD5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ext">
    <w:name w:val="Ref_text"/>
    <w:basedOn w:val="Normal"/>
    <w:rsid w:val="00500F8E"/>
    <w:pPr>
      <w:ind w:left="794" w:hanging="794"/>
      <w:jc w:val="left"/>
    </w:pPr>
  </w:style>
  <w:style w:type="paragraph" w:customStyle="1" w:styleId="AnnexNoTitle">
    <w:name w:val="Annex_NoTitle"/>
    <w:basedOn w:val="Normal"/>
    <w:next w:val="Normalaftertitle"/>
    <w:rsid w:val="00500F8E"/>
    <w:pPr>
      <w:keepNext/>
      <w:keepLines/>
      <w:spacing w:before="720"/>
      <w:jc w:val="center"/>
      <w:outlineLvl w:val="0"/>
    </w:pPr>
    <w:rPr>
      <w:b/>
      <w:sz w:val="28"/>
    </w:rPr>
  </w:style>
  <w:style w:type="paragraph" w:styleId="TOCHeading">
    <w:name w:val="TOC Heading"/>
    <w:basedOn w:val="Heading1"/>
    <w:next w:val="Normal"/>
    <w:uiPriority w:val="39"/>
    <w:unhideWhenUsed/>
    <w:qFormat/>
    <w:rsid w:val="003E190E"/>
    <w:pPr>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customStyle="1" w:styleId="RecNo">
    <w:name w:val="Rec_No"/>
    <w:basedOn w:val="Normal"/>
    <w:next w:val="Rectitle"/>
    <w:rsid w:val="00500F8E"/>
    <w:pPr>
      <w:keepNext/>
      <w:keepLines/>
      <w:spacing w:before="0"/>
      <w:jc w:val="left"/>
    </w:pPr>
    <w:rPr>
      <w:b/>
      <w:sz w:val="28"/>
    </w:rPr>
  </w:style>
  <w:style w:type="character" w:styleId="FootnoteReference">
    <w:name w:val="footnote reference"/>
    <w:basedOn w:val="DefaultParagraphFont"/>
    <w:rsid w:val="00500F8E"/>
    <w:rPr>
      <w:position w:val="6"/>
      <w:sz w:val="18"/>
    </w:rPr>
  </w:style>
  <w:style w:type="paragraph" w:customStyle="1" w:styleId="Tabletext">
    <w:name w:val="Table_text"/>
    <w:basedOn w:val="Normal"/>
    <w:rsid w:val="00500F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Headingb">
    <w:name w:val="Heading_b"/>
    <w:basedOn w:val="Normal"/>
    <w:next w:val="Normal"/>
    <w:rsid w:val="00500F8E"/>
    <w:pPr>
      <w:keepNext/>
      <w:spacing w:before="160"/>
      <w:jc w:val="left"/>
    </w:pPr>
    <w:rPr>
      <w:b/>
    </w:rPr>
  </w:style>
  <w:style w:type="paragraph" w:customStyle="1" w:styleId="toc0">
    <w:name w:val="toc 0"/>
    <w:basedOn w:val="Normal"/>
    <w:next w:val="TOC1"/>
    <w:rsid w:val="00500F8E"/>
    <w:pPr>
      <w:keepLines/>
      <w:tabs>
        <w:tab w:val="clear" w:pos="794"/>
        <w:tab w:val="clear" w:pos="1191"/>
        <w:tab w:val="clear" w:pos="1588"/>
        <w:tab w:val="clear" w:pos="1985"/>
        <w:tab w:val="right" w:pos="9639"/>
      </w:tabs>
      <w:jc w:val="left"/>
    </w:pPr>
    <w:rPr>
      <w:b/>
    </w:rPr>
  </w:style>
  <w:style w:type="character" w:customStyle="1" w:styleId="Heading1Char">
    <w:name w:val="Heading 1 Char"/>
    <w:basedOn w:val="DefaultParagraphFont"/>
    <w:link w:val="Heading1"/>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en-GB"/>
    </w:rPr>
  </w:style>
  <w:style w:type="paragraph" w:customStyle="1" w:styleId="AnnexNo">
    <w:name w:val="Annex_No"/>
    <w:basedOn w:val="Normal"/>
    <w:next w:val="Normal"/>
    <w:pPr>
      <w:keepNext/>
      <w:keepLines/>
      <w:spacing w:before="480" w:after="80"/>
      <w:jc w:val="center"/>
    </w:pPr>
    <w:rPr>
      <w:caps/>
      <w:sz w:val="28"/>
    </w:rPr>
  </w:style>
  <w:style w:type="paragraph" w:customStyle="1" w:styleId="Note">
    <w:name w:val="Note"/>
    <w:basedOn w:val="Normal"/>
    <w:rsid w:val="00500F8E"/>
    <w:pPr>
      <w:spacing w:before="80"/>
    </w:pPr>
    <w:rPr>
      <w:sz w:val="22"/>
    </w:rPr>
  </w:style>
  <w:style w:type="paragraph" w:customStyle="1" w:styleId="Figure">
    <w:name w:val="Figure"/>
    <w:basedOn w:val="Normal"/>
    <w:next w:val="FigureNoTitle"/>
    <w:rsid w:val="00500F8E"/>
    <w:pPr>
      <w:keepNext/>
      <w:keepLines/>
      <w:spacing w:before="240" w:after="120"/>
      <w:jc w:val="center"/>
    </w:pPr>
  </w:style>
  <w:style w:type="paragraph" w:customStyle="1" w:styleId="FigureNoTitle">
    <w:name w:val="Figure_NoTitle"/>
    <w:basedOn w:val="Normal"/>
    <w:next w:val="Normalaftertitle"/>
    <w:rsid w:val="00500F8E"/>
    <w:pPr>
      <w:keepLines/>
      <w:spacing w:before="240" w:after="120"/>
      <w:jc w:val="center"/>
    </w:pPr>
    <w:rPr>
      <w:b/>
    </w:rPr>
  </w:style>
  <w:style w:type="paragraph" w:customStyle="1" w:styleId="Normalaftertitle">
    <w:name w:val="Normal_after_title"/>
    <w:basedOn w:val="Normal"/>
    <w:next w:val="Normal"/>
    <w:rsid w:val="00500F8E"/>
    <w:pPr>
      <w:spacing w:before="360"/>
    </w:pPr>
  </w:style>
  <w:style w:type="paragraph" w:customStyle="1" w:styleId="AppendixNo">
    <w:name w:val="Appendix_No"/>
    <w:basedOn w:val="AnnexNo"/>
    <w:next w:val="Normal"/>
  </w:style>
  <w:style w:type="paragraph" w:customStyle="1" w:styleId="FooterQP">
    <w:name w:val="Footer_QP"/>
    <w:basedOn w:val="Normal"/>
    <w:rsid w:val="00500F8E"/>
    <w:pPr>
      <w:tabs>
        <w:tab w:val="clear" w:pos="794"/>
        <w:tab w:val="clear" w:pos="1191"/>
        <w:tab w:val="clear" w:pos="1588"/>
        <w:tab w:val="clear" w:pos="1985"/>
        <w:tab w:val="left" w:pos="907"/>
        <w:tab w:val="right" w:pos="8789"/>
        <w:tab w:val="right" w:pos="9639"/>
      </w:tabs>
      <w:spacing w:before="0"/>
      <w:jc w:val="left"/>
    </w:pPr>
    <w:rPr>
      <w:b/>
      <w:sz w:val="22"/>
    </w:rPr>
  </w:style>
  <w:style w:type="paragraph" w:styleId="Revision">
    <w:name w:val="Revision"/>
    <w:hidden/>
    <w:uiPriority w:val="99"/>
    <w:semiHidden/>
    <w:rsid w:val="009650CD"/>
    <w:pPr>
      <w:widowControl/>
    </w:pPr>
  </w:style>
  <w:style w:type="paragraph" w:customStyle="1" w:styleId="Rectitle">
    <w:name w:val="Rec_title"/>
    <w:basedOn w:val="Normal"/>
    <w:next w:val="Normalaftertitle"/>
    <w:rsid w:val="00500F8E"/>
    <w:pPr>
      <w:keepNext/>
      <w:keepLines/>
      <w:spacing w:before="360"/>
      <w:jc w:val="center"/>
    </w:pPr>
    <w:rPr>
      <w:b/>
      <w:sz w:val="28"/>
    </w:rPr>
  </w:style>
  <w:style w:type="paragraph" w:customStyle="1" w:styleId="AppendixNoTitle">
    <w:name w:val="Appendix_NoTitle"/>
    <w:basedOn w:val="AnnexNoTitle"/>
    <w:next w:val="Normalaftertitle"/>
    <w:rsid w:val="00500F8E"/>
  </w:style>
  <w:style w:type="paragraph" w:customStyle="1" w:styleId="Appendixref">
    <w:name w:val="Appendix_ref"/>
    <w:basedOn w:val="Normal"/>
    <w:next w:val="Normal"/>
    <w:rsid w:val="00612E5E"/>
    <w:pPr>
      <w:keepNext/>
      <w:keepLines/>
      <w:spacing w:after="280"/>
      <w:jc w:val="center"/>
    </w:pPr>
  </w:style>
  <w:style w:type="paragraph" w:customStyle="1" w:styleId="Normalaftertitle0">
    <w:name w:val="Normal after title"/>
    <w:basedOn w:val="Normal"/>
    <w:next w:val="Normal"/>
    <w:rsid w:val="00612E5E"/>
    <w:pPr>
      <w:spacing w:before="280"/>
    </w:pPr>
  </w:style>
  <w:style w:type="character" w:customStyle="1" w:styleId="Heading6Char">
    <w:name w:val="Heading 6 Char"/>
    <w:basedOn w:val="DefaultParagraphFont"/>
    <w:link w:val="Heading6"/>
    <w:rsid w:val="00CE53D7"/>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CE53D7"/>
    <w:rPr>
      <w:rFonts w:ascii="Times New Roman" w:eastAsia="Times New Roman" w:hAnsi="Times New Roman" w:cs="Times New Roman"/>
      <w:b/>
      <w:sz w:val="24"/>
      <w:szCs w:val="20"/>
      <w:lang w:val="en-GB"/>
    </w:rPr>
  </w:style>
  <w:style w:type="paragraph" w:customStyle="1" w:styleId="LSDeadline">
    <w:name w:val="LSDeadline"/>
    <w:basedOn w:val="Normal"/>
    <w:rsid w:val="00CE53D7"/>
    <w:rPr>
      <w:b/>
      <w:bCs/>
    </w:rPr>
  </w:style>
  <w:style w:type="paragraph" w:customStyle="1" w:styleId="LSForAction">
    <w:name w:val="LSForAction"/>
    <w:basedOn w:val="Normal"/>
    <w:rsid w:val="00CE53D7"/>
    <w:rPr>
      <w:b/>
      <w:bCs/>
    </w:rPr>
  </w:style>
  <w:style w:type="paragraph" w:customStyle="1" w:styleId="LSSource">
    <w:name w:val="LSSource"/>
    <w:basedOn w:val="Normal"/>
    <w:rsid w:val="00CE53D7"/>
    <w:rPr>
      <w:b/>
      <w:bCs/>
    </w:rPr>
  </w:style>
  <w:style w:type="paragraph" w:customStyle="1" w:styleId="LSTitle">
    <w:name w:val="LSTitle"/>
    <w:basedOn w:val="Normal"/>
    <w:rsid w:val="00CE53D7"/>
    <w:rPr>
      <w:b/>
      <w:bCs/>
    </w:rPr>
  </w:style>
  <w:style w:type="paragraph" w:customStyle="1" w:styleId="LSForInfo">
    <w:name w:val="LSForInfo"/>
    <w:basedOn w:val="LSForAction"/>
    <w:rsid w:val="00CE53D7"/>
  </w:style>
  <w:style w:type="character" w:customStyle="1" w:styleId="BodyTextChar">
    <w:name w:val="Body Text Char"/>
    <w:basedOn w:val="DefaultParagraphFont"/>
    <w:link w:val="BodyText"/>
    <w:uiPriority w:val="1"/>
    <w:rsid w:val="006535B6"/>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DC42F8"/>
    <w:rPr>
      <w:color w:val="605E5C"/>
      <w:shd w:val="clear" w:color="auto" w:fill="E1DFDD"/>
    </w:rPr>
  </w:style>
  <w:style w:type="character" w:customStyle="1" w:styleId="Appdef">
    <w:name w:val="App_def"/>
    <w:basedOn w:val="DefaultParagraphFont"/>
    <w:rsid w:val="00500F8E"/>
    <w:rPr>
      <w:rFonts w:ascii="Times New Roman" w:hAnsi="Times New Roman"/>
      <w:b/>
    </w:rPr>
  </w:style>
  <w:style w:type="character" w:customStyle="1" w:styleId="Appref">
    <w:name w:val="App_ref"/>
    <w:basedOn w:val="DefaultParagraphFont"/>
    <w:rsid w:val="00500F8E"/>
  </w:style>
  <w:style w:type="character" w:customStyle="1" w:styleId="Artdef">
    <w:name w:val="Art_def"/>
    <w:basedOn w:val="DefaultParagraphFont"/>
    <w:rsid w:val="00500F8E"/>
    <w:rPr>
      <w:rFonts w:ascii="Times New Roman" w:hAnsi="Times New Roman"/>
      <w:b/>
    </w:rPr>
  </w:style>
  <w:style w:type="paragraph" w:customStyle="1" w:styleId="Artheading">
    <w:name w:val="Art_heading"/>
    <w:basedOn w:val="Normal"/>
    <w:next w:val="Normalaftertitle"/>
    <w:rsid w:val="00500F8E"/>
    <w:pPr>
      <w:spacing w:before="480"/>
      <w:jc w:val="center"/>
    </w:pPr>
    <w:rPr>
      <w:b/>
      <w:sz w:val="28"/>
    </w:rPr>
  </w:style>
  <w:style w:type="paragraph" w:customStyle="1" w:styleId="ArtNo">
    <w:name w:val="Art_No"/>
    <w:basedOn w:val="Normal"/>
    <w:next w:val="Arttitle"/>
    <w:rsid w:val="00500F8E"/>
    <w:pPr>
      <w:keepNext/>
      <w:keepLines/>
      <w:spacing w:before="480"/>
      <w:jc w:val="center"/>
    </w:pPr>
    <w:rPr>
      <w:caps/>
      <w:sz w:val="28"/>
    </w:rPr>
  </w:style>
  <w:style w:type="character" w:customStyle="1" w:styleId="Artref">
    <w:name w:val="Art_ref"/>
    <w:basedOn w:val="DefaultParagraphFont"/>
    <w:rsid w:val="00500F8E"/>
  </w:style>
  <w:style w:type="paragraph" w:customStyle="1" w:styleId="Arttitle">
    <w:name w:val="Art_title"/>
    <w:basedOn w:val="Normal"/>
    <w:next w:val="Normalaftertitle"/>
    <w:rsid w:val="00500F8E"/>
    <w:pPr>
      <w:keepNext/>
      <w:keepLines/>
      <w:spacing w:before="240"/>
      <w:jc w:val="center"/>
    </w:pPr>
    <w:rPr>
      <w:b/>
      <w:sz w:val="28"/>
    </w:rPr>
  </w:style>
  <w:style w:type="paragraph" w:customStyle="1" w:styleId="ASN1">
    <w:name w:val="ASN.1"/>
    <w:rsid w:val="00500F8E"/>
    <w:pPr>
      <w:widowControl/>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Times New Roman"/>
      <w:b/>
      <w:noProof/>
      <w:sz w:val="20"/>
      <w:szCs w:val="20"/>
      <w:lang w:val="en-GB"/>
    </w:rPr>
  </w:style>
  <w:style w:type="paragraph" w:customStyle="1" w:styleId="Call">
    <w:name w:val="Call"/>
    <w:basedOn w:val="Normal"/>
    <w:next w:val="Normal"/>
    <w:rsid w:val="00500F8E"/>
    <w:pPr>
      <w:keepNext/>
      <w:keepLines/>
      <w:spacing w:before="160"/>
      <w:ind w:left="794"/>
      <w:jc w:val="left"/>
    </w:pPr>
    <w:rPr>
      <w:i/>
    </w:rPr>
  </w:style>
  <w:style w:type="paragraph" w:customStyle="1" w:styleId="ChapNo">
    <w:name w:val="Chap_No"/>
    <w:basedOn w:val="Normal"/>
    <w:next w:val="Chaptitle"/>
    <w:rsid w:val="00500F8E"/>
    <w:pPr>
      <w:keepNext/>
      <w:keepLines/>
      <w:spacing w:before="480"/>
      <w:jc w:val="center"/>
    </w:pPr>
    <w:rPr>
      <w:b/>
      <w:caps/>
      <w:sz w:val="28"/>
    </w:rPr>
  </w:style>
  <w:style w:type="paragraph" w:customStyle="1" w:styleId="Chaptitle">
    <w:name w:val="Chap_title"/>
    <w:basedOn w:val="Normal"/>
    <w:next w:val="Normalaftertitle"/>
    <w:rsid w:val="00500F8E"/>
    <w:pPr>
      <w:keepNext/>
      <w:keepLines/>
      <w:spacing w:before="240"/>
      <w:jc w:val="center"/>
    </w:pPr>
    <w:rPr>
      <w:b/>
      <w:sz w:val="28"/>
    </w:rPr>
  </w:style>
  <w:style w:type="paragraph" w:customStyle="1" w:styleId="enumlev1">
    <w:name w:val="enumlev1"/>
    <w:basedOn w:val="Normal"/>
    <w:rsid w:val="00500F8E"/>
    <w:pPr>
      <w:spacing w:before="80"/>
      <w:ind w:left="794" w:hanging="794"/>
    </w:pPr>
  </w:style>
  <w:style w:type="paragraph" w:customStyle="1" w:styleId="enumlev2">
    <w:name w:val="enumlev2"/>
    <w:basedOn w:val="enumlev1"/>
    <w:rsid w:val="00500F8E"/>
    <w:pPr>
      <w:ind w:left="1191" w:hanging="397"/>
    </w:pPr>
  </w:style>
  <w:style w:type="paragraph" w:customStyle="1" w:styleId="enumlev3">
    <w:name w:val="enumlev3"/>
    <w:basedOn w:val="enumlev2"/>
    <w:rsid w:val="00500F8E"/>
    <w:pPr>
      <w:ind w:left="1588"/>
    </w:pPr>
  </w:style>
  <w:style w:type="paragraph" w:customStyle="1" w:styleId="Equation">
    <w:name w:val="Equation"/>
    <w:basedOn w:val="Normal"/>
    <w:rsid w:val="00500F8E"/>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500F8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500F8E"/>
    <w:pPr>
      <w:keepNext/>
      <w:keepLines/>
      <w:tabs>
        <w:tab w:val="clear" w:pos="794"/>
        <w:tab w:val="clear" w:pos="1191"/>
        <w:tab w:val="clear" w:pos="1588"/>
        <w:tab w:val="clear" w:pos="1985"/>
      </w:tabs>
      <w:spacing w:before="20" w:after="20"/>
      <w:jc w:val="left"/>
    </w:pPr>
    <w:rPr>
      <w:sz w:val="18"/>
    </w:rPr>
  </w:style>
  <w:style w:type="paragraph" w:customStyle="1" w:styleId="Figurewithouttitle">
    <w:name w:val="Figure_without_title"/>
    <w:basedOn w:val="Normal"/>
    <w:next w:val="Normalaftertitle"/>
    <w:rsid w:val="00500F8E"/>
    <w:pPr>
      <w:keepLines/>
      <w:spacing w:before="240" w:after="120"/>
      <w:jc w:val="center"/>
    </w:pPr>
  </w:style>
  <w:style w:type="paragraph" w:customStyle="1" w:styleId="FirstFooter">
    <w:name w:val="FirstFooter"/>
    <w:basedOn w:val="Footer"/>
    <w:rsid w:val="00500F8E"/>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500F8E"/>
    <w:rPr>
      <w:b w:val="0"/>
    </w:rPr>
  </w:style>
  <w:style w:type="character" w:customStyle="1" w:styleId="Heading5Char">
    <w:name w:val="Heading 5 Char"/>
    <w:basedOn w:val="DefaultParagraphFont"/>
    <w:link w:val="Heading5"/>
    <w:rsid w:val="006C4740"/>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6C4740"/>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6C4740"/>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6C4740"/>
    <w:rPr>
      <w:rFonts w:ascii="Times New Roman" w:eastAsia="Times New Roman" w:hAnsi="Times New Roman" w:cs="Times New Roman"/>
      <w:b/>
      <w:sz w:val="24"/>
      <w:szCs w:val="20"/>
      <w:lang w:val="en-GB"/>
    </w:rPr>
  </w:style>
  <w:style w:type="paragraph" w:customStyle="1" w:styleId="Headingi">
    <w:name w:val="Heading_i"/>
    <w:basedOn w:val="Normal"/>
    <w:next w:val="Normal"/>
    <w:rsid w:val="00500F8E"/>
    <w:pPr>
      <w:keepNext/>
      <w:spacing w:before="160"/>
      <w:jc w:val="left"/>
    </w:pPr>
    <w:rPr>
      <w:i/>
    </w:rPr>
  </w:style>
  <w:style w:type="paragraph" w:styleId="Index1">
    <w:name w:val="index 1"/>
    <w:basedOn w:val="Normal"/>
    <w:next w:val="Normal"/>
    <w:semiHidden/>
    <w:rsid w:val="00500F8E"/>
    <w:pPr>
      <w:jc w:val="left"/>
    </w:pPr>
  </w:style>
  <w:style w:type="paragraph" w:styleId="Index2">
    <w:name w:val="index 2"/>
    <w:basedOn w:val="Normal"/>
    <w:next w:val="Normal"/>
    <w:semiHidden/>
    <w:rsid w:val="00500F8E"/>
    <w:pPr>
      <w:ind w:left="284"/>
      <w:jc w:val="left"/>
    </w:pPr>
  </w:style>
  <w:style w:type="paragraph" w:styleId="Index3">
    <w:name w:val="index 3"/>
    <w:basedOn w:val="Normal"/>
    <w:next w:val="Normal"/>
    <w:semiHidden/>
    <w:rsid w:val="00500F8E"/>
    <w:pPr>
      <w:ind w:left="567"/>
      <w:jc w:val="left"/>
    </w:pPr>
  </w:style>
  <w:style w:type="character" w:styleId="PageNumber">
    <w:name w:val="page number"/>
    <w:basedOn w:val="DefaultParagraphFont"/>
    <w:rsid w:val="00500F8E"/>
  </w:style>
  <w:style w:type="paragraph" w:customStyle="1" w:styleId="PartNo">
    <w:name w:val="Part_No"/>
    <w:basedOn w:val="Normal"/>
    <w:next w:val="Partref"/>
    <w:rsid w:val="00500F8E"/>
    <w:pPr>
      <w:keepNext/>
      <w:keepLines/>
      <w:spacing w:before="480" w:after="80"/>
      <w:jc w:val="center"/>
    </w:pPr>
    <w:rPr>
      <w:caps/>
      <w:sz w:val="28"/>
    </w:rPr>
  </w:style>
  <w:style w:type="paragraph" w:customStyle="1" w:styleId="Partref">
    <w:name w:val="Part_ref"/>
    <w:basedOn w:val="Normal"/>
    <w:next w:val="Parttitle"/>
    <w:rsid w:val="00500F8E"/>
    <w:pPr>
      <w:keepNext/>
      <w:keepLines/>
      <w:spacing w:before="280"/>
      <w:jc w:val="center"/>
    </w:pPr>
  </w:style>
  <w:style w:type="paragraph" w:customStyle="1" w:styleId="Parttitle">
    <w:name w:val="Part_title"/>
    <w:basedOn w:val="Normal"/>
    <w:next w:val="Normalaftertitle"/>
    <w:rsid w:val="00500F8E"/>
    <w:pPr>
      <w:keepNext/>
      <w:keepLines/>
      <w:spacing w:before="240" w:after="280"/>
      <w:jc w:val="center"/>
    </w:pPr>
    <w:rPr>
      <w:b/>
      <w:sz w:val="28"/>
    </w:rPr>
  </w:style>
  <w:style w:type="paragraph" w:customStyle="1" w:styleId="Recdate">
    <w:name w:val="Rec_date"/>
    <w:basedOn w:val="Normal"/>
    <w:next w:val="Normalaftertitle"/>
    <w:rsid w:val="00500F8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500F8E"/>
  </w:style>
  <w:style w:type="paragraph" w:customStyle="1" w:styleId="QuestionNo">
    <w:name w:val="Question_No"/>
    <w:basedOn w:val="RecNo"/>
    <w:next w:val="Questiontitle"/>
    <w:rsid w:val="00500F8E"/>
  </w:style>
  <w:style w:type="paragraph" w:customStyle="1" w:styleId="Recref">
    <w:name w:val="Rec_ref"/>
    <w:basedOn w:val="Normal"/>
    <w:next w:val="Recdate"/>
    <w:rsid w:val="00500F8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500F8E"/>
  </w:style>
  <w:style w:type="paragraph" w:customStyle="1" w:styleId="Questiontitle">
    <w:name w:val="Question_title"/>
    <w:basedOn w:val="Rectitle"/>
    <w:next w:val="Questionref"/>
    <w:rsid w:val="00500F8E"/>
  </w:style>
  <w:style w:type="paragraph" w:customStyle="1" w:styleId="Reftitle">
    <w:name w:val="Ref_title"/>
    <w:basedOn w:val="Normal"/>
    <w:next w:val="Reftext"/>
    <w:rsid w:val="00500F8E"/>
    <w:pPr>
      <w:spacing w:before="480"/>
      <w:jc w:val="center"/>
    </w:pPr>
    <w:rPr>
      <w:b/>
    </w:rPr>
  </w:style>
  <w:style w:type="paragraph" w:customStyle="1" w:styleId="Repdate">
    <w:name w:val="Rep_date"/>
    <w:basedOn w:val="Recdate"/>
    <w:next w:val="Normalaftertitle"/>
    <w:rsid w:val="00500F8E"/>
  </w:style>
  <w:style w:type="paragraph" w:customStyle="1" w:styleId="RepNo">
    <w:name w:val="Rep_No"/>
    <w:basedOn w:val="RecNo"/>
    <w:next w:val="Reptitle"/>
    <w:rsid w:val="00500F8E"/>
  </w:style>
  <w:style w:type="paragraph" w:customStyle="1" w:styleId="Repref">
    <w:name w:val="Rep_ref"/>
    <w:basedOn w:val="Recref"/>
    <w:next w:val="Repdate"/>
    <w:rsid w:val="00500F8E"/>
  </w:style>
  <w:style w:type="paragraph" w:customStyle="1" w:styleId="Reptitle">
    <w:name w:val="Rep_title"/>
    <w:basedOn w:val="Rectitle"/>
    <w:next w:val="Repref"/>
    <w:rsid w:val="00500F8E"/>
  </w:style>
  <w:style w:type="paragraph" w:customStyle="1" w:styleId="Resdate">
    <w:name w:val="Res_date"/>
    <w:basedOn w:val="Recdate"/>
    <w:next w:val="Normalaftertitle"/>
    <w:rsid w:val="00500F8E"/>
  </w:style>
  <w:style w:type="character" w:customStyle="1" w:styleId="Resdef">
    <w:name w:val="Res_def"/>
    <w:basedOn w:val="DefaultParagraphFont"/>
    <w:rsid w:val="00500F8E"/>
    <w:rPr>
      <w:rFonts w:ascii="Times New Roman" w:hAnsi="Times New Roman"/>
      <w:b/>
    </w:rPr>
  </w:style>
  <w:style w:type="paragraph" w:customStyle="1" w:styleId="ResNo">
    <w:name w:val="Res_No"/>
    <w:basedOn w:val="RecNo"/>
    <w:next w:val="Restitle"/>
    <w:rsid w:val="00500F8E"/>
  </w:style>
  <w:style w:type="paragraph" w:customStyle="1" w:styleId="Resref">
    <w:name w:val="Res_ref"/>
    <w:basedOn w:val="Recref"/>
    <w:next w:val="Resdate"/>
    <w:rsid w:val="00500F8E"/>
  </w:style>
  <w:style w:type="paragraph" w:customStyle="1" w:styleId="Restitle">
    <w:name w:val="Res_title"/>
    <w:basedOn w:val="Rectitle"/>
    <w:next w:val="Resref"/>
    <w:rsid w:val="00500F8E"/>
  </w:style>
  <w:style w:type="paragraph" w:customStyle="1" w:styleId="Section1">
    <w:name w:val="Section_1"/>
    <w:basedOn w:val="Normal"/>
    <w:next w:val="Normal"/>
    <w:rsid w:val="00500F8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500F8E"/>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500F8E"/>
    <w:pPr>
      <w:keepNext/>
      <w:keepLines/>
      <w:spacing w:before="480" w:after="80"/>
      <w:jc w:val="center"/>
    </w:pPr>
    <w:rPr>
      <w:caps/>
      <w:sz w:val="28"/>
    </w:rPr>
  </w:style>
  <w:style w:type="paragraph" w:customStyle="1" w:styleId="Sectiontitle">
    <w:name w:val="Section_title"/>
    <w:basedOn w:val="Normal"/>
    <w:next w:val="Normalaftertitle"/>
    <w:rsid w:val="00500F8E"/>
    <w:pPr>
      <w:keepNext/>
      <w:keepLines/>
      <w:spacing w:before="480" w:after="280"/>
      <w:jc w:val="center"/>
    </w:pPr>
    <w:rPr>
      <w:b/>
      <w:sz w:val="28"/>
    </w:rPr>
  </w:style>
  <w:style w:type="paragraph" w:customStyle="1" w:styleId="Source">
    <w:name w:val="Source"/>
    <w:basedOn w:val="Normal"/>
    <w:next w:val="Normalaftertitle"/>
    <w:rsid w:val="00500F8E"/>
    <w:pPr>
      <w:spacing w:before="840" w:after="200"/>
      <w:jc w:val="center"/>
    </w:pPr>
    <w:rPr>
      <w:b/>
      <w:sz w:val="28"/>
    </w:rPr>
  </w:style>
  <w:style w:type="paragraph" w:customStyle="1" w:styleId="SpecialFooter">
    <w:name w:val="Special Footer"/>
    <w:basedOn w:val="Footer"/>
    <w:rsid w:val="00500F8E"/>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500F8E"/>
    <w:rPr>
      <w:b/>
      <w:color w:val="auto"/>
    </w:rPr>
  </w:style>
  <w:style w:type="paragraph" w:customStyle="1" w:styleId="Tablehead">
    <w:name w:val="Table_head"/>
    <w:basedOn w:val="Normal"/>
    <w:next w:val="Tabletext"/>
    <w:rsid w:val="00500F8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500F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NoTitle">
    <w:name w:val="Table_NoTitle"/>
    <w:basedOn w:val="Normal"/>
    <w:next w:val="Tablehead"/>
    <w:rsid w:val="00500F8E"/>
    <w:pPr>
      <w:keepNext/>
      <w:keepLines/>
      <w:spacing w:before="360" w:after="120"/>
      <w:jc w:val="center"/>
    </w:pPr>
    <w:rPr>
      <w:b/>
    </w:rPr>
  </w:style>
  <w:style w:type="paragraph" w:customStyle="1" w:styleId="Title1">
    <w:name w:val="Title 1"/>
    <w:basedOn w:val="Source"/>
    <w:next w:val="Title2"/>
    <w:rsid w:val="00500F8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500F8E"/>
  </w:style>
  <w:style w:type="paragraph" w:customStyle="1" w:styleId="Title3">
    <w:name w:val="Title 3"/>
    <w:basedOn w:val="Title2"/>
    <w:next w:val="Title4"/>
    <w:rsid w:val="00500F8E"/>
    <w:rPr>
      <w:caps w:val="0"/>
    </w:rPr>
  </w:style>
  <w:style w:type="paragraph" w:customStyle="1" w:styleId="Title4">
    <w:name w:val="Title 4"/>
    <w:basedOn w:val="Title3"/>
    <w:next w:val="Heading1"/>
    <w:rsid w:val="00500F8E"/>
    <w:rPr>
      <w:b/>
    </w:rPr>
  </w:style>
  <w:style w:type="paragraph" w:styleId="TOC4">
    <w:name w:val="toc 4"/>
    <w:basedOn w:val="TOC3"/>
    <w:semiHidden/>
    <w:rsid w:val="00500F8E"/>
  </w:style>
  <w:style w:type="paragraph" w:styleId="TOC5">
    <w:name w:val="toc 5"/>
    <w:basedOn w:val="TOC4"/>
    <w:semiHidden/>
    <w:rsid w:val="00500F8E"/>
  </w:style>
  <w:style w:type="paragraph" w:styleId="TOC6">
    <w:name w:val="toc 6"/>
    <w:basedOn w:val="TOC4"/>
    <w:semiHidden/>
    <w:rsid w:val="00500F8E"/>
  </w:style>
  <w:style w:type="paragraph" w:styleId="TOC7">
    <w:name w:val="toc 7"/>
    <w:basedOn w:val="TOC4"/>
    <w:semiHidden/>
    <w:rsid w:val="00500F8E"/>
  </w:style>
  <w:style w:type="paragraph" w:styleId="TOC8">
    <w:name w:val="toc 8"/>
    <w:basedOn w:val="TOC4"/>
    <w:semiHidden/>
    <w:rsid w:val="00500F8E"/>
  </w:style>
  <w:style w:type="paragraph" w:styleId="TOC9">
    <w:name w:val="toc 9"/>
    <w:basedOn w:val="TOC3"/>
    <w:semiHidden/>
    <w:rsid w:val="00500F8E"/>
  </w:style>
  <w:style w:type="character" w:styleId="FollowedHyperlink">
    <w:name w:val="FollowedHyperlink"/>
    <w:basedOn w:val="DefaultParagraphFont"/>
    <w:uiPriority w:val="99"/>
    <w:semiHidden/>
    <w:unhideWhenUsed/>
    <w:rsid w:val="00824180"/>
    <w:rPr>
      <w:color w:val="800080" w:themeColor="followedHyperlink"/>
      <w:u w:val="single"/>
    </w:rPr>
  </w:style>
  <w:style w:type="character" w:customStyle="1" w:styleId="UnresolvedMention2">
    <w:name w:val="Unresolved Mention2"/>
    <w:basedOn w:val="DefaultParagraphFont"/>
    <w:uiPriority w:val="99"/>
    <w:semiHidden/>
    <w:unhideWhenUsed/>
    <w:rsid w:val="00B66609"/>
    <w:rPr>
      <w:color w:val="605E5C"/>
      <w:shd w:val="clear" w:color="auto" w:fill="E1DFDD"/>
    </w:rPr>
  </w:style>
  <w:style w:type="character" w:customStyle="1" w:styleId="jlqj4b">
    <w:name w:val="jlqj4b"/>
    <w:basedOn w:val="DefaultParagraphFont"/>
    <w:rsid w:val="00AC0503"/>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365DF4"/>
    <w:rPr>
      <w:rFonts w:ascii="Times New Roman" w:eastAsia="Times New Roman" w:hAnsi="Times New Roman" w:cs="Times New Roman"/>
      <w:sz w:val="24"/>
      <w:szCs w:val="20"/>
      <w:lang w:val="en-GB"/>
    </w:rPr>
  </w:style>
  <w:style w:type="character" w:customStyle="1" w:styleId="UnresolvedMention">
    <w:name w:val="Unresolved Mention"/>
    <w:basedOn w:val="DefaultParagraphFont"/>
    <w:uiPriority w:val="99"/>
    <w:semiHidden/>
    <w:unhideWhenUsed/>
    <w:rsid w:val="007E3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999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s://www.itu.int/md/T17-TSAG-211025-TD-GEN-1165" TargetMode="External"/><Relationship Id="rId26" Type="http://schemas.openxmlformats.org/officeDocument/2006/relationships/hyperlink" Target="https://extranet.itu.int/ipr-adhoc/_layouts/15/guestaccess.aspx?guestaccesstoken=8rXdqljyUSAh0zQGDAW7YaaQaT%2fmFt%2foSIsR4iwxSiI%3d&amp;docid=2_117a0489fb64b40489c4480534fa61f92&amp;rev=1" TargetMode="External"/><Relationship Id="rId39" Type="http://schemas.openxmlformats.org/officeDocument/2006/relationships/hyperlink" Target="https://www.itu.int/md/meetingdoc.asp?lang=en&amp;parent=T17-TSAG-C-0197" TargetMode="External"/><Relationship Id="rId21" Type="http://schemas.openxmlformats.org/officeDocument/2006/relationships/hyperlink" Target="https://www.itu.int/md/meetingdoc.asp?lang=en&amp;parent=T17-TSAG-211025-TD-GEN-1165" TargetMode="External"/><Relationship Id="rId34" Type="http://schemas.openxmlformats.org/officeDocument/2006/relationships/hyperlink" Target="https://www.itu.int/md/meetingdoc.asp?lang=en&amp;parent=T17-TSAG-211025-TD-GEN-1165" TargetMode="External"/><Relationship Id="rId42" Type="http://schemas.openxmlformats.org/officeDocument/2006/relationships/hyperlink" Target="https://www.itu.int/md/meetingdoc.asp?lang=en&amp;parent=T17-TSAG-C-0197" TargetMode="External"/><Relationship Id="rId47" Type="http://schemas.openxmlformats.org/officeDocument/2006/relationships/hyperlink" Target="https://www.itu.int/md/T17-TSAG-C-0195/en" TargetMode="External"/><Relationship Id="rId50"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itu.int/md/T17-TSAG-C-0197" TargetMode="External"/><Relationship Id="rId29" Type="http://schemas.openxmlformats.org/officeDocument/2006/relationships/hyperlink" Target="https://www.itu.int/md/meetingdoc.asp?lang=en&amp;parent=T17-TSAG-211025-TD-GEN-1165" TargetMode="External"/><Relationship Id="rId11" Type="http://schemas.openxmlformats.org/officeDocument/2006/relationships/footnotes" Target="footnotes.xml"/><Relationship Id="rId24" Type="http://schemas.openxmlformats.org/officeDocument/2006/relationships/hyperlink" Target="https://www.itu.int/md/T17-TSAG-C-0195/en" TargetMode="External"/><Relationship Id="rId32" Type="http://schemas.openxmlformats.org/officeDocument/2006/relationships/hyperlink" Target="https://www.itu.int/md/T17-TSAG-C-0195/en" TargetMode="External"/><Relationship Id="rId37" Type="http://schemas.openxmlformats.org/officeDocument/2006/relationships/hyperlink" Target="https://www.itu.int/md/meetingdoc.asp?lang=en&amp;parent=T17-TSAG-C-0197" TargetMode="External"/><Relationship Id="rId40" Type="http://schemas.openxmlformats.org/officeDocument/2006/relationships/hyperlink" Target="https://www.itu.int/md/meetingdoc.asp?lang=en&amp;parent=T17-TSAG-C-0197" TargetMode="External"/><Relationship Id="rId45" Type="http://schemas.openxmlformats.org/officeDocument/2006/relationships/hyperlink" Target="https://www.itu.int/md/meetingdoc.asp?lang=en&amp;parent=T17-TSAG-C-0197" TargetMode="External"/><Relationship Id="rId5" Type="http://schemas.openxmlformats.org/officeDocument/2006/relationships/customXml" Target="../customXml/item5.xml"/><Relationship Id="rId15" Type="http://schemas.openxmlformats.org/officeDocument/2006/relationships/hyperlink" Target="mailto:hung.ling@nokia.com" TargetMode="External"/><Relationship Id="rId23" Type="http://schemas.openxmlformats.org/officeDocument/2006/relationships/hyperlink" Target="https://www.itu.int/md/T17-TSAG-C-0195/en" TargetMode="External"/><Relationship Id="rId28" Type="http://schemas.openxmlformats.org/officeDocument/2006/relationships/hyperlink" Target="https://www.itu.int/md/meetingdoc.asp?lang=en&amp;parent=T17-TSAG-C-0197" TargetMode="External"/><Relationship Id="rId36" Type="http://schemas.openxmlformats.org/officeDocument/2006/relationships/hyperlink" Target="https://www.itu.int/md/T17-TSAG-C-0195/en" TargetMode="External"/><Relationship Id="rId49"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itu.int/md/T17-TSAG-C-0195/en" TargetMode="External"/><Relationship Id="rId31" Type="http://schemas.openxmlformats.org/officeDocument/2006/relationships/image" Target="media/image2.png"/><Relationship Id="rId44" Type="http://schemas.openxmlformats.org/officeDocument/2006/relationships/hyperlink" Target="https://www.itu.int/md/meetingdoc.asp?lang=en&amp;parent=T17-TSAG-C-0197"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ge.raes@orange.com" TargetMode="External"/><Relationship Id="rId22" Type="http://schemas.openxmlformats.org/officeDocument/2006/relationships/hyperlink" Target="https://extranet.itu.int/ipr-adhoc/_layouts/15/guestaccess.aspx?guestaccesstoken=jVHT%2fv8H3JUw1NpVYoLj3s0zc1oTD9ylXsE3w6Micdw%3d&amp;docid=2_14c42404a918e4ddc9e9f12b990909a64&amp;rev=1" TargetMode="External"/><Relationship Id="rId27" Type="http://schemas.openxmlformats.org/officeDocument/2006/relationships/hyperlink" Target="https://www.itu.int/md/T17-TSAG-C-0195/en" TargetMode="External"/><Relationship Id="rId30" Type="http://schemas.openxmlformats.org/officeDocument/2006/relationships/hyperlink" Target="https://www.itu.int/md/T17-TSAG-C-0195/en" TargetMode="External"/><Relationship Id="rId35" Type="http://schemas.openxmlformats.org/officeDocument/2006/relationships/hyperlink" Target="https://www.itu.int/md/T17-TSAG-C-0195/en" TargetMode="External"/><Relationship Id="rId43" Type="http://schemas.openxmlformats.org/officeDocument/2006/relationships/hyperlink" Target="https://www.itu.int/ITU-D/tech/events/2011/Moscow_ZNIIS_April11/Presentations/09-Pomy-POLQA.pdf" TargetMode="External"/><Relationship Id="rId48" Type="http://schemas.openxmlformats.org/officeDocument/2006/relationships/hyperlink" Target="https://www.itu.int/md/meetingdoc.asp?lang=en&amp;parent=T17-TSAG-C-0197"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tu.int/md/T17-TSAG-C-0195" TargetMode="External"/><Relationship Id="rId25" Type="http://schemas.openxmlformats.org/officeDocument/2006/relationships/hyperlink" Target="https://extranet.itu.int/ipr-adhoc/Shared%20Documents/2021%2012%2007%20meeting/IPR-TD-264%20IPR%20AHG%20Secretariat.docx?d=w4c42404a918e4ddc9e9f12b990909a64" TargetMode="External"/><Relationship Id="rId33" Type="http://schemas.openxmlformats.org/officeDocument/2006/relationships/hyperlink" Target="https://www.itu.int/md/meetingdoc.asp?lang=en&amp;parent=T17-TSAG-211025-TD-GEN-1165" TargetMode="External"/><Relationship Id="rId38" Type="http://schemas.openxmlformats.org/officeDocument/2006/relationships/hyperlink" Target="https://www.itu.int/md/meetingdoc.asp?lang=en&amp;parent=T17-TSAG-C-0197" TargetMode="External"/><Relationship Id="rId46" Type="http://schemas.openxmlformats.org/officeDocument/2006/relationships/hyperlink" Target="https://www.itu.int/md/meetingdoc.asp?lang=en&amp;parent=T17-TSAG-C-0197" TargetMode="External"/><Relationship Id="rId20" Type="http://schemas.openxmlformats.org/officeDocument/2006/relationships/hyperlink" Target="https://www.itu.int/md/meetingdoc.asp?lang=en&amp;parent=T17-TSAG-C-0197" TargetMode="External"/><Relationship Id="rId41" Type="http://schemas.openxmlformats.org/officeDocument/2006/relationships/hyperlink" Target="https://www.itu.int/md/meetingdoc.asp?lang=en&amp;parent=T17-TSAG-211025-TD-GEN-1165"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PUB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1" ma:contentTypeDescription="Create a new document." ma:contentTypeScope="" ma:versionID="4fd4ad009aa42f07bea72a9ac54a6a46">
  <xsd:schema xmlns:xsd="http://www.w3.org/2001/XMLSchema" xmlns:xs="http://www.w3.org/2001/XMLSchema" xmlns:p="http://schemas.microsoft.com/office/2006/metadata/properties" xmlns:ns2="6048f16a-77ac-4327-be06-b0beb1ce50d8" targetNamespace="http://schemas.microsoft.com/office/2006/metadata/properties" ma:root="true" ma:fieldsID="03aa258e3c6d3b639b87b14df7afe5bb" ns2:_="">
    <xsd:import namespace="6048f16a-77ac-4327-be06-b0beb1ce50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hen xmlns="3f6fad35-1f81-480e-a4e5-6e5474dcfb96">2017-11-14</When>
    <Meeting xmlns="3f6fad35-1f81-480e-a4e5-6e5474dcfb96">178</Meeting>
    <DocumentSource xmlns="3f6fad35-1f81-480e-a4e5-6e5474dcfb96">Editor</DocumentSource>
    <IsReservedDoc xmlns="3f6fad35-1f81-480e-a4e5-6e5474dcfb96">false</IsReservedDoc>
    <SgText xmlns="3f6fad35-1f81-480e-a4e5-6e5474dcfb96">TSAG</SgText>
    <g7c634529dc642298f3d45250a210339 xmlns="3f6fad35-1f81-480e-a4e5-6e5474dcfb96">
      <Terms xmlns="http://schemas.microsoft.com/office/infopath/2007/PartnerControls">
        <TermInfo xmlns="http://schemas.microsoft.com/office/infopath/2007/PartnerControls">
          <TermName xmlns="http://schemas.microsoft.com/office/infopath/2007/PartnerControls">RGWM</TermName>
          <TermId xmlns="http://schemas.microsoft.com/office/infopath/2007/PartnerControls">ffbb345b-5c89-4106-929e-5fd12161b272</TermId>
        </TermInfo>
      </Terms>
    </g7c634529dc642298f3d45250a210339>
    <IsRevision xmlns="3f6fad35-1f81-480e-a4e5-6e5474dcfb96">false</IsRevision>
    <Purpose1 xmlns="3f6fad35-1f81-480e-a4e5-6e5474dcfb96">Discussion</Purpose1>
    <kff1d517de484045a83a22a3bdda4134 xmlns="3f6fad35-1f81-480e-a4e5-6e5474dcfb96">
      <Terms xmlns="http://schemas.microsoft.com/office/infopath/2007/PartnerControls"/>
    </kff1d517de484045a83a22a3bdda4134>
    <Abstract xmlns="3f6fad35-1f81-480e-a4e5-6e5474dcfb96">Draft revised Recommendation ITU-T A.1, Working methods for study groups of the ITU Telecommunication Standardization Sector, rollup of consultation comments and contributions</Abstract>
    <TaxCatchAll xmlns="3f6fad35-1f81-480e-a4e5-6e5474dcfb96">
      <Value>432</Value>
    </TaxCatchAll>
    <SourceRGM xmlns="3f6fad35-1f81-480e-a4e5-6e5474dcfb96">Editor</SourceRGM>
    <DocStatus xmlns="3f6fad35-1f81-480e-a4e5-6e5474dcfb96">accepted</DocStatus>
    <IsAttachment xmlns="3f6fad35-1f81-480e-a4e5-6e5474dcfb96">false</IsAttachment>
    <StudyGroup xmlns="3f6fad35-1f81-480e-a4e5-6e5474dcfb96">6</StudyGroup>
    <DocType xmlns="3f6fad35-1f81-480e-a4e5-6e5474dcfb96">DOC</DocType>
    <QuestionText xmlns="3f6fad35-1f81-480e-a4e5-6e5474dcfb96">RGWM</QuestionText>
    <DocTypeText xmlns="3f6fad35-1f81-480e-a4e5-6e5474dcfb96">DOC</DocTypeText>
    <CategoryDescription xmlns="http://schemas.microsoft.com/sharepoint.v3">TSAG Rapporteur Group on Working Methods</CategoryDescription>
    <DocStatusText xmlns="3f6fad35-1f81-480e-a4e5-6e5474dcfb96" xsi:nil="true"/>
    <ShortName xmlns="3f6fad35-1f81-480e-a4e5-6e5474dcfb96">RGWM-DOC5 (171114)</ShortName>
    <Place xmlns="3f6fad35-1f81-480e-a4e5-6e5474dcfb96">E-Meeting</Place>
    <IsTooLateSubmitted xmlns="3f6fad35-1f81-480e-a4e5-6e5474dcfb96">false</IsTooLateSubmitted>
    <IsLastVersion xmlns="3f6fad35-1f81-480e-a4e5-6e5474dcfb96">true</IsLastVersion>
    <Observations xmlns="3f6fad35-1f81-480e-a4e5-6e5474dcfb96" xsi:nil="true"/>
    <IsUpdated xmlns="3f6fad35-1f81-480e-a4e5-6e5474dcfb96">true</IsUpdated>
    <Area xmlns="3f6fad35-1f81-480e-a4e5-6e5474dcfb96" xsi:nil="tru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2777C-9D6C-4503-B990-78BC306B4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D37AD-1FA6-4C56-8DFC-1C7B4FAD8B1A}">
  <ds:schemaRefs>
    <ds:schemaRef ds:uri="http://schemas.microsoft.com/sharepoint/v3/contenttype/forms"/>
  </ds:schemaRefs>
</ds:datastoreItem>
</file>

<file path=customXml/itemProps3.xml><?xml version="1.0" encoding="utf-8"?>
<ds:datastoreItem xmlns:ds="http://schemas.openxmlformats.org/officeDocument/2006/customXml" ds:itemID="{E1A97D14-0D94-4CAD-B369-1516C478ACC9}">
  <ds:schemaRefs>
    <ds:schemaRef ds:uri="http://schemas.microsoft.com/office/2006/metadata/properties"/>
    <ds:schemaRef ds:uri="http://schemas.microsoft.com/office/infopath/2007/PartnerControls"/>
    <ds:schemaRef ds:uri="3f6fad35-1f81-480e-a4e5-6e5474dcfb96"/>
    <ds:schemaRef ds:uri="http://schemas.microsoft.com/sharepoint.v3"/>
  </ds:schemaRefs>
</ds:datastoreItem>
</file>

<file path=customXml/itemProps4.xml><?xml version="1.0" encoding="utf-8"?>
<ds:datastoreItem xmlns:ds="http://schemas.openxmlformats.org/officeDocument/2006/customXml" ds:itemID="{48DD09A7-08B0-42E6-9D57-85FA3356D73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80E7E0F-79F8-4CED-9D05-18CC11830129}">
  <ds:schemaRefs>
    <ds:schemaRef ds:uri="http://schemas.microsoft.com/sharepoint/v3/contenttype/forms"/>
  </ds:schemaRefs>
</ds:datastoreItem>
</file>

<file path=customXml/itemProps6.xml><?xml version="1.0" encoding="utf-8"?>
<ds:datastoreItem xmlns:ds="http://schemas.openxmlformats.org/officeDocument/2006/customXml" ds:itemID="{7B10D44D-70A2-4243-B72F-6B6C321A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QPUBE.dotm</Template>
  <TotalTime>3</TotalTime>
  <Pages>8</Pages>
  <Words>3389</Words>
  <Characters>19318</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ITU-T</Manager>
  <Company>International Telecommunication Union (ITU)</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SERIES A: ORGANIZATION OF THE WORK OF ITU-T -</dc:subject>
  <dc:creator>ITU-T study group ma</dc:creator>
  <cp:keywords>A.1,A,1</cp:keywords>
  <dc:description>TSAG-TD  For: virtual, 11-15 January 2021_x000d_Document date: _x000d_Saved by ITU51014832 at 00:24:45 on 07/01/2021</dc:description>
  <cp:lastModifiedBy>Al-Mnini, Lara</cp:lastModifiedBy>
  <cp:revision>4</cp:revision>
  <cp:lastPrinted>2019-10-22T12:02:00Z</cp:lastPrinted>
  <dcterms:created xsi:type="dcterms:W3CDTF">2021-12-21T08:39:00Z</dcterms:created>
  <dcterms:modified xsi:type="dcterms:W3CDTF">2021-12-21T08:42:00Z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2017-01-16T00:00:00Z</vt:filetime>
  </property>
  <property fmtid="{D5CDD505-2E9C-101B-9397-08002B2CF9AE}" pid="3" name="LastSaved">
    <vt:filetime>2017-11-08T00:00:00Z</vt:filetime>
  </property>
  <property fmtid="{D5CDD505-2E9C-101B-9397-08002B2CF9AE}" pid="4" name="ContentTypeId">
    <vt:lpwstr>0x010100D089D8AEFAC1A247B7216C0DD884D876</vt:lpwstr>
  </property>
  <property fmtid="{D5CDD505-2E9C-101B-9397-08002B2CF9AE}" pid="5" name="SourceC">
    <vt:lpwstr/>
  </property>
  <property fmtid="{D5CDD505-2E9C-101B-9397-08002B2CF9AE}" pid="6" name="Questions">
    <vt:lpwstr>432;#RGWM|ffbb345b-5c89-4106-929e-5fd12161b272</vt:lpwstr>
  </property>
  <property fmtid="{D5CDD505-2E9C-101B-9397-08002B2CF9AE}" pid="7" name="Docnum">
    <vt:lpwstr>TSAG-TD</vt:lpwstr>
  </property>
  <property fmtid="{D5CDD505-2E9C-101B-9397-08002B2CF9AE}" pid="8" name="Docdate">
    <vt:lpwstr/>
  </property>
  <property fmtid="{D5CDD505-2E9C-101B-9397-08002B2CF9AE}" pid="9" name="Docorlang">
    <vt:lpwstr/>
  </property>
  <property fmtid="{D5CDD505-2E9C-101B-9397-08002B2CF9AE}" pid="10" name="Docbluepink">
    <vt:lpwstr/>
  </property>
  <property fmtid="{D5CDD505-2E9C-101B-9397-08002B2CF9AE}" pid="11" name="Docdest">
    <vt:lpwstr>virtual, 11-15 January 2021</vt:lpwstr>
  </property>
  <property fmtid="{D5CDD505-2E9C-101B-9397-08002B2CF9AE}" pid="12" name="Docauthor">
    <vt:lpwstr/>
  </property>
  <property fmtid="{D5CDD505-2E9C-101B-9397-08002B2CF9AE}" pid="13" name="_NewReviewCycle">
    <vt:lpwstr/>
  </property>
  <property fmtid="{D5CDD505-2E9C-101B-9397-08002B2CF9AE}" pid="14" name="doctitle2">
    <vt:lpwstr>SERIES A: ORGANIZATION OF THE WORK OF ITU-T</vt:lpwstr>
  </property>
  <property fmtid="{D5CDD505-2E9C-101B-9397-08002B2CF9AE}" pid="15" name="doctitle">
    <vt:lpwstr>Working methods for study groups of the ITU Telecommunication Standardization Sector</vt:lpwstr>
  </property>
  <property fmtid="{D5CDD505-2E9C-101B-9397-08002B2CF9AE}" pid="16" name="Language">
    <vt:lpwstr>English</vt:lpwstr>
  </property>
  <property fmtid="{D5CDD505-2E9C-101B-9397-08002B2CF9AE}" pid="17" name="Typist">
    <vt:lpwstr>Gachetc</vt:lpwstr>
  </property>
  <property fmtid="{D5CDD505-2E9C-101B-9397-08002B2CF9AE}" pid="18" name="Date completed">
    <vt:lpwstr>16 January 2017</vt:lpwstr>
  </property>
</Properties>
</file>