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4A0" w:firstRow="1" w:lastRow="0" w:firstColumn="1" w:lastColumn="0" w:noHBand="0" w:noVBand="1"/>
      </w:tblPr>
      <w:tblGrid>
        <w:gridCol w:w="1191"/>
        <w:gridCol w:w="359"/>
        <w:gridCol w:w="700"/>
        <w:gridCol w:w="3562"/>
        <w:gridCol w:w="482"/>
        <w:gridCol w:w="3629"/>
      </w:tblGrid>
      <w:tr w:rsidR="00BF591D" w14:paraId="7C07B0D0" w14:textId="77777777" w:rsidTr="00E03BEC">
        <w:trPr>
          <w:cantSplit/>
        </w:trPr>
        <w:tc>
          <w:tcPr>
            <w:tcW w:w="1191" w:type="dxa"/>
            <w:vMerge w:val="restart"/>
            <w:tcBorders>
              <w:top w:val="nil"/>
              <w:left w:val="nil"/>
              <w:bottom w:val="single" w:sz="12" w:space="0" w:color="auto"/>
              <w:right w:val="nil"/>
            </w:tcBorders>
            <w:hideMark/>
          </w:tcPr>
          <w:p w14:paraId="1E97EA66" w14:textId="3DC73130" w:rsidR="00BF591D" w:rsidRDefault="00BF591D">
            <w:pPr>
              <w:rPr>
                <w:b/>
                <w:bCs/>
                <w:sz w:val="26"/>
                <w:szCs w:val="20"/>
                <w:lang w:eastAsia="en-US"/>
              </w:rPr>
            </w:pPr>
            <w:bookmarkStart w:id="0" w:name="dnum" w:colFirst="2" w:colLast="2"/>
            <w:bookmarkStart w:id="1" w:name="dtableau"/>
            <w:r>
              <w:rPr>
                <w:noProof/>
                <w:sz w:val="20"/>
                <w:lang w:val="en-US" w:eastAsia="en-US"/>
              </w:rPr>
              <w:drawing>
                <wp:inline distT="0" distB="0" distL="0" distR="0" wp14:anchorId="1B581E87" wp14:editId="16E3D74C">
                  <wp:extent cx="647700" cy="830580"/>
                  <wp:effectExtent l="0" t="0" r="0" b="0"/>
                  <wp:docPr id="1" name="Picture 1" title="ITU logo"/>
                  <wp:cNvGraphicFramePr/>
                  <a:graphic xmlns:a="http://schemas.openxmlformats.org/drawingml/2006/main">
                    <a:graphicData uri="http://schemas.openxmlformats.org/drawingml/2006/picture">
                      <pic:pic xmlns:pic="http://schemas.openxmlformats.org/drawingml/2006/picture">
                        <pic:nvPicPr>
                          <pic:cNvPr id="1" name="Picture 1" title="ITU logo"/>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3058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03" w:type="dxa"/>
            <w:gridSpan w:val="4"/>
            <w:vMerge w:val="restart"/>
            <w:tcBorders>
              <w:top w:val="nil"/>
              <w:left w:val="nil"/>
              <w:bottom w:val="single" w:sz="12" w:space="0" w:color="auto"/>
              <w:right w:val="nil"/>
            </w:tcBorders>
            <w:hideMark/>
          </w:tcPr>
          <w:p w14:paraId="45081E3A" w14:textId="77777777" w:rsidR="00BF591D" w:rsidRDefault="00BF591D">
            <w:pPr>
              <w:rPr>
                <w:sz w:val="20"/>
              </w:rPr>
            </w:pPr>
            <w:r>
              <w:rPr>
                <w:sz w:val="20"/>
              </w:rPr>
              <w:t>INTERNATIONAL TELECOMMUNICATION UNION</w:t>
            </w:r>
          </w:p>
          <w:p w14:paraId="637C625F" w14:textId="77777777" w:rsidR="00BF591D" w:rsidRDefault="00BF591D">
            <w:pPr>
              <w:rPr>
                <w:b/>
                <w:bCs/>
                <w:sz w:val="26"/>
              </w:rPr>
            </w:pPr>
            <w:r>
              <w:rPr>
                <w:b/>
                <w:bCs/>
                <w:sz w:val="26"/>
              </w:rPr>
              <w:t>TELECOMMUNICATION STANDARDIZATION SECTOR</w:t>
            </w:r>
          </w:p>
          <w:p w14:paraId="35D6C568" w14:textId="77777777" w:rsidR="00BF591D" w:rsidRDefault="00BF591D">
            <w:pPr>
              <w:rPr>
                <w:sz w:val="20"/>
              </w:rPr>
            </w:pPr>
            <w:r>
              <w:rPr>
                <w:sz w:val="20"/>
              </w:rPr>
              <w:t>STUDY PERIOD 2017-2020</w:t>
            </w:r>
          </w:p>
        </w:tc>
        <w:tc>
          <w:tcPr>
            <w:tcW w:w="3629" w:type="dxa"/>
            <w:hideMark/>
          </w:tcPr>
          <w:p w14:paraId="0B5FFA08" w14:textId="77777777" w:rsidR="00BF591D" w:rsidRDefault="00BF591D">
            <w:pPr>
              <w:pStyle w:val="Docnumber"/>
              <w:rPr>
                <w:sz w:val="40"/>
              </w:rPr>
            </w:pPr>
            <w:r>
              <w:t>TSAG-TD1163</w:t>
            </w:r>
          </w:p>
        </w:tc>
      </w:tr>
      <w:tr w:rsidR="00BF591D" w14:paraId="3BE2B654" w14:textId="77777777" w:rsidTr="00E03BEC">
        <w:trPr>
          <w:cantSplit/>
          <w:trHeight w:val="461"/>
        </w:trPr>
        <w:tc>
          <w:tcPr>
            <w:tcW w:w="1191" w:type="dxa"/>
            <w:vMerge/>
            <w:tcBorders>
              <w:top w:val="nil"/>
              <w:left w:val="nil"/>
              <w:bottom w:val="single" w:sz="12" w:space="0" w:color="auto"/>
              <w:right w:val="nil"/>
            </w:tcBorders>
            <w:vAlign w:val="center"/>
            <w:hideMark/>
          </w:tcPr>
          <w:p w14:paraId="4E170656" w14:textId="77777777" w:rsidR="00BF591D" w:rsidRDefault="00BF591D">
            <w:pPr>
              <w:spacing w:before="0"/>
              <w:rPr>
                <w:b/>
                <w:bCs/>
                <w:sz w:val="26"/>
              </w:rPr>
            </w:pPr>
          </w:p>
        </w:tc>
        <w:tc>
          <w:tcPr>
            <w:tcW w:w="5103" w:type="dxa"/>
            <w:gridSpan w:val="4"/>
            <w:vMerge/>
            <w:tcBorders>
              <w:top w:val="nil"/>
              <w:left w:val="nil"/>
              <w:bottom w:val="single" w:sz="12" w:space="0" w:color="auto"/>
              <w:right w:val="nil"/>
            </w:tcBorders>
            <w:vAlign w:val="center"/>
            <w:hideMark/>
          </w:tcPr>
          <w:p w14:paraId="645AE4EF" w14:textId="77777777" w:rsidR="00BF591D" w:rsidRDefault="00BF591D">
            <w:pPr>
              <w:spacing w:before="0"/>
              <w:rPr>
                <w:sz w:val="20"/>
              </w:rPr>
            </w:pPr>
          </w:p>
        </w:tc>
        <w:tc>
          <w:tcPr>
            <w:tcW w:w="3629" w:type="dxa"/>
            <w:hideMark/>
          </w:tcPr>
          <w:p w14:paraId="0E0DA0E9" w14:textId="77777777" w:rsidR="00BF591D" w:rsidRDefault="00BF591D">
            <w:pPr>
              <w:jc w:val="right"/>
              <w:rPr>
                <w:b/>
                <w:bCs/>
                <w:sz w:val="28"/>
              </w:rPr>
            </w:pPr>
            <w:r>
              <w:rPr>
                <w:b/>
                <w:bCs/>
                <w:sz w:val="28"/>
              </w:rPr>
              <w:t>TSAG</w:t>
            </w:r>
          </w:p>
        </w:tc>
      </w:tr>
      <w:tr w:rsidR="00BF591D" w14:paraId="48F880A1" w14:textId="77777777" w:rsidTr="00E03BEC">
        <w:trPr>
          <w:cantSplit/>
          <w:trHeight w:val="379"/>
        </w:trPr>
        <w:tc>
          <w:tcPr>
            <w:tcW w:w="1191" w:type="dxa"/>
            <w:vMerge/>
            <w:tcBorders>
              <w:top w:val="nil"/>
              <w:left w:val="nil"/>
              <w:bottom w:val="single" w:sz="12" w:space="0" w:color="auto"/>
              <w:right w:val="nil"/>
            </w:tcBorders>
            <w:vAlign w:val="center"/>
            <w:hideMark/>
          </w:tcPr>
          <w:p w14:paraId="03798A63" w14:textId="77777777" w:rsidR="00BF591D" w:rsidRDefault="00BF591D">
            <w:pPr>
              <w:spacing w:before="0"/>
              <w:rPr>
                <w:b/>
                <w:bCs/>
                <w:sz w:val="26"/>
              </w:rPr>
            </w:pPr>
            <w:bookmarkStart w:id="2" w:name="dorlang" w:colFirst="4" w:colLast="4"/>
          </w:p>
        </w:tc>
        <w:tc>
          <w:tcPr>
            <w:tcW w:w="5103" w:type="dxa"/>
            <w:gridSpan w:val="4"/>
            <w:vMerge/>
            <w:tcBorders>
              <w:top w:val="nil"/>
              <w:left w:val="nil"/>
              <w:bottom w:val="single" w:sz="12" w:space="0" w:color="auto"/>
              <w:right w:val="nil"/>
            </w:tcBorders>
            <w:vAlign w:val="center"/>
            <w:hideMark/>
          </w:tcPr>
          <w:p w14:paraId="68BEB195" w14:textId="77777777" w:rsidR="00BF591D" w:rsidRDefault="00BF591D">
            <w:pPr>
              <w:spacing w:before="0"/>
              <w:rPr>
                <w:sz w:val="20"/>
              </w:rPr>
            </w:pPr>
          </w:p>
        </w:tc>
        <w:tc>
          <w:tcPr>
            <w:tcW w:w="3629" w:type="dxa"/>
            <w:tcBorders>
              <w:top w:val="nil"/>
              <w:left w:val="nil"/>
              <w:bottom w:val="single" w:sz="12" w:space="0" w:color="auto"/>
              <w:right w:val="nil"/>
            </w:tcBorders>
            <w:hideMark/>
          </w:tcPr>
          <w:p w14:paraId="76AF951D" w14:textId="77777777" w:rsidR="00BF591D" w:rsidRDefault="00BF591D">
            <w:pPr>
              <w:jc w:val="right"/>
              <w:rPr>
                <w:b/>
                <w:bCs/>
                <w:sz w:val="28"/>
              </w:rPr>
            </w:pPr>
            <w:r>
              <w:rPr>
                <w:b/>
                <w:bCs/>
                <w:sz w:val="28"/>
              </w:rPr>
              <w:t>Original: English</w:t>
            </w:r>
          </w:p>
        </w:tc>
      </w:tr>
      <w:bookmarkEnd w:id="2"/>
      <w:tr w:rsidR="00BF591D" w14:paraId="5F647E9D" w14:textId="77777777" w:rsidTr="00E03BEC">
        <w:trPr>
          <w:cantSplit/>
          <w:trHeight w:val="357"/>
        </w:trPr>
        <w:tc>
          <w:tcPr>
            <w:tcW w:w="1550" w:type="dxa"/>
            <w:gridSpan w:val="2"/>
            <w:hideMark/>
          </w:tcPr>
          <w:p w14:paraId="006B8D83" w14:textId="77777777" w:rsidR="00BF591D" w:rsidRDefault="00BF591D">
            <w:pPr>
              <w:rPr>
                <w:b/>
                <w:bCs/>
              </w:rPr>
            </w:pPr>
            <w:r>
              <w:rPr>
                <w:b/>
                <w:bCs/>
              </w:rPr>
              <w:t>Question(s):</w:t>
            </w:r>
          </w:p>
        </w:tc>
        <w:tc>
          <w:tcPr>
            <w:tcW w:w="4744" w:type="dxa"/>
            <w:gridSpan w:val="3"/>
            <w:hideMark/>
          </w:tcPr>
          <w:p w14:paraId="39209915" w14:textId="4FCE6077" w:rsidR="00BF591D" w:rsidRDefault="00E03BEC">
            <w:r>
              <w:t>N/A</w:t>
            </w:r>
          </w:p>
        </w:tc>
        <w:tc>
          <w:tcPr>
            <w:tcW w:w="3629" w:type="dxa"/>
            <w:hideMark/>
          </w:tcPr>
          <w:p w14:paraId="329D80D7" w14:textId="77777777" w:rsidR="00BF591D" w:rsidRDefault="00BF591D">
            <w:pPr>
              <w:jc w:val="right"/>
            </w:pPr>
            <w:r>
              <w:t>E-Meeting, 25-29 October 2021</w:t>
            </w:r>
          </w:p>
        </w:tc>
      </w:tr>
      <w:tr w:rsidR="00BF591D" w14:paraId="76221616" w14:textId="77777777" w:rsidTr="00E03BEC">
        <w:trPr>
          <w:cantSplit/>
          <w:trHeight w:val="357"/>
        </w:trPr>
        <w:tc>
          <w:tcPr>
            <w:tcW w:w="9923" w:type="dxa"/>
            <w:gridSpan w:val="6"/>
            <w:hideMark/>
          </w:tcPr>
          <w:p w14:paraId="2D5A23F4" w14:textId="3B57A147" w:rsidR="00BF591D" w:rsidRDefault="00BF591D">
            <w:pPr>
              <w:jc w:val="center"/>
              <w:rPr>
                <w:b/>
                <w:bCs/>
              </w:rPr>
            </w:pPr>
            <w:bookmarkStart w:id="3" w:name="dtitle"/>
            <w:r>
              <w:rPr>
                <w:b/>
                <w:bCs/>
              </w:rPr>
              <w:t>TD</w:t>
            </w:r>
            <w:r>
              <w:rPr>
                <w:b/>
                <w:bCs/>
              </w:rPr>
              <w:br/>
              <w:t>(Ref</w:t>
            </w:r>
            <w:r w:rsidR="00E03BEC">
              <w:rPr>
                <w:b/>
                <w:bCs/>
              </w:rPr>
              <w:t>.</w:t>
            </w:r>
            <w:r>
              <w:rPr>
                <w:b/>
                <w:bCs/>
              </w:rPr>
              <w:t xml:space="preserve">: </w:t>
            </w:r>
            <w:hyperlink r:id="rId12" w:tooltip="ITU-T ftp file restricted to TIES access only" w:history="1">
              <w:r>
                <w:rPr>
                  <w:rStyle w:val="Hyperlink"/>
                </w:rPr>
                <w:t>SG20-LS232</w:t>
              </w:r>
            </w:hyperlink>
            <w:r>
              <w:t>)</w:t>
            </w:r>
          </w:p>
        </w:tc>
        <w:bookmarkEnd w:id="3"/>
      </w:tr>
      <w:tr w:rsidR="00BF591D" w14:paraId="36171BED" w14:textId="77777777" w:rsidTr="00E03BEC">
        <w:trPr>
          <w:cantSplit/>
          <w:trHeight w:val="357"/>
        </w:trPr>
        <w:tc>
          <w:tcPr>
            <w:tcW w:w="1550" w:type="dxa"/>
            <w:gridSpan w:val="2"/>
            <w:hideMark/>
          </w:tcPr>
          <w:p w14:paraId="14B65104" w14:textId="77777777" w:rsidR="00BF591D" w:rsidRDefault="00BF591D">
            <w:pPr>
              <w:rPr>
                <w:b/>
                <w:bCs/>
              </w:rPr>
            </w:pPr>
            <w:r>
              <w:rPr>
                <w:b/>
                <w:bCs/>
              </w:rPr>
              <w:t>Source:</w:t>
            </w:r>
          </w:p>
        </w:tc>
        <w:tc>
          <w:tcPr>
            <w:tcW w:w="8373" w:type="dxa"/>
            <w:gridSpan w:val="4"/>
            <w:hideMark/>
          </w:tcPr>
          <w:p w14:paraId="314EC638" w14:textId="77777777" w:rsidR="00BF591D" w:rsidRDefault="00BF591D">
            <w:r>
              <w:t>ITU-T Study Group 20</w:t>
            </w:r>
          </w:p>
        </w:tc>
      </w:tr>
      <w:tr w:rsidR="00BF591D" w14:paraId="5232D484" w14:textId="77777777" w:rsidTr="00E03BEC">
        <w:trPr>
          <w:cantSplit/>
          <w:trHeight w:val="357"/>
        </w:trPr>
        <w:tc>
          <w:tcPr>
            <w:tcW w:w="1550" w:type="dxa"/>
            <w:gridSpan w:val="2"/>
            <w:hideMark/>
          </w:tcPr>
          <w:p w14:paraId="2F9714D0" w14:textId="77777777" w:rsidR="00BF591D" w:rsidRDefault="00BF591D">
            <w:pPr>
              <w:rPr>
                <w:b/>
                <w:bCs/>
              </w:rPr>
            </w:pPr>
            <w:r>
              <w:rPr>
                <w:b/>
                <w:bCs/>
              </w:rPr>
              <w:t>Title:</w:t>
            </w:r>
          </w:p>
        </w:tc>
        <w:tc>
          <w:tcPr>
            <w:tcW w:w="8373" w:type="dxa"/>
            <w:gridSpan w:val="4"/>
            <w:hideMark/>
          </w:tcPr>
          <w:p w14:paraId="52062E80" w14:textId="7A645B99" w:rsidR="00BF591D" w:rsidRDefault="00BF591D">
            <w:pPr>
              <w:spacing w:after="120"/>
            </w:pPr>
            <w:bookmarkStart w:id="4" w:name="_GoBack"/>
            <w:r>
              <w:t>LS on establishment of a new ITU-T Focus Group on “Artificial Intelligence (AI) and Internet of Things (IoT) for Digital Agriculture” (FG-AI4A)</w:t>
            </w:r>
            <w:r w:rsidR="00E03BEC">
              <w:t xml:space="preserve"> [from ITU-T SG20]</w:t>
            </w:r>
            <w:bookmarkEnd w:id="4"/>
          </w:p>
        </w:tc>
      </w:tr>
      <w:tr w:rsidR="00BF591D" w14:paraId="5BD0A752" w14:textId="77777777" w:rsidTr="00E03BEC">
        <w:trPr>
          <w:cantSplit/>
          <w:trHeight w:val="357"/>
        </w:trPr>
        <w:tc>
          <w:tcPr>
            <w:tcW w:w="1550" w:type="dxa"/>
            <w:gridSpan w:val="2"/>
            <w:hideMark/>
          </w:tcPr>
          <w:p w14:paraId="030FBB00" w14:textId="77777777" w:rsidR="00BF591D" w:rsidRDefault="00BF591D">
            <w:pPr>
              <w:rPr>
                <w:b/>
                <w:bCs/>
              </w:rPr>
            </w:pPr>
            <w:r>
              <w:rPr>
                <w:b/>
                <w:bCs/>
              </w:rPr>
              <w:t>Purpose:</w:t>
            </w:r>
          </w:p>
        </w:tc>
        <w:tc>
          <w:tcPr>
            <w:tcW w:w="8373" w:type="dxa"/>
            <w:gridSpan w:val="4"/>
          </w:tcPr>
          <w:p w14:paraId="0D85A9D2" w14:textId="66A4A70C" w:rsidR="00BF591D" w:rsidRDefault="00E03BEC">
            <w:r>
              <w:t>Information</w:t>
            </w:r>
          </w:p>
        </w:tc>
      </w:tr>
      <w:tr w:rsidR="00BF591D" w14:paraId="69EFE426" w14:textId="77777777" w:rsidTr="00E03BEC">
        <w:trPr>
          <w:cantSplit/>
          <w:trHeight w:val="357"/>
        </w:trPr>
        <w:tc>
          <w:tcPr>
            <w:tcW w:w="9923" w:type="dxa"/>
            <w:gridSpan w:val="6"/>
            <w:tcBorders>
              <w:top w:val="single" w:sz="12" w:space="0" w:color="auto"/>
              <w:left w:val="nil"/>
              <w:bottom w:val="nil"/>
              <w:right w:val="nil"/>
            </w:tcBorders>
            <w:hideMark/>
          </w:tcPr>
          <w:p w14:paraId="6EAFD0F3" w14:textId="77777777" w:rsidR="00BF591D" w:rsidRDefault="00BF591D">
            <w:pPr>
              <w:jc w:val="center"/>
              <w:rPr>
                <w:b/>
              </w:rPr>
            </w:pPr>
            <w:r>
              <w:rPr>
                <w:b/>
              </w:rPr>
              <w:t>LIAISON STATEMENT</w:t>
            </w:r>
          </w:p>
        </w:tc>
      </w:tr>
      <w:tr w:rsidR="00BF591D" w14:paraId="325F4578" w14:textId="77777777" w:rsidTr="00E03BEC">
        <w:trPr>
          <w:cantSplit/>
          <w:trHeight w:val="357"/>
        </w:trPr>
        <w:tc>
          <w:tcPr>
            <w:tcW w:w="2250" w:type="dxa"/>
            <w:gridSpan w:val="3"/>
            <w:hideMark/>
          </w:tcPr>
          <w:p w14:paraId="331078F8" w14:textId="77777777" w:rsidR="00BF591D" w:rsidRDefault="00BF591D">
            <w:pPr>
              <w:rPr>
                <w:b/>
                <w:bCs/>
              </w:rPr>
            </w:pPr>
            <w:r>
              <w:rPr>
                <w:b/>
                <w:bCs/>
              </w:rPr>
              <w:t>For action to:</w:t>
            </w:r>
          </w:p>
        </w:tc>
        <w:tc>
          <w:tcPr>
            <w:tcW w:w="7673" w:type="dxa"/>
            <w:gridSpan w:val="3"/>
            <w:hideMark/>
          </w:tcPr>
          <w:p w14:paraId="19FDA2E7" w14:textId="033C63EC" w:rsidR="00BF591D" w:rsidRDefault="00BF591D">
            <w:r>
              <w:t xml:space="preserve">ITU-R SG 1, ITU-R SG 5, ITU-R SG 6, ITU-R SG 3, ITU-R SG 4, ITU-R SG 7, ITU-D SG 2, ITU-D SG 1, FAO, </w:t>
            </w:r>
            <w:r w:rsidR="00E03BEC">
              <w:t xml:space="preserve">ITU-T </w:t>
            </w:r>
            <w:r>
              <w:t>SG2, SG3, SG5, SG9, SG11, SG12, SG13, SG15, SG16, SG17</w:t>
            </w:r>
          </w:p>
        </w:tc>
      </w:tr>
      <w:tr w:rsidR="00BF591D" w14:paraId="27EC0323" w14:textId="77777777" w:rsidTr="00E03BEC">
        <w:trPr>
          <w:cantSplit/>
          <w:trHeight w:val="357"/>
        </w:trPr>
        <w:tc>
          <w:tcPr>
            <w:tcW w:w="2250" w:type="dxa"/>
            <w:gridSpan w:val="3"/>
            <w:hideMark/>
          </w:tcPr>
          <w:p w14:paraId="0BF8E65D" w14:textId="77777777" w:rsidR="00BF591D" w:rsidRDefault="00BF591D">
            <w:pPr>
              <w:rPr>
                <w:b/>
                <w:bCs/>
              </w:rPr>
            </w:pPr>
            <w:r>
              <w:rPr>
                <w:b/>
                <w:bCs/>
              </w:rPr>
              <w:t>For comment to:</w:t>
            </w:r>
          </w:p>
        </w:tc>
        <w:tc>
          <w:tcPr>
            <w:tcW w:w="7673" w:type="dxa"/>
            <w:gridSpan w:val="3"/>
            <w:hideMark/>
          </w:tcPr>
          <w:p w14:paraId="66AA2220" w14:textId="77777777" w:rsidR="00BF591D" w:rsidRDefault="00BF591D">
            <w:r>
              <w:t>-</w:t>
            </w:r>
          </w:p>
        </w:tc>
      </w:tr>
      <w:tr w:rsidR="00BF591D" w14:paraId="420E8ADC" w14:textId="77777777" w:rsidTr="00E03BEC">
        <w:trPr>
          <w:cantSplit/>
          <w:trHeight w:val="357"/>
        </w:trPr>
        <w:tc>
          <w:tcPr>
            <w:tcW w:w="2250" w:type="dxa"/>
            <w:gridSpan w:val="3"/>
            <w:hideMark/>
          </w:tcPr>
          <w:p w14:paraId="24412391" w14:textId="77777777" w:rsidR="00BF591D" w:rsidRDefault="00BF591D">
            <w:pPr>
              <w:rPr>
                <w:b/>
                <w:bCs/>
              </w:rPr>
            </w:pPr>
            <w:r>
              <w:rPr>
                <w:b/>
                <w:bCs/>
              </w:rPr>
              <w:t>For information to:</w:t>
            </w:r>
          </w:p>
        </w:tc>
        <w:tc>
          <w:tcPr>
            <w:tcW w:w="7673" w:type="dxa"/>
            <w:gridSpan w:val="3"/>
            <w:hideMark/>
          </w:tcPr>
          <w:p w14:paraId="71FE40F2" w14:textId="77777777" w:rsidR="00BF591D" w:rsidRDefault="00BF591D">
            <w:r>
              <w:t>TSAG, FG-AI4A</w:t>
            </w:r>
          </w:p>
        </w:tc>
      </w:tr>
      <w:tr w:rsidR="00BF591D" w14:paraId="5B81DC53" w14:textId="77777777" w:rsidTr="00E03BEC">
        <w:trPr>
          <w:cantSplit/>
          <w:trHeight w:val="357"/>
        </w:trPr>
        <w:tc>
          <w:tcPr>
            <w:tcW w:w="2250" w:type="dxa"/>
            <w:gridSpan w:val="3"/>
            <w:hideMark/>
          </w:tcPr>
          <w:p w14:paraId="42F1F902" w14:textId="77777777" w:rsidR="00BF591D" w:rsidRDefault="00BF591D">
            <w:pPr>
              <w:rPr>
                <w:b/>
                <w:bCs/>
              </w:rPr>
            </w:pPr>
            <w:r>
              <w:rPr>
                <w:b/>
                <w:bCs/>
              </w:rPr>
              <w:t>Approval:</w:t>
            </w:r>
          </w:p>
        </w:tc>
        <w:tc>
          <w:tcPr>
            <w:tcW w:w="7673" w:type="dxa"/>
            <w:gridSpan w:val="3"/>
            <w:hideMark/>
          </w:tcPr>
          <w:p w14:paraId="57EA8875" w14:textId="77777777" w:rsidR="00BF591D" w:rsidRDefault="00BF591D">
            <w:r>
              <w:t>ITU-T Study Group 20 meeting (Virtual, 21 October 2021)</w:t>
            </w:r>
          </w:p>
        </w:tc>
      </w:tr>
      <w:tr w:rsidR="00BF591D" w14:paraId="03DE1FFD" w14:textId="77777777" w:rsidTr="00E03BEC">
        <w:trPr>
          <w:cantSplit/>
          <w:trHeight w:val="357"/>
        </w:trPr>
        <w:tc>
          <w:tcPr>
            <w:tcW w:w="2250" w:type="dxa"/>
            <w:gridSpan w:val="3"/>
            <w:tcBorders>
              <w:top w:val="nil"/>
              <w:left w:val="nil"/>
              <w:bottom w:val="single" w:sz="12" w:space="0" w:color="auto"/>
              <w:right w:val="nil"/>
            </w:tcBorders>
            <w:hideMark/>
          </w:tcPr>
          <w:p w14:paraId="1FEE449B" w14:textId="77777777" w:rsidR="00BF591D" w:rsidRDefault="00BF591D">
            <w:r>
              <w:rPr>
                <w:b/>
              </w:rPr>
              <w:t>Deadline:</w:t>
            </w:r>
          </w:p>
        </w:tc>
        <w:tc>
          <w:tcPr>
            <w:tcW w:w="7673" w:type="dxa"/>
            <w:gridSpan w:val="3"/>
            <w:tcBorders>
              <w:top w:val="nil"/>
              <w:left w:val="nil"/>
              <w:bottom w:val="single" w:sz="12" w:space="0" w:color="auto"/>
              <w:right w:val="nil"/>
            </w:tcBorders>
            <w:hideMark/>
          </w:tcPr>
          <w:p w14:paraId="12CAA9BB" w14:textId="77777777" w:rsidR="00BF591D" w:rsidRDefault="00BF591D">
            <w:r>
              <w:t>N/A</w:t>
            </w:r>
          </w:p>
        </w:tc>
      </w:tr>
      <w:tr w:rsidR="00BF591D" w14:paraId="0BBECBEA" w14:textId="77777777" w:rsidTr="00E03BEC">
        <w:trPr>
          <w:trHeight w:val="204"/>
        </w:trPr>
        <w:tc>
          <w:tcPr>
            <w:tcW w:w="2250" w:type="dxa"/>
            <w:gridSpan w:val="3"/>
            <w:tcBorders>
              <w:top w:val="nil"/>
              <w:left w:val="nil"/>
              <w:bottom w:val="single" w:sz="12" w:space="0" w:color="auto"/>
              <w:right w:val="nil"/>
            </w:tcBorders>
            <w:hideMark/>
          </w:tcPr>
          <w:p w14:paraId="7B7DD119" w14:textId="77777777" w:rsidR="00BF591D" w:rsidRDefault="00BF591D">
            <w:pPr>
              <w:rPr>
                <w:b/>
                <w:bCs/>
              </w:rPr>
            </w:pPr>
            <w:r>
              <w:rPr>
                <w:b/>
                <w:bCs/>
              </w:rPr>
              <w:t>Contact:</w:t>
            </w:r>
          </w:p>
        </w:tc>
        <w:tc>
          <w:tcPr>
            <w:tcW w:w="3562" w:type="dxa"/>
            <w:tcBorders>
              <w:top w:val="nil"/>
              <w:left w:val="nil"/>
              <w:bottom w:val="single" w:sz="12" w:space="0" w:color="auto"/>
              <w:right w:val="nil"/>
            </w:tcBorders>
            <w:hideMark/>
          </w:tcPr>
          <w:p w14:paraId="24CBA205" w14:textId="77777777" w:rsidR="00BF591D" w:rsidRDefault="00BF591D" w:rsidP="00E03BEC">
            <w:pPr>
              <w:rPr>
                <w:szCs w:val="20"/>
              </w:rPr>
            </w:pPr>
            <w:r>
              <w:t>Nasser Saleh Al Marzouqi</w:t>
            </w:r>
            <w:r>
              <w:br/>
              <w:t>Chairman SG20</w:t>
            </w:r>
          </w:p>
        </w:tc>
        <w:tc>
          <w:tcPr>
            <w:tcW w:w="4111" w:type="dxa"/>
            <w:gridSpan w:val="2"/>
            <w:tcBorders>
              <w:top w:val="nil"/>
              <w:left w:val="nil"/>
              <w:bottom w:val="single" w:sz="12" w:space="0" w:color="auto"/>
              <w:right w:val="nil"/>
            </w:tcBorders>
            <w:hideMark/>
          </w:tcPr>
          <w:p w14:paraId="3313700F" w14:textId="00B8FE5E" w:rsidR="00BF591D" w:rsidRDefault="00BF591D" w:rsidP="00E03BEC">
            <w:r>
              <w:t xml:space="preserve">Tel: </w:t>
            </w:r>
            <w:r>
              <w:tab/>
            </w:r>
            <w:r>
              <w:tab/>
              <w:t>+97 6118 468</w:t>
            </w:r>
            <w:r>
              <w:br/>
              <w:t xml:space="preserve">Fax: </w:t>
            </w:r>
            <w:r>
              <w:tab/>
            </w:r>
            <w:r>
              <w:tab/>
              <w:t>+97 6118 484</w:t>
            </w:r>
            <w:r>
              <w:br/>
              <w:t>E-mail:</w:t>
            </w:r>
            <w:r>
              <w:tab/>
              <w:t xml:space="preserve"> </w:t>
            </w:r>
            <w:hyperlink r:id="rId13" w:history="1">
              <w:r w:rsidR="00E03BEC" w:rsidRPr="009726FA">
                <w:rPr>
                  <w:rStyle w:val="Hyperlink"/>
                  <w:rFonts w:ascii="Times New Roman" w:hAnsi="Times New Roman"/>
                </w:rPr>
                <w:t>nasser.almarzouqi@tra.gov.ae</w:t>
              </w:r>
            </w:hyperlink>
            <w:r w:rsidR="00E03BEC">
              <w:t xml:space="preserve"> </w:t>
            </w:r>
          </w:p>
        </w:tc>
      </w:tr>
    </w:tbl>
    <w:p w14:paraId="31A18908" w14:textId="77777777" w:rsidR="00BF591D" w:rsidRDefault="00BF591D" w:rsidP="00BF591D">
      <w:pPr>
        <w:rPr>
          <w:szCs w:val="20"/>
        </w:rPr>
      </w:pPr>
    </w:p>
    <w:p w14:paraId="1D12B427" w14:textId="77777777" w:rsidR="00BF591D" w:rsidRDefault="00BF591D" w:rsidP="00BF591D">
      <w:r>
        <w:t>A new liaison statement has been received from SG20.</w:t>
      </w:r>
    </w:p>
    <w:p w14:paraId="7195F124" w14:textId="77777777" w:rsidR="00BF591D" w:rsidRDefault="00BF591D" w:rsidP="00BF591D">
      <w:r>
        <w:t xml:space="preserve">This liaison statement follows and the original file can be downloaded from the ITU ftp server at </w:t>
      </w:r>
      <w:hyperlink r:id="rId14" w:tooltip="ITU-T ftp file restricted to TIES access only" w:history="1">
        <w:r>
          <w:rPr>
            <w:rStyle w:val="Hyperlink"/>
          </w:rPr>
          <w:t>http://handle.itu.int/11.1002/ls/sp16-sg20-oLS-00232.docx</w:t>
        </w:r>
      </w:hyperlink>
      <w:r>
        <w:t>.</w:t>
      </w:r>
    </w:p>
    <w:p w14:paraId="2050DC07" w14:textId="77777777" w:rsidR="00BF591D" w:rsidRDefault="00BF591D" w:rsidP="00BF591D">
      <w:pPr>
        <w:spacing w:before="0"/>
        <w:jc w:val="center"/>
        <w:rPr>
          <w:szCs w:val="20"/>
        </w:rPr>
      </w:pPr>
    </w:p>
    <w:p w14:paraId="3C4C0138" w14:textId="77777777" w:rsidR="00BF591D" w:rsidRDefault="00BF591D" w:rsidP="00BF591D">
      <w:pPr>
        <w:jc w:val="right"/>
      </w:pPr>
      <w:r>
        <w:br w:type="page"/>
      </w:r>
    </w:p>
    <w:tbl>
      <w:tblPr>
        <w:tblW w:w="9923" w:type="dxa"/>
        <w:tblLayout w:type="fixed"/>
        <w:tblCellMar>
          <w:left w:w="57" w:type="dxa"/>
          <w:right w:w="57" w:type="dxa"/>
        </w:tblCellMar>
        <w:tblLook w:val="0000" w:firstRow="0" w:lastRow="0" w:firstColumn="0" w:lastColumn="0" w:noHBand="0" w:noVBand="0"/>
      </w:tblPr>
      <w:tblGrid>
        <w:gridCol w:w="1191"/>
        <w:gridCol w:w="426"/>
        <w:gridCol w:w="567"/>
        <w:gridCol w:w="2976"/>
        <w:gridCol w:w="82"/>
        <w:gridCol w:w="4681"/>
      </w:tblGrid>
      <w:tr w:rsidR="00162256" w:rsidRPr="00162256" w14:paraId="56AEE388" w14:textId="77777777" w:rsidTr="003F6975">
        <w:trPr>
          <w:cantSplit/>
        </w:trPr>
        <w:tc>
          <w:tcPr>
            <w:tcW w:w="1191" w:type="dxa"/>
            <w:vMerge w:val="restart"/>
          </w:tcPr>
          <w:p w14:paraId="4824188D" w14:textId="5BA74D44" w:rsidR="00162256" w:rsidRPr="00162256" w:rsidRDefault="00162256" w:rsidP="00162256">
            <w:pPr>
              <w:rPr>
                <w:sz w:val="20"/>
                <w:szCs w:val="20"/>
              </w:rPr>
            </w:pPr>
            <w:r w:rsidRPr="00162256">
              <w:rPr>
                <w:noProof/>
                <w:sz w:val="20"/>
                <w:szCs w:val="20"/>
                <w:lang w:val="en-US" w:eastAsia="en-US"/>
              </w:rPr>
              <w:lastRenderedPageBreak/>
              <w:drawing>
                <wp:inline distT="0" distB="0" distL="0" distR="0" wp14:anchorId="3B3B8650" wp14:editId="759C6F2B">
                  <wp:extent cx="647700" cy="828675"/>
                  <wp:effectExtent l="0" t="0" r="0" b="0"/>
                  <wp:docPr id="6" name="Picture 6"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4"/>
            <w:vMerge w:val="restart"/>
          </w:tcPr>
          <w:p w14:paraId="2BCEC57F" w14:textId="77777777" w:rsidR="00162256" w:rsidRPr="00162256" w:rsidRDefault="00162256" w:rsidP="00162256">
            <w:pPr>
              <w:rPr>
                <w:sz w:val="16"/>
                <w:szCs w:val="16"/>
              </w:rPr>
            </w:pPr>
            <w:r w:rsidRPr="00162256">
              <w:rPr>
                <w:sz w:val="16"/>
                <w:szCs w:val="16"/>
              </w:rPr>
              <w:t>INTERNATIONAL TELECOMMUNICATION UNION</w:t>
            </w:r>
          </w:p>
          <w:p w14:paraId="367B5EAC" w14:textId="77777777" w:rsidR="00162256" w:rsidRPr="00162256" w:rsidRDefault="00162256" w:rsidP="00162256">
            <w:pPr>
              <w:rPr>
                <w:b/>
                <w:bCs/>
                <w:sz w:val="26"/>
                <w:szCs w:val="26"/>
              </w:rPr>
            </w:pPr>
            <w:r w:rsidRPr="00162256">
              <w:rPr>
                <w:b/>
                <w:bCs/>
                <w:sz w:val="26"/>
                <w:szCs w:val="26"/>
              </w:rPr>
              <w:t>TELECOMMUNICATION</w:t>
            </w:r>
            <w:r w:rsidRPr="00162256">
              <w:rPr>
                <w:b/>
                <w:bCs/>
                <w:sz w:val="26"/>
                <w:szCs w:val="26"/>
              </w:rPr>
              <w:br/>
              <w:t>STANDARDIZATION SECTOR</w:t>
            </w:r>
          </w:p>
          <w:p w14:paraId="35EBB58A" w14:textId="77777777" w:rsidR="00162256" w:rsidRPr="00162256" w:rsidRDefault="00162256" w:rsidP="00162256">
            <w:pPr>
              <w:rPr>
                <w:sz w:val="20"/>
                <w:szCs w:val="20"/>
              </w:rPr>
            </w:pPr>
            <w:r w:rsidRPr="00162256">
              <w:rPr>
                <w:sz w:val="20"/>
                <w:szCs w:val="20"/>
              </w:rPr>
              <w:t xml:space="preserve">STUDY PERIOD </w:t>
            </w:r>
            <w:bookmarkStart w:id="5" w:name="dstudyperiod"/>
            <w:r w:rsidRPr="00162256">
              <w:rPr>
                <w:sz w:val="20"/>
                <w:szCs w:val="20"/>
              </w:rPr>
              <w:t>2017-2020</w:t>
            </w:r>
            <w:bookmarkEnd w:id="5"/>
          </w:p>
        </w:tc>
        <w:tc>
          <w:tcPr>
            <w:tcW w:w="4681" w:type="dxa"/>
            <w:vAlign w:val="center"/>
          </w:tcPr>
          <w:p w14:paraId="2EA04CCB" w14:textId="6131DB67" w:rsidR="00162256" w:rsidRPr="00162256" w:rsidRDefault="00162256" w:rsidP="00162256">
            <w:pPr>
              <w:pStyle w:val="Docnumber"/>
            </w:pPr>
            <w:r>
              <w:t>SG20-LS232</w:t>
            </w:r>
          </w:p>
        </w:tc>
      </w:tr>
      <w:tr w:rsidR="00162256" w:rsidRPr="00162256" w14:paraId="7BF3B3E6" w14:textId="77777777" w:rsidTr="003F6975">
        <w:trPr>
          <w:cantSplit/>
        </w:trPr>
        <w:tc>
          <w:tcPr>
            <w:tcW w:w="1191" w:type="dxa"/>
            <w:vMerge/>
          </w:tcPr>
          <w:p w14:paraId="0E5BC5CE" w14:textId="77777777" w:rsidR="00162256" w:rsidRPr="00162256" w:rsidRDefault="00162256" w:rsidP="00162256">
            <w:pPr>
              <w:rPr>
                <w:smallCaps/>
                <w:sz w:val="20"/>
              </w:rPr>
            </w:pPr>
            <w:bookmarkStart w:id="6" w:name="dsg" w:colFirst="2" w:colLast="2"/>
            <w:bookmarkEnd w:id="0"/>
          </w:p>
        </w:tc>
        <w:tc>
          <w:tcPr>
            <w:tcW w:w="4051" w:type="dxa"/>
            <w:gridSpan w:val="4"/>
            <w:vMerge/>
          </w:tcPr>
          <w:p w14:paraId="71C02ACD" w14:textId="77777777" w:rsidR="00162256" w:rsidRPr="00162256" w:rsidRDefault="00162256" w:rsidP="00162256">
            <w:pPr>
              <w:rPr>
                <w:smallCaps/>
                <w:sz w:val="20"/>
              </w:rPr>
            </w:pPr>
          </w:p>
        </w:tc>
        <w:tc>
          <w:tcPr>
            <w:tcW w:w="4681" w:type="dxa"/>
          </w:tcPr>
          <w:p w14:paraId="7436F8CD" w14:textId="2CC5AA11" w:rsidR="00162256" w:rsidRPr="00162256" w:rsidRDefault="00162256" w:rsidP="00162256">
            <w:pPr>
              <w:jc w:val="right"/>
              <w:rPr>
                <w:b/>
                <w:bCs/>
                <w:smallCaps/>
                <w:sz w:val="28"/>
                <w:szCs w:val="28"/>
              </w:rPr>
            </w:pPr>
            <w:r>
              <w:rPr>
                <w:b/>
                <w:bCs/>
                <w:smallCaps/>
                <w:sz w:val="28"/>
                <w:szCs w:val="28"/>
              </w:rPr>
              <w:t>STUDY GROUP 20</w:t>
            </w:r>
          </w:p>
        </w:tc>
      </w:tr>
      <w:bookmarkEnd w:id="6"/>
      <w:tr w:rsidR="00162256" w:rsidRPr="00162256" w14:paraId="0FC6F357" w14:textId="77777777" w:rsidTr="003F6975">
        <w:trPr>
          <w:cantSplit/>
        </w:trPr>
        <w:tc>
          <w:tcPr>
            <w:tcW w:w="1191" w:type="dxa"/>
            <w:vMerge/>
            <w:tcBorders>
              <w:bottom w:val="single" w:sz="12" w:space="0" w:color="auto"/>
            </w:tcBorders>
          </w:tcPr>
          <w:p w14:paraId="4F498041" w14:textId="77777777" w:rsidR="00162256" w:rsidRPr="00162256" w:rsidRDefault="00162256" w:rsidP="00162256">
            <w:pPr>
              <w:rPr>
                <w:b/>
                <w:bCs/>
                <w:sz w:val="26"/>
              </w:rPr>
            </w:pPr>
          </w:p>
        </w:tc>
        <w:tc>
          <w:tcPr>
            <w:tcW w:w="4051" w:type="dxa"/>
            <w:gridSpan w:val="4"/>
            <w:vMerge/>
            <w:tcBorders>
              <w:bottom w:val="single" w:sz="12" w:space="0" w:color="auto"/>
            </w:tcBorders>
          </w:tcPr>
          <w:p w14:paraId="51CA27A3" w14:textId="77777777" w:rsidR="00162256" w:rsidRPr="00162256" w:rsidRDefault="00162256" w:rsidP="00162256">
            <w:pPr>
              <w:rPr>
                <w:b/>
                <w:bCs/>
                <w:sz w:val="26"/>
              </w:rPr>
            </w:pPr>
          </w:p>
        </w:tc>
        <w:tc>
          <w:tcPr>
            <w:tcW w:w="4681" w:type="dxa"/>
            <w:tcBorders>
              <w:bottom w:val="single" w:sz="12" w:space="0" w:color="auto"/>
            </w:tcBorders>
            <w:vAlign w:val="center"/>
          </w:tcPr>
          <w:p w14:paraId="535F72E1" w14:textId="77777777" w:rsidR="00162256" w:rsidRPr="00162256" w:rsidRDefault="00162256" w:rsidP="00162256">
            <w:pPr>
              <w:jc w:val="right"/>
              <w:rPr>
                <w:b/>
                <w:bCs/>
                <w:sz w:val="28"/>
                <w:szCs w:val="28"/>
              </w:rPr>
            </w:pPr>
            <w:r w:rsidRPr="00162256">
              <w:rPr>
                <w:b/>
                <w:bCs/>
                <w:sz w:val="28"/>
                <w:szCs w:val="28"/>
              </w:rPr>
              <w:t>Original: English</w:t>
            </w:r>
          </w:p>
        </w:tc>
      </w:tr>
      <w:tr w:rsidR="00162256" w:rsidRPr="00162256" w14:paraId="5463B3EF" w14:textId="77777777" w:rsidTr="003F6975">
        <w:trPr>
          <w:cantSplit/>
        </w:trPr>
        <w:tc>
          <w:tcPr>
            <w:tcW w:w="1617" w:type="dxa"/>
            <w:gridSpan w:val="2"/>
          </w:tcPr>
          <w:p w14:paraId="5E71FCA9" w14:textId="77777777" w:rsidR="00162256" w:rsidRPr="00162256" w:rsidRDefault="00162256" w:rsidP="00162256">
            <w:pPr>
              <w:rPr>
                <w:b/>
                <w:bCs/>
              </w:rPr>
            </w:pPr>
            <w:bookmarkStart w:id="7" w:name="dbluepink" w:colFirst="1" w:colLast="1"/>
            <w:bookmarkStart w:id="8" w:name="dmeeting" w:colFirst="2" w:colLast="2"/>
            <w:r w:rsidRPr="00162256">
              <w:rPr>
                <w:b/>
                <w:bCs/>
              </w:rPr>
              <w:t>Question(s):</w:t>
            </w:r>
          </w:p>
        </w:tc>
        <w:tc>
          <w:tcPr>
            <w:tcW w:w="3625" w:type="dxa"/>
            <w:gridSpan w:val="3"/>
          </w:tcPr>
          <w:p w14:paraId="55F6D81A" w14:textId="3D43C74F" w:rsidR="00162256" w:rsidRPr="00162256" w:rsidRDefault="00162256" w:rsidP="00162256">
            <w:r w:rsidRPr="00162256">
              <w:t>All/20</w:t>
            </w:r>
          </w:p>
        </w:tc>
        <w:tc>
          <w:tcPr>
            <w:tcW w:w="4681" w:type="dxa"/>
          </w:tcPr>
          <w:p w14:paraId="79CD4F2F" w14:textId="4907E0F2" w:rsidR="00162256" w:rsidRPr="00162256" w:rsidRDefault="00162256" w:rsidP="00162256">
            <w:pPr>
              <w:jc w:val="right"/>
            </w:pPr>
            <w:r w:rsidRPr="00162256">
              <w:t>Virtual, 11-21 October 2021</w:t>
            </w:r>
          </w:p>
        </w:tc>
      </w:tr>
      <w:tr w:rsidR="00162256" w:rsidRPr="00162256" w14:paraId="23A62895" w14:textId="77777777" w:rsidTr="003F6975">
        <w:trPr>
          <w:cantSplit/>
        </w:trPr>
        <w:tc>
          <w:tcPr>
            <w:tcW w:w="9923" w:type="dxa"/>
            <w:gridSpan w:val="6"/>
          </w:tcPr>
          <w:p w14:paraId="0FFACD64" w14:textId="4CA7A577" w:rsidR="00162256" w:rsidRPr="00162256" w:rsidRDefault="00162256" w:rsidP="00162256">
            <w:pPr>
              <w:jc w:val="center"/>
              <w:rPr>
                <w:b/>
                <w:bCs/>
              </w:rPr>
            </w:pPr>
            <w:bookmarkStart w:id="9" w:name="ddoctype" w:colFirst="0" w:colLast="0"/>
            <w:bookmarkEnd w:id="7"/>
            <w:bookmarkEnd w:id="8"/>
            <w:r w:rsidRPr="00162256">
              <w:rPr>
                <w:b/>
                <w:bCs/>
              </w:rPr>
              <w:t>Ref.: SG20-TD2533</w:t>
            </w:r>
          </w:p>
        </w:tc>
      </w:tr>
      <w:tr w:rsidR="00162256" w:rsidRPr="00162256" w14:paraId="18320705" w14:textId="77777777" w:rsidTr="003F6975">
        <w:trPr>
          <w:cantSplit/>
        </w:trPr>
        <w:tc>
          <w:tcPr>
            <w:tcW w:w="1617" w:type="dxa"/>
            <w:gridSpan w:val="2"/>
          </w:tcPr>
          <w:p w14:paraId="386F98E6" w14:textId="77777777" w:rsidR="00162256" w:rsidRPr="00162256" w:rsidRDefault="00162256" w:rsidP="00162256">
            <w:pPr>
              <w:rPr>
                <w:b/>
                <w:bCs/>
              </w:rPr>
            </w:pPr>
            <w:bookmarkStart w:id="10" w:name="dsource" w:colFirst="1" w:colLast="1"/>
            <w:bookmarkEnd w:id="9"/>
            <w:r w:rsidRPr="00162256">
              <w:rPr>
                <w:b/>
                <w:bCs/>
              </w:rPr>
              <w:t>Source:</w:t>
            </w:r>
          </w:p>
        </w:tc>
        <w:tc>
          <w:tcPr>
            <w:tcW w:w="8306" w:type="dxa"/>
            <w:gridSpan w:val="4"/>
          </w:tcPr>
          <w:p w14:paraId="2C496EF2" w14:textId="3F2962DA" w:rsidR="00162256" w:rsidRPr="00162256" w:rsidRDefault="00162256" w:rsidP="00162256">
            <w:r w:rsidRPr="00162256">
              <w:t>ITU-T Study Group 20</w:t>
            </w:r>
          </w:p>
        </w:tc>
      </w:tr>
      <w:tr w:rsidR="00162256" w:rsidRPr="00162256" w14:paraId="11FC23E7" w14:textId="77777777" w:rsidTr="003F6975">
        <w:trPr>
          <w:cantSplit/>
        </w:trPr>
        <w:tc>
          <w:tcPr>
            <w:tcW w:w="1617" w:type="dxa"/>
            <w:gridSpan w:val="2"/>
          </w:tcPr>
          <w:p w14:paraId="5243FAC5" w14:textId="77777777" w:rsidR="00162256" w:rsidRPr="00162256" w:rsidRDefault="00162256" w:rsidP="00162256">
            <w:bookmarkStart w:id="11" w:name="dtitle1" w:colFirst="1" w:colLast="1"/>
            <w:bookmarkEnd w:id="10"/>
            <w:r w:rsidRPr="00162256">
              <w:rPr>
                <w:b/>
                <w:bCs/>
              </w:rPr>
              <w:t>Title:</w:t>
            </w:r>
          </w:p>
        </w:tc>
        <w:tc>
          <w:tcPr>
            <w:tcW w:w="8306" w:type="dxa"/>
            <w:gridSpan w:val="4"/>
          </w:tcPr>
          <w:p w14:paraId="14F83B00" w14:textId="3C07B904" w:rsidR="00162256" w:rsidRPr="00162256" w:rsidRDefault="00162256" w:rsidP="00162256">
            <w:r w:rsidRPr="00162256">
              <w:t xml:space="preserve">LS on establishment of a new ITU-T Focus Group on “Artificial Intelligence (AI) and Internet of Things (IoT) for Digital Agriculture” (FG-AI4A) </w:t>
            </w:r>
          </w:p>
        </w:tc>
      </w:tr>
      <w:bookmarkEnd w:id="11"/>
      <w:bookmarkEnd w:id="1"/>
      <w:tr w:rsidR="00CC39AB" w:rsidRPr="00E00B6E" w14:paraId="212B2C46" w14:textId="77777777" w:rsidTr="00E31577">
        <w:trPr>
          <w:cantSplit/>
          <w:trHeight w:val="357"/>
        </w:trPr>
        <w:tc>
          <w:tcPr>
            <w:tcW w:w="9923" w:type="dxa"/>
            <w:gridSpan w:val="6"/>
            <w:tcBorders>
              <w:top w:val="single" w:sz="12" w:space="0" w:color="auto"/>
            </w:tcBorders>
          </w:tcPr>
          <w:p w14:paraId="3565E5BC" w14:textId="77777777" w:rsidR="00CC39AB" w:rsidRPr="00E00B6E" w:rsidRDefault="00CC39AB" w:rsidP="00E31577">
            <w:pPr>
              <w:jc w:val="center"/>
              <w:rPr>
                <w:b/>
                <w:bCs/>
              </w:rPr>
            </w:pPr>
            <w:r w:rsidRPr="00E00B6E">
              <w:rPr>
                <w:b/>
                <w:bCs/>
              </w:rPr>
              <w:t>LIAISON STATEMENT</w:t>
            </w:r>
          </w:p>
        </w:tc>
      </w:tr>
      <w:tr w:rsidR="00CC39AB" w:rsidRPr="00E00B6E" w14:paraId="76B839E1" w14:textId="77777777" w:rsidTr="00E31577">
        <w:trPr>
          <w:cantSplit/>
          <w:trHeight w:val="357"/>
        </w:trPr>
        <w:tc>
          <w:tcPr>
            <w:tcW w:w="2184" w:type="dxa"/>
            <w:gridSpan w:val="3"/>
          </w:tcPr>
          <w:p w14:paraId="104E3E24" w14:textId="77777777" w:rsidR="00CC39AB" w:rsidRPr="00E00B6E" w:rsidRDefault="00CC39AB" w:rsidP="00E31577">
            <w:pPr>
              <w:rPr>
                <w:b/>
                <w:bCs/>
              </w:rPr>
            </w:pPr>
            <w:r w:rsidRPr="00E00B6E">
              <w:rPr>
                <w:b/>
                <w:bCs/>
              </w:rPr>
              <w:t>For action to:</w:t>
            </w:r>
          </w:p>
        </w:tc>
        <w:tc>
          <w:tcPr>
            <w:tcW w:w="7739" w:type="dxa"/>
            <w:gridSpan w:val="3"/>
          </w:tcPr>
          <w:p w14:paraId="24B2B436" w14:textId="77777777" w:rsidR="00CC39AB" w:rsidRPr="00E00B6E" w:rsidRDefault="00CC39AB" w:rsidP="00E31577">
            <w:pPr>
              <w:pStyle w:val="LSForAction"/>
              <w:rPr>
                <w:b w:val="0"/>
                <w:bCs w:val="0"/>
                <w:szCs w:val="24"/>
              </w:rPr>
            </w:pPr>
            <w:r w:rsidRPr="00E00B6E">
              <w:rPr>
                <w:b w:val="0"/>
                <w:bCs w:val="0"/>
                <w:szCs w:val="24"/>
              </w:rPr>
              <w:t xml:space="preserve">All ITU-R, ITU-T and ITU-D SGs; FAO </w:t>
            </w:r>
          </w:p>
        </w:tc>
      </w:tr>
      <w:tr w:rsidR="00CC39AB" w:rsidRPr="00E00B6E" w14:paraId="584BC402" w14:textId="77777777" w:rsidTr="00E31577">
        <w:trPr>
          <w:cantSplit/>
          <w:trHeight w:val="357"/>
        </w:trPr>
        <w:tc>
          <w:tcPr>
            <w:tcW w:w="2184" w:type="dxa"/>
            <w:gridSpan w:val="3"/>
          </w:tcPr>
          <w:p w14:paraId="14916AC5" w14:textId="77777777" w:rsidR="00CC39AB" w:rsidRPr="00E00B6E" w:rsidRDefault="00CC39AB" w:rsidP="00E31577">
            <w:pPr>
              <w:rPr>
                <w:b/>
                <w:bCs/>
              </w:rPr>
            </w:pPr>
            <w:r w:rsidRPr="00E00B6E">
              <w:rPr>
                <w:b/>
                <w:bCs/>
              </w:rPr>
              <w:t>For comment to:</w:t>
            </w:r>
          </w:p>
        </w:tc>
        <w:tc>
          <w:tcPr>
            <w:tcW w:w="7739" w:type="dxa"/>
            <w:gridSpan w:val="3"/>
          </w:tcPr>
          <w:p w14:paraId="29B9CF20" w14:textId="77777777" w:rsidR="00CC39AB" w:rsidRPr="00E00B6E" w:rsidRDefault="00CC39AB" w:rsidP="00E31577">
            <w:pPr>
              <w:pStyle w:val="LSForComment"/>
              <w:rPr>
                <w:b w:val="0"/>
                <w:bCs w:val="0"/>
                <w:szCs w:val="24"/>
              </w:rPr>
            </w:pPr>
            <w:r w:rsidRPr="00E00B6E">
              <w:rPr>
                <w:b w:val="0"/>
                <w:bCs w:val="0"/>
                <w:szCs w:val="24"/>
              </w:rPr>
              <w:t>-</w:t>
            </w:r>
          </w:p>
        </w:tc>
      </w:tr>
      <w:tr w:rsidR="00CC39AB" w:rsidRPr="00E03BEC" w14:paraId="4A78E692" w14:textId="77777777" w:rsidTr="00E31577">
        <w:trPr>
          <w:cantSplit/>
          <w:trHeight w:val="357"/>
        </w:trPr>
        <w:tc>
          <w:tcPr>
            <w:tcW w:w="2184" w:type="dxa"/>
            <w:gridSpan w:val="3"/>
          </w:tcPr>
          <w:p w14:paraId="6DAB6235" w14:textId="77777777" w:rsidR="00CC39AB" w:rsidRPr="00E00B6E" w:rsidRDefault="00CC39AB" w:rsidP="00E31577">
            <w:pPr>
              <w:rPr>
                <w:b/>
                <w:bCs/>
              </w:rPr>
            </w:pPr>
            <w:r w:rsidRPr="00E00B6E">
              <w:rPr>
                <w:b/>
                <w:bCs/>
              </w:rPr>
              <w:t>For information to:</w:t>
            </w:r>
          </w:p>
        </w:tc>
        <w:tc>
          <w:tcPr>
            <w:tcW w:w="7739" w:type="dxa"/>
            <w:gridSpan w:val="3"/>
          </w:tcPr>
          <w:p w14:paraId="62E37128" w14:textId="77777777" w:rsidR="00CC39AB" w:rsidRPr="00E00B6E" w:rsidRDefault="00CC39AB" w:rsidP="00E31577">
            <w:pPr>
              <w:pStyle w:val="LSForInfo"/>
              <w:rPr>
                <w:b w:val="0"/>
                <w:bCs w:val="0"/>
                <w:szCs w:val="24"/>
                <w:lang w:val="fr-CH"/>
              </w:rPr>
            </w:pPr>
            <w:r w:rsidRPr="00E00B6E">
              <w:rPr>
                <w:b w:val="0"/>
                <w:bCs w:val="0"/>
                <w:szCs w:val="24"/>
                <w:lang w:val="fr-CH"/>
              </w:rPr>
              <w:t>ITU-T TSAG; FG-AI4A</w:t>
            </w:r>
          </w:p>
        </w:tc>
      </w:tr>
      <w:tr w:rsidR="00CC39AB" w:rsidRPr="00E00B6E" w14:paraId="73CDF1B2" w14:textId="77777777" w:rsidTr="00E31577">
        <w:trPr>
          <w:cantSplit/>
          <w:trHeight w:val="357"/>
        </w:trPr>
        <w:tc>
          <w:tcPr>
            <w:tcW w:w="2184" w:type="dxa"/>
            <w:gridSpan w:val="3"/>
          </w:tcPr>
          <w:p w14:paraId="1B323D1E" w14:textId="77777777" w:rsidR="00CC39AB" w:rsidRPr="00E00B6E" w:rsidRDefault="00CC39AB" w:rsidP="00E31577">
            <w:pPr>
              <w:rPr>
                <w:b/>
                <w:bCs/>
              </w:rPr>
            </w:pPr>
            <w:r w:rsidRPr="00E00B6E">
              <w:rPr>
                <w:b/>
                <w:bCs/>
              </w:rPr>
              <w:t>Approval:</w:t>
            </w:r>
          </w:p>
        </w:tc>
        <w:tc>
          <w:tcPr>
            <w:tcW w:w="7739" w:type="dxa"/>
            <w:gridSpan w:val="3"/>
          </w:tcPr>
          <w:p w14:paraId="715F65B6" w14:textId="77777777" w:rsidR="00CC39AB" w:rsidRPr="00E00B6E" w:rsidRDefault="00CC39AB" w:rsidP="00E31577">
            <w:r w:rsidRPr="00E00B6E">
              <w:t>ITU-T Study Group 20 meeting (Virtual, 21 October 2021)</w:t>
            </w:r>
          </w:p>
        </w:tc>
      </w:tr>
      <w:tr w:rsidR="00CC39AB" w:rsidRPr="00E00B6E" w14:paraId="3BA880DE" w14:textId="77777777" w:rsidTr="00E31577">
        <w:trPr>
          <w:cantSplit/>
          <w:trHeight w:val="357"/>
        </w:trPr>
        <w:tc>
          <w:tcPr>
            <w:tcW w:w="2184" w:type="dxa"/>
            <w:gridSpan w:val="3"/>
          </w:tcPr>
          <w:p w14:paraId="3EBE4029" w14:textId="77777777" w:rsidR="00CC39AB" w:rsidRPr="00E00B6E" w:rsidRDefault="00CC39AB" w:rsidP="00E31577">
            <w:pPr>
              <w:rPr>
                <w:b/>
                <w:bCs/>
              </w:rPr>
            </w:pPr>
            <w:r w:rsidRPr="00E00B6E">
              <w:rPr>
                <w:b/>
                <w:bCs/>
              </w:rPr>
              <w:t>Deadline:</w:t>
            </w:r>
          </w:p>
        </w:tc>
        <w:tc>
          <w:tcPr>
            <w:tcW w:w="7739" w:type="dxa"/>
            <w:gridSpan w:val="3"/>
          </w:tcPr>
          <w:p w14:paraId="23B04089" w14:textId="77777777" w:rsidR="00CC39AB" w:rsidRPr="00E00B6E" w:rsidRDefault="00CC39AB" w:rsidP="00E31577">
            <w:pPr>
              <w:pStyle w:val="LSDeadline"/>
              <w:rPr>
                <w:b w:val="0"/>
                <w:bCs w:val="0"/>
                <w:szCs w:val="24"/>
              </w:rPr>
            </w:pPr>
            <w:r w:rsidRPr="00E00B6E">
              <w:rPr>
                <w:b w:val="0"/>
                <w:bCs w:val="0"/>
                <w:szCs w:val="24"/>
              </w:rPr>
              <w:t>N/A</w:t>
            </w:r>
          </w:p>
        </w:tc>
      </w:tr>
      <w:tr w:rsidR="00CC39AB" w:rsidRPr="00E00B6E" w14:paraId="4C9FEC50" w14:textId="77777777" w:rsidTr="00E31577">
        <w:trPr>
          <w:cantSplit/>
          <w:trHeight w:val="204"/>
        </w:trPr>
        <w:tc>
          <w:tcPr>
            <w:tcW w:w="1617" w:type="dxa"/>
            <w:gridSpan w:val="2"/>
            <w:tcBorders>
              <w:top w:val="single" w:sz="12" w:space="0" w:color="auto"/>
              <w:bottom w:val="single" w:sz="12" w:space="0" w:color="auto"/>
            </w:tcBorders>
          </w:tcPr>
          <w:p w14:paraId="4A6487DC" w14:textId="77777777" w:rsidR="00CC39AB" w:rsidRPr="00E00B6E" w:rsidRDefault="00CC39AB" w:rsidP="00E31577">
            <w:pPr>
              <w:rPr>
                <w:b/>
                <w:bCs/>
              </w:rPr>
            </w:pPr>
            <w:r w:rsidRPr="00E00B6E">
              <w:rPr>
                <w:b/>
                <w:bCs/>
              </w:rPr>
              <w:t>Contact:</w:t>
            </w:r>
          </w:p>
        </w:tc>
        <w:tc>
          <w:tcPr>
            <w:tcW w:w="3543" w:type="dxa"/>
            <w:gridSpan w:val="2"/>
            <w:tcBorders>
              <w:top w:val="single" w:sz="12" w:space="0" w:color="auto"/>
              <w:bottom w:val="single" w:sz="12" w:space="0" w:color="auto"/>
            </w:tcBorders>
          </w:tcPr>
          <w:p w14:paraId="0DBCDA24" w14:textId="77777777" w:rsidR="00CC39AB" w:rsidRPr="00E00B6E" w:rsidRDefault="00CC39AB" w:rsidP="00E31577">
            <w:pPr>
              <w:rPr>
                <w:lang w:val="en-US"/>
              </w:rPr>
            </w:pPr>
            <w:r w:rsidRPr="00E00B6E">
              <w:rPr>
                <w:lang w:val="en-US"/>
              </w:rPr>
              <w:t>Nasser Saleh Al Marzouqi</w:t>
            </w:r>
          </w:p>
          <w:p w14:paraId="21095B0A" w14:textId="77777777" w:rsidR="00CC39AB" w:rsidRPr="00E00B6E" w:rsidRDefault="00CC39AB" w:rsidP="00E31577">
            <w:pPr>
              <w:spacing w:before="0"/>
            </w:pPr>
            <w:r w:rsidRPr="00E00B6E">
              <w:rPr>
                <w:lang w:val="en-US"/>
              </w:rPr>
              <w:t>Chairman SG20</w:t>
            </w:r>
          </w:p>
        </w:tc>
        <w:tc>
          <w:tcPr>
            <w:tcW w:w="4763" w:type="dxa"/>
            <w:gridSpan w:val="2"/>
            <w:tcBorders>
              <w:top w:val="single" w:sz="12" w:space="0" w:color="auto"/>
              <w:bottom w:val="single" w:sz="12" w:space="0" w:color="auto"/>
            </w:tcBorders>
          </w:tcPr>
          <w:p w14:paraId="7EF65ECD" w14:textId="77777777" w:rsidR="00CC39AB" w:rsidRPr="00E00B6E" w:rsidRDefault="00E03BEC" w:rsidP="00E31577">
            <w:pPr>
              <w:rPr>
                <w:lang w:val="en-US"/>
              </w:rPr>
            </w:pPr>
            <w:sdt>
              <w:sdtPr>
                <w:rPr>
                  <w:lang w:val="en-US"/>
                </w:rPr>
                <w:alias w:val="ContactTelFaxEmail"/>
                <w:tag w:val="ContactTelFaxEmail"/>
                <w:id w:val="-2140561428"/>
                <w:placeholder>
                  <w:docPart w:val="A952888CD44D40069567BCAEBFDFEF34"/>
                </w:placeholder>
              </w:sdtPr>
              <w:sdtEndPr/>
              <w:sdtContent>
                <w:r w:rsidR="00CC39AB" w:rsidRPr="00E00B6E">
                  <w:rPr>
                    <w:lang w:val="en-US"/>
                  </w:rPr>
                  <w:t xml:space="preserve">Tel: </w:t>
                </w:r>
                <w:r w:rsidR="00CC39AB" w:rsidRPr="00E00B6E">
                  <w:rPr>
                    <w:lang w:val="pt-BR"/>
                  </w:rPr>
                  <w:tab/>
                </w:r>
                <w:r w:rsidR="00CC39AB" w:rsidRPr="00E00B6E">
                  <w:rPr>
                    <w:lang w:val="pt-BR"/>
                  </w:rPr>
                  <w:tab/>
                </w:r>
                <w:r w:rsidR="00CC39AB" w:rsidRPr="00E00B6E">
                  <w:rPr>
                    <w:lang w:val="en-US"/>
                  </w:rPr>
                  <w:t>+97 6118 468</w:t>
                </w:r>
                <w:r w:rsidR="00CC39AB" w:rsidRPr="00E00B6E">
                  <w:rPr>
                    <w:lang w:val="en-US"/>
                  </w:rPr>
                  <w:br/>
                </w:r>
                <w:r w:rsidR="00CC39AB" w:rsidRPr="00E00B6E">
                  <w:rPr>
                    <w:lang w:val="pt-BR"/>
                  </w:rPr>
                  <w:t xml:space="preserve">Fax: </w:t>
                </w:r>
                <w:r w:rsidR="00CC39AB" w:rsidRPr="00E00B6E">
                  <w:rPr>
                    <w:lang w:val="pt-BR"/>
                  </w:rPr>
                  <w:tab/>
                </w:r>
                <w:r w:rsidR="00CC39AB" w:rsidRPr="00E00B6E">
                  <w:rPr>
                    <w:lang w:val="pt-BR"/>
                  </w:rPr>
                  <w:tab/>
                  <w:t>+97 6118 484</w:t>
                </w:r>
                <w:r w:rsidR="00CC39AB" w:rsidRPr="00E00B6E">
                  <w:rPr>
                    <w:lang w:val="pt-BR"/>
                  </w:rPr>
                  <w:br/>
                  <w:t>E-mail:</w:t>
                </w:r>
                <w:r w:rsidR="00CC39AB" w:rsidRPr="00E00B6E">
                  <w:rPr>
                    <w:lang w:val="pt-BR"/>
                  </w:rPr>
                  <w:tab/>
                  <w:t xml:space="preserve"> </w:t>
                </w:r>
                <w:r>
                  <w:fldChar w:fldCharType="begin"/>
                </w:r>
                <w:r>
                  <w:instrText xml:space="preserve"> HYPERLINK "mailto:nasser.almarzouqi@tra.gov.ae" </w:instrText>
                </w:r>
                <w:r>
                  <w:fldChar w:fldCharType="separate"/>
                </w:r>
                <w:r w:rsidR="00CC39AB" w:rsidRPr="00E00B6E">
                  <w:rPr>
                    <w:rStyle w:val="Hyperlink"/>
                    <w:rFonts w:ascii="Times New Roman" w:hAnsi="Times New Roman"/>
                    <w:lang w:val="en-US"/>
                  </w:rPr>
                  <w:t>nasser.almarzouqi@tra.gov.ae</w:t>
                </w:r>
                <w:r>
                  <w:rPr>
                    <w:rStyle w:val="Hyperlink"/>
                    <w:rFonts w:ascii="Times New Roman" w:hAnsi="Times New Roman"/>
                    <w:lang w:val="en-US"/>
                  </w:rPr>
                  <w:fldChar w:fldCharType="end"/>
                </w:r>
                <w:r w:rsidR="00CC39AB" w:rsidRPr="00E00B6E">
                  <w:rPr>
                    <w:lang w:val="en-US"/>
                  </w:rPr>
                  <w:t xml:space="preserve"> </w:t>
                </w:r>
              </w:sdtContent>
            </w:sdt>
          </w:p>
        </w:tc>
      </w:tr>
    </w:tbl>
    <w:p w14:paraId="2E398D0F" w14:textId="77777777" w:rsidR="00CC39AB" w:rsidRPr="00E00B6E" w:rsidRDefault="00CC39AB" w:rsidP="00CC39AB">
      <w:pPr>
        <w:rPr>
          <w:lang w:val="de-DE"/>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CC39AB" w:rsidRPr="00E00B6E" w14:paraId="1F362260" w14:textId="77777777" w:rsidTr="00E31577">
        <w:trPr>
          <w:cantSplit/>
        </w:trPr>
        <w:tc>
          <w:tcPr>
            <w:tcW w:w="1616" w:type="dxa"/>
          </w:tcPr>
          <w:p w14:paraId="70E543AD" w14:textId="77777777" w:rsidR="00CC39AB" w:rsidRPr="00E00B6E" w:rsidRDefault="00CC39AB" w:rsidP="00E31577">
            <w:pPr>
              <w:rPr>
                <w:b/>
                <w:bCs/>
              </w:rPr>
            </w:pPr>
            <w:r w:rsidRPr="00E00B6E">
              <w:rPr>
                <w:b/>
                <w:bCs/>
              </w:rPr>
              <w:t>Keywords:</w:t>
            </w:r>
          </w:p>
        </w:tc>
        <w:tc>
          <w:tcPr>
            <w:tcW w:w="8363" w:type="dxa"/>
          </w:tcPr>
          <w:p w14:paraId="26622BC6" w14:textId="2438A89F" w:rsidR="00CC39AB" w:rsidRPr="00E00B6E" w:rsidRDefault="00CC39AB" w:rsidP="00E31577">
            <w:r w:rsidRPr="00E00B6E">
              <w:t>Focus group, artificial intelligence, digital agriculture</w:t>
            </w:r>
          </w:p>
        </w:tc>
      </w:tr>
      <w:tr w:rsidR="00CC39AB" w:rsidRPr="00E00B6E" w14:paraId="5FCAD508" w14:textId="77777777" w:rsidTr="00E31577">
        <w:trPr>
          <w:cantSplit/>
        </w:trPr>
        <w:tc>
          <w:tcPr>
            <w:tcW w:w="1616" w:type="dxa"/>
          </w:tcPr>
          <w:p w14:paraId="7AD16F60" w14:textId="77777777" w:rsidR="00CC39AB" w:rsidRPr="00E00B6E" w:rsidRDefault="00CC39AB" w:rsidP="00E31577">
            <w:pPr>
              <w:rPr>
                <w:b/>
                <w:bCs/>
              </w:rPr>
            </w:pPr>
            <w:r w:rsidRPr="00E00B6E">
              <w:rPr>
                <w:b/>
                <w:bCs/>
              </w:rPr>
              <w:t>Abstract:</w:t>
            </w:r>
          </w:p>
        </w:tc>
        <w:tc>
          <w:tcPr>
            <w:tcW w:w="8363" w:type="dxa"/>
          </w:tcPr>
          <w:p w14:paraId="4FAAA00C" w14:textId="59309210" w:rsidR="00CC39AB" w:rsidRPr="00E00B6E" w:rsidRDefault="00CC39AB" w:rsidP="00E31577">
            <w:r w:rsidRPr="00E00B6E">
              <w:t>This Liaison Statement announces of the establishment by ITU-T SG20 of a new ITU-T Focus Group on “Artificial Intelligence (AI) and Internet of Things (IoT) for Digital Agriculture” (FG-AI4A), and invites collaboration with experts working in complementary fields.</w:t>
            </w:r>
          </w:p>
        </w:tc>
      </w:tr>
    </w:tbl>
    <w:p w14:paraId="035B8A99" w14:textId="77777777" w:rsidR="00CC39AB" w:rsidRPr="00E00B6E" w:rsidRDefault="00CC39AB" w:rsidP="00CC39AB">
      <w:pPr>
        <w:spacing w:before="240"/>
      </w:pPr>
      <w:r w:rsidRPr="00E00B6E">
        <w:t xml:space="preserve">ITU-T Study Group 20 would like to inform you that it has agreed to establish a new </w:t>
      </w:r>
      <w:r w:rsidRPr="00E00B6E">
        <w:rPr>
          <w:b/>
          <w:bCs/>
        </w:rPr>
        <w:t>ITU-T Focus Group on “Artificial Intelligence (AI) and Internet of Things (IoT) for Digital Agriculture” (FG-AI4A)</w:t>
      </w:r>
      <w:r w:rsidRPr="00E00B6E">
        <w:t>, in accordance with clause 2.1.1 of Recommendation ITU-T A.7. The focus group’s lifetime is set for one year from the first meeting, with the possibility for a further year subject to the agreement of the study group.</w:t>
      </w:r>
    </w:p>
    <w:p w14:paraId="69E0B844" w14:textId="77777777" w:rsidR="00CC39AB" w:rsidRPr="00E00B6E" w:rsidRDefault="00CC39AB" w:rsidP="00CC39AB">
      <w:r w:rsidRPr="00E00B6E">
        <w:t xml:space="preserve">The </w:t>
      </w:r>
      <w:r w:rsidRPr="00E00B6E">
        <w:rPr>
          <w:b/>
          <w:bCs/>
        </w:rPr>
        <w:t>first meeting of FG-AI4A</w:t>
      </w:r>
      <w:r w:rsidRPr="00E00B6E">
        <w:t xml:space="preserve"> will be announced in due course.</w:t>
      </w:r>
    </w:p>
    <w:p w14:paraId="6D09FABE" w14:textId="77777777" w:rsidR="00CC39AB" w:rsidRPr="00E00B6E" w:rsidRDefault="00CC39AB" w:rsidP="00CC39AB">
      <w:r w:rsidRPr="00E00B6E">
        <w:rPr>
          <w:lang w:eastAsia="en-US"/>
        </w:rPr>
        <w:t xml:space="preserve">Background and practical information will be made available </w:t>
      </w:r>
      <w:r w:rsidRPr="00E00B6E">
        <w:t xml:space="preserve">via the group’s homepage: </w:t>
      </w:r>
      <w:hyperlink r:id="rId15" w:history="1">
        <w:r w:rsidRPr="00E00B6E">
          <w:rPr>
            <w:rStyle w:val="Hyperlink"/>
            <w:rFonts w:ascii="Times New Roman" w:hAnsi="Times New Roman"/>
          </w:rPr>
          <w:t>https://itu.int/go/fgai4a</w:t>
        </w:r>
      </w:hyperlink>
      <w:r w:rsidRPr="00E00B6E">
        <w:t xml:space="preserve">  </w:t>
      </w:r>
      <w:r w:rsidRPr="00E00B6E">
        <w:rPr>
          <w:rStyle w:val="Hyperlink"/>
          <w:rFonts w:ascii="Times New Roman" w:hAnsi="Times New Roman"/>
        </w:rPr>
        <w:t xml:space="preserve"> </w:t>
      </w:r>
    </w:p>
    <w:p w14:paraId="32E53666" w14:textId="77777777" w:rsidR="00CC39AB" w:rsidRPr="00E00B6E" w:rsidRDefault="00CC39AB" w:rsidP="00CC39AB">
      <w:pPr>
        <w:rPr>
          <w:lang w:val="en-US"/>
        </w:rPr>
      </w:pPr>
      <w:r w:rsidRPr="00E00B6E">
        <w:t xml:space="preserve">The activities of this focus group are expected to be carried out in close collaboration with the Food and Agriculture Organization (FAO), and other stakeholders, to bring together a wide range of expertise in related fields. </w:t>
      </w:r>
      <w:bookmarkStart w:id="12" w:name="_Hlk59370342"/>
      <w:r w:rsidRPr="00E00B6E">
        <w:rPr>
          <w:lang w:val="en-US"/>
        </w:rPr>
        <w:t>Experts from all regions, particularly Developing Countries, are invited to contribute to this work.</w:t>
      </w:r>
    </w:p>
    <w:bookmarkEnd w:id="12"/>
    <w:p w14:paraId="1E64A5C6" w14:textId="77777777" w:rsidR="00CC39AB" w:rsidRPr="00E00B6E" w:rsidRDefault="00CC39AB" w:rsidP="00CC39AB">
      <w:pPr>
        <w:keepNext/>
        <w:keepLines/>
      </w:pPr>
      <w:r w:rsidRPr="00E00B6E">
        <w:lastRenderedPageBreak/>
        <w:t>The Focus Group management established at the SG20 meeting is as follows:</w:t>
      </w:r>
    </w:p>
    <w:p w14:paraId="163851AF" w14:textId="77777777" w:rsidR="00CC39AB" w:rsidRPr="00E00B6E" w:rsidRDefault="00CC39AB" w:rsidP="00CC39AB">
      <w:pPr>
        <w:pStyle w:val="ListParagraph"/>
        <w:keepNext/>
        <w:keepLines/>
        <w:numPr>
          <w:ilvl w:val="0"/>
          <w:numId w:val="33"/>
        </w:numPr>
        <w:contextualSpacing w:val="0"/>
      </w:pPr>
      <w:r w:rsidRPr="00E00B6E">
        <w:t xml:space="preserve">Co-chairmen: Dr Ramy Ahmed Fathy (Egypt) and Dr Sebastien </w:t>
      </w:r>
      <w:proofErr w:type="spellStart"/>
      <w:r w:rsidRPr="00E00B6E">
        <w:t>Bosse</w:t>
      </w:r>
      <w:proofErr w:type="spellEnd"/>
      <w:r w:rsidRPr="00E00B6E">
        <w:t xml:space="preserve"> (</w:t>
      </w:r>
      <w:proofErr w:type="spellStart"/>
      <w:r w:rsidRPr="00E00B6E">
        <w:t>Fraunhofer</w:t>
      </w:r>
      <w:proofErr w:type="spellEnd"/>
      <w:r w:rsidRPr="00E00B6E">
        <w:t xml:space="preserve"> HHI)</w:t>
      </w:r>
    </w:p>
    <w:p w14:paraId="09A25542" w14:textId="77777777" w:rsidR="00CC39AB" w:rsidRPr="00E00B6E" w:rsidRDefault="00CC39AB" w:rsidP="00CC39AB">
      <w:pPr>
        <w:pStyle w:val="ListParagraph"/>
        <w:keepNext/>
        <w:keepLines/>
        <w:numPr>
          <w:ilvl w:val="0"/>
          <w:numId w:val="33"/>
        </w:numPr>
        <w:contextualSpacing w:val="0"/>
      </w:pPr>
      <w:r w:rsidRPr="00E00B6E">
        <w:t>Vice-chairman: (FAO)</w:t>
      </w:r>
    </w:p>
    <w:p w14:paraId="33AD7EAC" w14:textId="77777777" w:rsidR="00CC39AB" w:rsidRPr="00E00B6E" w:rsidRDefault="00CC39AB" w:rsidP="00CC39AB">
      <w:pPr>
        <w:pStyle w:val="ListParagraph"/>
        <w:numPr>
          <w:ilvl w:val="0"/>
          <w:numId w:val="33"/>
        </w:numPr>
        <w:contextualSpacing w:val="0"/>
      </w:pPr>
      <w:r w:rsidRPr="00E00B6E">
        <w:t xml:space="preserve">Vice-chairman:  Mr </w:t>
      </w:r>
      <w:proofErr w:type="spellStart"/>
      <w:r w:rsidRPr="00E00B6E">
        <w:t>Chunlin</w:t>
      </w:r>
      <w:proofErr w:type="spellEnd"/>
      <w:r w:rsidRPr="00E00B6E">
        <w:t xml:space="preserve"> Pang (TIIA, China)</w:t>
      </w:r>
    </w:p>
    <w:p w14:paraId="21E16115" w14:textId="77777777" w:rsidR="00CC39AB" w:rsidRPr="00E00B6E" w:rsidRDefault="00CC39AB" w:rsidP="00CC39AB">
      <w:pPr>
        <w:pStyle w:val="ListParagraph"/>
        <w:keepNext/>
        <w:keepLines/>
        <w:numPr>
          <w:ilvl w:val="0"/>
          <w:numId w:val="33"/>
        </w:numPr>
        <w:contextualSpacing w:val="0"/>
      </w:pPr>
      <w:r w:rsidRPr="00E00B6E">
        <w:t>Vice-chairman: Dr Gyu Myoung Lee (Korea (Republic of))</w:t>
      </w:r>
    </w:p>
    <w:p w14:paraId="5E5618E0" w14:textId="77777777" w:rsidR="00CC39AB" w:rsidRPr="00E00B6E" w:rsidRDefault="00CC39AB" w:rsidP="00CC39AB">
      <w:pPr>
        <w:pStyle w:val="ListParagraph"/>
        <w:keepNext/>
        <w:keepLines/>
        <w:numPr>
          <w:ilvl w:val="0"/>
          <w:numId w:val="33"/>
        </w:numPr>
        <w:contextualSpacing w:val="0"/>
      </w:pPr>
      <w:r w:rsidRPr="00E00B6E">
        <w:t>Vice-chairman: Mr Paolo Gemma (Huawei Technologies Co., Ltd.)</w:t>
      </w:r>
    </w:p>
    <w:p w14:paraId="280536B2" w14:textId="77777777" w:rsidR="00CC39AB" w:rsidRPr="00E00B6E" w:rsidRDefault="00CC39AB" w:rsidP="00CC39AB">
      <w:pPr>
        <w:ind w:left="567" w:hanging="567"/>
      </w:pPr>
    </w:p>
    <w:p w14:paraId="6B102506" w14:textId="77777777" w:rsidR="00CC39AB" w:rsidRPr="00E00B6E" w:rsidRDefault="00CC39AB" w:rsidP="00CC39AB">
      <w:r w:rsidRPr="00E00B6E">
        <w:t>The terms of reference (</w:t>
      </w:r>
      <w:proofErr w:type="spellStart"/>
      <w:r w:rsidRPr="00E00B6E">
        <w:t>ToRs</w:t>
      </w:r>
      <w:proofErr w:type="spellEnd"/>
      <w:r w:rsidRPr="00E00B6E">
        <w:t xml:space="preserve">) of the focus group are annexed to this Liaison Statement, and will be made also available on the focus group homepage at: </w:t>
      </w:r>
      <w:hyperlink r:id="rId16" w:history="1">
        <w:r w:rsidRPr="00E00B6E">
          <w:rPr>
            <w:rStyle w:val="Hyperlink"/>
            <w:rFonts w:ascii="Times New Roman" w:hAnsi="Times New Roman"/>
          </w:rPr>
          <w:t>https://itu.int/go/fgai4a</w:t>
        </w:r>
      </w:hyperlink>
      <w:r w:rsidRPr="00E00B6E">
        <w:t xml:space="preserve">. </w:t>
      </w:r>
    </w:p>
    <w:p w14:paraId="656959A1" w14:textId="77777777" w:rsidR="00CC39AB" w:rsidRPr="00E00B6E" w:rsidRDefault="00CC39AB" w:rsidP="00CC39AB">
      <w:r w:rsidRPr="00E00B6E">
        <w:t>ITU-T SG20 appreciates your interest and collaboration on this topic.</w:t>
      </w:r>
    </w:p>
    <w:p w14:paraId="15A05879" w14:textId="77777777" w:rsidR="00CC39AB" w:rsidRPr="00E00B6E" w:rsidRDefault="00CC39AB" w:rsidP="00CC39AB">
      <w:pPr>
        <w:rPr>
          <w:b/>
          <w:bCs/>
        </w:rPr>
      </w:pPr>
      <w:r w:rsidRPr="00E00B6E">
        <w:rPr>
          <w:b/>
          <w:bCs/>
        </w:rPr>
        <w:t>Annexes: 1</w:t>
      </w:r>
    </w:p>
    <w:p w14:paraId="436ECB69" w14:textId="77777777" w:rsidR="00CC39AB" w:rsidRDefault="00CC39AB" w:rsidP="00CC39AB">
      <w:pPr>
        <w:spacing w:before="0" w:after="160" w:line="259" w:lineRule="auto"/>
      </w:pPr>
    </w:p>
    <w:p w14:paraId="0C7E507E" w14:textId="77777777" w:rsidR="00CC39AB" w:rsidRDefault="00CC39AB" w:rsidP="00CC39AB">
      <w:pPr>
        <w:spacing w:before="0"/>
      </w:pPr>
      <w:r>
        <w:br w:type="page"/>
      </w:r>
    </w:p>
    <w:p w14:paraId="64E2A0FA" w14:textId="77777777" w:rsidR="00CC39AB" w:rsidRPr="00590FF1" w:rsidRDefault="00CC39AB" w:rsidP="00CC39AB">
      <w:pPr>
        <w:spacing w:before="0" w:after="160" w:line="259" w:lineRule="auto"/>
        <w:jc w:val="center"/>
        <w:rPr>
          <w:rFonts w:eastAsia="MS Mincho"/>
          <w:b/>
        </w:rPr>
      </w:pPr>
      <w:r w:rsidRPr="00590FF1">
        <w:rPr>
          <w:b/>
          <w:bCs/>
        </w:rPr>
        <w:lastRenderedPageBreak/>
        <w:t>Annex A:</w:t>
      </w:r>
      <w:r w:rsidRPr="004817AF">
        <w:br/>
      </w:r>
      <w:r w:rsidRPr="004817AF">
        <w:br/>
      </w:r>
      <w:r w:rsidRPr="00552A24">
        <w:rPr>
          <w:rFonts w:eastAsia="MS Mincho"/>
          <w:b/>
        </w:rPr>
        <w:t xml:space="preserve">Terms of Reference for the </w:t>
      </w:r>
      <w:r w:rsidRPr="00590FF1">
        <w:rPr>
          <w:rFonts w:eastAsia="MS Mincho"/>
          <w:b/>
        </w:rPr>
        <w:t xml:space="preserve">ITU-T Focus Group on </w:t>
      </w:r>
      <w:r>
        <w:rPr>
          <w:rFonts w:eastAsia="MS Mincho"/>
          <w:b/>
        </w:rPr>
        <w:br/>
      </w:r>
      <w:r w:rsidRPr="00590FF1">
        <w:rPr>
          <w:rFonts w:eastAsia="MS Mincho"/>
          <w:b/>
        </w:rPr>
        <w:t>“Artificial Intelligence (AI) and Internet of Things (IoT) for Digital Agriculture” (FG-AI4A)</w:t>
      </w:r>
    </w:p>
    <w:p w14:paraId="0125EFD3" w14:textId="77777777" w:rsidR="009F2AB8" w:rsidRPr="00CC39AB" w:rsidRDefault="009F2AB8" w:rsidP="009F2AB8">
      <w:pPr>
        <w:spacing w:before="360"/>
        <w:rPr>
          <w:b/>
          <w:bCs/>
          <w:lang w:val="en-CA"/>
        </w:rPr>
      </w:pPr>
      <w:bookmarkStart w:id="13" w:name="_Hlk7618046"/>
      <w:r w:rsidRPr="00CC39AB">
        <w:rPr>
          <w:b/>
          <w:bCs/>
          <w:lang w:val="en-CA"/>
        </w:rPr>
        <w:t>1.</w:t>
      </w:r>
      <w:r w:rsidRPr="00CC39AB">
        <w:rPr>
          <w:b/>
          <w:bCs/>
          <w:lang w:val="en-CA"/>
        </w:rPr>
        <w:tab/>
        <w:t>Context and Scope</w:t>
      </w:r>
    </w:p>
    <w:p w14:paraId="276E24C1" w14:textId="31EFD917" w:rsidR="009F2AB8" w:rsidRPr="00CC39AB" w:rsidRDefault="009F2AB8" w:rsidP="009F2AB8">
      <w:pPr>
        <w:rPr>
          <w:lang w:val="en-US"/>
        </w:rPr>
      </w:pPr>
      <w:r w:rsidRPr="00CC39AB">
        <w:rPr>
          <w:lang w:val="en-US"/>
        </w:rPr>
        <w:t>In 2015, the UN adopted 17 SDGs, which should be achieved by 2030. Many of these goals, including SDG2 (zero hunger), SDG6 (clean water and sanitation), SDG8 (decent work and economic growth), SDG9 (industry, innovation, and infrastructure), SDG12 (</w:t>
      </w:r>
      <w:r w:rsidR="009F00BA" w:rsidRPr="00CC39AB">
        <w:rPr>
          <w:lang w:val="en-US"/>
        </w:rPr>
        <w:t xml:space="preserve">responsible </w:t>
      </w:r>
      <w:r w:rsidRPr="00CC39AB">
        <w:rPr>
          <w:lang w:val="en-US"/>
        </w:rPr>
        <w:t xml:space="preserve">consumption and production), </w:t>
      </w:r>
      <w:r w:rsidR="00680DA2" w:rsidRPr="00CC39AB">
        <w:rPr>
          <w:lang w:val="en-US"/>
        </w:rPr>
        <w:t>SDG13 (</w:t>
      </w:r>
      <w:r w:rsidR="009A4B6A" w:rsidRPr="00CC39AB">
        <w:rPr>
          <w:lang w:val="en-US"/>
        </w:rPr>
        <w:t>c</w:t>
      </w:r>
      <w:r w:rsidR="00AA60B7" w:rsidRPr="00CC39AB">
        <w:rPr>
          <w:lang w:val="en-US"/>
        </w:rPr>
        <w:t xml:space="preserve">limate </w:t>
      </w:r>
      <w:r w:rsidR="009A4B6A" w:rsidRPr="00CC39AB">
        <w:rPr>
          <w:lang w:val="en-US"/>
        </w:rPr>
        <w:t>a</w:t>
      </w:r>
      <w:r w:rsidR="00AA60B7" w:rsidRPr="00CC39AB">
        <w:rPr>
          <w:lang w:val="en-US"/>
        </w:rPr>
        <w:t>ction</w:t>
      </w:r>
      <w:r w:rsidR="00680DA2" w:rsidRPr="00CC39AB">
        <w:rPr>
          <w:lang w:val="en-US"/>
        </w:rPr>
        <w:t>), SDG14 (</w:t>
      </w:r>
      <w:r w:rsidR="009A4B6A" w:rsidRPr="00CC39AB">
        <w:rPr>
          <w:lang w:val="en-US"/>
        </w:rPr>
        <w:t>l</w:t>
      </w:r>
      <w:r w:rsidR="00680DA2" w:rsidRPr="00CC39AB">
        <w:rPr>
          <w:lang w:val="en-US"/>
        </w:rPr>
        <w:t xml:space="preserve">ife </w:t>
      </w:r>
      <w:r w:rsidR="00DB25AC" w:rsidRPr="00CC39AB">
        <w:rPr>
          <w:lang w:val="en-US"/>
        </w:rPr>
        <w:t xml:space="preserve">below </w:t>
      </w:r>
      <w:r w:rsidR="00152889" w:rsidRPr="00CC39AB">
        <w:rPr>
          <w:lang w:val="en-US"/>
        </w:rPr>
        <w:t>w</w:t>
      </w:r>
      <w:r w:rsidR="00DB25AC" w:rsidRPr="00CC39AB">
        <w:rPr>
          <w:lang w:val="en-US"/>
        </w:rPr>
        <w:t>ater</w:t>
      </w:r>
      <w:r w:rsidR="00680DA2" w:rsidRPr="00CC39AB">
        <w:rPr>
          <w:lang w:val="en-US"/>
        </w:rPr>
        <w:t xml:space="preserve">) </w:t>
      </w:r>
      <w:r w:rsidRPr="00CC39AB">
        <w:rPr>
          <w:lang w:val="en-US"/>
        </w:rPr>
        <w:t>and SDG15 (life on land) are intimately intertwined with technological advances in agriculture.</w:t>
      </w:r>
    </w:p>
    <w:p w14:paraId="4784D54F" w14:textId="77777777" w:rsidR="009F2AB8" w:rsidRPr="00CC39AB" w:rsidRDefault="009F2AB8" w:rsidP="009F2AB8">
      <w:pPr>
        <w:rPr>
          <w:lang w:val="en-CA" w:eastAsia="zh-CN"/>
        </w:rPr>
      </w:pPr>
      <w:r w:rsidRPr="00CC39AB">
        <w:rPr>
          <w:lang w:val="en-CA" w:eastAsia="zh-CN"/>
        </w:rPr>
        <w:t>Current figures indicate that nearly 690 million people worldwide (8.9% of the world population) are hungry.</w:t>
      </w:r>
      <w:r w:rsidRPr="00CC39AB">
        <w:rPr>
          <w:rStyle w:val="FootnoteReference"/>
          <w:lang w:val="en-CA" w:eastAsia="zh-CN"/>
        </w:rPr>
        <w:footnoteReference w:id="1"/>
      </w:r>
      <w:r w:rsidRPr="00CC39AB">
        <w:rPr>
          <w:lang w:val="en-CA" w:eastAsia="zh-CN"/>
        </w:rPr>
        <w:t xml:space="preserve"> Nearly 750 million (close to 1 in 10 people in the world) also experienced severe levels of food insecurity in 2019.</w:t>
      </w:r>
      <w:r w:rsidRPr="00CC39AB">
        <w:rPr>
          <w:rStyle w:val="FootnoteReference"/>
          <w:lang w:val="en-CA" w:eastAsia="zh-CN"/>
        </w:rPr>
        <w:footnoteReference w:id="2"/>
      </w:r>
      <w:r w:rsidRPr="00CC39AB">
        <w:rPr>
          <w:lang w:val="en-CA" w:eastAsia="zh-CN"/>
        </w:rPr>
        <w:t xml:space="preserve"> 2 billion people suffer from malnutrition</w:t>
      </w:r>
      <w:r w:rsidRPr="00CC39AB">
        <w:rPr>
          <w:rStyle w:val="FootnoteReference"/>
          <w:lang w:val="en-CA" w:eastAsia="zh-CN"/>
        </w:rPr>
        <w:footnoteReference w:id="3"/>
      </w:r>
      <w:r w:rsidRPr="00CC39AB">
        <w:rPr>
          <w:lang w:val="en-CA" w:eastAsia="zh-CN"/>
        </w:rPr>
        <w:t xml:space="preserve"> due to factors such as inaccessibility and unaffordability of nutritious food.</w:t>
      </w:r>
      <w:r w:rsidRPr="00CC39AB">
        <w:rPr>
          <w:rStyle w:val="FootnoteReference"/>
          <w:lang w:val="en-CA" w:eastAsia="zh-CN"/>
        </w:rPr>
        <w:t xml:space="preserve"> </w:t>
      </w:r>
      <w:r w:rsidRPr="00CC39AB">
        <w:rPr>
          <w:rStyle w:val="FootnoteReference"/>
          <w:lang w:val="en-CA" w:eastAsia="zh-CN"/>
        </w:rPr>
        <w:footnoteReference w:id="4"/>
      </w:r>
      <w:r w:rsidRPr="00CC39AB">
        <w:rPr>
          <w:lang w:val="en-CA" w:eastAsia="zh-CN"/>
        </w:rPr>
        <w:t xml:space="preserve"> Economic downturns or slowdowns also lead to an increase in unemployment, whereby a reduction in wages restricts poor people's access to nutritious food. These trends are likely to be further amplified by the global COVID-19 pandemic.</w:t>
      </w:r>
      <w:r w:rsidRPr="00CC39AB">
        <w:rPr>
          <w:rStyle w:val="FootnoteReference"/>
          <w:lang w:val="en-CA" w:eastAsia="zh-CN"/>
        </w:rPr>
        <w:footnoteReference w:id="5"/>
      </w:r>
    </w:p>
    <w:p w14:paraId="4DF80AD5" w14:textId="77777777" w:rsidR="009F2AB8" w:rsidRPr="00CC39AB" w:rsidRDefault="009F2AB8" w:rsidP="009F2AB8">
      <w:pPr>
        <w:rPr>
          <w:lang w:val="en-CA" w:eastAsia="zh-CN"/>
        </w:rPr>
      </w:pPr>
      <w:r w:rsidRPr="00CC39AB">
        <w:rPr>
          <w:lang w:val="en-CA" w:eastAsia="zh-CN"/>
        </w:rPr>
        <w:t>In addition, a rising global population means an ever-increasing global demand for food. Indeed, by the year 2050, the global population is on track to reach 9.7 billion people.</w:t>
      </w:r>
      <w:r w:rsidRPr="00CC39AB">
        <w:rPr>
          <w:rStyle w:val="FootnoteReference"/>
          <w:lang w:val="en-CA" w:eastAsia="zh-CN"/>
        </w:rPr>
        <w:footnoteReference w:id="6"/>
      </w:r>
      <w:r w:rsidRPr="00CC39AB">
        <w:rPr>
          <w:lang w:val="en-CA" w:eastAsia="zh-CN"/>
        </w:rPr>
        <w:t xml:space="preserve"> Some estimates show that to meet such growing food demand, global food production needs to grow by 70% in the next few decades, all while the agriculture sector faces several challenges.</w:t>
      </w:r>
      <w:r w:rsidRPr="00CC39AB">
        <w:rPr>
          <w:rStyle w:val="FootnoteReference"/>
          <w:lang w:val="en-CA" w:eastAsia="zh-CN"/>
        </w:rPr>
        <w:footnoteReference w:id="7"/>
      </w:r>
      <w:r w:rsidRPr="00CC39AB">
        <w:rPr>
          <w:lang w:val="en-CA" w:eastAsia="zh-CN"/>
        </w:rPr>
        <w:t xml:space="preserve"> </w:t>
      </w:r>
    </w:p>
    <w:p w14:paraId="3FC46858" w14:textId="77777777" w:rsidR="009F2AB8" w:rsidRPr="00CC39AB" w:rsidRDefault="009F2AB8" w:rsidP="009F2AB8">
      <w:pPr>
        <w:rPr>
          <w:lang w:val="en-US"/>
        </w:rPr>
      </w:pPr>
      <w:r w:rsidRPr="00CC39AB">
        <w:rPr>
          <w:lang w:val="en-US"/>
        </w:rPr>
        <w:t xml:space="preserve">In addition to this growing demand for agricultural products, it is important to consider the environmental costs; this introduces the constraint of sustainability into the agricultural production in order to plan for future generations. Agriculture affects both the quantity and the quality of ground- and surface water. For instance, pesticides and fertilizers are a known cause of poor water quality </w:t>
      </w:r>
      <w:r w:rsidRPr="00CC39AB">
        <w:rPr>
          <w:rStyle w:val="FootnoteReference"/>
          <w:lang w:val="en-US"/>
        </w:rPr>
        <w:footnoteReference w:id="8"/>
      </w:r>
      <w:r w:rsidRPr="00CC39AB">
        <w:rPr>
          <w:lang w:val="en-US"/>
        </w:rPr>
        <w:t xml:space="preserve">. Irrigation practices are becoming increasingly relevant. Therefore, to ensure that agriculture is sustainable, solutions must be found for precise application of pesticides and fertilizers and for efficient irrigation. </w:t>
      </w:r>
    </w:p>
    <w:p w14:paraId="6CE3BF13" w14:textId="596809E4" w:rsidR="009F2AB8" w:rsidRPr="00CC39AB" w:rsidRDefault="009F2AB8" w:rsidP="009F2AB8">
      <w:pPr>
        <w:rPr>
          <w:lang w:val="en-CA" w:eastAsia="zh-CN"/>
        </w:rPr>
      </w:pPr>
      <w:r w:rsidRPr="00CC39AB">
        <w:rPr>
          <w:lang w:val="en-CA" w:eastAsia="zh-CN"/>
        </w:rPr>
        <w:t>Furthermore, in many countries around the world, rural societies are facing problems related to aging populations</w:t>
      </w:r>
      <w:r w:rsidR="00A62A8F" w:rsidRPr="00CC39AB">
        <w:rPr>
          <w:lang w:val="en-CA" w:eastAsia="zh-CN"/>
        </w:rPr>
        <w:t>,</w:t>
      </w:r>
      <w:r w:rsidRPr="00CC39AB">
        <w:rPr>
          <w:lang w:val="en-CA" w:eastAsia="zh-CN"/>
        </w:rPr>
        <w:t xml:space="preserve"> abandoned farmland</w:t>
      </w:r>
      <w:r w:rsidR="006E0B73" w:rsidRPr="00CC39AB">
        <w:rPr>
          <w:lang w:val="en-CA" w:eastAsia="zh-CN"/>
        </w:rPr>
        <w:t xml:space="preserve"> and climate</w:t>
      </w:r>
      <w:r w:rsidR="00A62A8F" w:rsidRPr="00CC39AB">
        <w:rPr>
          <w:lang w:val="en-CA" w:eastAsia="zh-CN"/>
        </w:rPr>
        <w:t xml:space="preserve"> change</w:t>
      </w:r>
      <w:r w:rsidRPr="00CC39AB">
        <w:rPr>
          <w:lang w:val="en-CA" w:eastAsia="zh-CN"/>
        </w:rPr>
        <w:t xml:space="preserve">. Despite the current trend reversal seen </w:t>
      </w:r>
      <w:r w:rsidRPr="00CC39AB">
        <w:rPr>
          <w:lang w:val="en-CA" w:eastAsia="zh-CN"/>
        </w:rPr>
        <w:lastRenderedPageBreak/>
        <w:t>in some parts of the world due to COVID-19, it may still be the case that cities and their outlying areas will continue to attract people over time</w:t>
      </w:r>
      <w:r w:rsidRPr="00CC39AB">
        <w:rPr>
          <w:rStyle w:val="FootnoteReference"/>
          <w:lang w:val="en-CA" w:eastAsia="zh-CN"/>
        </w:rPr>
        <w:footnoteReference w:id="9"/>
      </w:r>
      <w:r w:rsidRPr="00CC39AB">
        <w:rPr>
          <w:lang w:val="en-CA" w:eastAsia="zh-CN"/>
        </w:rPr>
        <w:t xml:space="preserve"> due to the economic opportunities that they present. </w:t>
      </w:r>
    </w:p>
    <w:p w14:paraId="78262433" w14:textId="046040A0" w:rsidR="009F2AB8" w:rsidRPr="00CC39AB" w:rsidRDefault="009F2AB8" w:rsidP="009F2AB8">
      <w:pPr>
        <w:rPr>
          <w:lang w:val="en-US"/>
        </w:rPr>
      </w:pPr>
      <w:r w:rsidRPr="00CC39AB">
        <w:rPr>
          <w:lang w:val="en-US"/>
        </w:rPr>
        <w:t>Finally, it is important to mention that, although the number of people working in agriculture is expected to decline, “the sheer scale of the working poor in the sector, and the inherently dangerous and uncertain nature of agricultural work require that the world focus on addressing decent work deficits at all levels”. Also here, automation and human-robot collaboration in agriculture</w:t>
      </w:r>
      <w:r w:rsidR="00BC0C51" w:rsidRPr="00CC39AB">
        <w:rPr>
          <w:lang w:val="en-US"/>
        </w:rPr>
        <w:t xml:space="preserve"> production</w:t>
      </w:r>
      <w:r w:rsidRPr="00CC39AB">
        <w:rPr>
          <w:lang w:val="en-US"/>
        </w:rPr>
        <w:t xml:space="preserve"> has the potential to significantly improve working conditions.</w:t>
      </w:r>
    </w:p>
    <w:p w14:paraId="6A47B2BC" w14:textId="0750550F" w:rsidR="009F2AB8" w:rsidRPr="00CC39AB" w:rsidRDefault="009F2AB8" w:rsidP="009F2AB8">
      <w:pPr>
        <w:rPr>
          <w:lang w:val="en-US"/>
        </w:rPr>
      </w:pPr>
      <w:r w:rsidRPr="00CC39AB">
        <w:rPr>
          <w:lang w:val="en-US"/>
        </w:rPr>
        <w:t>In conjunction, these circumstances highlight the importance of (and challenges related to) achieving zero hunger by 2030. Fortunately, technological advances are a tool that can help us to improve our management of agricultur</w:t>
      </w:r>
      <w:r w:rsidR="005D7C57" w:rsidRPr="00CC39AB">
        <w:rPr>
          <w:lang w:val="en-US"/>
        </w:rPr>
        <w:t>al production processes</w:t>
      </w:r>
      <w:r w:rsidRPr="00CC39AB">
        <w:rPr>
          <w:lang w:val="en-US"/>
        </w:rPr>
        <w:t xml:space="preserve"> and achieve food security.</w:t>
      </w:r>
    </w:p>
    <w:p w14:paraId="400D6F51" w14:textId="658CE2C2" w:rsidR="009F2AB8" w:rsidRPr="00CC39AB" w:rsidRDefault="009F2AB8" w:rsidP="009F2AB8">
      <w:pPr>
        <w:rPr>
          <w:lang w:val="en-US"/>
        </w:rPr>
      </w:pPr>
      <w:r w:rsidRPr="00CC39AB">
        <w:rPr>
          <w:lang w:val="en-US"/>
        </w:rPr>
        <w:t xml:space="preserve">To address these challenges and opportunities, </w:t>
      </w:r>
      <w:r w:rsidRPr="00CC39AB">
        <w:rPr>
          <w:lang w:val="en-CA"/>
        </w:rPr>
        <w:t>FG-AI</w:t>
      </w:r>
      <w:r w:rsidR="001F57F9" w:rsidRPr="00CC39AB">
        <w:rPr>
          <w:lang w:val="en-CA"/>
        </w:rPr>
        <w:t>4A</w:t>
      </w:r>
      <w:r w:rsidRPr="00CC39AB">
        <w:rPr>
          <w:lang w:val="en-US"/>
        </w:rPr>
        <w:t xml:space="preserve"> explores the potential of AI, IoT,  along with the development of technical reports and specifications to support data acquisition and handling, improve</w:t>
      </w:r>
      <w:r w:rsidR="001F57F9" w:rsidRPr="00CC39AB">
        <w:rPr>
          <w:lang w:val="en-US"/>
        </w:rPr>
        <w:t>s</w:t>
      </w:r>
      <w:r w:rsidRPr="00CC39AB">
        <w:rPr>
          <w:lang w:val="en-US"/>
        </w:rPr>
        <w:t xml:space="preserve"> modeling of across spatiotemporal scales through extracting complex patterns (and gaining insights) from a growing volume of agricultural and geospatial data, provide</w:t>
      </w:r>
      <w:r w:rsidR="001F57F9" w:rsidRPr="00CC39AB">
        <w:rPr>
          <w:lang w:val="en-US"/>
        </w:rPr>
        <w:t>s</w:t>
      </w:r>
      <w:r w:rsidRPr="00CC39AB">
        <w:rPr>
          <w:lang w:val="en-US"/>
        </w:rPr>
        <w:t xml:space="preserve"> effective communication and infer</w:t>
      </w:r>
      <w:r w:rsidR="001F57F9" w:rsidRPr="00CC39AB">
        <w:rPr>
          <w:lang w:val="en-US"/>
        </w:rPr>
        <w:t>s</w:t>
      </w:r>
      <w:r w:rsidRPr="00CC39AB">
        <w:rPr>
          <w:lang w:val="en-US"/>
        </w:rPr>
        <w:t xml:space="preserve"> and recommend</w:t>
      </w:r>
      <w:r w:rsidR="001F57F9" w:rsidRPr="00CC39AB">
        <w:rPr>
          <w:lang w:val="en-US"/>
        </w:rPr>
        <w:t>s</w:t>
      </w:r>
      <w:r w:rsidRPr="00CC39AB">
        <w:rPr>
          <w:lang w:val="en-US"/>
        </w:rPr>
        <w:t xml:space="preserve"> interventions</w:t>
      </w:r>
      <w:r w:rsidR="005D7C57" w:rsidRPr="00CC39AB">
        <w:rPr>
          <w:lang w:val="en-US"/>
        </w:rPr>
        <w:t xml:space="preserve"> for the optimization of agricultural production processes</w:t>
      </w:r>
      <w:r w:rsidRPr="00CC39AB">
        <w:rPr>
          <w:lang w:val="en-US"/>
        </w:rPr>
        <w:t xml:space="preserve">. </w:t>
      </w:r>
    </w:p>
    <w:p w14:paraId="2E1E5F0D" w14:textId="7D66C249" w:rsidR="009F2AB8" w:rsidRPr="00CC39AB" w:rsidRDefault="009F2AB8" w:rsidP="009F2AB8">
      <w:pPr>
        <w:rPr>
          <w:lang w:val="en-US"/>
        </w:rPr>
      </w:pPr>
      <w:r w:rsidRPr="00CC39AB">
        <w:rPr>
          <w:lang w:val="en-US"/>
        </w:rPr>
        <w:t xml:space="preserve">To achieve these ambitious objectives, </w:t>
      </w:r>
      <w:r w:rsidRPr="00CC39AB">
        <w:rPr>
          <w:lang w:val="en-CA"/>
        </w:rPr>
        <w:t>FG-AI</w:t>
      </w:r>
      <w:r w:rsidR="001F57F9" w:rsidRPr="00CC39AB">
        <w:rPr>
          <w:lang w:val="en-CA"/>
        </w:rPr>
        <w:t>4A</w:t>
      </w:r>
      <w:r w:rsidRPr="00CC39AB">
        <w:rPr>
          <w:lang w:val="en-US"/>
        </w:rPr>
        <w:t xml:space="preserve"> converge</w:t>
      </w:r>
      <w:r w:rsidR="00B00253" w:rsidRPr="00CC39AB">
        <w:rPr>
          <w:lang w:val="en-US"/>
        </w:rPr>
        <w:t>s</w:t>
      </w:r>
      <w:r w:rsidRPr="00CC39AB">
        <w:rPr>
          <w:lang w:val="en-US"/>
        </w:rPr>
        <w:t xml:space="preserve"> multiple stakeholders and experts from across the globe</w:t>
      </w:r>
      <w:r w:rsidR="00190446" w:rsidRPr="00CC39AB">
        <w:rPr>
          <w:lang w:val="en-US"/>
        </w:rPr>
        <w:t>,</w:t>
      </w:r>
      <w:r w:rsidR="00190446" w:rsidRPr="00CC39AB">
        <w:t xml:space="preserve"> </w:t>
      </w:r>
      <w:r w:rsidR="00190446" w:rsidRPr="00CC39AB">
        <w:rPr>
          <w:lang w:val="en-US"/>
        </w:rPr>
        <w:t xml:space="preserve">building </w:t>
      </w:r>
      <w:r w:rsidR="009F00BA" w:rsidRPr="00CC39AB">
        <w:rPr>
          <w:lang w:val="en-US"/>
        </w:rPr>
        <w:t xml:space="preserve">also </w:t>
      </w:r>
      <w:r w:rsidR="00190446" w:rsidRPr="00CC39AB">
        <w:rPr>
          <w:lang w:val="en-US"/>
        </w:rPr>
        <w:t xml:space="preserve">on results of existing projects and </w:t>
      </w:r>
      <w:proofErr w:type="spellStart"/>
      <w:r w:rsidR="00190446" w:rsidRPr="00CC39AB">
        <w:rPr>
          <w:lang w:val="en-US"/>
        </w:rPr>
        <w:t>cooperation</w:t>
      </w:r>
      <w:r w:rsidR="00E63D34" w:rsidRPr="00CC39AB">
        <w:rPr>
          <w:lang w:val="en-US"/>
        </w:rPr>
        <w:t>s</w:t>
      </w:r>
      <w:proofErr w:type="spellEnd"/>
      <w:r w:rsidR="00190446" w:rsidRPr="00CC39AB">
        <w:rPr>
          <w:lang w:val="en-US"/>
        </w:rPr>
        <w:t xml:space="preserve"> such as IoF2020</w:t>
      </w:r>
      <w:r w:rsidR="009F00BA" w:rsidRPr="00CC39AB">
        <w:rPr>
          <w:lang w:val="en-US"/>
        </w:rPr>
        <w:t xml:space="preserve"> and </w:t>
      </w:r>
      <w:r w:rsidR="00190446" w:rsidRPr="00CC39AB">
        <w:rPr>
          <w:lang w:val="en-US"/>
        </w:rPr>
        <w:t>Atlas</w:t>
      </w:r>
      <w:r w:rsidR="00DF4241" w:rsidRPr="00CC39AB">
        <w:rPr>
          <w:lang w:val="en-US"/>
        </w:rPr>
        <w:t>. Cooperation will be sought with the FAO's International Platform for Digital Food and Agriculture</w:t>
      </w:r>
      <w:r w:rsidR="009F00BA" w:rsidRPr="00CC39AB">
        <w:rPr>
          <w:lang w:val="en-US"/>
        </w:rPr>
        <w:t>.</w:t>
      </w:r>
      <w:r w:rsidRPr="00CC39AB">
        <w:rPr>
          <w:lang w:val="en-US"/>
        </w:rPr>
        <w:t xml:space="preserve"> Special effort will be made to support participation from low- and mid-income countries and those countries shown to be particularly impacted by these types of events (e.g., SIDS</w:t>
      </w:r>
      <w:r w:rsidR="00B00253" w:rsidRPr="00CC39AB">
        <w:rPr>
          <w:lang w:val="en-US"/>
        </w:rPr>
        <w:t xml:space="preserve">, LLDC, </w:t>
      </w:r>
      <w:r w:rsidRPr="00CC39AB">
        <w:rPr>
          <w:lang w:val="en-US"/>
        </w:rPr>
        <w:t xml:space="preserve">and LDC). Finally, </w:t>
      </w:r>
      <w:r w:rsidRPr="00CC39AB">
        <w:rPr>
          <w:lang w:val="en-CA"/>
        </w:rPr>
        <w:t>FG-A</w:t>
      </w:r>
      <w:r w:rsidR="001F57F9" w:rsidRPr="00CC39AB">
        <w:rPr>
          <w:lang w:val="en-CA"/>
        </w:rPr>
        <w:t>I</w:t>
      </w:r>
      <w:r w:rsidRPr="00CC39AB">
        <w:rPr>
          <w:lang w:val="en-CA"/>
        </w:rPr>
        <w:t>4A</w:t>
      </w:r>
      <w:r w:rsidRPr="00CC39AB">
        <w:rPr>
          <w:lang w:val="en-US"/>
        </w:rPr>
        <w:t xml:space="preserve"> advance</w:t>
      </w:r>
      <w:r w:rsidR="00B00253" w:rsidRPr="00CC39AB">
        <w:rPr>
          <w:lang w:val="en-US"/>
        </w:rPr>
        <w:t>s</w:t>
      </w:r>
      <w:r w:rsidRPr="00CC39AB">
        <w:rPr>
          <w:lang w:val="en-US"/>
        </w:rPr>
        <w:t xml:space="preserve"> the efforts of </w:t>
      </w:r>
      <w:r w:rsidR="001F57F9" w:rsidRPr="00CC39AB">
        <w:rPr>
          <w:lang w:val="en-US"/>
        </w:rPr>
        <w:t xml:space="preserve">the </w:t>
      </w:r>
      <w:r w:rsidRPr="00CC39AB">
        <w:rPr>
          <w:lang w:val="en-US"/>
        </w:rPr>
        <w:t>parent group Study Group 20 to advance technology for machine</w:t>
      </w:r>
      <w:r w:rsidR="00B00253" w:rsidRPr="00CC39AB">
        <w:rPr>
          <w:lang w:val="en-US"/>
        </w:rPr>
        <w:t xml:space="preserve"> to </w:t>
      </w:r>
      <w:r w:rsidRPr="00CC39AB">
        <w:rPr>
          <w:lang w:val="en-US"/>
        </w:rPr>
        <w:t>machine</w:t>
      </w:r>
      <w:r w:rsidR="00B00253" w:rsidRPr="00CC39AB">
        <w:rPr>
          <w:lang w:val="en-US"/>
        </w:rPr>
        <w:t xml:space="preserve"> </w:t>
      </w:r>
      <w:r w:rsidRPr="00CC39AB">
        <w:rPr>
          <w:lang w:val="en-US"/>
        </w:rPr>
        <w:t>communication and IoT, and the corresponding end-to-end architectures for, and mechanisms for the interoperability of IoT applications and datasets with a specific focus on digital agriculture use cases.</w:t>
      </w:r>
    </w:p>
    <w:p w14:paraId="5E313CFA" w14:textId="77777777" w:rsidR="009F2AB8" w:rsidRPr="00CC39AB" w:rsidRDefault="009F2AB8" w:rsidP="009F2AB8">
      <w:pPr>
        <w:rPr>
          <w:lang w:val="en-CA" w:eastAsia="zh-CN"/>
        </w:rPr>
      </w:pPr>
      <w:r w:rsidRPr="00CC39AB">
        <w:rPr>
          <w:lang w:val="en-CA" w:eastAsia="zh-CN"/>
        </w:rPr>
        <w:t xml:space="preserve">Therefore, the use of AI and IoT is needed to boost global agricultural output without the addition of more resources such as land acreage, water and human resources. This is referred to as digital agriculture. </w:t>
      </w:r>
    </w:p>
    <w:p w14:paraId="21FD390F" w14:textId="77777777" w:rsidR="009F2AB8" w:rsidRPr="00CC39AB" w:rsidRDefault="009F2AB8" w:rsidP="009F2AB8">
      <w:pPr>
        <w:rPr>
          <w:lang w:val="en-CA" w:eastAsia="zh-CN"/>
        </w:rPr>
      </w:pPr>
      <w:r w:rsidRPr="00CC39AB">
        <w:rPr>
          <w:lang w:val="en-CA" w:eastAsia="zh-CN"/>
        </w:rPr>
        <w:t>Other related concepts include:</w:t>
      </w:r>
    </w:p>
    <w:p w14:paraId="0A82C00E" w14:textId="77777777" w:rsidR="009F2AB8" w:rsidRPr="00CC39AB" w:rsidRDefault="009F2AB8" w:rsidP="009F2AB8">
      <w:pPr>
        <w:rPr>
          <w:lang w:val="en-CA" w:eastAsia="zh-CN"/>
        </w:rPr>
      </w:pPr>
      <w:r w:rsidRPr="00CC39AB">
        <w:rPr>
          <w:b/>
          <w:bCs/>
          <w:lang w:val="en-CA" w:eastAsia="zh-CN"/>
        </w:rPr>
        <w:t>Precision agriculture</w:t>
      </w:r>
      <w:r w:rsidRPr="00CC39AB">
        <w:rPr>
          <w:lang w:val="en-CA" w:eastAsia="zh-CN"/>
        </w:rPr>
        <w:t xml:space="preserve"> is “an umbrella concept for IoT-based approaches that make farming more controlled and accurate…precision farming allows decisions to be made per square meter or even per plant/animal rather than for a field. By precisely measuring variations within a field, farmers can boost the effectiveness of pesticides and fertilizers, or use them selectively.”</w:t>
      </w:r>
      <w:r w:rsidRPr="00CC39AB">
        <w:rPr>
          <w:rStyle w:val="FootnoteReference"/>
          <w:lang w:val="en-CA" w:eastAsia="zh-CN"/>
        </w:rPr>
        <w:footnoteReference w:id="10"/>
      </w:r>
    </w:p>
    <w:p w14:paraId="550E9720" w14:textId="77777777" w:rsidR="009F2AB8" w:rsidRPr="00CC39AB" w:rsidRDefault="009F2AB8" w:rsidP="009F2AB8">
      <w:pPr>
        <w:rPr>
          <w:lang w:val="en-CA" w:eastAsia="zh-CN"/>
        </w:rPr>
      </w:pPr>
      <w:r w:rsidRPr="00CC39AB">
        <w:rPr>
          <w:b/>
          <w:bCs/>
          <w:lang w:val="en-CA" w:eastAsia="zh-CN"/>
        </w:rPr>
        <w:t>Precision livestock farming</w:t>
      </w:r>
      <w:r w:rsidRPr="00CC39AB">
        <w:rPr>
          <w:lang w:val="en-CA" w:eastAsia="zh-CN"/>
        </w:rPr>
        <w:t xml:space="preserve"> entails farmers making use of “wireless IoT applications to monitor the location, well-being, and health of their cattle. With this information, they can identify sick animals, so that they can be separated from the herd to prevent the spread of disease.”</w:t>
      </w:r>
      <w:r w:rsidRPr="00CC39AB">
        <w:rPr>
          <w:rStyle w:val="FootnoteReference"/>
          <w:lang w:val="en-CA" w:eastAsia="zh-CN"/>
        </w:rPr>
        <w:footnoteReference w:id="11"/>
      </w:r>
    </w:p>
    <w:p w14:paraId="2BC88FC0" w14:textId="77777777" w:rsidR="009F2AB8" w:rsidRPr="00CC39AB" w:rsidRDefault="009F2AB8" w:rsidP="009F2AB8">
      <w:pPr>
        <w:rPr>
          <w:lang w:val="en-CA" w:eastAsia="zh-CN"/>
        </w:rPr>
      </w:pPr>
      <w:r w:rsidRPr="00CC39AB">
        <w:rPr>
          <w:b/>
          <w:bCs/>
          <w:lang w:val="en-CA" w:eastAsia="zh-CN"/>
        </w:rPr>
        <w:t>Controlled-environment agriculture (CEA)</w:t>
      </w:r>
      <w:r w:rsidRPr="00CC39AB">
        <w:rPr>
          <w:lang w:val="en-CA" w:eastAsia="zh-CN"/>
        </w:rPr>
        <w:t xml:space="preserve"> “is an approach where crops are grown indoor with an optimized use of water and space compared to conventional agriculture, while simultaneously controlling for factors such as light, temperature, humidity, CO</w:t>
      </w:r>
      <w:r w:rsidRPr="00CC39AB">
        <w:rPr>
          <w:vertAlign w:val="subscript"/>
          <w:lang w:val="en-CA" w:eastAsia="zh-CN"/>
        </w:rPr>
        <w:t>2</w:t>
      </w:r>
      <w:r w:rsidRPr="00CC39AB">
        <w:rPr>
          <w:lang w:val="en-CA" w:eastAsia="zh-CN"/>
        </w:rPr>
        <w:t xml:space="preserve"> and nutrient concentration. </w:t>
      </w:r>
      <w:r w:rsidRPr="00CC39AB">
        <w:rPr>
          <w:i/>
          <w:iCs/>
          <w:lang w:val="en-CA" w:eastAsia="zh-CN"/>
        </w:rPr>
        <w:t xml:space="preserve">Vertical </w:t>
      </w:r>
      <w:r w:rsidRPr="00CC39AB">
        <w:rPr>
          <w:i/>
          <w:iCs/>
          <w:lang w:val="en-CA" w:eastAsia="zh-CN"/>
        </w:rPr>
        <w:lastRenderedPageBreak/>
        <w:t>farming</w:t>
      </w:r>
      <w:r w:rsidRPr="00CC39AB">
        <w:rPr>
          <w:lang w:val="en-CA" w:eastAsia="zh-CN"/>
        </w:rPr>
        <w:t xml:space="preserve"> is a good example, with a welcomed side effect. It enables food production closer to or in cities.”</w:t>
      </w:r>
      <w:r w:rsidRPr="00CC39AB">
        <w:rPr>
          <w:rStyle w:val="FootnoteReference"/>
          <w:lang w:val="en-CA" w:eastAsia="zh-CN"/>
        </w:rPr>
        <w:footnoteReference w:id="12"/>
      </w:r>
    </w:p>
    <w:p w14:paraId="483F8C85" w14:textId="52E80412" w:rsidR="009F2AB8" w:rsidRPr="00CC39AB" w:rsidRDefault="009F2AB8" w:rsidP="009F2AB8">
      <w:pPr>
        <w:rPr>
          <w:lang w:val="en-CA" w:eastAsia="zh-CN"/>
        </w:rPr>
      </w:pPr>
      <w:r w:rsidRPr="00CC39AB">
        <w:rPr>
          <w:b/>
          <w:bCs/>
          <w:lang w:val="en-CA" w:eastAsia="zh-CN"/>
        </w:rPr>
        <w:t>Smart greenhouses</w:t>
      </w:r>
      <w:r w:rsidRPr="00CC39AB">
        <w:rPr>
          <w:lang w:val="en-CA" w:eastAsia="zh-CN"/>
        </w:rPr>
        <w:t xml:space="preserve"> use IoT to “intelligently monitor as well as control the climate, eliminating the need for manual intervention. Various sensors are deployed to measure the environmental parameters according to the specific requirements of the crop. That data is stored in a cloud-based platform for further processing and control with minimal manual intervention.”</w:t>
      </w:r>
      <w:r w:rsidRPr="00CC39AB">
        <w:rPr>
          <w:rStyle w:val="FootnoteReference"/>
          <w:lang w:val="en-CA" w:eastAsia="zh-CN"/>
        </w:rPr>
        <w:footnoteReference w:id="13"/>
      </w:r>
    </w:p>
    <w:p w14:paraId="29F10C85" w14:textId="77777777" w:rsidR="00243889" w:rsidRPr="00CC39AB" w:rsidRDefault="00243889" w:rsidP="009F2AB8">
      <w:pPr>
        <w:rPr>
          <w:lang w:val="en-CA" w:eastAsia="zh-CN"/>
        </w:rPr>
      </w:pPr>
    </w:p>
    <w:bookmarkEnd w:id="13"/>
    <w:p w14:paraId="48FEA701" w14:textId="25E7EE9E" w:rsidR="009F2AB8" w:rsidRPr="00CC39AB" w:rsidRDefault="009F2AB8" w:rsidP="009F2AB8">
      <w:pPr>
        <w:keepNext/>
        <w:keepLines/>
        <w:rPr>
          <w:b/>
          <w:bCs/>
          <w:lang w:val="en-CA"/>
        </w:rPr>
      </w:pPr>
      <w:r w:rsidRPr="00CC39AB">
        <w:rPr>
          <w:b/>
          <w:bCs/>
          <w:lang w:val="en-CA"/>
        </w:rPr>
        <w:t>2.</w:t>
      </w:r>
      <w:r w:rsidRPr="00CC39AB">
        <w:rPr>
          <w:b/>
          <w:bCs/>
          <w:lang w:val="en-CA"/>
        </w:rPr>
        <w:tab/>
        <w:t>Objectives of the Focus Group on AI and IoT for Digital Agriculture (FG-AI4</w:t>
      </w:r>
      <w:r w:rsidR="000627BD" w:rsidRPr="00CC39AB">
        <w:rPr>
          <w:b/>
          <w:bCs/>
          <w:lang w:val="en-CA"/>
        </w:rPr>
        <w:t>A</w:t>
      </w:r>
      <w:r w:rsidRPr="00CC39AB">
        <w:rPr>
          <w:b/>
          <w:bCs/>
          <w:lang w:val="en-CA"/>
        </w:rPr>
        <w:t>)</w:t>
      </w:r>
    </w:p>
    <w:p w14:paraId="6C599F49" w14:textId="3D78D68C" w:rsidR="009F2AB8" w:rsidRPr="00CC39AB" w:rsidRDefault="009F2AB8" w:rsidP="009F2AB8">
      <w:pPr>
        <w:rPr>
          <w:lang w:val="en-CA" w:eastAsia="zh-CN"/>
        </w:rPr>
      </w:pPr>
      <w:r w:rsidRPr="00CC39AB">
        <w:rPr>
          <w:lang w:val="en-CA" w:eastAsia="zh-CN"/>
        </w:rPr>
        <w:t>The proposed Focus Group explore</w:t>
      </w:r>
      <w:r w:rsidR="00791BEB" w:rsidRPr="00CC39AB">
        <w:rPr>
          <w:lang w:val="en-CA" w:eastAsia="zh-CN"/>
        </w:rPr>
        <w:t>s</w:t>
      </w:r>
      <w:r w:rsidRPr="00CC39AB">
        <w:rPr>
          <w:lang w:val="en-CA" w:eastAsia="zh-CN"/>
        </w:rPr>
        <w:t xml:space="preserve"> the potential of AI and IoT to support innovative </w:t>
      </w:r>
      <w:r w:rsidR="00791BEB" w:rsidRPr="00CC39AB">
        <w:rPr>
          <w:lang w:val="en-CA" w:eastAsia="zh-CN"/>
        </w:rPr>
        <w:t xml:space="preserve">practices for </w:t>
      </w:r>
      <w:r w:rsidRPr="00CC39AB">
        <w:rPr>
          <w:lang w:val="en-CA" w:eastAsia="zh-CN"/>
        </w:rPr>
        <w:t>agricultural</w:t>
      </w:r>
      <w:r w:rsidR="00791BEB" w:rsidRPr="00CC39AB">
        <w:rPr>
          <w:lang w:val="en-CA" w:eastAsia="zh-CN"/>
        </w:rPr>
        <w:t xml:space="preserve"> production</w:t>
      </w:r>
      <w:r w:rsidRPr="00CC39AB">
        <w:rPr>
          <w:lang w:val="en-CA" w:eastAsia="zh-CN"/>
        </w:rPr>
        <w:t>. The Focus Group also stud</w:t>
      </w:r>
      <w:r w:rsidR="00791BEB" w:rsidRPr="00CC39AB">
        <w:rPr>
          <w:lang w:val="en-CA" w:eastAsia="zh-CN"/>
        </w:rPr>
        <w:t>ies</w:t>
      </w:r>
      <w:r w:rsidRPr="00CC39AB">
        <w:rPr>
          <w:lang w:val="en-CA" w:eastAsia="zh-CN"/>
        </w:rPr>
        <w:t xml:space="preserve"> any downsides of these technologies within this context, any barriers related to their use, best practices for their optimal deployment, and any other relevant topics.</w:t>
      </w:r>
    </w:p>
    <w:p w14:paraId="4540B020" w14:textId="04F73044" w:rsidR="009F2AB8" w:rsidRPr="00CC39AB" w:rsidRDefault="009F2AB8" w:rsidP="009F2AB8">
      <w:pPr>
        <w:rPr>
          <w:lang w:val="en-CA" w:eastAsia="zh-CN"/>
        </w:rPr>
      </w:pPr>
      <w:r w:rsidRPr="00CC39AB">
        <w:rPr>
          <w:lang w:val="en-CA" w:eastAsia="zh-CN"/>
        </w:rPr>
        <w:t>As part of this effort, the Focus Group conduct</w:t>
      </w:r>
      <w:r w:rsidR="00791BEB" w:rsidRPr="00CC39AB">
        <w:rPr>
          <w:lang w:val="en-CA" w:eastAsia="zh-CN"/>
        </w:rPr>
        <w:t>s</w:t>
      </w:r>
      <w:r w:rsidRPr="00CC39AB">
        <w:rPr>
          <w:lang w:val="en-CA" w:eastAsia="zh-CN"/>
        </w:rPr>
        <w:t xml:space="preserve"> an analysis of the use of AI and IoT in </w:t>
      </w:r>
      <w:r w:rsidR="00791BEB" w:rsidRPr="00CC39AB">
        <w:rPr>
          <w:lang w:val="en-CA" w:eastAsia="zh-CN"/>
        </w:rPr>
        <w:t>a</w:t>
      </w:r>
      <w:r w:rsidRPr="00CC39AB">
        <w:rPr>
          <w:lang w:val="en-CA" w:eastAsia="zh-CN"/>
        </w:rPr>
        <w:t>gricultur</w:t>
      </w:r>
      <w:r w:rsidR="001F57F9" w:rsidRPr="00CC39AB">
        <w:rPr>
          <w:lang w:val="en-CA" w:eastAsia="zh-CN"/>
        </w:rPr>
        <w:t>al</w:t>
      </w:r>
      <w:r w:rsidR="00791BEB" w:rsidRPr="00CC39AB">
        <w:rPr>
          <w:lang w:val="en-CA" w:eastAsia="zh-CN"/>
        </w:rPr>
        <w:t xml:space="preserve"> production</w:t>
      </w:r>
      <w:r w:rsidRPr="00CC39AB">
        <w:rPr>
          <w:lang w:val="en-CA" w:eastAsia="zh-CN"/>
        </w:rPr>
        <w:t xml:space="preserve"> in order to identify its current state (globally and regionally), key concepts, major trends, relevant gaps and issues in standardization activities related to this topic, and more, to derive use cases, to explore high level requirements and possible architectur</w:t>
      </w:r>
      <w:r w:rsidR="00791BEB" w:rsidRPr="00CC39AB">
        <w:rPr>
          <w:lang w:val="en-CA" w:eastAsia="zh-CN"/>
        </w:rPr>
        <w:t>al</w:t>
      </w:r>
      <w:r w:rsidRPr="00CC39AB">
        <w:rPr>
          <w:lang w:val="en-CA" w:eastAsia="zh-CN"/>
        </w:rPr>
        <w:t xml:space="preserve"> </w:t>
      </w:r>
      <w:r w:rsidR="00791BEB" w:rsidRPr="00CC39AB">
        <w:rPr>
          <w:lang w:val="en-CA" w:eastAsia="zh-CN"/>
        </w:rPr>
        <w:t>approache</w:t>
      </w:r>
      <w:r w:rsidRPr="00CC39AB">
        <w:rPr>
          <w:lang w:val="en-CA" w:eastAsia="zh-CN"/>
        </w:rPr>
        <w:t>s, to satisfy user needs of this lively sector. The focus group aim</w:t>
      </w:r>
      <w:r w:rsidR="00791BEB" w:rsidRPr="00CC39AB">
        <w:rPr>
          <w:lang w:val="en-CA" w:eastAsia="zh-CN"/>
        </w:rPr>
        <w:t>s</w:t>
      </w:r>
      <w:r w:rsidRPr="00CC39AB">
        <w:rPr>
          <w:lang w:val="en-CA" w:eastAsia="zh-CN"/>
        </w:rPr>
        <w:t xml:space="preserve"> to publish the results of these efforts in various reports and case studies. </w:t>
      </w:r>
    </w:p>
    <w:p w14:paraId="5DB19829" w14:textId="0DDDCD95" w:rsidR="009F2AB8" w:rsidRPr="00CC39AB" w:rsidRDefault="009F2AB8" w:rsidP="009F2AB8">
      <w:pPr>
        <w:rPr>
          <w:lang w:val="en-CA" w:eastAsia="zh-CN"/>
        </w:rPr>
      </w:pPr>
      <w:r w:rsidRPr="00CC39AB">
        <w:rPr>
          <w:lang w:val="en-CA" w:eastAsia="zh-CN"/>
        </w:rPr>
        <w:t>To achieve this</w:t>
      </w:r>
      <w:r w:rsidR="00791BEB" w:rsidRPr="00CC39AB">
        <w:rPr>
          <w:lang w:val="en-CA" w:eastAsia="zh-CN"/>
        </w:rPr>
        <w:t>,</w:t>
      </w:r>
      <w:r w:rsidRPr="00CC39AB">
        <w:rPr>
          <w:lang w:val="en-CA" w:eastAsia="zh-CN"/>
        </w:rPr>
        <w:t xml:space="preserve"> the </w:t>
      </w:r>
      <w:r w:rsidRPr="00CC39AB">
        <w:rPr>
          <w:lang w:val="en-CA"/>
        </w:rPr>
        <w:t>FG-AI4</w:t>
      </w:r>
      <w:r w:rsidR="002E68E8" w:rsidRPr="00CC39AB">
        <w:rPr>
          <w:lang w:val="en-CA"/>
        </w:rPr>
        <w:t>A</w:t>
      </w:r>
      <w:r w:rsidRPr="00CC39AB">
        <w:rPr>
          <w:lang w:val="en-CA"/>
        </w:rPr>
        <w:t xml:space="preserve"> </w:t>
      </w:r>
      <w:r w:rsidRPr="00CC39AB">
        <w:rPr>
          <w:lang w:val="en-CA" w:eastAsia="zh-CN"/>
        </w:rPr>
        <w:t>converge</w:t>
      </w:r>
      <w:r w:rsidR="00791BEB" w:rsidRPr="00CC39AB">
        <w:rPr>
          <w:lang w:val="en-CA" w:eastAsia="zh-CN"/>
        </w:rPr>
        <w:t>s</w:t>
      </w:r>
      <w:r w:rsidRPr="00CC39AB">
        <w:rPr>
          <w:lang w:val="en-CA" w:eastAsia="zh-CN"/>
        </w:rPr>
        <w:t xml:space="preserve"> multiple stakeholders and experts from across the globe, serving as an open platform for experts representing ITU members and non-</w:t>
      </w:r>
      <w:r w:rsidR="00791BEB" w:rsidRPr="00CC39AB">
        <w:rPr>
          <w:lang w:val="en-CA" w:eastAsia="zh-CN"/>
        </w:rPr>
        <w:t xml:space="preserve">ITU </w:t>
      </w:r>
      <w:r w:rsidRPr="00CC39AB">
        <w:rPr>
          <w:lang w:val="en-CA" w:eastAsia="zh-CN"/>
        </w:rPr>
        <w:t>members to quickly move forward</w:t>
      </w:r>
      <w:r w:rsidR="00791BEB" w:rsidRPr="00CC39AB">
        <w:rPr>
          <w:lang w:val="en-CA" w:eastAsia="zh-CN"/>
        </w:rPr>
        <w:t>,</w:t>
      </w:r>
      <w:r w:rsidRPr="00CC39AB">
        <w:rPr>
          <w:lang w:val="en-CA" w:eastAsia="zh-CN"/>
        </w:rPr>
        <w:t xml:space="preserve"> studies on technology, standards, and applications relevant to AI and IoT in agriculture. </w:t>
      </w:r>
    </w:p>
    <w:p w14:paraId="01274340" w14:textId="30DDD3C9" w:rsidR="009F2AB8" w:rsidRPr="00CC39AB" w:rsidRDefault="009F2AB8" w:rsidP="009F2AB8">
      <w:pPr>
        <w:rPr>
          <w:lang w:val="en-CA" w:eastAsia="zh-CN"/>
        </w:rPr>
      </w:pPr>
      <w:r w:rsidRPr="00CC39AB">
        <w:rPr>
          <w:lang w:val="en-CA" w:eastAsia="zh-CN"/>
        </w:rPr>
        <w:t>Special effort will be made to support participation from low- and mid-income countries and those countries shown to be potentially most impacted by digital agriculture (e.g., SIDS</w:t>
      </w:r>
      <w:r w:rsidR="00791BEB" w:rsidRPr="00CC39AB">
        <w:rPr>
          <w:lang w:val="en-CA" w:eastAsia="zh-CN"/>
        </w:rPr>
        <w:t xml:space="preserve">, </w:t>
      </w:r>
      <w:proofErr w:type="spellStart"/>
      <w:r w:rsidR="00791BEB" w:rsidRPr="00CC39AB">
        <w:rPr>
          <w:lang w:val="en-CA" w:eastAsia="zh-CN"/>
        </w:rPr>
        <w:t>LLDC,</w:t>
      </w:r>
      <w:r w:rsidRPr="00CC39AB">
        <w:rPr>
          <w:lang w:val="en-CA" w:eastAsia="zh-CN"/>
        </w:rPr>
        <w:t>and</w:t>
      </w:r>
      <w:proofErr w:type="spellEnd"/>
      <w:r w:rsidRPr="00CC39AB">
        <w:rPr>
          <w:lang w:val="en-CA" w:eastAsia="zh-CN"/>
        </w:rPr>
        <w:t xml:space="preserve"> LDCs). Finally, the </w:t>
      </w:r>
      <w:r w:rsidRPr="00CC39AB">
        <w:rPr>
          <w:lang w:val="en-CA"/>
        </w:rPr>
        <w:t>FG-AI4</w:t>
      </w:r>
      <w:r w:rsidR="002E68E8" w:rsidRPr="00CC39AB">
        <w:rPr>
          <w:lang w:val="en-CA"/>
        </w:rPr>
        <w:t>A</w:t>
      </w:r>
      <w:r w:rsidRPr="00CC39AB">
        <w:rPr>
          <w:lang w:val="en-CA"/>
        </w:rPr>
        <w:t xml:space="preserve"> </w:t>
      </w:r>
      <w:r w:rsidRPr="00CC39AB">
        <w:rPr>
          <w:lang w:val="en-CA" w:eastAsia="zh-CN"/>
        </w:rPr>
        <w:t>advance</w:t>
      </w:r>
      <w:r w:rsidR="00791BEB" w:rsidRPr="00CC39AB">
        <w:rPr>
          <w:lang w:val="en-CA" w:eastAsia="zh-CN"/>
        </w:rPr>
        <w:t>s</w:t>
      </w:r>
      <w:r w:rsidRPr="00CC39AB">
        <w:rPr>
          <w:lang w:val="en-CA" w:eastAsia="zh-CN"/>
        </w:rPr>
        <w:t xml:space="preserve"> the efforts of its parent group, ITU-T Study Group 20 in the areas of AI and IoT.</w:t>
      </w:r>
    </w:p>
    <w:p w14:paraId="5A4BA65F" w14:textId="49128B54" w:rsidR="009F2AB8" w:rsidRPr="00CC39AB" w:rsidRDefault="009F2AB8" w:rsidP="009F2AB8">
      <w:pPr>
        <w:rPr>
          <w:lang w:val="en-CA" w:eastAsia="zh-CN"/>
        </w:rPr>
      </w:pPr>
      <w:r w:rsidRPr="00CC39AB">
        <w:rPr>
          <w:lang w:val="en-CA"/>
        </w:rPr>
        <w:t>More precisely, the Focus Group’s objectives include</w:t>
      </w:r>
      <w:r w:rsidRPr="00CC39AB">
        <w:rPr>
          <w:lang w:val="en-CA" w:eastAsia="zh-CN"/>
        </w:rPr>
        <w:t>:</w:t>
      </w:r>
    </w:p>
    <w:p w14:paraId="233A663A" w14:textId="5C22FAFE" w:rsidR="009F2AB8" w:rsidRPr="00CC39AB" w:rsidRDefault="009F2AB8" w:rsidP="009F2AB8">
      <w:pPr>
        <w:pStyle w:val="ListParagraph"/>
        <w:numPr>
          <w:ilvl w:val="0"/>
          <w:numId w:val="27"/>
        </w:numPr>
        <w:contextualSpacing w:val="0"/>
        <w:rPr>
          <w:lang w:val="en-CA"/>
        </w:rPr>
      </w:pPr>
      <w:r w:rsidRPr="00CC39AB">
        <w:rPr>
          <w:lang w:val="en-CA"/>
        </w:rPr>
        <w:t xml:space="preserve">Promote </w:t>
      </w:r>
      <w:r w:rsidR="001B0DF2" w:rsidRPr="00CC39AB">
        <w:rPr>
          <w:lang w:val="en-CA"/>
        </w:rPr>
        <w:t xml:space="preserve">the activities of this Focus Group for its </w:t>
      </w:r>
      <w:r w:rsidRPr="00CC39AB">
        <w:rPr>
          <w:lang w:val="en-CA"/>
        </w:rPr>
        <w:t xml:space="preserve">pre-standardization work of </w:t>
      </w:r>
      <w:r w:rsidR="00680DA2" w:rsidRPr="00CC39AB">
        <w:rPr>
          <w:lang w:val="en-CA"/>
        </w:rPr>
        <w:t xml:space="preserve">eco-friendly </w:t>
      </w:r>
      <w:r w:rsidRPr="00CC39AB">
        <w:rPr>
          <w:lang w:val="en-CA"/>
        </w:rPr>
        <w:t xml:space="preserve">AI and IoT </w:t>
      </w:r>
      <w:r w:rsidR="00680DA2" w:rsidRPr="00CC39AB">
        <w:rPr>
          <w:lang w:val="en-CA"/>
        </w:rPr>
        <w:t xml:space="preserve">technologies </w:t>
      </w:r>
      <w:r w:rsidRPr="00CC39AB">
        <w:rPr>
          <w:lang w:val="en-CA"/>
        </w:rPr>
        <w:t xml:space="preserve">in agriculture; </w:t>
      </w:r>
    </w:p>
    <w:p w14:paraId="12708A9A" w14:textId="7F402690" w:rsidR="009F2AB8" w:rsidRPr="00CC39AB" w:rsidRDefault="009F2AB8" w:rsidP="009F2AB8">
      <w:pPr>
        <w:pStyle w:val="ListParagraph"/>
        <w:numPr>
          <w:ilvl w:val="0"/>
          <w:numId w:val="27"/>
        </w:numPr>
        <w:contextualSpacing w:val="0"/>
        <w:rPr>
          <w:lang w:val="en-CA"/>
        </w:rPr>
      </w:pPr>
      <w:r w:rsidRPr="00CC39AB">
        <w:rPr>
          <w:lang w:val="en-CA"/>
        </w:rPr>
        <w:t xml:space="preserve">Build a community of stakeholders and experts from around the globe to explore the use of emerging technologies </w:t>
      </w:r>
      <w:r w:rsidR="00DB25AC" w:rsidRPr="00CC39AB">
        <w:rPr>
          <w:lang w:val="en-CA"/>
        </w:rPr>
        <w:t>for</w:t>
      </w:r>
      <w:r w:rsidRPr="00CC39AB">
        <w:rPr>
          <w:lang w:val="en-CA"/>
        </w:rPr>
        <w:t xml:space="preserve"> </w:t>
      </w:r>
      <w:r w:rsidRPr="00CC39AB">
        <w:rPr>
          <w:lang w:val="en-CA" w:eastAsia="zh-CN"/>
        </w:rPr>
        <w:t xml:space="preserve">AI and IoT in agriculture; </w:t>
      </w:r>
    </w:p>
    <w:p w14:paraId="0281ED06" w14:textId="77777777" w:rsidR="009F2AB8" w:rsidRPr="00CC39AB" w:rsidRDefault="009F2AB8" w:rsidP="009F2AB8">
      <w:pPr>
        <w:pStyle w:val="ListParagraph"/>
        <w:numPr>
          <w:ilvl w:val="0"/>
          <w:numId w:val="27"/>
        </w:numPr>
        <w:contextualSpacing w:val="0"/>
        <w:rPr>
          <w:lang w:val="en-CA"/>
        </w:rPr>
      </w:pPr>
      <w:r w:rsidRPr="00CC39AB">
        <w:rPr>
          <w:lang w:val="en-CA"/>
        </w:rPr>
        <w:t xml:space="preserve">Maximize synergies within this community to support the interlinked goals of the UN for a more food-secure abundant and </w:t>
      </w:r>
      <w:proofErr w:type="spellStart"/>
      <w:r w:rsidRPr="00CC39AB">
        <w:rPr>
          <w:lang w:val="en-CA"/>
        </w:rPr>
        <w:t>agri</w:t>
      </w:r>
      <w:proofErr w:type="spellEnd"/>
      <w:r w:rsidRPr="00CC39AB">
        <w:rPr>
          <w:lang w:val="en-CA"/>
        </w:rPr>
        <w:t>-advanced future;</w:t>
      </w:r>
    </w:p>
    <w:p w14:paraId="4D6E9FB3" w14:textId="49905EBA" w:rsidR="009F2AB8" w:rsidRPr="00CC39AB" w:rsidRDefault="009F2AB8" w:rsidP="009F2AB8">
      <w:pPr>
        <w:pStyle w:val="ListParagraph"/>
        <w:numPr>
          <w:ilvl w:val="0"/>
          <w:numId w:val="27"/>
        </w:numPr>
        <w:contextualSpacing w:val="0"/>
        <w:rPr>
          <w:lang w:val="en-CA"/>
        </w:rPr>
      </w:pPr>
      <w:r w:rsidRPr="00CC39AB">
        <w:rPr>
          <w:lang w:val="en-CA"/>
        </w:rPr>
        <w:t xml:space="preserve">Identify projects related to use of </w:t>
      </w:r>
      <w:r w:rsidRPr="00CC39AB">
        <w:rPr>
          <w:lang w:val="en-CA" w:eastAsia="zh-CN"/>
        </w:rPr>
        <w:t xml:space="preserve">AI and IoT in Agriculture </w:t>
      </w:r>
      <w:r w:rsidRPr="00CC39AB">
        <w:rPr>
          <w:lang w:val="en-CA"/>
        </w:rPr>
        <w:t xml:space="preserve">and related services, precision farming, precision livestock farming, </w:t>
      </w:r>
      <w:r w:rsidRPr="00CC39AB">
        <w:rPr>
          <w:lang w:val="en-CA" w:eastAsia="zh-CN"/>
        </w:rPr>
        <w:t>controlled-environment agriculture, smart greenhouses, vertical farming,</w:t>
      </w:r>
      <w:r w:rsidR="001B0DF2" w:rsidRPr="00CC39AB">
        <w:rPr>
          <w:lang w:val="en-CA" w:eastAsia="zh-CN"/>
        </w:rPr>
        <w:t xml:space="preserve"> digital agriculture</w:t>
      </w:r>
      <w:r w:rsidRPr="00CC39AB">
        <w:rPr>
          <w:lang w:val="en-CA" w:eastAsia="zh-CN"/>
        </w:rPr>
        <w:t xml:space="preserve"> etc. that would need future standardization etc.;</w:t>
      </w:r>
    </w:p>
    <w:p w14:paraId="27F1696D" w14:textId="5B146356" w:rsidR="009F2AB8" w:rsidRPr="00CC39AB" w:rsidRDefault="009F2AB8" w:rsidP="009F2AB8">
      <w:pPr>
        <w:pStyle w:val="ListParagraph"/>
        <w:numPr>
          <w:ilvl w:val="0"/>
          <w:numId w:val="27"/>
        </w:numPr>
        <w:contextualSpacing w:val="0"/>
        <w:rPr>
          <w:lang w:val="en-CA"/>
        </w:rPr>
      </w:pPr>
      <w:r w:rsidRPr="00CC39AB">
        <w:rPr>
          <w:lang w:val="en-CA"/>
        </w:rPr>
        <w:t>Develop</w:t>
      </w:r>
      <w:r w:rsidRPr="00CC39AB">
        <w:rPr>
          <w:lang w:val="en-CA" w:eastAsia="zh-CN"/>
        </w:rPr>
        <w:t xml:space="preserve"> a set of</w:t>
      </w:r>
      <w:r w:rsidR="004D191F" w:rsidRPr="00CC39AB">
        <w:rPr>
          <w:lang w:val="en-CA" w:eastAsia="zh-CN"/>
        </w:rPr>
        <w:t xml:space="preserve"> deliverables</w:t>
      </w:r>
      <w:r w:rsidRPr="00CC39AB">
        <w:rPr>
          <w:lang w:val="en-CA" w:eastAsia="zh-CN"/>
        </w:rPr>
        <w:t xml:space="preserve"> </w:t>
      </w:r>
      <w:r w:rsidR="004D191F" w:rsidRPr="00CC39AB">
        <w:rPr>
          <w:lang w:val="en-CA" w:eastAsia="zh-CN"/>
        </w:rPr>
        <w:t xml:space="preserve">(e.g. technical reports, technical specifications, </w:t>
      </w:r>
      <w:proofErr w:type="spellStart"/>
      <w:r w:rsidR="004D191F" w:rsidRPr="00CC39AB">
        <w:rPr>
          <w:lang w:val="en-CA" w:eastAsia="zh-CN"/>
        </w:rPr>
        <w:t>etc</w:t>
      </w:r>
      <w:proofErr w:type="spellEnd"/>
      <w:r w:rsidR="004D191F" w:rsidRPr="00CC39AB">
        <w:rPr>
          <w:lang w:val="en-CA" w:eastAsia="zh-CN"/>
        </w:rPr>
        <w:t xml:space="preserve">) </w:t>
      </w:r>
      <w:r w:rsidRPr="00CC39AB">
        <w:rPr>
          <w:lang w:val="en-CA" w:eastAsia="zh-CN"/>
        </w:rPr>
        <w:t>related to</w:t>
      </w:r>
      <w:r w:rsidR="00680DA2" w:rsidRPr="00CC39AB">
        <w:rPr>
          <w:lang w:val="en-CA" w:eastAsia="zh-CN"/>
        </w:rPr>
        <w:t xml:space="preserve"> </w:t>
      </w:r>
      <w:r w:rsidR="00680DA2" w:rsidRPr="00CC39AB">
        <w:rPr>
          <w:lang w:val="en-CA"/>
        </w:rPr>
        <w:t>eco-friendly</w:t>
      </w:r>
      <w:r w:rsidRPr="00CC39AB">
        <w:rPr>
          <w:lang w:val="en-CA" w:eastAsia="zh-CN"/>
        </w:rPr>
        <w:t xml:space="preserve"> AI and IoT</w:t>
      </w:r>
      <w:r w:rsidR="00680DA2" w:rsidRPr="00CC39AB">
        <w:rPr>
          <w:lang w:val="en-CA" w:eastAsia="zh-CN"/>
        </w:rPr>
        <w:t xml:space="preserve"> technologies</w:t>
      </w:r>
      <w:r w:rsidRPr="00CC39AB">
        <w:rPr>
          <w:lang w:val="en-CA" w:eastAsia="zh-CN"/>
        </w:rPr>
        <w:t xml:space="preserve"> in agriculture, including</w:t>
      </w:r>
      <w:r w:rsidR="004D191F" w:rsidRPr="00CC39AB">
        <w:rPr>
          <w:lang w:val="en-CA" w:eastAsia="zh-CN"/>
        </w:rPr>
        <w:t xml:space="preserve"> (but not limited to)</w:t>
      </w:r>
      <w:r w:rsidRPr="00CC39AB">
        <w:rPr>
          <w:lang w:val="en-CA" w:eastAsia="zh-CN"/>
        </w:rPr>
        <w:t>:</w:t>
      </w:r>
    </w:p>
    <w:p w14:paraId="73664B71" w14:textId="3833D25A" w:rsidR="009F2AB8" w:rsidRPr="00CC39AB" w:rsidRDefault="009F2AB8" w:rsidP="009F2AB8">
      <w:pPr>
        <w:pStyle w:val="ListParagraph"/>
        <w:numPr>
          <w:ilvl w:val="0"/>
          <w:numId w:val="31"/>
        </w:numPr>
        <w:contextualSpacing w:val="0"/>
        <w:rPr>
          <w:rFonts w:eastAsia="SimSun"/>
          <w:lang w:val="en-CA" w:eastAsia="zh-CN"/>
        </w:rPr>
      </w:pPr>
      <w:r w:rsidRPr="00CC39AB">
        <w:rPr>
          <w:rFonts w:eastAsia="SimSun"/>
          <w:lang w:val="en-CA" w:eastAsia="zh-CN"/>
        </w:rPr>
        <w:t>Terms, key concepts, framework;</w:t>
      </w:r>
    </w:p>
    <w:p w14:paraId="36692DE1" w14:textId="77777777" w:rsidR="009F2AB8" w:rsidRPr="00CC39AB" w:rsidRDefault="009F2AB8" w:rsidP="009F2AB8">
      <w:pPr>
        <w:pStyle w:val="ListParagraph"/>
        <w:numPr>
          <w:ilvl w:val="0"/>
          <w:numId w:val="31"/>
        </w:numPr>
        <w:contextualSpacing w:val="0"/>
        <w:rPr>
          <w:lang w:val="en-CA" w:eastAsia="zh-CN"/>
        </w:rPr>
      </w:pPr>
      <w:r w:rsidRPr="00CC39AB">
        <w:rPr>
          <w:rFonts w:eastAsia="SimSun"/>
          <w:lang w:val="en-CA" w:eastAsia="zh-CN"/>
        </w:rPr>
        <w:lastRenderedPageBreak/>
        <w:t>Intelligent</w:t>
      </w:r>
      <w:r w:rsidRPr="00CC39AB">
        <w:rPr>
          <w:lang w:val="en-CA" w:eastAsia="zh-CN"/>
        </w:rPr>
        <w:t xml:space="preserve"> </w:t>
      </w:r>
      <w:r w:rsidRPr="00CC39AB">
        <w:rPr>
          <w:lang w:val="en-CA"/>
        </w:rPr>
        <w:t>infrastructure</w:t>
      </w:r>
      <w:r w:rsidRPr="00CC39AB">
        <w:rPr>
          <w:lang w:val="en-CA" w:eastAsia="zh-CN"/>
        </w:rPr>
        <w:t>;</w:t>
      </w:r>
    </w:p>
    <w:p w14:paraId="7C11E614" w14:textId="77777777" w:rsidR="009F2AB8" w:rsidRPr="00CC39AB" w:rsidRDefault="009F2AB8" w:rsidP="009F2AB8">
      <w:pPr>
        <w:pStyle w:val="ListParagraph"/>
        <w:numPr>
          <w:ilvl w:val="0"/>
          <w:numId w:val="31"/>
        </w:numPr>
        <w:contextualSpacing w:val="0"/>
        <w:rPr>
          <w:lang w:val="en-CA" w:eastAsia="zh-CN"/>
        </w:rPr>
      </w:pPr>
      <w:r w:rsidRPr="00CC39AB">
        <w:rPr>
          <w:rFonts w:eastAsia="SimSun"/>
          <w:lang w:val="en-CA" w:eastAsia="zh-CN"/>
        </w:rPr>
        <w:t>Information collection;</w:t>
      </w:r>
    </w:p>
    <w:p w14:paraId="55B48932" w14:textId="77777777" w:rsidR="009F2AB8" w:rsidRPr="00CC39AB" w:rsidRDefault="009F2AB8" w:rsidP="009F2AB8">
      <w:pPr>
        <w:pStyle w:val="ListParagraph"/>
        <w:numPr>
          <w:ilvl w:val="0"/>
          <w:numId w:val="31"/>
        </w:numPr>
        <w:contextualSpacing w:val="0"/>
        <w:rPr>
          <w:lang w:val="en-CA" w:eastAsia="zh-CN"/>
        </w:rPr>
      </w:pPr>
      <w:r w:rsidRPr="00CC39AB">
        <w:rPr>
          <w:rFonts w:eastAsia="SimSun"/>
          <w:lang w:val="en-CA" w:eastAsia="zh-CN"/>
        </w:rPr>
        <w:t>Data acquisition;</w:t>
      </w:r>
    </w:p>
    <w:p w14:paraId="0A002DCA" w14:textId="77777777" w:rsidR="009F2AB8" w:rsidRPr="00CC39AB" w:rsidRDefault="009F2AB8" w:rsidP="009F2AB8">
      <w:pPr>
        <w:pStyle w:val="ListParagraph"/>
        <w:numPr>
          <w:ilvl w:val="0"/>
          <w:numId w:val="31"/>
        </w:numPr>
        <w:contextualSpacing w:val="0"/>
        <w:rPr>
          <w:rFonts w:eastAsia="SimSun"/>
          <w:lang w:val="en-CA" w:eastAsia="zh-CN"/>
        </w:rPr>
      </w:pPr>
      <w:r w:rsidRPr="00CC39AB">
        <w:rPr>
          <w:rFonts w:eastAsia="SimSun"/>
          <w:lang w:val="en-CA" w:eastAsia="zh-CN"/>
        </w:rPr>
        <w:t>Data interface, information transfer and network;</w:t>
      </w:r>
    </w:p>
    <w:p w14:paraId="43E96411" w14:textId="1297852F" w:rsidR="009F2AB8" w:rsidRPr="00CC39AB" w:rsidRDefault="009F2AB8" w:rsidP="009F2AB8">
      <w:pPr>
        <w:pStyle w:val="ListParagraph"/>
        <w:numPr>
          <w:ilvl w:val="0"/>
          <w:numId w:val="31"/>
        </w:numPr>
        <w:contextualSpacing w:val="0"/>
        <w:rPr>
          <w:rFonts w:eastAsia="SimSun"/>
          <w:lang w:val="en-CA" w:eastAsia="zh-CN"/>
        </w:rPr>
      </w:pPr>
      <w:r w:rsidRPr="00CC39AB">
        <w:rPr>
          <w:rFonts w:eastAsia="SimSun"/>
          <w:lang w:val="en-CA" w:eastAsia="zh-CN"/>
        </w:rPr>
        <w:t>Central decision-making and edge computing;</w:t>
      </w:r>
    </w:p>
    <w:p w14:paraId="59DD2162" w14:textId="1FFD8E85" w:rsidR="004D191F" w:rsidRPr="00CC39AB" w:rsidRDefault="004D191F" w:rsidP="009F2AB8">
      <w:pPr>
        <w:pStyle w:val="ListParagraph"/>
        <w:numPr>
          <w:ilvl w:val="0"/>
          <w:numId w:val="31"/>
        </w:numPr>
        <w:contextualSpacing w:val="0"/>
        <w:rPr>
          <w:rFonts w:eastAsia="SimSun"/>
          <w:lang w:val="en-CA" w:eastAsia="zh-CN"/>
        </w:rPr>
      </w:pPr>
      <w:r w:rsidRPr="00CC39AB">
        <w:rPr>
          <w:rFonts w:eastAsia="SimSun"/>
          <w:lang w:val="en-CA" w:eastAsia="zh-CN"/>
        </w:rPr>
        <w:t>Lightweight AI/ML (</w:t>
      </w:r>
      <w:proofErr w:type="spellStart"/>
      <w:r w:rsidRPr="00CC39AB">
        <w:rPr>
          <w:rFonts w:eastAsia="SimSun"/>
          <w:lang w:val="en-CA" w:eastAsia="zh-CN"/>
        </w:rPr>
        <w:t>TinyML</w:t>
      </w:r>
      <w:proofErr w:type="spellEnd"/>
      <w:r w:rsidRPr="00CC39AB">
        <w:rPr>
          <w:rFonts w:eastAsia="SimSun"/>
          <w:lang w:val="en-CA" w:eastAsia="zh-CN"/>
        </w:rPr>
        <w:t>)</w:t>
      </w:r>
    </w:p>
    <w:p w14:paraId="5D514175" w14:textId="158BF932" w:rsidR="004D191F" w:rsidRPr="00CC39AB" w:rsidRDefault="004D191F" w:rsidP="009F2AB8">
      <w:pPr>
        <w:pStyle w:val="ListParagraph"/>
        <w:numPr>
          <w:ilvl w:val="0"/>
          <w:numId w:val="31"/>
        </w:numPr>
        <w:contextualSpacing w:val="0"/>
        <w:rPr>
          <w:rFonts w:eastAsia="SimSun"/>
          <w:lang w:val="en-CA" w:eastAsia="zh-CN"/>
        </w:rPr>
      </w:pPr>
      <w:r w:rsidRPr="00CC39AB">
        <w:rPr>
          <w:rFonts w:eastAsia="SimSun"/>
          <w:lang w:val="en-CA" w:eastAsia="zh-CN"/>
        </w:rPr>
        <w:t>Distributed Artificial Intelligence-as-a-Service (</w:t>
      </w:r>
      <w:proofErr w:type="spellStart"/>
      <w:r w:rsidRPr="00CC39AB">
        <w:rPr>
          <w:rFonts w:eastAsia="SimSun"/>
          <w:lang w:val="en-CA" w:eastAsia="zh-CN"/>
        </w:rPr>
        <w:t>DAIaaS</w:t>
      </w:r>
      <w:proofErr w:type="spellEnd"/>
      <w:r w:rsidRPr="00CC39AB">
        <w:rPr>
          <w:rFonts w:eastAsia="SimSun"/>
          <w:lang w:val="en-CA" w:eastAsia="zh-CN"/>
        </w:rPr>
        <w:t>)</w:t>
      </w:r>
    </w:p>
    <w:p w14:paraId="6BB0B72A" w14:textId="77777777" w:rsidR="009F2AB8" w:rsidRPr="00CC39AB" w:rsidRDefault="009F2AB8" w:rsidP="009F2AB8">
      <w:pPr>
        <w:pStyle w:val="ListParagraph"/>
        <w:numPr>
          <w:ilvl w:val="0"/>
          <w:numId w:val="31"/>
        </w:numPr>
        <w:contextualSpacing w:val="0"/>
        <w:rPr>
          <w:rFonts w:eastAsia="SimSun"/>
          <w:lang w:val="en-CA" w:eastAsia="zh-CN"/>
        </w:rPr>
      </w:pPr>
      <w:r w:rsidRPr="00CC39AB">
        <w:rPr>
          <w:rFonts w:eastAsia="SimSun"/>
          <w:lang w:val="en-CA" w:eastAsia="zh-CN"/>
        </w:rPr>
        <w:t>Independent working;</w:t>
      </w:r>
    </w:p>
    <w:p w14:paraId="756FC209" w14:textId="77777777" w:rsidR="009F2AB8" w:rsidRPr="00CC39AB" w:rsidRDefault="009F2AB8" w:rsidP="009F2AB8">
      <w:pPr>
        <w:pStyle w:val="ListParagraph"/>
        <w:numPr>
          <w:ilvl w:val="0"/>
          <w:numId w:val="31"/>
        </w:numPr>
        <w:contextualSpacing w:val="0"/>
        <w:rPr>
          <w:rFonts w:eastAsia="SimSun"/>
          <w:lang w:val="en-CA" w:eastAsia="zh-CN"/>
        </w:rPr>
      </w:pPr>
      <w:r w:rsidRPr="00CC39AB">
        <w:rPr>
          <w:rFonts w:eastAsia="SimSun"/>
          <w:lang w:val="en-CA" w:eastAsia="zh-CN"/>
        </w:rPr>
        <w:t>Robotics (UAVs and UGVs);</w:t>
      </w:r>
    </w:p>
    <w:p w14:paraId="5B73D62B" w14:textId="77777777" w:rsidR="009F2AB8" w:rsidRPr="00CC39AB" w:rsidRDefault="009F2AB8" w:rsidP="009F2AB8">
      <w:pPr>
        <w:pStyle w:val="ListParagraph"/>
        <w:numPr>
          <w:ilvl w:val="0"/>
          <w:numId w:val="31"/>
        </w:numPr>
        <w:contextualSpacing w:val="0"/>
        <w:rPr>
          <w:lang w:val="en-CA" w:eastAsia="zh-CN"/>
        </w:rPr>
      </w:pPr>
      <w:r w:rsidRPr="00CC39AB">
        <w:rPr>
          <w:rFonts w:eastAsia="SimSun"/>
          <w:lang w:val="en-CA" w:eastAsia="zh-CN"/>
        </w:rPr>
        <w:t>Information and cyber security.</w:t>
      </w:r>
    </w:p>
    <w:p w14:paraId="05EC160D" w14:textId="40EC22D1" w:rsidR="009F2AB8" w:rsidRPr="00CC39AB" w:rsidRDefault="009F2AB8" w:rsidP="009F2AB8">
      <w:pPr>
        <w:pStyle w:val="ListParagraph"/>
        <w:numPr>
          <w:ilvl w:val="0"/>
          <w:numId w:val="27"/>
        </w:numPr>
        <w:contextualSpacing w:val="0"/>
        <w:rPr>
          <w:lang w:val="en-CA"/>
        </w:rPr>
      </w:pPr>
      <w:r w:rsidRPr="00CC39AB">
        <w:rPr>
          <w:lang w:val="en-CA" w:eastAsia="zh-CN"/>
        </w:rPr>
        <w:t xml:space="preserve">Study architectures, interfaces, protocols, data formats, interoperability, performance evaluation and more for AI and IoT in </w:t>
      </w:r>
      <w:r w:rsidR="001F57F9" w:rsidRPr="00CC39AB">
        <w:rPr>
          <w:lang w:val="en-CA" w:eastAsia="zh-CN"/>
        </w:rPr>
        <w:t>a</w:t>
      </w:r>
      <w:r w:rsidRPr="00CC39AB">
        <w:rPr>
          <w:lang w:val="en-CA" w:eastAsia="zh-CN"/>
        </w:rPr>
        <w:t>griculture to develop mature and commercially valuable solutions;</w:t>
      </w:r>
    </w:p>
    <w:p w14:paraId="4D16AFD0" w14:textId="77777777" w:rsidR="009F2AB8" w:rsidRPr="00CC39AB" w:rsidRDefault="009F2AB8" w:rsidP="009F2AB8">
      <w:pPr>
        <w:pStyle w:val="ListParagraph"/>
        <w:numPr>
          <w:ilvl w:val="0"/>
          <w:numId w:val="27"/>
        </w:numPr>
        <w:contextualSpacing w:val="0"/>
        <w:rPr>
          <w:lang w:val="en-CA"/>
        </w:rPr>
      </w:pPr>
      <w:r w:rsidRPr="00CC39AB">
        <w:rPr>
          <w:lang w:val="en-CA"/>
        </w:rPr>
        <w:t xml:space="preserve">Produce a gap analysis of standardization in the fields of </w:t>
      </w:r>
      <w:r w:rsidRPr="00CC39AB">
        <w:rPr>
          <w:lang w:val="en-CA" w:eastAsia="zh-CN"/>
        </w:rPr>
        <w:t>AI and IoT in agriculture;</w:t>
      </w:r>
    </w:p>
    <w:p w14:paraId="7A639627" w14:textId="77777777" w:rsidR="009F2AB8" w:rsidRPr="00CC39AB" w:rsidRDefault="009F2AB8" w:rsidP="009F2AB8">
      <w:pPr>
        <w:pStyle w:val="ListParagraph"/>
        <w:numPr>
          <w:ilvl w:val="0"/>
          <w:numId w:val="27"/>
        </w:numPr>
        <w:contextualSpacing w:val="0"/>
        <w:rPr>
          <w:lang w:val="en-CA"/>
        </w:rPr>
      </w:pPr>
      <w:r w:rsidRPr="00CC39AB">
        <w:rPr>
          <w:lang w:val="en-CA"/>
        </w:rPr>
        <w:t xml:space="preserve">Identify current best practices in the overall field of </w:t>
      </w:r>
      <w:r w:rsidRPr="00CC39AB">
        <w:rPr>
          <w:lang w:val="en-CA" w:eastAsia="zh-CN"/>
        </w:rPr>
        <w:t xml:space="preserve">AI and IoT in agriculture </w:t>
      </w:r>
      <w:r w:rsidRPr="00CC39AB">
        <w:rPr>
          <w:lang w:val="en-CA"/>
        </w:rPr>
        <w:t>and build on these through study, research and expert consultation;</w:t>
      </w:r>
    </w:p>
    <w:p w14:paraId="59843CF8" w14:textId="77777777" w:rsidR="009F2AB8" w:rsidRPr="00CC39AB" w:rsidRDefault="009F2AB8" w:rsidP="009F2AB8">
      <w:pPr>
        <w:pStyle w:val="ListParagraph"/>
        <w:numPr>
          <w:ilvl w:val="0"/>
          <w:numId w:val="27"/>
        </w:numPr>
        <w:contextualSpacing w:val="0"/>
        <w:rPr>
          <w:lang w:val="en-CA"/>
        </w:rPr>
      </w:pPr>
      <w:r w:rsidRPr="00CC39AB">
        <w:rPr>
          <w:lang w:val="en-CA"/>
        </w:rPr>
        <w:t>Establish liaisons and relationships with other organisations</w:t>
      </w:r>
      <w:r w:rsidRPr="00CC39AB">
        <w:rPr>
          <w:lang w:val="en-CA" w:eastAsia="zh-CN"/>
        </w:rPr>
        <w:t xml:space="preserve"> and projects </w:t>
      </w:r>
      <w:r w:rsidRPr="00CC39AB">
        <w:rPr>
          <w:lang w:val="en-CA"/>
        </w:rPr>
        <w:t>which could contribute to the standardi</w:t>
      </w:r>
      <w:r w:rsidRPr="00CC39AB">
        <w:rPr>
          <w:lang w:val="en-CA" w:eastAsia="zh-CN"/>
        </w:rPr>
        <w:t>z</w:t>
      </w:r>
      <w:r w:rsidRPr="00CC39AB">
        <w:rPr>
          <w:lang w:val="en-CA"/>
        </w:rPr>
        <w:t>ation activities for</w:t>
      </w:r>
      <w:r w:rsidRPr="00CC39AB">
        <w:rPr>
          <w:lang w:val="en-CA" w:eastAsia="zh-CN"/>
        </w:rPr>
        <w:t xml:space="preserve"> AI and IoT in agriculture;</w:t>
      </w:r>
    </w:p>
    <w:p w14:paraId="4123D806" w14:textId="5AF8CA1B" w:rsidR="009F2AB8" w:rsidRPr="00CC39AB" w:rsidRDefault="009F2AB8" w:rsidP="009F2AB8">
      <w:pPr>
        <w:pStyle w:val="ListParagraph"/>
        <w:numPr>
          <w:ilvl w:val="0"/>
          <w:numId w:val="27"/>
        </w:numPr>
        <w:contextualSpacing w:val="0"/>
        <w:rPr>
          <w:lang w:val="en-CA"/>
        </w:rPr>
      </w:pPr>
      <w:r w:rsidRPr="00CC39AB">
        <w:rPr>
          <w:lang w:val="en-CA"/>
        </w:rPr>
        <w:t>Stimulate public engagement and international collaboration to</w:t>
      </w:r>
      <w:r w:rsidRPr="00CC39AB">
        <w:rPr>
          <w:rFonts w:eastAsia="SimSun"/>
          <w:lang w:val="en-CA" w:eastAsia="zh-CN"/>
        </w:rPr>
        <w:t xml:space="preserve"> put into practice the </w:t>
      </w:r>
      <w:r w:rsidRPr="00CC39AB">
        <w:rPr>
          <w:lang w:val="en-CA" w:eastAsia="zh-CN"/>
        </w:rPr>
        <w:t>standard system of AI and IoT in agriculture, to</w:t>
      </w:r>
      <w:r w:rsidRPr="00CC39AB">
        <w:rPr>
          <w:rFonts w:eastAsia="SimSun"/>
          <w:lang w:val="en-CA" w:eastAsia="zh-CN"/>
        </w:rPr>
        <w:t xml:space="preserve"> </w:t>
      </w:r>
      <w:r w:rsidRPr="00CC39AB">
        <w:rPr>
          <w:lang w:val="en-CA"/>
        </w:rPr>
        <w:t xml:space="preserve">help realize the potential for </w:t>
      </w:r>
      <w:r w:rsidRPr="00CC39AB">
        <w:rPr>
          <w:lang w:val="en-CA" w:eastAsia="zh-CN"/>
        </w:rPr>
        <w:t xml:space="preserve">AI and IoT in agriculture </w:t>
      </w:r>
      <w:r w:rsidRPr="00CC39AB">
        <w:rPr>
          <w:lang w:val="en-CA"/>
        </w:rPr>
        <w:t xml:space="preserve">to reduce </w:t>
      </w:r>
      <w:r w:rsidRPr="00CC39AB">
        <w:rPr>
          <w:lang w:val="en-CA" w:eastAsia="zh-CN"/>
        </w:rPr>
        <w:t>p</w:t>
      </w:r>
      <w:r w:rsidRPr="00CC39AB">
        <w:rPr>
          <w:lang w:val="en-CA"/>
        </w:rPr>
        <w:t xml:space="preserve">overty (SDG </w:t>
      </w:r>
      <w:r w:rsidRPr="00CC39AB">
        <w:rPr>
          <w:lang w:val="en-CA" w:eastAsia="zh-CN"/>
        </w:rPr>
        <w:t>1</w:t>
      </w:r>
      <w:r w:rsidRPr="00CC39AB">
        <w:rPr>
          <w:lang w:val="en-CA"/>
        </w:rPr>
        <w:t>)</w:t>
      </w:r>
      <w:r w:rsidRPr="00CC39AB">
        <w:rPr>
          <w:lang w:val="en-CA" w:eastAsia="zh-CN"/>
        </w:rPr>
        <w:t xml:space="preserve"> and hunger (SDG 2)</w:t>
      </w:r>
      <w:r w:rsidRPr="00CC39AB">
        <w:rPr>
          <w:lang w:val="en-CA"/>
        </w:rPr>
        <w:t xml:space="preserve"> whilst also encouraging decent work and economic growth (SGD 8), industry, innovation and infrastructure (SDG </w:t>
      </w:r>
      <w:r w:rsidRPr="00CC39AB">
        <w:rPr>
          <w:lang w:val="en-CA" w:eastAsia="zh-CN"/>
        </w:rPr>
        <w:t>9</w:t>
      </w:r>
      <w:r w:rsidRPr="00CC39AB">
        <w:rPr>
          <w:lang w:val="en-CA"/>
        </w:rPr>
        <w:t>), and sustainable consumption and production (SGD 12)</w:t>
      </w:r>
      <w:r w:rsidR="00680DA2" w:rsidRPr="00CC39AB">
        <w:rPr>
          <w:lang w:val="en-CA"/>
        </w:rPr>
        <w:t>, combatting climate change (SDG13)</w:t>
      </w:r>
      <w:r w:rsidRPr="00CC39AB">
        <w:rPr>
          <w:lang w:val="en-CA"/>
        </w:rPr>
        <w:t xml:space="preserve"> for the benefit of life on land (SDG15).</w:t>
      </w:r>
    </w:p>
    <w:p w14:paraId="17234788" w14:textId="77777777" w:rsidR="009F2AB8" w:rsidRPr="00CC39AB" w:rsidRDefault="009F2AB8" w:rsidP="009F2AB8">
      <w:pPr>
        <w:rPr>
          <w:b/>
          <w:bCs/>
          <w:lang w:val="en-CA" w:eastAsia="zh-CN"/>
        </w:rPr>
      </w:pPr>
    </w:p>
    <w:p w14:paraId="3F7BEEB8" w14:textId="77777777" w:rsidR="009F2AB8" w:rsidRPr="00CC39AB" w:rsidRDefault="009F2AB8" w:rsidP="009F2AB8">
      <w:pPr>
        <w:rPr>
          <w:b/>
          <w:bCs/>
          <w:lang w:val="en-CA"/>
        </w:rPr>
      </w:pPr>
      <w:r w:rsidRPr="00CC39AB">
        <w:rPr>
          <w:b/>
          <w:bCs/>
          <w:lang w:val="en-CA"/>
        </w:rPr>
        <w:t>3.</w:t>
      </w:r>
      <w:r w:rsidRPr="00CC39AB">
        <w:rPr>
          <w:b/>
          <w:bCs/>
          <w:lang w:val="en-CA"/>
        </w:rPr>
        <w:tab/>
        <w:t>Specific Tasks and Deliverables</w:t>
      </w:r>
    </w:p>
    <w:p w14:paraId="1081D92C" w14:textId="6E2A8E30" w:rsidR="009F2AB8" w:rsidRPr="00CC39AB" w:rsidRDefault="006521FE" w:rsidP="009F2AB8">
      <w:pPr>
        <w:pStyle w:val="enumlev1"/>
        <w:numPr>
          <w:ilvl w:val="0"/>
          <w:numId w:val="28"/>
        </w:numPr>
        <w:rPr>
          <w:szCs w:val="24"/>
          <w:lang w:val="en-CA"/>
        </w:rPr>
      </w:pPr>
      <w:r w:rsidRPr="00CC39AB">
        <w:rPr>
          <w:szCs w:val="24"/>
          <w:lang w:val="en-CA" w:eastAsia="fr-FR"/>
        </w:rPr>
        <w:t xml:space="preserve">Developing </w:t>
      </w:r>
      <w:r w:rsidR="009F2AB8" w:rsidRPr="00CC39AB">
        <w:rPr>
          <w:szCs w:val="24"/>
          <w:lang w:val="en-CA" w:eastAsia="fr-FR"/>
        </w:rPr>
        <w:t xml:space="preserve">terminology and taxonomy for </w:t>
      </w:r>
      <w:r w:rsidR="009F2AB8" w:rsidRPr="00CC39AB">
        <w:rPr>
          <w:rFonts w:eastAsiaTheme="minorEastAsia"/>
          <w:szCs w:val="24"/>
          <w:lang w:val="en-CA" w:eastAsia="zh-CN"/>
        </w:rPr>
        <w:t xml:space="preserve">AI and IoT in agriculture, including </w:t>
      </w:r>
      <w:r w:rsidRPr="00CC39AB">
        <w:rPr>
          <w:rFonts w:eastAsiaTheme="minorEastAsia"/>
          <w:szCs w:val="24"/>
          <w:lang w:val="en-CA" w:eastAsia="zh-CN"/>
        </w:rPr>
        <w:t xml:space="preserve">the </w:t>
      </w:r>
      <w:r w:rsidR="009F2AB8" w:rsidRPr="00CC39AB">
        <w:rPr>
          <w:rFonts w:eastAsiaTheme="minorEastAsia"/>
          <w:szCs w:val="24"/>
          <w:lang w:val="en-CA" w:eastAsia="zh-CN"/>
        </w:rPr>
        <w:t>clarification on related terms and concepts</w:t>
      </w:r>
      <w:r w:rsidRPr="00CC39AB">
        <w:rPr>
          <w:rFonts w:eastAsiaTheme="minorEastAsia"/>
          <w:szCs w:val="24"/>
          <w:lang w:val="en-CA" w:eastAsia="zh-CN"/>
        </w:rPr>
        <w:t>, taking into consideration existing work</w:t>
      </w:r>
      <w:r w:rsidR="009F2AB8" w:rsidRPr="00CC39AB">
        <w:rPr>
          <w:szCs w:val="24"/>
          <w:lang w:val="en-CA" w:eastAsia="fr-FR"/>
        </w:rPr>
        <w:t>;</w:t>
      </w:r>
      <w:r w:rsidR="009F2AB8" w:rsidRPr="00CC39AB">
        <w:rPr>
          <w:szCs w:val="24"/>
          <w:lang w:val="en-CA" w:eastAsia="fr-FR"/>
        </w:rPr>
        <w:br/>
      </w:r>
    </w:p>
    <w:p w14:paraId="607515AB" w14:textId="4AF2A7EB" w:rsidR="009F2AB8" w:rsidRPr="00CC39AB" w:rsidRDefault="009F2AB8" w:rsidP="009F2AB8">
      <w:pPr>
        <w:pStyle w:val="ListParagraph"/>
        <w:numPr>
          <w:ilvl w:val="0"/>
          <w:numId w:val="28"/>
        </w:numPr>
        <w:spacing w:before="0" w:after="160" w:line="259" w:lineRule="auto"/>
        <w:contextualSpacing w:val="0"/>
        <w:rPr>
          <w:lang w:val="en-CA"/>
        </w:rPr>
      </w:pPr>
      <w:r w:rsidRPr="00CC39AB">
        <w:rPr>
          <w:lang w:val="en-CA" w:eastAsia="fr-FR"/>
        </w:rPr>
        <w:t>Gathering information on initiatives</w:t>
      </w:r>
      <w:r w:rsidR="006521FE" w:rsidRPr="00CC39AB">
        <w:rPr>
          <w:lang w:val="en-CA" w:eastAsia="fr-FR"/>
        </w:rPr>
        <w:t>, projects</w:t>
      </w:r>
      <w:r w:rsidR="009563D6" w:rsidRPr="00CC39AB">
        <w:rPr>
          <w:lang w:val="en-CA" w:eastAsia="fr-FR"/>
        </w:rPr>
        <w:t>, and use-cases</w:t>
      </w:r>
      <w:r w:rsidRPr="00CC39AB">
        <w:rPr>
          <w:lang w:val="en-CA" w:eastAsia="fr-FR"/>
        </w:rPr>
        <w:t xml:space="preserve"> pertaining to </w:t>
      </w:r>
      <w:r w:rsidRPr="00CC39AB">
        <w:rPr>
          <w:lang w:val="en-CA" w:eastAsia="zh-CN"/>
        </w:rPr>
        <w:t xml:space="preserve">AI and IoT in agriculture, </w:t>
      </w:r>
      <w:r w:rsidRPr="00CC39AB">
        <w:rPr>
          <w:lang w:val="en-CA" w:eastAsia="fr-FR"/>
        </w:rPr>
        <w:t>to identify existing standards,</w:t>
      </w:r>
      <w:r w:rsidR="009563D6" w:rsidRPr="00CC39AB">
        <w:rPr>
          <w:lang w:val="en-CA" w:eastAsia="fr-FR"/>
        </w:rPr>
        <w:t xml:space="preserve"> </w:t>
      </w:r>
      <w:r w:rsidRPr="00CC39AB">
        <w:rPr>
          <w:lang w:val="en-CA" w:eastAsia="fr-FR"/>
        </w:rPr>
        <w:t>best practices</w:t>
      </w:r>
      <w:r w:rsidR="009563D6" w:rsidRPr="00CC39AB">
        <w:rPr>
          <w:lang w:val="en-CA" w:eastAsia="fr-FR"/>
        </w:rPr>
        <w:t>/findings</w:t>
      </w:r>
      <w:r w:rsidRPr="00CC39AB">
        <w:rPr>
          <w:lang w:val="en-CA" w:eastAsia="fr-FR"/>
        </w:rPr>
        <w:t xml:space="preserve"> a</w:t>
      </w:r>
      <w:r w:rsidR="009563D6" w:rsidRPr="00CC39AB">
        <w:rPr>
          <w:lang w:val="en-CA" w:eastAsia="fr-FR"/>
        </w:rPr>
        <w:t>s well as</w:t>
      </w:r>
      <w:r w:rsidRPr="00CC39AB">
        <w:rPr>
          <w:lang w:val="en-CA" w:eastAsia="fr-FR"/>
        </w:rPr>
        <w:t xml:space="preserve"> challenges for the adoption</w:t>
      </w:r>
      <w:r w:rsidR="006521FE" w:rsidRPr="00CC39AB">
        <w:rPr>
          <w:lang w:val="en-CA" w:eastAsia="fr-FR"/>
        </w:rPr>
        <w:t xml:space="preserve"> of</w:t>
      </w:r>
      <w:r w:rsidRPr="00CC39AB">
        <w:rPr>
          <w:lang w:val="en-CA" w:eastAsia="fr-FR"/>
        </w:rPr>
        <w:t xml:space="preserve"> </w:t>
      </w:r>
      <w:r w:rsidRPr="00CC39AB">
        <w:rPr>
          <w:lang w:val="en-CA" w:eastAsia="zh-CN"/>
        </w:rPr>
        <w:t>AI and IoT in agricultur</w:t>
      </w:r>
      <w:r w:rsidR="006521FE" w:rsidRPr="00CC39AB">
        <w:rPr>
          <w:lang w:val="en-CA" w:eastAsia="zh-CN"/>
        </w:rPr>
        <w:t>al production processes</w:t>
      </w:r>
      <w:r w:rsidRPr="00CC39AB">
        <w:rPr>
          <w:lang w:val="en-CA" w:eastAsia="fr-FR"/>
        </w:rPr>
        <w:t>;</w:t>
      </w:r>
    </w:p>
    <w:p w14:paraId="09309745" w14:textId="238F702A" w:rsidR="009F2AB8" w:rsidRPr="00CC39AB" w:rsidRDefault="009F2AB8" w:rsidP="009F2AB8">
      <w:pPr>
        <w:pStyle w:val="enumlev1"/>
        <w:numPr>
          <w:ilvl w:val="0"/>
          <w:numId w:val="28"/>
        </w:numPr>
        <w:tabs>
          <w:tab w:val="clear" w:pos="1191"/>
        </w:tabs>
        <w:rPr>
          <w:szCs w:val="24"/>
          <w:lang w:val="en-CA"/>
        </w:rPr>
      </w:pPr>
      <w:r w:rsidRPr="00CC39AB">
        <w:rPr>
          <w:szCs w:val="24"/>
          <w:lang w:val="en-CA"/>
        </w:rPr>
        <w:t xml:space="preserve">Identifying areas where </w:t>
      </w:r>
      <w:r w:rsidRPr="00CC39AB">
        <w:rPr>
          <w:rFonts w:eastAsiaTheme="minorEastAsia"/>
          <w:szCs w:val="24"/>
          <w:lang w:val="en-CA" w:eastAsia="zh-CN"/>
        </w:rPr>
        <w:t xml:space="preserve">AI and IoT in agriculture </w:t>
      </w:r>
      <w:r w:rsidRPr="00CC39AB">
        <w:rPr>
          <w:szCs w:val="24"/>
          <w:lang w:val="en-CA"/>
        </w:rPr>
        <w:t>can support the furtherance of overall use of digital technologies in agricultur</w:t>
      </w:r>
      <w:r w:rsidR="009563D6" w:rsidRPr="00CC39AB">
        <w:rPr>
          <w:szCs w:val="24"/>
          <w:lang w:val="en-CA"/>
        </w:rPr>
        <w:t>al production processes</w:t>
      </w:r>
      <w:r w:rsidRPr="00CC39AB">
        <w:rPr>
          <w:szCs w:val="24"/>
          <w:lang w:val="en-CA"/>
        </w:rPr>
        <w:t>;</w:t>
      </w:r>
    </w:p>
    <w:p w14:paraId="2827F0B5" w14:textId="0A6B9546" w:rsidR="009F2AB8" w:rsidRPr="00CC39AB" w:rsidRDefault="009F2AB8" w:rsidP="009F2AB8">
      <w:pPr>
        <w:numPr>
          <w:ilvl w:val="0"/>
          <w:numId w:val="28"/>
        </w:numPr>
        <w:jc w:val="both"/>
        <w:rPr>
          <w:lang w:val="en-US"/>
        </w:rPr>
      </w:pPr>
      <w:r w:rsidRPr="00CC39AB">
        <w:rPr>
          <w:lang w:val="en-US"/>
        </w:rPr>
        <w:t xml:space="preserve">Drafting technical reports and specifications on using, AI </w:t>
      </w:r>
      <w:r w:rsidR="00E266AB" w:rsidRPr="00CC39AB">
        <w:rPr>
          <w:lang w:val="en-US"/>
        </w:rPr>
        <w:t>and</w:t>
      </w:r>
      <w:r w:rsidR="00E266AB" w:rsidRPr="00CC39AB" w:rsidDel="00E266AB">
        <w:rPr>
          <w:lang w:val="en-US"/>
        </w:rPr>
        <w:t xml:space="preserve"> </w:t>
      </w:r>
      <w:r w:rsidR="00E266AB" w:rsidRPr="00CC39AB">
        <w:rPr>
          <w:lang w:val="en-US"/>
        </w:rPr>
        <w:t>IoT</w:t>
      </w:r>
      <w:r w:rsidR="00E266AB" w:rsidRPr="00CC39AB" w:rsidDel="00E266AB">
        <w:rPr>
          <w:lang w:val="en-US"/>
        </w:rPr>
        <w:t xml:space="preserve"> </w:t>
      </w:r>
      <w:r w:rsidRPr="00CC39AB">
        <w:rPr>
          <w:lang w:val="en-US"/>
        </w:rPr>
        <w:t xml:space="preserve">to support </w:t>
      </w:r>
      <w:r w:rsidRPr="00CC39AB">
        <w:rPr>
          <w:bCs/>
          <w:lang w:val="en-US"/>
        </w:rPr>
        <w:t>data acquisition</w:t>
      </w:r>
      <w:r w:rsidRPr="00CC39AB">
        <w:rPr>
          <w:lang w:val="en-US"/>
        </w:rPr>
        <w:t xml:space="preserve">, </w:t>
      </w:r>
      <w:r w:rsidR="00E266AB" w:rsidRPr="00CC39AB">
        <w:rPr>
          <w:lang w:val="en-US"/>
        </w:rPr>
        <w:t xml:space="preserve">data </w:t>
      </w:r>
      <w:r w:rsidRPr="00CC39AB">
        <w:rPr>
          <w:lang w:val="en-US"/>
        </w:rPr>
        <w:t>handling,</w:t>
      </w:r>
      <w:r w:rsidR="0069369E" w:rsidRPr="00CC39AB">
        <w:rPr>
          <w:lang w:val="en-US"/>
        </w:rPr>
        <w:t xml:space="preserve"> data modelling,</w:t>
      </w:r>
      <w:r w:rsidRPr="00CC39AB">
        <w:rPr>
          <w:lang w:val="en-US"/>
        </w:rPr>
        <w:t xml:space="preserve"> and </w:t>
      </w:r>
      <w:r w:rsidR="00E266AB" w:rsidRPr="00CC39AB">
        <w:rPr>
          <w:lang w:val="en-US"/>
        </w:rPr>
        <w:t xml:space="preserve">data </w:t>
      </w:r>
      <w:r w:rsidRPr="00CC39AB">
        <w:rPr>
          <w:lang w:val="en-US"/>
        </w:rPr>
        <w:t>use, including real-time data monitoring and remote sensing, based on input from the use cases (e.g., digital twins of agricultural processes</w:t>
      </w:r>
      <w:r w:rsidR="00E266AB" w:rsidRPr="00CC39AB">
        <w:rPr>
          <w:lang w:val="en-US"/>
        </w:rPr>
        <w:t xml:space="preserve">, </w:t>
      </w:r>
      <w:r w:rsidR="0069369E" w:rsidRPr="00CC39AB">
        <w:t>data handling, data modelling</w:t>
      </w:r>
      <w:r w:rsidR="00E266AB" w:rsidRPr="00CC39AB">
        <w:rPr>
          <w:lang w:val="en-US"/>
        </w:rPr>
        <w:t>, etc</w:t>
      </w:r>
      <w:r w:rsidR="00E03BEC">
        <w:rPr>
          <w:lang w:val="en-US"/>
        </w:rPr>
        <w:t>.</w:t>
      </w:r>
      <w:r w:rsidRPr="00CC39AB">
        <w:rPr>
          <w:lang w:val="en-US"/>
        </w:rPr>
        <w:t>).</w:t>
      </w:r>
    </w:p>
    <w:p w14:paraId="1F4A23E7" w14:textId="0885BD4C" w:rsidR="009F2AB8" w:rsidRPr="00CC39AB" w:rsidRDefault="009F2AB8" w:rsidP="009F2AB8">
      <w:pPr>
        <w:pStyle w:val="ListParagraph"/>
        <w:numPr>
          <w:ilvl w:val="0"/>
          <w:numId w:val="28"/>
        </w:numPr>
        <w:spacing w:after="160"/>
        <w:ind w:left="714" w:hanging="357"/>
        <w:contextualSpacing w:val="0"/>
        <w:rPr>
          <w:lang w:val="en-CA"/>
        </w:rPr>
      </w:pPr>
      <w:r w:rsidRPr="00CC39AB">
        <w:rPr>
          <w:lang w:val="en-CA"/>
        </w:rPr>
        <w:t>Analyzing</w:t>
      </w:r>
      <w:r w:rsidR="0069369E" w:rsidRPr="00CC39AB">
        <w:rPr>
          <w:lang w:val="en-CA"/>
        </w:rPr>
        <w:t xml:space="preserve"> and identify</w:t>
      </w:r>
      <w:r w:rsidRPr="00CC39AB">
        <w:rPr>
          <w:lang w:val="en-CA"/>
        </w:rPr>
        <w:t xml:space="preserve"> the standardization gaps related to </w:t>
      </w:r>
      <w:r w:rsidRPr="00CC39AB">
        <w:rPr>
          <w:lang w:val="en-CA" w:eastAsia="zh-CN"/>
        </w:rPr>
        <w:t xml:space="preserve">AI and IoT in agriculture </w:t>
      </w:r>
      <w:r w:rsidRPr="00CC39AB">
        <w:rPr>
          <w:lang w:val="en-CA"/>
        </w:rPr>
        <w:t xml:space="preserve">and develop a future standardization roadmap, taking into consideration the activities currently </w:t>
      </w:r>
      <w:r w:rsidRPr="00CC39AB">
        <w:rPr>
          <w:lang w:val="en-CA"/>
        </w:rPr>
        <w:lastRenderedPageBreak/>
        <w:t>undertaken by other ITU groups, various standards developing organizations (SDOs) and forums;</w:t>
      </w:r>
    </w:p>
    <w:p w14:paraId="7A5007B7" w14:textId="27EF3D14" w:rsidR="009F2AB8" w:rsidRPr="00CC39AB" w:rsidRDefault="009F2AB8" w:rsidP="009F2AB8">
      <w:pPr>
        <w:numPr>
          <w:ilvl w:val="0"/>
          <w:numId w:val="28"/>
        </w:numPr>
        <w:jc w:val="both"/>
        <w:rPr>
          <w:lang w:val="en-US"/>
        </w:rPr>
      </w:pPr>
      <w:r w:rsidRPr="00CC39AB">
        <w:rPr>
          <w:lang w:val="en-US"/>
        </w:rPr>
        <w:t>Holding workshops</w:t>
      </w:r>
      <w:r w:rsidR="00F1407E" w:rsidRPr="00CC39AB">
        <w:rPr>
          <w:lang w:val="en-US"/>
        </w:rPr>
        <w:t>/webinars</w:t>
      </w:r>
      <w:r w:rsidRPr="00CC39AB">
        <w:rPr>
          <w:lang w:val="en-US"/>
        </w:rPr>
        <w:t xml:space="preserve"> that bring together stakeholders and experts, highlight ground-breaking activities in the area of AI,</w:t>
      </w:r>
      <w:r w:rsidR="0069369E" w:rsidRPr="00CC39AB">
        <w:rPr>
          <w:lang w:val="en-US"/>
        </w:rPr>
        <w:t xml:space="preserve"> IoT</w:t>
      </w:r>
      <w:r w:rsidRPr="00CC39AB">
        <w:rPr>
          <w:lang w:val="en-US"/>
        </w:rPr>
        <w:t>—and standardization—for agricultur</w:t>
      </w:r>
      <w:r w:rsidR="0069369E" w:rsidRPr="00CC39AB">
        <w:rPr>
          <w:lang w:val="en-US"/>
        </w:rPr>
        <w:t>al production processes</w:t>
      </w:r>
      <w:r w:rsidRPr="00CC39AB">
        <w:rPr>
          <w:lang w:val="en-US"/>
        </w:rPr>
        <w:t xml:space="preserve">, and facilitate recruitment of new Focus Group members. In addition, evaluating proposals of new use cases for inclusion in the subgroups. </w:t>
      </w:r>
    </w:p>
    <w:p w14:paraId="6B44FD86" w14:textId="2006EC61" w:rsidR="009F2AB8" w:rsidRPr="00CC39AB" w:rsidRDefault="009F2AB8" w:rsidP="009F2AB8">
      <w:pPr>
        <w:numPr>
          <w:ilvl w:val="0"/>
          <w:numId w:val="28"/>
        </w:numPr>
        <w:ind w:left="714" w:hanging="357"/>
        <w:jc w:val="both"/>
        <w:rPr>
          <w:lang w:val="en-US"/>
        </w:rPr>
      </w:pPr>
      <w:r w:rsidRPr="00CC39AB">
        <w:rPr>
          <w:lang w:val="en-US"/>
        </w:rPr>
        <w:t xml:space="preserve">Developing educational materials (e.g., online courses and pamphlets) in conjunction </w:t>
      </w:r>
      <w:r w:rsidR="0069369E" w:rsidRPr="00CC39AB">
        <w:rPr>
          <w:lang w:val="en-US"/>
        </w:rPr>
        <w:t xml:space="preserve">with </w:t>
      </w:r>
      <w:r w:rsidRPr="00CC39AB">
        <w:rPr>
          <w:lang w:val="en-US"/>
        </w:rPr>
        <w:t>other partners, which make the progress of the Focus Group accessible to all stakeholders and experts, in particular, those in developing countries.</w:t>
      </w:r>
    </w:p>
    <w:p w14:paraId="49DF5BB1" w14:textId="2AB7B604" w:rsidR="009F2AB8" w:rsidRPr="00CC39AB" w:rsidRDefault="009F2AB8" w:rsidP="009F2AB8">
      <w:pPr>
        <w:spacing w:after="160" w:line="259" w:lineRule="auto"/>
        <w:rPr>
          <w:lang w:val="en-CA" w:eastAsia="zh-CN"/>
        </w:rPr>
      </w:pPr>
    </w:p>
    <w:p w14:paraId="18CD8399" w14:textId="77777777" w:rsidR="009F2AB8" w:rsidRPr="00CC39AB" w:rsidRDefault="009F2AB8" w:rsidP="009F2AB8">
      <w:pPr>
        <w:rPr>
          <w:b/>
          <w:bCs/>
          <w:lang w:val="en-CA"/>
        </w:rPr>
      </w:pPr>
      <w:r w:rsidRPr="00CC39AB">
        <w:rPr>
          <w:b/>
          <w:bCs/>
          <w:lang w:val="en-CA"/>
        </w:rPr>
        <w:t>4.</w:t>
      </w:r>
      <w:r w:rsidRPr="00CC39AB">
        <w:rPr>
          <w:b/>
          <w:bCs/>
          <w:lang w:val="en-CA"/>
        </w:rPr>
        <w:tab/>
        <w:t>Relationships</w:t>
      </w:r>
    </w:p>
    <w:p w14:paraId="1F3E4672" w14:textId="787C2C07" w:rsidR="009F2AB8" w:rsidRPr="00CC39AB" w:rsidRDefault="0049528E" w:rsidP="009F2AB8">
      <w:pPr>
        <w:rPr>
          <w:lang w:val="en-CA"/>
        </w:rPr>
      </w:pPr>
      <w:r w:rsidRPr="00CC39AB">
        <w:rPr>
          <w:lang w:val="en-CA"/>
        </w:rPr>
        <w:t>This Focus Group will collaborate with relevant entities, in accordance with Recommendation ITU-T A.7. These entities include the following: UN bodies, non-governmental organizations (NGOs), municipalities, policy makers, SDOs, industry forums and consortia, companies, academic institutions, research institutions and other relevant organizations.</w:t>
      </w:r>
    </w:p>
    <w:p w14:paraId="3321504B" w14:textId="0BBC15CF" w:rsidR="009F2AB8" w:rsidRPr="00CC39AB" w:rsidRDefault="009F2AB8" w:rsidP="009F2AB8">
      <w:pPr>
        <w:rPr>
          <w:lang w:val="en-CA" w:eastAsia="zh-CN"/>
        </w:rPr>
      </w:pPr>
      <w:r w:rsidRPr="00CC39AB">
        <w:rPr>
          <w:lang w:val="en-CA"/>
        </w:rPr>
        <w:t xml:space="preserve">The proposed Focus Group on </w:t>
      </w:r>
      <w:r w:rsidRPr="00CC39AB">
        <w:rPr>
          <w:lang w:val="en-CA" w:eastAsia="zh-CN"/>
        </w:rPr>
        <w:t xml:space="preserve">AI and IoT for Digital Agriculture </w:t>
      </w:r>
      <w:r w:rsidRPr="00CC39AB">
        <w:rPr>
          <w:lang w:val="en-CA"/>
        </w:rPr>
        <w:t>will collaborate with</w:t>
      </w:r>
      <w:r w:rsidR="00F1407E" w:rsidRPr="00CC39AB">
        <w:rPr>
          <w:lang w:val="en-CA"/>
        </w:rPr>
        <w:t xml:space="preserve"> ITU study groups</w:t>
      </w:r>
      <w:r w:rsidRPr="00CC39AB">
        <w:rPr>
          <w:lang w:val="en-CA"/>
        </w:rPr>
        <w:t>,</w:t>
      </w:r>
    </w:p>
    <w:p w14:paraId="589F63F6" w14:textId="4EB20513" w:rsidR="00B84966" w:rsidRPr="00CC39AB" w:rsidRDefault="00B84966" w:rsidP="00B84966">
      <w:pPr>
        <w:pStyle w:val="ListParagraph"/>
        <w:numPr>
          <w:ilvl w:val="0"/>
          <w:numId w:val="29"/>
        </w:numPr>
        <w:contextualSpacing w:val="0"/>
        <w:rPr>
          <w:lang w:val="en-CA"/>
        </w:rPr>
      </w:pPr>
      <w:r w:rsidRPr="00CC39AB">
        <w:rPr>
          <w:lang w:val="en-CA"/>
        </w:rPr>
        <w:t>ITU-T SG5</w:t>
      </w:r>
      <w:r w:rsidR="0064235A" w:rsidRPr="00CC39AB">
        <w:rPr>
          <w:lang w:val="en-CA"/>
        </w:rPr>
        <w:t xml:space="preserve"> (WP2/5</w:t>
      </w:r>
      <w:r w:rsidRPr="00CC39AB">
        <w:rPr>
          <w:lang w:val="en-CA"/>
        </w:rPr>
        <w:t xml:space="preserve"> on Environment, </w:t>
      </w:r>
      <w:r w:rsidR="0064235A" w:rsidRPr="00CC39AB">
        <w:rPr>
          <w:lang w:val="en-CA"/>
        </w:rPr>
        <w:t xml:space="preserve">Energy Efficiency and the </w:t>
      </w:r>
      <w:r w:rsidRPr="00CC39AB">
        <w:rPr>
          <w:lang w:val="en-CA"/>
        </w:rPr>
        <w:t>Circular Economy</w:t>
      </w:r>
      <w:r w:rsidR="0064235A" w:rsidRPr="00CC39AB">
        <w:rPr>
          <w:lang w:val="en-CA"/>
        </w:rPr>
        <w:t>)</w:t>
      </w:r>
    </w:p>
    <w:p w14:paraId="20120EA9" w14:textId="77777777" w:rsidR="009F2AB8" w:rsidRPr="00CC39AB" w:rsidRDefault="009F2AB8" w:rsidP="009F2AB8">
      <w:pPr>
        <w:pStyle w:val="ListParagraph"/>
        <w:numPr>
          <w:ilvl w:val="0"/>
          <w:numId w:val="29"/>
        </w:numPr>
        <w:contextualSpacing w:val="0"/>
        <w:rPr>
          <w:lang w:val="en-CA"/>
        </w:rPr>
      </w:pPr>
      <w:r w:rsidRPr="00CC39AB">
        <w:rPr>
          <w:lang w:val="en-CA"/>
        </w:rPr>
        <w:t xml:space="preserve">ITU-T SG12 to leverage the P.1100-P.1199 series on communications involving vehicles </w:t>
      </w:r>
    </w:p>
    <w:p w14:paraId="5EC29C8F" w14:textId="77777777" w:rsidR="00B84966" w:rsidRPr="00CC39AB" w:rsidRDefault="00B84966" w:rsidP="009F2AB8">
      <w:pPr>
        <w:pStyle w:val="ListParagraph"/>
        <w:numPr>
          <w:ilvl w:val="0"/>
          <w:numId w:val="29"/>
        </w:numPr>
        <w:contextualSpacing w:val="0"/>
        <w:rPr>
          <w:lang w:val="en-CA"/>
        </w:rPr>
      </w:pPr>
      <w:r w:rsidRPr="00CC39AB">
        <w:rPr>
          <w:lang w:val="en-CA"/>
        </w:rPr>
        <w:t>ITU-T SG13 on Future networks (&amp; cloud)</w:t>
      </w:r>
    </w:p>
    <w:p w14:paraId="4257665C" w14:textId="436B290A" w:rsidR="00B84966" w:rsidRPr="00CC39AB" w:rsidRDefault="00B84966" w:rsidP="00F1407E">
      <w:pPr>
        <w:pStyle w:val="ListParagraph"/>
        <w:numPr>
          <w:ilvl w:val="0"/>
          <w:numId w:val="29"/>
        </w:numPr>
        <w:contextualSpacing w:val="0"/>
        <w:rPr>
          <w:lang w:val="en-CA"/>
        </w:rPr>
      </w:pPr>
      <w:r w:rsidRPr="00CC39AB">
        <w:rPr>
          <w:lang w:val="en-CA"/>
        </w:rPr>
        <w:t xml:space="preserve">ITU-T </w:t>
      </w:r>
      <w:r w:rsidR="00F1407E" w:rsidRPr="00CC39AB">
        <w:rPr>
          <w:lang w:val="en-CA"/>
        </w:rPr>
        <w:t>SG16 (</w:t>
      </w:r>
      <w:r w:rsidRPr="00CC39AB">
        <w:rPr>
          <w:lang w:val="en-CA"/>
        </w:rPr>
        <w:t>Q21/16 on multimedia framework, applications and services</w:t>
      </w:r>
      <w:r w:rsidR="00F1407E" w:rsidRPr="00CC39AB">
        <w:rPr>
          <w:lang w:val="en-CA"/>
        </w:rPr>
        <w:t xml:space="preserve"> and </w:t>
      </w:r>
      <w:r w:rsidRPr="00CC39AB">
        <w:rPr>
          <w:lang w:val="en-CA"/>
        </w:rPr>
        <w:t>Q27/16 on vehicle gateway platform for telecommunication and ITS services and applications</w:t>
      </w:r>
      <w:r w:rsidR="00F1407E" w:rsidRPr="00CC39AB">
        <w:rPr>
          <w:lang w:val="en-CA"/>
        </w:rPr>
        <w:t>)</w:t>
      </w:r>
      <w:r w:rsidRPr="00CC39AB">
        <w:rPr>
          <w:lang w:val="en-CA" w:eastAsia="zh-CN"/>
        </w:rPr>
        <w:t xml:space="preserve"> </w:t>
      </w:r>
    </w:p>
    <w:p w14:paraId="74003052" w14:textId="77777777" w:rsidR="00B84966" w:rsidRPr="00CC39AB" w:rsidRDefault="00B84966" w:rsidP="00B84966">
      <w:pPr>
        <w:pStyle w:val="ListParagraph"/>
        <w:numPr>
          <w:ilvl w:val="0"/>
          <w:numId w:val="29"/>
        </w:numPr>
        <w:contextualSpacing w:val="0"/>
        <w:rPr>
          <w:lang w:val="en-CA"/>
        </w:rPr>
      </w:pPr>
      <w:r w:rsidRPr="00CC39AB">
        <w:rPr>
          <w:lang w:val="en-CA"/>
        </w:rPr>
        <w:t>ITU-T SG17 on security</w:t>
      </w:r>
      <w:r w:rsidRPr="00CC39AB">
        <w:rPr>
          <w:lang w:val="en-CA" w:eastAsia="zh-CN"/>
        </w:rPr>
        <w:t xml:space="preserve"> </w:t>
      </w:r>
    </w:p>
    <w:p w14:paraId="44C3DA33" w14:textId="6FB1AA48" w:rsidR="00B84966" w:rsidRPr="00CC39AB" w:rsidRDefault="00B84966">
      <w:pPr>
        <w:pStyle w:val="ListParagraph"/>
        <w:numPr>
          <w:ilvl w:val="0"/>
          <w:numId w:val="29"/>
        </w:numPr>
        <w:contextualSpacing w:val="0"/>
        <w:rPr>
          <w:lang w:val="en-CA"/>
        </w:rPr>
      </w:pPr>
      <w:r w:rsidRPr="00CC39AB">
        <w:rPr>
          <w:lang w:val="en-CA" w:eastAsia="zh-CN"/>
        </w:rPr>
        <w:t xml:space="preserve">ITU-T SG20 </w:t>
      </w:r>
      <w:r w:rsidR="00F1407E" w:rsidRPr="00CC39AB">
        <w:rPr>
          <w:lang w:val="en-CA" w:eastAsia="zh-CN"/>
        </w:rPr>
        <w:t>(</w:t>
      </w:r>
      <w:r w:rsidRPr="00CC39AB">
        <w:rPr>
          <w:lang w:val="en-CA" w:eastAsia="zh-CN"/>
        </w:rPr>
        <w:t>ITU-T Q2/20 and 4/20 on IoT</w:t>
      </w:r>
      <w:r w:rsidR="00F33078" w:rsidRPr="00CC39AB">
        <w:rPr>
          <w:lang w:val="en-CA" w:eastAsia="zh-CN"/>
        </w:rPr>
        <w:t xml:space="preserve"> use cases,</w:t>
      </w:r>
      <w:r w:rsidRPr="00CC39AB">
        <w:rPr>
          <w:lang w:val="en-CA" w:eastAsia="zh-CN"/>
        </w:rPr>
        <w:t xml:space="preserve"> requirements and data aspects related to digital agriculture</w:t>
      </w:r>
      <w:r w:rsidR="00F1407E" w:rsidRPr="00CC39AB">
        <w:rPr>
          <w:lang w:val="en-CA" w:eastAsia="zh-CN"/>
        </w:rPr>
        <w:t>)</w:t>
      </w:r>
      <w:r w:rsidRPr="00CC39AB">
        <w:rPr>
          <w:lang w:val="en-CA" w:eastAsia="zh-CN"/>
        </w:rPr>
        <w:t xml:space="preserve"> </w:t>
      </w:r>
    </w:p>
    <w:p w14:paraId="1E5D354D" w14:textId="0DDE8BA6" w:rsidR="00525503" w:rsidRPr="00CC39AB" w:rsidRDefault="009F2AB8">
      <w:pPr>
        <w:pStyle w:val="ListParagraph"/>
        <w:numPr>
          <w:ilvl w:val="0"/>
          <w:numId w:val="29"/>
        </w:numPr>
        <w:contextualSpacing w:val="0"/>
        <w:rPr>
          <w:lang w:val="en-CA"/>
        </w:rPr>
      </w:pPr>
      <w:r w:rsidRPr="00CC39AB">
        <w:rPr>
          <w:lang w:val="en-CA"/>
        </w:rPr>
        <w:t xml:space="preserve">ITU-R SG4 </w:t>
      </w:r>
      <w:r w:rsidR="00F1407E" w:rsidRPr="00CC39AB">
        <w:rPr>
          <w:lang w:val="en-CA"/>
        </w:rPr>
        <w:t xml:space="preserve">on satellite services </w:t>
      </w:r>
      <w:r w:rsidRPr="00CC39AB">
        <w:rPr>
          <w:lang w:val="en-CA"/>
        </w:rPr>
        <w:t xml:space="preserve">and </w:t>
      </w:r>
      <w:r w:rsidR="00F1407E" w:rsidRPr="00CC39AB">
        <w:rPr>
          <w:lang w:val="en-CA"/>
        </w:rPr>
        <w:t xml:space="preserve">ITU-R </w:t>
      </w:r>
      <w:r w:rsidRPr="00CC39AB">
        <w:rPr>
          <w:lang w:val="en-CA"/>
        </w:rPr>
        <w:t>SG5 on connectivity for high precision navigation</w:t>
      </w:r>
    </w:p>
    <w:p w14:paraId="7F9C7FBF" w14:textId="3CA93BE2" w:rsidR="00680DA2" w:rsidRPr="00CC39AB" w:rsidRDefault="000079CA">
      <w:pPr>
        <w:pStyle w:val="ListParagraph"/>
        <w:numPr>
          <w:ilvl w:val="0"/>
          <w:numId w:val="29"/>
        </w:numPr>
        <w:contextualSpacing w:val="0"/>
        <w:rPr>
          <w:lang w:val="en-CA"/>
        </w:rPr>
      </w:pPr>
      <w:r w:rsidRPr="00CC39AB">
        <w:rPr>
          <w:lang w:val="en-CA"/>
        </w:rPr>
        <w:t>ITU-D SG1 and SG2</w:t>
      </w:r>
    </w:p>
    <w:p w14:paraId="298B209D" w14:textId="4AD13479" w:rsidR="00680DA2" w:rsidRPr="00CC39AB" w:rsidRDefault="00680DA2">
      <w:pPr>
        <w:pStyle w:val="ListParagraph"/>
        <w:numPr>
          <w:ilvl w:val="0"/>
          <w:numId w:val="29"/>
        </w:numPr>
        <w:contextualSpacing w:val="0"/>
        <w:rPr>
          <w:lang w:val="en-CA"/>
        </w:rPr>
      </w:pPr>
      <w:r w:rsidRPr="00CC39AB">
        <w:rPr>
          <w:lang w:val="en-CA"/>
        </w:rPr>
        <w:t>ITU-T Focus Group on Environmental Efficiency for Artificial Intelligence and other Emerging Technologies (FG-AI4EE)</w:t>
      </w:r>
    </w:p>
    <w:p w14:paraId="56D6EE55" w14:textId="34B493E1" w:rsidR="00DB25AC" w:rsidRPr="00CC39AB" w:rsidRDefault="00DB25AC">
      <w:pPr>
        <w:pStyle w:val="ListParagraph"/>
        <w:numPr>
          <w:ilvl w:val="0"/>
          <w:numId w:val="29"/>
        </w:numPr>
        <w:contextualSpacing w:val="0"/>
        <w:rPr>
          <w:lang w:val="en-CA"/>
        </w:rPr>
      </w:pPr>
      <w:r w:rsidRPr="00CC39AB">
        <w:rPr>
          <w:lang w:val="en-CA"/>
        </w:rPr>
        <w:t>ITU-T Focus Group on AI for Natural Disaster Management (FG-AI4NDM)​​</w:t>
      </w:r>
    </w:p>
    <w:p w14:paraId="2AA8573F" w14:textId="77777777" w:rsidR="009F2AB8" w:rsidRPr="00CC39AB" w:rsidRDefault="009F2AB8" w:rsidP="009F2AB8">
      <w:pPr>
        <w:rPr>
          <w:b/>
          <w:bCs/>
          <w:lang w:val="en-CA"/>
        </w:rPr>
      </w:pPr>
      <w:r w:rsidRPr="00CC39AB">
        <w:rPr>
          <w:b/>
          <w:bCs/>
          <w:lang w:val="en-CA"/>
        </w:rPr>
        <w:t>5.</w:t>
      </w:r>
      <w:r w:rsidRPr="00CC39AB">
        <w:rPr>
          <w:b/>
          <w:bCs/>
          <w:lang w:val="en-CA"/>
        </w:rPr>
        <w:tab/>
        <w:t>Structure</w:t>
      </w:r>
    </w:p>
    <w:p w14:paraId="1727CEA7" w14:textId="77777777" w:rsidR="009F2AB8" w:rsidRPr="00CC39AB" w:rsidRDefault="009F2AB8" w:rsidP="009F2AB8">
      <w:pPr>
        <w:rPr>
          <w:lang w:val="en-CA"/>
        </w:rPr>
      </w:pPr>
      <w:r w:rsidRPr="00CC39AB">
        <w:rPr>
          <w:lang w:val="en-CA"/>
        </w:rPr>
        <w:t>The proposed Focus Group may establish sub-groups if needed.</w:t>
      </w:r>
    </w:p>
    <w:p w14:paraId="6D2F8A12" w14:textId="77777777" w:rsidR="009F2AB8" w:rsidRPr="00CC39AB" w:rsidRDefault="009F2AB8" w:rsidP="009F2AB8">
      <w:pPr>
        <w:rPr>
          <w:lang w:val="en-CA"/>
        </w:rPr>
      </w:pPr>
    </w:p>
    <w:p w14:paraId="53D0D796" w14:textId="77777777" w:rsidR="009F2AB8" w:rsidRPr="00CC39AB" w:rsidRDefault="009F2AB8" w:rsidP="009F2AB8">
      <w:pPr>
        <w:rPr>
          <w:b/>
          <w:bCs/>
          <w:lang w:val="en-CA"/>
        </w:rPr>
      </w:pPr>
      <w:r w:rsidRPr="00CC39AB">
        <w:rPr>
          <w:b/>
          <w:bCs/>
          <w:lang w:val="en-CA"/>
        </w:rPr>
        <w:t>6.</w:t>
      </w:r>
      <w:r w:rsidRPr="00CC39AB">
        <w:rPr>
          <w:b/>
          <w:bCs/>
          <w:lang w:val="en-CA"/>
        </w:rPr>
        <w:tab/>
        <w:t xml:space="preserve">Parent group </w:t>
      </w:r>
    </w:p>
    <w:p w14:paraId="0DEB89DC" w14:textId="77777777" w:rsidR="009F2AB8" w:rsidRPr="00CC39AB" w:rsidRDefault="009F2AB8" w:rsidP="009F2AB8">
      <w:pPr>
        <w:pStyle w:val="NormalWeb"/>
        <w:spacing w:before="120" w:beforeAutospacing="0" w:after="0" w:afterAutospacing="0"/>
        <w:rPr>
          <w:rFonts w:eastAsiaTheme="minorEastAsia"/>
          <w:lang w:val="en-CA" w:eastAsia="zh-CN"/>
        </w:rPr>
      </w:pPr>
      <w:r w:rsidRPr="00CC39AB">
        <w:rPr>
          <w:lang w:val="en-CA"/>
        </w:rPr>
        <w:t xml:space="preserve">The parent group of the Focus Group is </w:t>
      </w:r>
      <w:r w:rsidRPr="00CC39AB">
        <w:rPr>
          <w:b/>
          <w:bCs/>
          <w:lang w:val="en-CA"/>
        </w:rPr>
        <w:t xml:space="preserve">ITU-T Study Group </w:t>
      </w:r>
      <w:r w:rsidRPr="00CC39AB">
        <w:rPr>
          <w:rFonts w:eastAsiaTheme="minorEastAsia"/>
          <w:b/>
          <w:bCs/>
          <w:lang w:val="en-CA" w:eastAsia="zh-CN"/>
        </w:rPr>
        <w:t>20</w:t>
      </w:r>
      <w:r w:rsidRPr="00CC39AB">
        <w:rPr>
          <w:rFonts w:eastAsiaTheme="minorEastAsia"/>
          <w:lang w:val="en-CA" w:eastAsia="zh-CN"/>
        </w:rPr>
        <w:t xml:space="preserve">: </w:t>
      </w:r>
      <w:r w:rsidRPr="00CC39AB">
        <w:rPr>
          <w:lang w:val="en-CA"/>
        </w:rPr>
        <w:t>Internet of things (IoT) and smart cities and communities (SC&amp;C)</w:t>
      </w:r>
      <w:r w:rsidRPr="00CC39AB">
        <w:rPr>
          <w:rFonts w:eastAsiaTheme="minorEastAsia"/>
          <w:lang w:val="en-CA" w:eastAsia="zh-CN"/>
        </w:rPr>
        <w:t>.</w:t>
      </w:r>
      <w:r w:rsidRPr="00CC39AB">
        <w:rPr>
          <w:lang w:val="en-CA"/>
        </w:rPr>
        <w:t xml:space="preserve"> </w:t>
      </w:r>
    </w:p>
    <w:p w14:paraId="201473C6" w14:textId="77777777" w:rsidR="009F2AB8" w:rsidRPr="00CC39AB" w:rsidRDefault="009F2AB8" w:rsidP="009F2AB8">
      <w:pPr>
        <w:rPr>
          <w:lang w:val="en-CA" w:eastAsia="zh-CN"/>
        </w:rPr>
      </w:pPr>
    </w:p>
    <w:p w14:paraId="4BAA24E8" w14:textId="77777777" w:rsidR="009F2AB8" w:rsidRPr="00CC39AB" w:rsidRDefault="009F2AB8" w:rsidP="009F2AB8">
      <w:pPr>
        <w:rPr>
          <w:b/>
          <w:bCs/>
          <w:lang w:val="en-CA"/>
        </w:rPr>
      </w:pPr>
      <w:r w:rsidRPr="00CC39AB">
        <w:rPr>
          <w:b/>
          <w:bCs/>
          <w:lang w:val="en-CA"/>
        </w:rPr>
        <w:t>7.</w:t>
      </w:r>
      <w:r w:rsidRPr="00CC39AB">
        <w:rPr>
          <w:b/>
          <w:bCs/>
          <w:lang w:val="en-CA"/>
        </w:rPr>
        <w:tab/>
        <w:t xml:space="preserve">Leadership </w:t>
      </w:r>
    </w:p>
    <w:p w14:paraId="5956B80A" w14:textId="77777777" w:rsidR="009F2AB8" w:rsidRPr="00CC39AB" w:rsidRDefault="009F2AB8" w:rsidP="009F2AB8">
      <w:pPr>
        <w:rPr>
          <w:lang w:val="en-CA"/>
        </w:rPr>
      </w:pPr>
      <w:r w:rsidRPr="00CC39AB">
        <w:rPr>
          <w:lang w:val="en-CA"/>
        </w:rPr>
        <w:lastRenderedPageBreak/>
        <w:t>See clause 2.3 of Recommendation ITU-T A.7.</w:t>
      </w:r>
    </w:p>
    <w:p w14:paraId="6EDF36B7" w14:textId="77777777" w:rsidR="009F2AB8" w:rsidRPr="00CC39AB" w:rsidRDefault="009F2AB8" w:rsidP="009F2AB8">
      <w:pPr>
        <w:rPr>
          <w:lang w:val="en-CA"/>
        </w:rPr>
      </w:pPr>
    </w:p>
    <w:p w14:paraId="0442F794" w14:textId="77777777" w:rsidR="009F2AB8" w:rsidRPr="00CC39AB" w:rsidRDefault="009F2AB8" w:rsidP="009F2AB8">
      <w:pPr>
        <w:rPr>
          <w:b/>
          <w:bCs/>
          <w:lang w:val="en-CA"/>
        </w:rPr>
      </w:pPr>
      <w:r w:rsidRPr="00CC39AB">
        <w:rPr>
          <w:b/>
          <w:bCs/>
          <w:lang w:val="en-CA"/>
        </w:rPr>
        <w:t>8.</w:t>
      </w:r>
      <w:r w:rsidRPr="00CC39AB">
        <w:rPr>
          <w:b/>
          <w:bCs/>
          <w:lang w:val="en-CA"/>
        </w:rPr>
        <w:tab/>
        <w:t xml:space="preserve">Participation </w:t>
      </w:r>
    </w:p>
    <w:p w14:paraId="1820AE3A" w14:textId="77777777" w:rsidR="009F2AB8" w:rsidRPr="00CC39AB" w:rsidRDefault="009F2AB8" w:rsidP="009F2AB8">
      <w:pPr>
        <w:rPr>
          <w:lang w:val="en-CA"/>
        </w:rPr>
      </w:pPr>
      <w:r w:rsidRPr="00CC39AB">
        <w:rPr>
          <w:lang w:val="en-CA"/>
        </w:rPr>
        <w:t>See clause 3 of Recommendation ITU-T A.7. A list of participants will be maintained for reference purposes and reported to the parent group. It is important to mention that the participation in this Focus Group has to be based on contributions and active participations.</w:t>
      </w:r>
    </w:p>
    <w:p w14:paraId="38C8A928" w14:textId="77777777" w:rsidR="009F2AB8" w:rsidRPr="00CC39AB" w:rsidRDefault="009F2AB8" w:rsidP="009F2AB8">
      <w:pPr>
        <w:rPr>
          <w:lang w:val="en-CA"/>
        </w:rPr>
      </w:pPr>
    </w:p>
    <w:p w14:paraId="050E4551" w14:textId="77777777" w:rsidR="009F2AB8" w:rsidRPr="00CC39AB" w:rsidRDefault="009F2AB8" w:rsidP="009F2AB8">
      <w:pPr>
        <w:rPr>
          <w:b/>
          <w:bCs/>
          <w:lang w:val="en-CA"/>
        </w:rPr>
      </w:pPr>
      <w:r w:rsidRPr="00CC39AB">
        <w:rPr>
          <w:b/>
          <w:bCs/>
          <w:lang w:val="en-CA"/>
        </w:rPr>
        <w:t>9.</w:t>
      </w:r>
      <w:r w:rsidRPr="00CC39AB">
        <w:rPr>
          <w:b/>
          <w:bCs/>
          <w:lang w:val="en-CA"/>
        </w:rPr>
        <w:tab/>
        <w:t xml:space="preserve">Administrative support </w:t>
      </w:r>
    </w:p>
    <w:p w14:paraId="0F85E97A" w14:textId="77777777" w:rsidR="009F2AB8" w:rsidRPr="00CC39AB" w:rsidRDefault="009F2AB8" w:rsidP="009F2AB8">
      <w:pPr>
        <w:rPr>
          <w:lang w:val="en-CA"/>
        </w:rPr>
      </w:pPr>
      <w:r w:rsidRPr="00CC39AB">
        <w:rPr>
          <w:lang w:val="en-CA"/>
        </w:rPr>
        <w:t xml:space="preserve">See clause 5 of Recommendation ITU-T A.7. </w:t>
      </w:r>
    </w:p>
    <w:p w14:paraId="1F5AB7E0" w14:textId="77777777" w:rsidR="009F2AB8" w:rsidRPr="00CC39AB" w:rsidRDefault="009F2AB8" w:rsidP="009F2AB8">
      <w:pPr>
        <w:rPr>
          <w:lang w:val="en-CA"/>
        </w:rPr>
      </w:pPr>
    </w:p>
    <w:p w14:paraId="764CDBF2" w14:textId="77777777" w:rsidR="009F2AB8" w:rsidRPr="00CC39AB" w:rsidRDefault="009F2AB8" w:rsidP="009F2AB8">
      <w:pPr>
        <w:rPr>
          <w:b/>
          <w:bCs/>
          <w:lang w:val="en-CA"/>
        </w:rPr>
      </w:pPr>
      <w:r w:rsidRPr="00CC39AB">
        <w:rPr>
          <w:b/>
          <w:bCs/>
          <w:lang w:val="en-CA"/>
        </w:rPr>
        <w:t xml:space="preserve">10. </w:t>
      </w:r>
      <w:r w:rsidRPr="00CC39AB">
        <w:rPr>
          <w:b/>
          <w:bCs/>
          <w:lang w:val="en-CA"/>
        </w:rPr>
        <w:tab/>
        <w:t xml:space="preserve">General financing </w:t>
      </w:r>
    </w:p>
    <w:p w14:paraId="7D9ECF5E" w14:textId="77777777" w:rsidR="009F2AB8" w:rsidRPr="00CC39AB" w:rsidRDefault="009F2AB8" w:rsidP="009F2AB8">
      <w:pPr>
        <w:rPr>
          <w:lang w:val="en-CA"/>
        </w:rPr>
      </w:pPr>
      <w:r w:rsidRPr="00CC39AB">
        <w:rPr>
          <w:lang w:val="en-CA"/>
        </w:rPr>
        <w:t>See clauses 4 and 10.2 of Recommendation ITU-T A.7.</w:t>
      </w:r>
    </w:p>
    <w:p w14:paraId="50863E1C" w14:textId="77777777" w:rsidR="009F2AB8" w:rsidRPr="00CC39AB" w:rsidRDefault="009F2AB8" w:rsidP="009F2AB8">
      <w:pPr>
        <w:rPr>
          <w:lang w:val="en-CA"/>
        </w:rPr>
      </w:pPr>
    </w:p>
    <w:p w14:paraId="4909A6D7" w14:textId="77777777" w:rsidR="009F2AB8" w:rsidRPr="00CC39AB" w:rsidRDefault="009F2AB8" w:rsidP="009F2AB8">
      <w:pPr>
        <w:rPr>
          <w:b/>
          <w:bCs/>
          <w:lang w:val="en-CA"/>
        </w:rPr>
      </w:pPr>
      <w:r w:rsidRPr="00CC39AB">
        <w:rPr>
          <w:b/>
          <w:bCs/>
          <w:lang w:val="en-CA"/>
        </w:rPr>
        <w:t xml:space="preserve">11. </w:t>
      </w:r>
      <w:r w:rsidRPr="00CC39AB">
        <w:rPr>
          <w:b/>
          <w:bCs/>
          <w:lang w:val="en-CA"/>
        </w:rPr>
        <w:tab/>
        <w:t xml:space="preserve">Meetings </w:t>
      </w:r>
    </w:p>
    <w:p w14:paraId="12526AD0" w14:textId="77777777" w:rsidR="009F2AB8" w:rsidRPr="00CC39AB" w:rsidRDefault="009F2AB8" w:rsidP="009F2AB8">
      <w:pPr>
        <w:rPr>
          <w:lang w:val="en-CA"/>
        </w:rPr>
      </w:pPr>
      <w:r w:rsidRPr="00CC39AB">
        <w:rPr>
          <w:lang w:val="en-CA"/>
        </w:rPr>
        <w:t xml:space="preserve">The Focus Group will conduct regular meetings. The frequency and locations of meetings will be determined by the Focus Group management. The overall meetings plan will be announced after the approval of the terms of reference. The Focus Group will use remote collaboration tools to the maximum extent. </w:t>
      </w:r>
    </w:p>
    <w:p w14:paraId="7ED865D5" w14:textId="77777777" w:rsidR="009F2AB8" w:rsidRPr="00CC39AB" w:rsidRDefault="009F2AB8" w:rsidP="009F2AB8">
      <w:pPr>
        <w:rPr>
          <w:lang w:val="en-CA"/>
        </w:rPr>
      </w:pPr>
      <w:r w:rsidRPr="00CC39AB">
        <w:rPr>
          <w:lang w:val="en-CA"/>
        </w:rPr>
        <w:t xml:space="preserve">The meeting dates will be announced by electronic means (e.g., e-mail and website, etc.) at least four weeks in advance. </w:t>
      </w:r>
    </w:p>
    <w:p w14:paraId="4EC78607" w14:textId="77777777" w:rsidR="009F2AB8" w:rsidRPr="00CC39AB" w:rsidRDefault="009F2AB8" w:rsidP="009F2AB8">
      <w:pPr>
        <w:rPr>
          <w:lang w:val="en-CA"/>
        </w:rPr>
      </w:pPr>
    </w:p>
    <w:p w14:paraId="576D98E0" w14:textId="77777777" w:rsidR="009F2AB8" w:rsidRPr="00CC39AB" w:rsidRDefault="009F2AB8" w:rsidP="009F2AB8">
      <w:pPr>
        <w:rPr>
          <w:b/>
          <w:bCs/>
          <w:lang w:val="en-CA"/>
        </w:rPr>
      </w:pPr>
      <w:r w:rsidRPr="00CC39AB">
        <w:rPr>
          <w:b/>
          <w:bCs/>
          <w:lang w:val="en-CA"/>
        </w:rPr>
        <w:t xml:space="preserve">12. </w:t>
      </w:r>
      <w:r w:rsidRPr="00CC39AB">
        <w:rPr>
          <w:b/>
          <w:bCs/>
          <w:lang w:val="en-CA"/>
        </w:rPr>
        <w:tab/>
        <w:t xml:space="preserve">Technical contributions </w:t>
      </w:r>
    </w:p>
    <w:p w14:paraId="228EBD84" w14:textId="77777777" w:rsidR="009F2AB8" w:rsidRPr="00CC39AB" w:rsidRDefault="009F2AB8" w:rsidP="009F2AB8">
      <w:pPr>
        <w:rPr>
          <w:lang w:val="en-CA"/>
        </w:rPr>
      </w:pPr>
      <w:r w:rsidRPr="00CC39AB">
        <w:rPr>
          <w:lang w:val="en-CA"/>
        </w:rPr>
        <w:t xml:space="preserve">See clause 8 of Recommendation ITU-T A.7. </w:t>
      </w:r>
    </w:p>
    <w:p w14:paraId="59093942" w14:textId="77777777" w:rsidR="009F2AB8" w:rsidRPr="00CC39AB" w:rsidRDefault="009F2AB8" w:rsidP="009F2AB8">
      <w:pPr>
        <w:rPr>
          <w:lang w:val="en-CA"/>
        </w:rPr>
      </w:pPr>
    </w:p>
    <w:p w14:paraId="51E67DAE" w14:textId="77777777" w:rsidR="009F2AB8" w:rsidRPr="00CC39AB" w:rsidRDefault="009F2AB8" w:rsidP="009F2AB8">
      <w:pPr>
        <w:rPr>
          <w:b/>
          <w:bCs/>
          <w:lang w:val="en-CA"/>
        </w:rPr>
      </w:pPr>
      <w:r w:rsidRPr="00CC39AB">
        <w:rPr>
          <w:b/>
          <w:bCs/>
          <w:lang w:val="en-CA"/>
        </w:rPr>
        <w:t xml:space="preserve">13. </w:t>
      </w:r>
      <w:r w:rsidRPr="00CC39AB">
        <w:rPr>
          <w:b/>
          <w:bCs/>
          <w:lang w:val="en-CA"/>
        </w:rPr>
        <w:tab/>
        <w:t xml:space="preserve">Working language </w:t>
      </w:r>
    </w:p>
    <w:p w14:paraId="12705AD9" w14:textId="77777777" w:rsidR="009F2AB8" w:rsidRPr="00CC39AB" w:rsidRDefault="009F2AB8" w:rsidP="009F2AB8">
      <w:pPr>
        <w:rPr>
          <w:lang w:val="en-CA"/>
        </w:rPr>
      </w:pPr>
      <w:r w:rsidRPr="00CC39AB">
        <w:rPr>
          <w:lang w:val="en-CA"/>
        </w:rPr>
        <w:t xml:space="preserve">The working language is English. </w:t>
      </w:r>
    </w:p>
    <w:p w14:paraId="7B59FA1D" w14:textId="77777777" w:rsidR="009F2AB8" w:rsidRPr="00CC39AB" w:rsidRDefault="009F2AB8" w:rsidP="009F2AB8">
      <w:pPr>
        <w:rPr>
          <w:lang w:val="en-CA"/>
        </w:rPr>
      </w:pPr>
    </w:p>
    <w:p w14:paraId="45DD2F15" w14:textId="77777777" w:rsidR="009F2AB8" w:rsidRPr="00CC39AB" w:rsidRDefault="009F2AB8" w:rsidP="009F2AB8">
      <w:pPr>
        <w:rPr>
          <w:b/>
          <w:bCs/>
          <w:lang w:val="en-CA"/>
        </w:rPr>
      </w:pPr>
      <w:r w:rsidRPr="00CC39AB">
        <w:rPr>
          <w:b/>
          <w:bCs/>
          <w:lang w:val="en-CA"/>
        </w:rPr>
        <w:t xml:space="preserve">14. </w:t>
      </w:r>
      <w:r w:rsidRPr="00CC39AB">
        <w:rPr>
          <w:b/>
          <w:bCs/>
          <w:lang w:val="en-CA"/>
        </w:rPr>
        <w:tab/>
        <w:t xml:space="preserve">Approval of deliverables </w:t>
      </w:r>
    </w:p>
    <w:p w14:paraId="51641EE8" w14:textId="77777777" w:rsidR="009F2AB8" w:rsidRPr="00CC39AB" w:rsidRDefault="009F2AB8" w:rsidP="009F2AB8">
      <w:pPr>
        <w:rPr>
          <w:lang w:val="en-CA"/>
        </w:rPr>
      </w:pPr>
      <w:r w:rsidRPr="00CC39AB">
        <w:rPr>
          <w:lang w:val="en-CA"/>
        </w:rPr>
        <w:t xml:space="preserve">Approval of deliverables shall be taken by consensus. </w:t>
      </w:r>
    </w:p>
    <w:p w14:paraId="090281CD" w14:textId="77777777" w:rsidR="009F2AB8" w:rsidRPr="00CC39AB" w:rsidRDefault="009F2AB8" w:rsidP="009F2AB8">
      <w:pPr>
        <w:rPr>
          <w:lang w:val="en-CA"/>
        </w:rPr>
      </w:pPr>
    </w:p>
    <w:p w14:paraId="403A4EF1" w14:textId="77777777" w:rsidR="009F2AB8" w:rsidRPr="00CC39AB" w:rsidRDefault="009F2AB8" w:rsidP="009F2AB8">
      <w:pPr>
        <w:rPr>
          <w:b/>
          <w:bCs/>
          <w:lang w:val="en-CA"/>
        </w:rPr>
      </w:pPr>
      <w:r w:rsidRPr="00CC39AB">
        <w:rPr>
          <w:b/>
          <w:bCs/>
          <w:lang w:val="en-CA"/>
        </w:rPr>
        <w:t xml:space="preserve">15. </w:t>
      </w:r>
      <w:r w:rsidRPr="00CC39AB">
        <w:rPr>
          <w:b/>
          <w:bCs/>
          <w:lang w:val="en-CA"/>
        </w:rPr>
        <w:tab/>
        <w:t xml:space="preserve">Working guidelines </w:t>
      </w:r>
    </w:p>
    <w:p w14:paraId="17F3599B" w14:textId="77777777" w:rsidR="009F2AB8" w:rsidRPr="00CC39AB" w:rsidRDefault="009F2AB8" w:rsidP="009F2AB8">
      <w:pPr>
        <w:rPr>
          <w:lang w:val="en-CA"/>
        </w:rPr>
      </w:pPr>
      <w:r w:rsidRPr="00CC39AB">
        <w:rPr>
          <w:lang w:val="en-CA"/>
        </w:rPr>
        <w:t>Working procedures shall follow the procedures of</w:t>
      </w:r>
      <w:r w:rsidRPr="00CC39AB">
        <w:rPr>
          <w:lang w:val="en-CA" w:eastAsia="zh-CN"/>
        </w:rPr>
        <w:t xml:space="preserve"> </w:t>
      </w:r>
      <w:r w:rsidRPr="00CC39AB">
        <w:rPr>
          <w:lang w:val="en-CA"/>
        </w:rPr>
        <w:t xml:space="preserve">Rapporteur meetings. No additional working guidelines are defined. </w:t>
      </w:r>
    </w:p>
    <w:p w14:paraId="6DC151EB" w14:textId="77777777" w:rsidR="009F2AB8" w:rsidRPr="00CC39AB" w:rsidRDefault="009F2AB8" w:rsidP="009F2AB8">
      <w:pPr>
        <w:rPr>
          <w:lang w:val="en-CA"/>
        </w:rPr>
      </w:pPr>
    </w:p>
    <w:p w14:paraId="2C709092" w14:textId="77777777" w:rsidR="009F2AB8" w:rsidRPr="00CC39AB" w:rsidRDefault="009F2AB8" w:rsidP="009F2AB8">
      <w:pPr>
        <w:rPr>
          <w:b/>
          <w:bCs/>
          <w:lang w:val="en-CA"/>
        </w:rPr>
      </w:pPr>
      <w:r w:rsidRPr="00CC39AB">
        <w:rPr>
          <w:b/>
          <w:bCs/>
          <w:lang w:val="en-CA"/>
        </w:rPr>
        <w:t xml:space="preserve">16. </w:t>
      </w:r>
      <w:r w:rsidRPr="00CC39AB">
        <w:rPr>
          <w:b/>
          <w:bCs/>
          <w:lang w:val="en-CA"/>
        </w:rPr>
        <w:tab/>
        <w:t xml:space="preserve">Progress reports </w:t>
      </w:r>
    </w:p>
    <w:p w14:paraId="7566EF9A" w14:textId="77777777" w:rsidR="009F2AB8" w:rsidRPr="00CC39AB" w:rsidRDefault="009F2AB8" w:rsidP="009F2AB8">
      <w:pPr>
        <w:rPr>
          <w:lang w:val="en-CA"/>
        </w:rPr>
      </w:pPr>
      <w:r w:rsidRPr="00CC39AB">
        <w:rPr>
          <w:lang w:val="en-CA"/>
        </w:rPr>
        <w:t>See clause 11 of Recommendation ITU-T A.7.</w:t>
      </w:r>
    </w:p>
    <w:p w14:paraId="0902DA7D" w14:textId="77777777" w:rsidR="009F2AB8" w:rsidRPr="00CC39AB" w:rsidRDefault="009F2AB8" w:rsidP="009F2AB8">
      <w:pPr>
        <w:rPr>
          <w:lang w:val="en-CA"/>
        </w:rPr>
      </w:pPr>
    </w:p>
    <w:p w14:paraId="4D84A47B" w14:textId="77777777" w:rsidR="009F2AB8" w:rsidRPr="00CC39AB" w:rsidRDefault="009F2AB8" w:rsidP="00243889">
      <w:pPr>
        <w:keepNext/>
        <w:keepLines/>
        <w:rPr>
          <w:b/>
          <w:bCs/>
          <w:lang w:val="en-CA"/>
        </w:rPr>
      </w:pPr>
      <w:r w:rsidRPr="00CC39AB">
        <w:rPr>
          <w:b/>
          <w:bCs/>
          <w:lang w:val="en-CA"/>
        </w:rPr>
        <w:lastRenderedPageBreak/>
        <w:t xml:space="preserve">17. </w:t>
      </w:r>
      <w:r w:rsidRPr="00CC39AB">
        <w:rPr>
          <w:b/>
          <w:bCs/>
          <w:lang w:val="en-CA"/>
        </w:rPr>
        <w:tab/>
        <w:t xml:space="preserve">Announcement of Focus Group formation </w:t>
      </w:r>
    </w:p>
    <w:p w14:paraId="74A6EFED" w14:textId="77777777" w:rsidR="009F2AB8" w:rsidRPr="00CC39AB" w:rsidRDefault="009F2AB8" w:rsidP="00243889">
      <w:pPr>
        <w:keepNext/>
        <w:keepLines/>
        <w:rPr>
          <w:lang w:val="en-CA"/>
        </w:rPr>
      </w:pPr>
      <w:r w:rsidRPr="00CC39AB">
        <w:rPr>
          <w:lang w:val="en-CA"/>
        </w:rPr>
        <w:t xml:space="preserve">The formation of the Focus Group will be announced via TSB Circular to all ITU membership, via the ITU-T </w:t>
      </w:r>
      <w:r w:rsidRPr="00CC39AB">
        <w:rPr>
          <w:lang w:val="en-CA" w:eastAsia="zh-CN"/>
        </w:rPr>
        <w:t>N</w:t>
      </w:r>
      <w:r w:rsidRPr="00CC39AB">
        <w:rPr>
          <w:lang w:val="en-CA"/>
        </w:rPr>
        <w:t>ews</w:t>
      </w:r>
      <w:r w:rsidRPr="00CC39AB">
        <w:rPr>
          <w:lang w:val="en-CA" w:eastAsia="zh-CN"/>
        </w:rPr>
        <w:t xml:space="preserve"> </w:t>
      </w:r>
      <w:r w:rsidRPr="00CC39AB">
        <w:rPr>
          <w:lang w:val="en-CA"/>
        </w:rPr>
        <w:t xml:space="preserve">log, press releases and other means, including communication with the other involved organizations. </w:t>
      </w:r>
    </w:p>
    <w:p w14:paraId="434F50DB" w14:textId="77777777" w:rsidR="009F2AB8" w:rsidRPr="00CC39AB" w:rsidRDefault="009F2AB8" w:rsidP="009F2AB8">
      <w:pPr>
        <w:rPr>
          <w:lang w:val="en-CA"/>
        </w:rPr>
      </w:pPr>
    </w:p>
    <w:p w14:paraId="54DDC1D7" w14:textId="77777777" w:rsidR="009F2AB8" w:rsidRPr="00CC39AB" w:rsidRDefault="009F2AB8" w:rsidP="009F2AB8">
      <w:pPr>
        <w:rPr>
          <w:b/>
          <w:bCs/>
          <w:lang w:val="en-CA"/>
        </w:rPr>
      </w:pPr>
      <w:r w:rsidRPr="00CC39AB">
        <w:rPr>
          <w:b/>
          <w:bCs/>
          <w:lang w:val="en-CA"/>
        </w:rPr>
        <w:t xml:space="preserve">18. </w:t>
      </w:r>
      <w:r w:rsidRPr="00CC39AB">
        <w:rPr>
          <w:b/>
          <w:bCs/>
          <w:lang w:val="en-CA"/>
        </w:rPr>
        <w:tab/>
        <w:t xml:space="preserve">Milestones and duration of the Focus Group </w:t>
      </w:r>
    </w:p>
    <w:p w14:paraId="5A623E9A" w14:textId="5A5BFACB" w:rsidR="009F2AB8" w:rsidRPr="00CC39AB" w:rsidRDefault="009F2AB8" w:rsidP="009F2AB8">
      <w:pPr>
        <w:rPr>
          <w:lang w:val="en-CA"/>
        </w:rPr>
      </w:pPr>
      <w:r w:rsidRPr="00CC39AB">
        <w:rPr>
          <w:lang w:val="en-CA"/>
        </w:rPr>
        <w:t>The Focus Group lifetime is set for o</w:t>
      </w:r>
      <w:r w:rsidR="00655470" w:rsidRPr="00CC39AB">
        <w:rPr>
          <w:lang w:val="en-CA"/>
        </w:rPr>
        <w:t>ne</w:t>
      </w:r>
      <w:r w:rsidRPr="00CC39AB">
        <w:rPr>
          <w:lang w:val="en-CA"/>
        </w:rPr>
        <w:t xml:space="preserve"> year from the first meeting with possibility of extension. </w:t>
      </w:r>
    </w:p>
    <w:p w14:paraId="06089090" w14:textId="77777777" w:rsidR="009F2AB8" w:rsidRPr="00CC39AB" w:rsidRDefault="009F2AB8" w:rsidP="009F2AB8">
      <w:pPr>
        <w:rPr>
          <w:lang w:val="en-CA"/>
        </w:rPr>
      </w:pPr>
    </w:p>
    <w:p w14:paraId="119E8609" w14:textId="77777777" w:rsidR="009F2AB8" w:rsidRPr="00CC39AB" w:rsidRDefault="009F2AB8" w:rsidP="009F2AB8">
      <w:pPr>
        <w:rPr>
          <w:b/>
          <w:bCs/>
          <w:lang w:val="en-CA"/>
        </w:rPr>
      </w:pPr>
      <w:r w:rsidRPr="00CC39AB">
        <w:rPr>
          <w:b/>
          <w:bCs/>
          <w:lang w:val="en-CA"/>
        </w:rPr>
        <w:t xml:space="preserve">19. </w:t>
      </w:r>
      <w:r w:rsidRPr="00CC39AB">
        <w:rPr>
          <w:b/>
          <w:bCs/>
          <w:lang w:val="en-CA"/>
        </w:rPr>
        <w:tab/>
        <w:t xml:space="preserve">Patent policy </w:t>
      </w:r>
    </w:p>
    <w:p w14:paraId="0988B0B5" w14:textId="15B113B1" w:rsidR="009F2AB8" w:rsidRPr="00CC39AB" w:rsidRDefault="009F2AB8" w:rsidP="009F2AB8">
      <w:pPr>
        <w:rPr>
          <w:lang w:val="en-CA"/>
        </w:rPr>
      </w:pPr>
      <w:r w:rsidRPr="00CC39AB">
        <w:rPr>
          <w:lang w:val="en-CA"/>
        </w:rPr>
        <w:t>See clause 9 of Recommendation ITU-T A.7.</w:t>
      </w:r>
    </w:p>
    <w:p w14:paraId="5BEFD463" w14:textId="77777777" w:rsidR="009F2AB8" w:rsidRPr="00CC39AB" w:rsidRDefault="009F2AB8" w:rsidP="009F2AB8">
      <w:pPr>
        <w:rPr>
          <w:lang w:val="en-CA"/>
        </w:rPr>
      </w:pPr>
    </w:p>
    <w:p w14:paraId="1AB3C27E" w14:textId="77777777" w:rsidR="009F2AB8" w:rsidRPr="00CC39AB" w:rsidRDefault="009F2AB8" w:rsidP="009F2AB8">
      <w:pPr>
        <w:jc w:val="center"/>
        <w:rPr>
          <w:lang w:val="en-CA"/>
        </w:rPr>
      </w:pPr>
      <w:r w:rsidRPr="00CC39AB">
        <w:rPr>
          <w:lang w:val="en-CA"/>
        </w:rPr>
        <w:t>_______________________</w:t>
      </w:r>
    </w:p>
    <w:p w14:paraId="51A47E89" w14:textId="77777777" w:rsidR="0089088E" w:rsidRPr="00CC39AB" w:rsidRDefault="0089088E" w:rsidP="009F2AB8">
      <w:pPr>
        <w:pStyle w:val="Heading1"/>
        <w:spacing w:before="240"/>
        <w:rPr>
          <w:b w:val="0"/>
          <w:bCs/>
          <w:szCs w:val="24"/>
        </w:rPr>
      </w:pPr>
    </w:p>
    <w:sectPr w:rsidR="0089088E" w:rsidRPr="00CC39AB" w:rsidSect="00BF591D">
      <w:headerReference w:type="default" r:id="rId17"/>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03B8B" w14:textId="77777777" w:rsidR="000B3ED1" w:rsidRDefault="000B3ED1" w:rsidP="00C42125">
      <w:pPr>
        <w:spacing w:before="0"/>
      </w:pPr>
      <w:r>
        <w:separator/>
      </w:r>
    </w:p>
  </w:endnote>
  <w:endnote w:type="continuationSeparator" w:id="0">
    <w:p w14:paraId="49F69C2D" w14:textId="77777777" w:rsidR="000B3ED1" w:rsidRDefault="000B3ED1"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w:altName w:val="MS Mincho"/>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0C127" w14:textId="77777777" w:rsidR="000B3ED1" w:rsidRDefault="000B3ED1" w:rsidP="00C42125">
      <w:pPr>
        <w:spacing w:before="0"/>
      </w:pPr>
      <w:r>
        <w:separator/>
      </w:r>
    </w:p>
  </w:footnote>
  <w:footnote w:type="continuationSeparator" w:id="0">
    <w:p w14:paraId="3E008B56" w14:textId="77777777" w:rsidR="000B3ED1" w:rsidRDefault="000B3ED1" w:rsidP="00C42125">
      <w:pPr>
        <w:spacing w:before="0"/>
      </w:pPr>
      <w:r>
        <w:continuationSeparator/>
      </w:r>
    </w:p>
  </w:footnote>
  <w:footnote w:id="1">
    <w:p w14:paraId="75FA8D45" w14:textId="77777777" w:rsidR="00A17E29" w:rsidRPr="008D294A" w:rsidRDefault="00A17E29" w:rsidP="009F2AB8">
      <w:pPr>
        <w:pStyle w:val="FootnoteText"/>
        <w:rPr>
          <w:lang w:val="en-CA"/>
        </w:rPr>
      </w:pPr>
      <w:r>
        <w:rPr>
          <w:rStyle w:val="FootnoteReference"/>
        </w:rPr>
        <w:footnoteRef/>
      </w:r>
      <w:r>
        <w:t xml:space="preserve"> </w:t>
      </w:r>
      <w:r w:rsidRPr="003A6A14">
        <w:t xml:space="preserve">FAO. </w:t>
      </w:r>
      <w:r>
        <w:t>“</w:t>
      </w:r>
      <w:r w:rsidRPr="003A6A14">
        <w:t>The state of food security and nutrition in the world.</w:t>
      </w:r>
      <w:r>
        <w:t>”</w:t>
      </w:r>
      <w:r w:rsidRPr="003A6A14">
        <w:t xml:space="preserve"> 2020, www.fao.org/3/ca9692en/online/ca9692en.html#chapter-Key_message.</w:t>
      </w:r>
    </w:p>
  </w:footnote>
  <w:footnote w:id="2">
    <w:p w14:paraId="280A8FD2" w14:textId="77777777" w:rsidR="00A17E29" w:rsidRPr="00541EC1" w:rsidRDefault="00A17E29" w:rsidP="009F2AB8">
      <w:pPr>
        <w:pStyle w:val="FootnoteText"/>
        <w:rPr>
          <w:lang w:val="en-CA"/>
        </w:rPr>
      </w:pPr>
      <w:r>
        <w:rPr>
          <w:rStyle w:val="FootnoteReference"/>
        </w:rPr>
        <w:footnoteRef/>
      </w:r>
      <w:r>
        <w:t xml:space="preserve"> </w:t>
      </w:r>
      <w:r w:rsidRPr="003A6A14">
        <w:t xml:space="preserve">FAO. </w:t>
      </w:r>
      <w:r>
        <w:t>“</w:t>
      </w:r>
      <w:r w:rsidRPr="003A6A14">
        <w:t>The state of food security and nutrition in the world.</w:t>
      </w:r>
      <w:r>
        <w:t>”</w:t>
      </w:r>
      <w:r w:rsidRPr="003A6A14">
        <w:t xml:space="preserve"> 2020, www.fao.org/3/ca9692en/online/ca9692en.html#chapter-Key_message.</w:t>
      </w:r>
    </w:p>
  </w:footnote>
  <w:footnote w:id="3">
    <w:p w14:paraId="383C3997" w14:textId="77777777" w:rsidR="00A17E29" w:rsidRPr="00096DC5" w:rsidRDefault="00A17E29" w:rsidP="009F2AB8">
      <w:pPr>
        <w:pStyle w:val="FootnoteText"/>
        <w:rPr>
          <w:lang w:val="en-CA"/>
        </w:rPr>
      </w:pPr>
      <w:r>
        <w:rPr>
          <w:rStyle w:val="FootnoteReference"/>
        </w:rPr>
        <w:footnoteRef/>
      </w:r>
      <w:r>
        <w:t xml:space="preserve"> </w:t>
      </w:r>
      <w:r w:rsidRPr="00096DC5">
        <w:t xml:space="preserve">Deloitte. </w:t>
      </w:r>
      <w:r>
        <w:t>“</w:t>
      </w:r>
      <w:r w:rsidRPr="00096DC5">
        <w:t>Transforming Agriculture through Digital Technologies.</w:t>
      </w:r>
      <w:r>
        <w:t>”</w:t>
      </w:r>
      <w:r w:rsidRPr="00096DC5">
        <w:t xml:space="preserve"> Jan. 2020, www2.deloitte.com/content/dam/Deloitte/gr/Documents/consumer-business/gr_Transforming_Agriculture_through_Digital_Technologies_noexp.pdf.</w:t>
      </w:r>
    </w:p>
  </w:footnote>
  <w:footnote w:id="4">
    <w:p w14:paraId="797A2893" w14:textId="77777777" w:rsidR="00A17E29" w:rsidRPr="008D294A" w:rsidRDefault="00A17E29" w:rsidP="009F2AB8">
      <w:pPr>
        <w:pStyle w:val="FootnoteText"/>
        <w:rPr>
          <w:lang w:val="en-CA"/>
        </w:rPr>
      </w:pPr>
      <w:r>
        <w:rPr>
          <w:rStyle w:val="FootnoteReference"/>
        </w:rPr>
        <w:footnoteRef/>
      </w:r>
      <w:r>
        <w:t xml:space="preserve"> </w:t>
      </w:r>
      <w:r w:rsidRPr="008D294A">
        <w:t>Farming First. Rising Food Insecurity Linked to Economic Decline, Says New SOFI Report. 16 July 2019, farmingfirst.org/2019/07/rising-food-insecurity-linked-to-economic-decline-says-new-sofi-report/.</w:t>
      </w:r>
    </w:p>
  </w:footnote>
  <w:footnote w:id="5">
    <w:p w14:paraId="5E737D9F" w14:textId="77777777" w:rsidR="00A17E29" w:rsidRPr="00657738" w:rsidRDefault="00A17E29" w:rsidP="009F2AB8">
      <w:pPr>
        <w:pStyle w:val="FootnoteText"/>
        <w:rPr>
          <w:lang w:val="en-CA"/>
        </w:rPr>
      </w:pPr>
      <w:r>
        <w:rPr>
          <w:rStyle w:val="FootnoteReference"/>
        </w:rPr>
        <w:footnoteRef/>
      </w:r>
      <w:r>
        <w:t xml:space="preserve"> </w:t>
      </w:r>
      <w:r w:rsidRPr="003A6A14">
        <w:t xml:space="preserve">FAO. </w:t>
      </w:r>
      <w:r>
        <w:t>“</w:t>
      </w:r>
      <w:r w:rsidRPr="003A6A14">
        <w:t>The state of food security and nutrition in the world.</w:t>
      </w:r>
      <w:r>
        <w:t>”</w:t>
      </w:r>
      <w:r w:rsidRPr="003A6A14">
        <w:t xml:space="preserve"> 2020, www.fao.org/3/ca9692en/online/ca9692en.html#chapter-Key_message.</w:t>
      </w:r>
    </w:p>
  </w:footnote>
  <w:footnote w:id="6">
    <w:p w14:paraId="0FA71E19" w14:textId="77777777" w:rsidR="00A17E29" w:rsidRPr="007C70AE" w:rsidRDefault="00A17E29" w:rsidP="009F2AB8">
      <w:pPr>
        <w:pStyle w:val="FootnoteText"/>
        <w:rPr>
          <w:lang w:val="en-CA"/>
        </w:rPr>
      </w:pPr>
      <w:r>
        <w:rPr>
          <w:rStyle w:val="FootnoteReference"/>
        </w:rPr>
        <w:footnoteRef/>
      </w:r>
      <w:r>
        <w:t xml:space="preserve"> </w:t>
      </w:r>
      <w:r w:rsidRPr="00C163C6">
        <w:t xml:space="preserve">Scott, Dan. </w:t>
      </w:r>
      <w:r>
        <w:t>“</w:t>
      </w:r>
      <w:r w:rsidRPr="00C163C6">
        <w:t>Smart Farming &amp;</w:t>
      </w:r>
      <w:r>
        <w:t xml:space="preserve"> </w:t>
      </w:r>
      <w:proofErr w:type="spellStart"/>
      <w:r w:rsidRPr="00C163C6">
        <w:t>FoodTech</w:t>
      </w:r>
      <w:proofErr w:type="spellEnd"/>
      <w:r w:rsidRPr="00C163C6">
        <w:t xml:space="preserve"> Revolutionizes the Future of Food.</w:t>
      </w:r>
      <w:r>
        <w:t>”</w:t>
      </w:r>
      <w:r w:rsidRPr="00C163C6">
        <w:t xml:space="preserve"> </w:t>
      </w:r>
      <w:proofErr w:type="spellStart"/>
      <w:r w:rsidRPr="00C163C6">
        <w:t>Vontobel</w:t>
      </w:r>
      <w:proofErr w:type="spellEnd"/>
      <w:r w:rsidRPr="00C163C6">
        <w:t xml:space="preserve"> Holding AG, 2 May 2018, www.vontobel.com/en-ch/impact/smart-farming-the-future-of-agriculture-9097/.</w:t>
      </w:r>
    </w:p>
  </w:footnote>
  <w:footnote w:id="7">
    <w:p w14:paraId="193A56B0" w14:textId="77777777" w:rsidR="00A17E29" w:rsidRPr="008D526D" w:rsidRDefault="00A17E29" w:rsidP="009F2AB8">
      <w:pPr>
        <w:pStyle w:val="FootnoteText"/>
        <w:rPr>
          <w:lang w:val="en-CA"/>
        </w:rPr>
      </w:pPr>
      <w:r>
        <w:rPr>
          <w:rStyle w:val="FootnoteReference"/>
        </w:rPr>
        <w:footnoteRef/>
      </w:r>
      <w:r>
        <w:t xml:space="preserve"> </w:t>
      </w:r>
      <w:r w:rsidRPr="00C163C6">
        <w:t xml:space="preserve">Scott, Dan. </w:t>
      </w:r>
      <w:r>
        <w:t>“</w:t>
      </w:r>
      <w:r w:rsidRPr="00C163C6">
        <w:t>Smart Farming &amp;</w:t>
      </w:r>
      <w:r>
        <w:t xml:space="preserve"> </w:t>
      </w:r>
      <w:proofErr w:type="spellStart"/>
      <w:r w:rsidRPr="00C163C6">
        <w:t>FoodTech</w:t>
      </w:r>
      <w:proofErr w:type="spellEnd"/>
      <w:r w:rsidRPr="00C163C6">
        <w:t xml:space="preserve"> Revolutionizes the Future of Food.</w:t>
      </w:r>
      <w:r>
        <w:t>”</w:t>
      </w:r>
      <w:r w:rsidRPr="00C163C6">
        <w:t xml:space="preserve"> </w:t>
      </w:r>
      <w:proofErr w:type="spellStart"/>
      <w:r w:rsidRPr="00C163C6">
        <w:t>Vontobel</w:t>
      </w:r>
      <w:proofErr w:type="spellEnd"/>
      <w:r w:rsidRPr="00C163C6">
        <w:t xml:space="preserve"> Holding AG, 2 May 2018, www.vontobel.com/en-ch/impact/smart-farming-the-future-of-agriculture-9097/.</w:t>
      </w:r>
    </w:p>
  </w:footnote>
  <w:footnote w:id="8">
    <w:p w14:paraId="6E1C5ADA" w14:textId="77777777" w:rsidR="00A17E29" w:rsidRPr="001A17BB" w:rsidRDefault="00A17E29" w:rsidP="009F2AB8">
      <w:pPr>
        <w:pStyle w:val="FootnoteText"/>
        <w:rPr>
          <w:lang w:val="en-US"/>
        </w:rPr>
      </w:pPr>
      <w:r>
        <w:rPr>
          <w:rStyle w:val="FootnoteReference"/>
        </w:rPr>
        <w:footnoteRef/>
      </w:r>
      <w:r>
        <w:t xml:space="preserve"> </w:t>
      </w:r>
      <w:r>
        <w:fldChar w:fldCharType="begin"/>
      </w:r>
      <w:r>
        <w:instrText xml:space="preserve"> ADDIN ZOTERO_ITEM CSL_CITATION {"citationID":"jNrfWF2d","properties":{"formattedCitation":"\\uc0\\u8220{}Water for Agriculture \\uc0\\u8212{} European Environment Agency,\\uc0\\u8221{} accessed September 21, 2021, https://www.eea.europa.eu/articles/water-for-agriculture.","plainCitation":"“Water for Agriculture — European Environment Agency,” accessed September 21, 2021, https://www.eea.europa.eu/articles/water-for-agriculture.","noteIndex":11},"citationItems":[{"id":4474,"uris":["http://zotero.org/groups/590943/items/Y84VERIX"],"uri":["http://zotero.org/groups/590943/items/Y84VERIX"],"itemData":{"id":4474,"type":"article-journal","abstract":"We need food and we need clean freshwater to produce our food. With growing demand from human activities on the one hand and climate change on the other, many regions especially in the south struggle to find enough freshwater to meet their needs. How can we continue growing food without letting nature go thirsty for clean water? A more efficient use of water in agriculture would certainly help.","language":"en","source":"www.eea.europa.eu","title":"Water for agriculture — European Environment Agency","URL":"https://www.eea.europa.eu/articles/water-for-agriculture","accessed":{"date-parts":[["2021",9,21]]}}}],"schema":"https://github.com/citation-style-language/schema/raw/master/csl-citation.json"} </w:instrText>
      </w:r>
      <w:r>
        <w:fldChar w:fldCharType="separate"/>
      </w:r>
      <w:r w:rsidRPr="009455B1">
        <w:t>“Water for Agriculture — European Environment Agency,” accessed September 21, 2021, https://www.eea.europa.eu/articles/water-for-agriculture.</w:t>
      </w:r>
      <w:r>
        <w:fldChar w:fldCharType="end"/>
      </w:r>
    </w:p>
  </w:footnote>
  <w:footnote w:id="9">
    <w:p w14:paraId="50D650E2" w14:textId="77777777" w:rsidR="00A17E29" w:rsidRPr="00893D01" w:rsidRDefault="00A17E29" w:rsidP="009F2AB8">
      <w:pPr>
        <w:pStyle w:val="FootnoteText"/>
        <w:rPr>
          <w:lang w:val="en-CA"/>
        </w:rPr>
      </w:pPr>
      <w:r>
        <w:rPr>
          <w:rStyle w:val="FootnoteReference"/>
        </w:rPr>
        <w:footnoteRef/>
      </w:r>
      <w:r>
        <w:t xml:space="preserve"> </w:t>
      </w:r>
      <w:r w:rsidRPr="00893D01">
        <w:t xml:space="preserve">Pomeroy, Robin, and Ross </w:t>
      </w:r>
      <w:proofErr w:type="spellStart"/>
      <w:r w:rsidRPr="00893D01">
        <w:t>Chainey</w:t>
      </w:r>
      <w:proofErr w:type="spellEnd"/>
      <w:r w:rsidRPr="00893D01">
        <w:t>. “Has COVID Killed Cities - or Can They Bounce Back?” World Economic Forum, 12 Nov. 2020, www.weforum.org/agenda/2020/11/cities-podcast-new-york-dead/.</w:t>
      </w:r>
    </w:p>
  </w:footnote>
  <w:footnote w:id="10">
    <w:p w14:paraId="4E431C38" w14:textId="77777777" w:rsidR="00A17E29" w:rsidRPr="00E03BEC" w:rsidRDefault="00A17E29" w:rsidP="009F2AB8">
      <w:pPr>
        <w:pStyle w:val="FootnoteText"/>
        <w:rPr>
          <w:lang w:val="en-US"/>
        </w:rPr>
      </w:pPr>
      <w:r>
        <w:rPr>
          <w:rStyle w:val="FootnoteReference"/>
        </w:rPr>
        <w:footnoteRef/>
      </w:r>
      <w:r>
        <w:t xml:space="preserve"> </w:t>
      </w:r>
      <w:proofErr w:type="spellStart"/>
      <w:r w:rsidRPr="00BA7DFF">
        <w:t>Sciforce</w:t>
      </w:r>
      <w:proofErr w:type="spellEnd"/>
      <w:r w:rsidRPr="00BA7DFF">
        <w:t xml:space="preserve">. </w:t>
      </w:r>
      <w:r>
        <w:t>“</w:t>
      </w:r>
      <w:r w:rsidRPr="00BA7DFF">
        <w:t>Smart Farming: The Future of Agriculture.</w:t>
      </w:r>
      <w:r>
        <w:t>”</w:t>
      </w:r>
      <w:r w:rsidRPr="00BA7DFF">
        <w:t xml:space="preserve"> </w:t>
      </w:r>
      <w:r w:rsidRPr="00E03BEC">
        <w:rPr>
          <w:lang w:val="en-US"/>
        </w:rPr>
        <w:t>22 June 2020, www.iotforall.com/smart-farming-future-of-agriculture.</w:t>
      </w:r>
    </w:p>
  </w:footnote>
  <w:footnote w:id="11">
    <w:p w14:paraId="7F9E6CBA" w14:textId="77777777" w:rsidR="00A17E29" w:rsidRPr="00D32E3B" w:rsidRDefault="00A17E29" w:rsidP="009F2AB8">
      <w:pPr>
        <w:pStyle w:val="FootnoteText"/>
        <w:rPr>
          <w:lang w:val="en-CA"/>
        </w:rPr>
      </w:pPr>
      <w:r>
        <w:rPr>
          <w:rStyle w:val="FootnoteReference"/>
        </w:rPr>
        <w:footnoteRef/>
      </w:r>
      <w:r w:rsidRPr="00E03BEC">
        <w:rPr>
          <w:lang w:val="en-US"/>
        </w:rPr>
        <w:t xml:space="preserve"> Sciforce. </w:t>
      </w:r>
      <w:r>
        <w:t>“</w:t>
      </w:r>
      <w:r w:rsidRPr="00BA7DFF">
        <w:t>Smart Farming: The Future of Agriculture.</w:t>
      </w:r>
      <w:r>
        <w:t>”</w:t>
      </w:r>
      <w:r w:rsidRPr="00BA7DFF">
        <w:t xml:space="preserve"> 22 June 2020, www.iotforall.com/smart-farming-future-of-agriculture.</w:t>
      </w:r>
    </w:p>
  </w:footnote>
  <w:footnote w:id="12">
    <w:p w14:paraId="7BBE1A58" w14:textId="77777777" w:rsidR="00A17E29" w:rsidRPr="00D32E3B" w:rsidRDefault="00A17E29" w:rsidP="009F2AB8">
      <w:pPr>
        <w:pStyle w:val="FootnoteText"/>
        <w:rPr>
          <w:lang w:val="en-CA"/>
        </w:rPr>
      </w:pPr>
      <w:r>
        <w:rPr>
          <w:rStyle w:val="FootnoteReference"/>
        </w:rPr>
        <w:footnoteRef/>
      </w:r>
      <w:r>
        <w:t xml:space="preserve"> </w:t>
      </w:r>
      <w:r w:rsidRPr="00C163C6">
        <w:t xml:space="preserve">Scott, Dan. </w:t>
      </w:r>
      <w:r>
        <w:t>“</w:t>
      </w:r>
      <w:r w:rsidRPr="00C163C6">
        <w:t>Smart Farming &amp;</w:t>
      </w:r>
      <w:r>
        <w:t xml:space="preserve"> </w:t>
      </w:r>
      <w:proofErr w:type="spellStart"/>
      <w:r w:rsidRPr="00C163C6">
        <w:t>FoodTech</w:t>
      </w:r>
      <w:proofErr w:type="spellEnd"/>
      <w:r w:rsidRPr="00C163C6">
        <w:t xml:space="preserve"> Revolutionizes the Future of Food.</w:t>
      </w:r>
      <w:r>
        <w:t>”</w:t>
      </w:r>
      <w:r w:rsidRPr="00C163C6">
        <w:t xml:space="preserve"> </w:t>
      </w:r>
      <w:proofErr w:type="spellStart"/>
      <w:r w:rsidRPr="00C163C6">
        <w:t>Vontobel</w:t>
      </w:r>
      <w:proofErr w:type="spellEnd"/>
      <w:r w:rsidRPr="00C163C6">
        <w:t xml:space="preserve"> Holding AG, 2 May 2018, www.vontobel.com/en-ch/impact/smart-farming-the-future-of-agriculture-9097/.</w:t>
      </w:r>
    </w:p>
  </w:footnote>
  <w:footnote w:id="13">
    <w:p w14:paraId="4705AF0F" w14:textId="77777777" w:rsidR="00A17E29" w:rsidRPr="00D32E3B" w:rsidRDefault="00A17E29" w:rsidP="009F2AB8">
      <w:pPr>
        <w:pStyle w:val="FootnoteText"/>
        <w:rPr>
          <w:lang w:val="en-CA"/>
        </w:rPr>
      </w:pPr>
      <w:r>
        <w:rPr>
          <w:rStyle w:val="FootnoteReference"/>
        </w:rPr>
        <w:footnoteRef/>
      </w:r>
      <w:r>
        <w:t xml:space="preserve"> </w:t>
      </w:r>
      <w:proofErr w:type="spellStart"/>
      <w:r w:rsidRPr="00BA7DFF">
        <w:t>Sciforce</w:t>
      </w:r>
      <w:proofErr w:type="spellEnd"/>
      <w:r w:rsidRPr="00BA7DFF">
        <w:t xml:space="preserve">. </w:t>
      </w:r>
      <w:r>
        <w:t>“</w:t>
      </w:r>
      <w:r w:rsidRPr="00BA7DFF">
        <w:t>Smart Farming: The Future of Agriculture.</w:t>
      </w:r>
      <w:r>
        <w:t>”</w:t>
      </w:r>
      <w:r w:rsidRPr="00BA7DFF">
        <w:t xml:space="preserve"> 22 June 2020, www.iotforall.com/smart-farming-future-of-agriculture.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BA90B" w14:textId="44E8711F" w:rsidR="00A17E29" w:rsidRPr="00162256" w:rsidRDefault="00162256" w:rsidP="00162256">
    <w:pPr>
      <w:pStyle w:val="Header"/>
      <w:rPr>
        <w:sz w:val="18"/>
      </w:rPr>
    </w:pPr>
    <w:r w:rsidRPr="00162256">
      <w:rPr>
        <w:sz w:val="18"/>
      </w:rPr>
      <w:t xml:space="preserve">- </w:t>
    </w:r>
    <w:r w:rsidRPr="00162256">
      <w:rPr>
        <w:sz w:val="18"/>
      </w:rPr>
      <w:fldChar w:fldCharType="begin"/>
    </w:r>
    <w:r w:rsidRPr="00162256">
      <w:rPr>
        <w:sz w:val="18"/>
      </w:rPr>
      <w:instrText xml:space="preserve"> PAGE  \* MERGEFORMAT </w:instrText>
    </w:r>
    <w:r w:rsidRPr="00162256">
      <w:rPr>
        <w:sz w:val="18"/>
      </w:rPr>
      <w:fldChar w:fldCharType="separate"/>
    </w:r>
    <w:r w:rsidR="00E03BEC">
      <w:rPr>
        <w:noProof/>
        <w:sz w:val="18"/>
      </w:rPr>
      <w:t>2</w:t>
    </w:r>
    <w:r w:rsidRPr="00162256">
      <w:rPr>
        <w:sz w:val="18"/>
      </w:rPr>
      <w:fldChar w:fldCharType="end"/>
    </w:r>
    <w:r w:rsidRPr="00162256">
      <w:rPr>
        <w:sz w:val="18"/>
      </w:rPr>
      <w:t xml:space="preserve"> -</w:t>
    </w:r>
  </w:p>
  <w:p w14:paraId="736A35BD" w14:textId="6F6618E2" w:rsidR="00162256" w:rsidRPr="00162256" w:rsidRDefault="00E03BEC" w:rsidP="00162256">
    <w:pPr>
      <w:pStyle w:val="Header"/>
      <w:spacing w:after="240"/>
      <w:rPr>
        <w:sz w:val="18"/>
      </w:rPr>
    </w:pPr>
    <w:r>
      <w:rPr>
        <w:sz w:val="18"/>
      </w:rPr>
      <w:t>TSAG-TD1163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E22A8"/>
    <w:multiLevelType w:val="hybridMultilevel"/>
    <w:tmpl w:val="9D64B1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CC714E"/>
    <w:multiLevelType w:val="hybridMultilevel"/>
    <w:tmpl w:val="15B4FB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260377"/>
    <w:multiLevelType w:val="hybridMultilevel"/>
    <w:tmpl w:val="1234DC7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7E504B4"/>
    <w:multiLevelType w:val="hybridMultilevel"/>
    <w:tmpl w:val="3EAA6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038795C"/>
    <w:multiLevelType w:val="hybridMultilevel"/>
    <w:tmpl w:val="2DDCCEA0"/>
    <w:lvl w:ilvl="0" w:tplc="DA20A068">
      <w:start w:val="9"/>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267EAE"/>
    <w:multiLevelType w:val="multilevel"/>
    <w:tmpl w:val="12267E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3B9473B"/>
    <w:multiLevelType w:val="hybridMultilevel"/>
    <w:tmpl w:val="A5448A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3D61C5"/>
    <w:multiLevelType w:val="multilevel"/>
    <w:tmpl w:val="213D6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4B6369"/>
    <w:multiLevelType w:val="hybridMultilevel"/>
    <w:tmpl w:val="FB20C4AC"/>
    <w:lvl w:ilvl="0" w:tplc="74D45E3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E2669F"/>
    <w:multiLevelType w:val="hybridMultilevel"/>
    <w:tmpl w:val="3D10E864"/>
    <w:lvl w:ilvl="0" w:tplc="F21E1878">
      <w:numFmt w:val="bullet"/>
      <w:lvlText w:val="-"/>
      <w:lvlJc w:val="left"/>
      <w:pPr>
        <w:ind w:left="720" w:hanging="360"/>
      </w:pPr>
      <w:rPr>
        <w:rFonts w:ascii="Times New Roman" w:eastAsiaTheme="minorEastAsia" w:hAnsi="Times New Roman" w:cs="Times New Roman" w:hint="default"/>
        <w:color w:val="auto"/>
        <w:sz w:val="22"/>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23302467"/>
    <w:multiLevelType w:val="multilevel"/>
    <w:tmpl w:val="55C856AC"/>
    <w:lvl w:ilvl="0">
      <w:start w:val="1"/>
      <w:numFmt w:val="decimal"/>
      <w:lvlText w:val="%1"/>
      <w:lvlJc w:val="left"/>
      <w:pPr>
        <w:tabs>
          <w:tab w:val="num" w:pos="432"/>
        </w:tabs>
        <w:ind w:left="567" w:hanging="567"/>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276B608D"/>
    <w:multiLevelType w:val="hybridMultilevel"/>
    <w:tmpl w:val="BA5863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BF6CC1"/>
    <w:multiLevelType w:val="multilevel"/>
    <w:tmpl w:val="36BF6C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FAB3BCD"/>
    <w:multiLevelType w:val="hybridMultilevel"/>
    <w:tmpl w:val="463A9D9A"/>
    <w:lvl w:ilvl="0" w:tplc="0624CB2E">
      <w:start w:val="13"/>
      <w:numFmt w:val="bullet"/>
      <w:lvlText w:val="-"/>
      <w:lvlJc w:val="left"/>
      <w:pPr>
        <w:ind w:left="720" w:hanging="360"/>
      </w:pPr>
      <w:rPr>
        <w:rFonts w:ascii="Times New Roman" w:eastAsiaTheme="minorEastAsia"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4676605E"/>
    <w:multiLevelType w:val="hybridMultilevel"/>
    <w:tmpl w:val="9A38F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92232F"/>
    <w:multiLevelType w:val="hybridMultilevel"/>
    <w:tmpl w:val="FFF864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F7B6BEE"/>
    <w:multiLevelType w:val="hybridMultilevel"/>
    <w:tmpl w:val="961E78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2C484D"/>
    <w:multiLevelType w:val="hybridMultilevel"/>
    <w:tmpl w:val="73E82CB0"/>
    <w:lvl w:ilvl="0" w:tplc="FF68EA76">
      <w:start w:val="9"/>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096012"/>
    <w:multiLevelType w:val="hybridMultilevel"/>
    <w:tmpl w:val="CC100EC8"/>
    <w:lvl w:ilvl="0" w:tplc="F21E1878">
      <w:numFmt w:val="bullet"/>
      <w:lvlText w:val="-"/>
      <w:lvlJc w:val="left"/>
      <w:pPr>
        <w:ind w:left="720" w:hanging="360"/>
      </w:pPr>
      <w:rPr>
        <w:rFonts w:ascii="Times New Roman" w:eastAsiaTheme="minorEastAsia" w:hAnsi="Times New Roman" w:cs="Times New Roman" w:hint="default"/>
        <w:color w:val="auto"/>
        <w:sz w:val="22"/>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9" w15:restartNumberingAfterBreak="0">
    <w:nsid w:val="6FC3632B"/>
    <w:multiLevelType w:val="hybridMultilevel"/>
    <w:tmpl w:val="6F1ACA3E"/>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317DC9"/>
    <w:multiLevelType w:val="hybridMultilevel"/>
    <w:tmpl w:val="712CFFAE"/>
    <w:lvl w:ilvl="0" w:tplc="AD62FB62">
      <w:start w:val="9"/>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9A44C7"/>
    <w:multiLevelType w:val="hybridMultilevel"/>
    <w:tmpl w:val="666CD010"/>
    <w:lvl w:ilvl="0" w:tplc="3640A200">
      <w:start w:val="10"/>
      <w:numFmt w:val="bullet"/>
      <w:lvlText w:val="-"/>
      <w:lvlJc w:val="left"/>
      <w:pPr>
        <w:ind w:left="720" w:hanging="360"/>
      </w:pPr>
      <w:rPr>
        <w:rFonts w:ascii="Times New Roman" w:eastAsiaTheme="minorEastAsia"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2" w15:restartNumberingAfterBreak="0">
    <w:nsid w:val="7B565AE7"/>
    <w:multiLevelType w:val="hybridMultilevel"/>
    <w:tmpl w:val="FAF4F34C"/>
    <w:lvl w:ilvl="0" w:tplc="F21E1878">
      <w:numFmt w:val="bullet"/>
      <w:lvlText w:val="-"/>
      <w:lvlJc w:val="left"/>
      <w:pPr>
        <w:ind w:left="720" w:hanging="360"/>
      </w:pPr>
      <w:rPr>
        <w:rFonts w:ascii="Times New Roman" w:eastAsiaTheme="minorEastAsia" w:hAnsi="Times New Roman" w:cs="Times New Roman" w:hint="default"/>
        <w:color w:val="auto"/>
        <w:sz w:val="22"/>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4"/>
  </w:num>
  <w:num w:numId="13">
    <w:abstractNumId w:val="18"/>
  </w:num>
  <w:num w:numId="14">
    <w:abstractNumId w:val="23"/>
  </w:num>
  <w:num w:numId="15">
    <w:abstractNumId w:val="31"/>
  </w:num>
  <w:num w:numId="16">
    <w:abstractNumId w:val="19"/>
  </w:num>
  <w:num w:numId="17">
    <w:abstractNumId w:val="28"/>
  </w:num>
  <w:num w:numId="18">
    <w:abstractNumId w:val="32"/>
  </w:num>
  <w:num w:numId="19">
    <w:abstractNumId w:val="14"/>
  </w:num>
  <w:num w:numId="20">
    <w:abstractNumId w:val="27"/>
  </w:num>
  <w:num w:numId="21">
    <w:abstractNumId w:val="30"/>
  </w:num>
  <w:num w:numId="22">
    <w:abstractNumId w:val="10"/>
  </w:num>
  <w:num w:numId="23">
    <w:abstractNumId w:val="11"/>
  </w:num>
  <w:num w:numId="24">
    <w:abstractNumId w:val="12"/>
  </w:num>
  <w:num w:numId="25">
    <w:abstractNumId w:val="21"/>
  </w:num>
  <w:num w:numId="26">
    <w:abstractNumId w:val="29"/>
  </w:num>
  <w:num w:numId="27">
    <w:abstractNumId w:val="22"/>
  </w:num>
  <w:num w:numId="28">
    <w:abstractNumId w:val="15"/>
  </w:num>
  <w:num w:numId="29">
    <w:abstractNumId w:val="17"/>
  </w:num>
  <w:num w:numId="30">
    <w:abstractNumId w:val="13"/>
  </w:num>
  <w:num w:numId="31">
    <w:abstractNumId w:val="25"/>
  </w:num>
  <w:num w:numId="32">
    <w:abstractNumId w:val="16"/>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AyMzI1NDQwMTMxNjFX0lEKTi0uzszPAykwNK8FAIKGQe4tAAAA"/>
  </w:docVars>
  <w:rsids>
    <w:rsidRoot w:val="005C0300"/>
    <w:rsid w:val="00001392"/>
    <w:rsid w:val="000079CA"/>
    <w:rsid w:val="00014F69"/>
    <w:rsid w:val="0001529A"/>
    <w:rsid w:val="000171DB"/>
    <w:rsid w:val="00023D9A"/>
    <w:rsid w:val="00033FF3"/>
    <w:rsid w:val="0003582E"/>
    <w:rsid w:val="00043D75"/>
    <w:rsid w:val="00057000"/>
    <w:rsid w:val="000627BD"/>
    <w:rsid w:val="000640E0"/>
    <w:rsid w:val="0007092A"/>
    <w:rsid w:val="00073D07"/>
    <w:rsid w:val="0007629C"/>
    <w:rsid w:val="00085808"/>
    <w:rsid w:val="00086A9C"/>
    <w:rsid w:val="000966A8"/>
    <w:rsid w:val="00097E59"/>
    <w:rsid w:val="000A5CA2"/>
    <w:rsid w:val="000B3ED1"/>
    <w:rsid w:val="000C2EB4"/>
    <w:rsid w:val="000C397B"/>
    <w:rsid w:val="000D3BD2"/>
    <w:rsid w:val="000E1FC6"/>
    <w:rsid w:val="000E6125"/>
    <w:rsid w:val="000F697A"/>
    <w:rsid w:val="00107217"/>
    <w:rsid w:val="00107BC2"/>
    <w:rsid w:val="00113DBE"/>
    <w:rsid w:val="001200A6"/>
    <w:rsid w:val="00121B26"/>
    <w:rsid w:val="00124A40"/>
    <w:rsid w:val="001251DA"/>
    <w:rsid w:val="00125432"/>
    <w:rsid w:val="001276CC"/>
    <w:rsid w:val="00131B20"/>
    <w:rsid w:val="00136C62"/>
    <w:rsid w:val="00136DDD"/>
    <w:rsid w:val="00137F40"/>
    <w:rsid w:val="00144BDF"/>
    <w:rsid w:val="00152889"/>
    <w:rsid w:val="001545FC"/>
    <w:rsid w:val="00154BB8"/>
    <w:rsid w:val="00155DDC"/>
    <w:rsid w:val="00161830"/>
    <w:rsid w:val="00162256"/>
    <w:rsid w:val="00162B47"/>
    <w:rsid w:val="001708C9"/>
    <w:rsid w:val="0017493B"/>
    <w:rsid w:val="0018303D"/>
    <w:rsid w:val="001871EC"/>
    <w:rsid w:val="00190446"/>
    <w:rsid w:val="001A20C3"/>
    <w:rsid w:val="001A670F"/>
    <w:rsid w:val="001B0DF2"/>
    <w:rsid w:val="001B4260"/>
    <w:rsid w:val="001B6A45"/>
    <w:rsid w:val="001C2753"/>
    <w:rsid w:val="001C4C07"/>
    <w:rsid w:val="001C5D80"/>
    <w:rsid w:val="001C62B8"/>
    <w:rsid w:val="001D0808"/>
    <w:rsid w:val="001D22D8"/>
    <w:rsid w:val="001D4296"/>
    <w:rsid w:val="001E747F"/>
    <w:rsid w:val="001E7B0E"/>
    <w:rsid w:val="001F141D"/>
    <w:rsid w:val="001F57F9"/>
    <w:rsid w:val="00200A06"/>
    <w:rsid w:val="00200A98"/>
    <w:rsid w:val="00201AFA"/>
    <w:rsid w:val="00205F02"/>
    <w:rsid w:val="00214C5C"/>
    <w:rsid w:val="00216C4D"/>
    <w:rsid w:val="002229F1"/>
    <w:rsid w:val="002321B2"/>
    <w:rsid w:val="00233F75"/>
    <w:rsid w:val="00243889"/>
    <w:rsid w:val="00253DBE"/>
    <w:rsid w:val="00253DC6"/>
    <w:rsid w:val="0025489C"/>
    <w:rsid w:val="00256285"/>
    <w:rsid w:val="002622FA"/>
    <w:rsid w:val="00263518"/>
    <w:rsid w:val="002759E7"/>
    <w:rsid w:val="00277326"/>
    <w:rsid w:val="002A11C4"/>
    <w:rsid w:val="002A399B"/>
    <w:rsid w:val="002A49E2"/>
    <w:rsid w:val="002B4B14"/>
    <w:rsid w:val="002C26C0"/>
    <w:rsid w:val="002C2BC5"/>
    <w:rsid w:val="002E0407"/>
    <w:rsid w:val="002E3BE7"/>
    <w:rsid w:val="002E3C52"/>
    <w:rsid w:val="002E4811"/>
    <w:rsid w:val="002E68E8"/>
    <w:rsid w:val="002E79CB"/>
    <w:rsid w:val="002F4DBD"/>
    <w:rsid w:val="002F7F55"/>
    <w:rsid w:val="003070E4"/>
    <w:rsid w:val="0030745F"/>
    <w:rsid w:val="003100BB"/>
    <w:rsid w:val="00314630"/>
    <w:rsid w:val="003160F4"/>
    <w:rsid w:val="0032090A"/>
    <w:rsid w:val="00321CDE"/>
    <w:rsid w:val="00324C94"/>
    <w:rsid w:val="00325100"/>
    <w:rsid w:val="00330FEB"/>
    <w:rsid w:val="00333E15"/>
    <w:rsid w:val="003345F1"/>
    <w:rsid w:val="003449F4"/>
    <w:rsid w:val="00355351"/>
    <w:rsid w:val="003564FF"/>
    <w:rsid w:val="003571BC"/>
    <w:rsid w:val="0036090C"/>
    <w:rsid w:val="00361116"/>
    <w:rsid w:val="00362562"/>
    <w:rsid w:val="003626A3"/>
    <w:rsid w:val="00364184"/>
    <w:rsid w:val="00364AB2"/>
    <w:rsid w:val="00370A3F"/>
    <w:rsid w:val="00385FB5"/>
    <w:rsid w:val="0038715D"/>
    <w:rsid w:val="003920F0"/>
    <w:rsid w:val="00394DBF"/>
    <w:rsid w:val="0039571A"/>
    <w:rsid w:val="003957A6"/>
    <w:rsid w:val="003979D4"/>
    <w:rsid w:val="003A43EF"/>
    <w:rsid w:val="003C7445"/>
    <w:rsid w:val="003D1825"/>
    <w:rsid w:val="003D4D2D"/>
    <w:rsid w:val="003E39A2"/>
    <w:rsid w:val="003E44AF"/>
    <w:rsid w:val="003E57AB"/>
    <w:rsid w:val="003F2BED"/>
    <w:rsid w:val="003F4ECF"/>
    <w:rsid w:val="00400B49"/>
    <w:rsid w:val="00405021"/>
    <w:rsid w:val="0041188F"/>
    <w:rsid w:val="004119B6"/>
    <w:rsid w:val="00443878"/>
    <w:rsid w:val="004539A8"/>
    <w:rsid w:val="004670D7"/>
    <w:rsid w:val="00470850"/>
    <w:rsid w:val="004712CA"/>
    <w:rsid w:val="0047422E"/>
    <w:rsid w:val="00485473"/>
    <w:rsid w:val="00493DB6"/>
    <w:rsid w:val="0049528E"/>
    <w:rsid w:val="0049674B"/>
    <w:rsid w:val="004A3DEA"/>
    <w:rsid w:val="004C0673"/>
    <w:rsid w:val="004C4E4E"/>
    <w:rsid w:val="004C530F"/>
    <w:rsid w:val="004D191F"/>
    <w:rsid w:val="004D1B0E"/>
    <w:rsid w:val="004D246E"/>
    <w:rsid w:val="004D5E82"/>
    <w:rsid w:val="004E3C25"/>
    <w:rsid w:val="004E4398"/>
    <w:rsid w:val="004E751D"/>
    <w:rsid w:val="004F0C77"/>
    <w:rsid w:val="004F3816"/>
    <w:rsid w:val="00502D8B"/>
    <w:rsid w:val="0050586A"/>
    <w:rsid w:val="005069B0"/>
    <w:rsid w:val="00520DBF"/>
    <w:rsid w:val="00525503"/>
    <w:rsid w:val="005269B9"/>
    <w:rsid w:val="00530B40"/>
    <w:rsid w:val="00543D41"/>
    <w:rsid w:val="0054787D"/>
    <w:rsid w:val="0056105E"/>
    <w:rsid w:val="00562924"/>
    <w:rsid w:val="00566EDA"/>
    <w:rsid w:val="0057081A"/>
    <w:rsid w:val="00570D3A"/>
    <w:rsid w:val="00572654"/>
    <w:rsid w:val="00583742"/>
    <w:rsid w:val="0059460E"/>
    <w:rsid w:val="005976A1"/>
    <w:rsid w:val="005A6309"/>
    <w:rsid w:val="005B5629"/>
    <w:rsid w:val="005C0300"/>
    <w:rsid w:val="005C27A2"/>
    <w:rsid w:val="005C7626"/>
    <w:rsid w:val="005D4FEB"/>
    <w:rsid w:val="005D7C57"/>
    <w:rsid w:val="005F4B6A"/>
    <w:rsid w:val="005F557C"/>
    <w:rsid w:val="006010F3"/>
    <w:rsid w:val="00601490"/>
    <w:rsid w:val="006063F8"/>
    <w:rsid w:val="006079BE"/>
    <w:rsid w:val="006121CE"/>
    <w:rsid w:val="00615A0A"/>
    <w:rsid w:val="0061628F"/>
    <w:rsid w:val="00626673"/>
    <w:rsid w:val="006333D4"/>
    <w:rsid w:val="006369B2"/>
    <w:rsid w:val="0063718D"/>
    <w:rsid w:val="0064235A"/>
    <w:rsid w:val="00647525"/>
    <w:rsid w:val="00647A71"/>
    <w:rsid w:val="006521FE"/>
    <w:rsid w:val="0065415E"/>
    <w:rsid w:val="00655470"/>
    <w:rsid w:val="006570B0"/>
    <w:rsid w:val="0066022F"/>
    <w:rsid w:val="00660F12"/>
    <w:rsid w:val="00680DA2"/>
    <w:rsid w:val="006823F3"/>
    <w:rsid w:val="0069210B"/>
    <w:rsid w:val="0069369E"/>
    <w:rsid w:val="00694A65"/>
    <w:rsid w:val="00694B44"/>
    <w:rsid w:val="00695DD7"/>
    <w:rsid w:val="00697140"/>
    <w:rsid w:val="006A4055"/>
    <w:rsid w:val="006A6E4D"/>
    <w:rsid w:val="006A7C27"/>
    <w:rsid w:val="006B2FE4"/>
    <w:rsid w:val="006B37B0"/>
    <w:rsid w:val="006C5641"/>
    <w:rsid w:val="006D1089"/>
    <w:rsid w:val="006D1B86"/>
    <w:rsid w:val="006D3E9B"/>
    <w:rsid w:val="006D7355"/>
    <w:rsid w:val="006E0B73"/>
    <w:rsid w:val="006F3074"/>
    <w:rsid w:val="006F7220"/>
    <w:rsid w:val="006F7DEE"/>
    <w:rsid w:val="00700E5B"/>
    <w:rsid w:val="00701E2C"/>
    <w:rsid w:val="00712152"/>
    <w:rsid w:val="00714CE3"/>
    <w:rsid w:val="00715CA6"/>
    <w:rsid w:val="00731135"/>
    <w:rsid w:val="007324AF"/>
    <w:rsid w:val="007409B4"/>
    <w:rsid w:val="00741974"/>
    <w:rsid w:val="0075525E"/>
    <w:rsid w:val="00756D3D"/>
    <w:rsid w:val="007627A0"/>
    <w:rsid w:val="00764B99"/>
    <w:rsid w:val="007806C2"/>
    <w:rsid w:val="00781FEE"/>
    <w:rsid w:val="007903F8"/>
    <w:rsid w:val="00791BEB"/>
    <w:rsid w:val="00794F4F"/>
    <w:rsid w:val="007974BE"/>
    <w:rsid w:val="007A0916"/>
    <w:rsid w:val="007A0DFD"/>
    <w:rsid w:val="007B5A9F"/>
    <w:rsid w:val="007B6FCB"/>
    <w:rsid w:val="007C158F"/>
    <w:rsid w:val="007C1C6B"/>
    <w:rsid w:val="007C7122"/>
    <w:rsid w:val="007D3F11"/>
    <w:rsid w:val="007D473F"/>
    <w:rsid w:val="007E2C69"/>
    <w:rsid w:val="007E33CC"/>
    <w:rsid w:val="007E53E4"/>
    <w:rsid w:val="007E57DC"/>
    <w:rsid w:val="007E656A"/>
    <w:rsid w:val="007E69B5"/>
    <w:rsid w:val="007F3CAA"/>
    <w:rsid w:val="007F664D"/>
    <w:rsid w:val="00807516"/>
    <w:rsid w:val="00811AC0"/>
    <w:rsid w:val="0081235C"/>
    <w:rsid w:val="00813ED0"/>
    <w:rsid w:val="00823476"/>
    <w:rsid w:val="00836881"/>
    <w:rsid w:val="00837203"/>
    <w:rsid w:val="00842137"/>
    <w:rsid w:val="0084289F"/>
    <w:rsid w:val="00853F5F"/>
    <w:rsid w:val="008623ED"/>
    <w:rsid w:val="0086436C"/>
    <w:rsid w:val="0086437D"/>
    <w:rsid w:val="0087170F"/>
    <w:rsid w:val="00875AA6"/>
    <w:rsid w:val="00876E29"/>
    <w:rsid w:val="00877713"/>
    <w:rsid w:val="00880944"/>
    <w:rsid w:val="0089088E"/>
    <w:rsid w:val="00892297"/>
    <w:rsid w:val="008964D6"/>
    <w:rsid w:val="008A7133"/>
    <w:rsid w:val="008B5123"/>
    <w:rsid w:val="008C20C0"/>
    <w:rsid w:val="008C54FC"/>
    <w:rsid w:val="008C6530"/>
    <w:rsid w:val="008D75B4"/>
    <w:rsid w:val="008E0172"/>
    <w:rsid w:val="009009E4"/>
    <w:rsid w:val="00902207"/>
    <w:rsid w:val="00913828"/>
    <w:rsid w:val="0092439F"/>
    <w:rsid w:val="00936852"/>
    <w:rsid w:val="0094045D"/>
    <w:rsid w:val="009406B5"/>
    <w:rsid w:val="00946166"/>
    <w:rsid w:val="009563D6"/>
    <w:rsid w:val="00983164"/>
    <w:rsid w:val="00986C62"/>
    <w:rsid w:val="009972EF"/>
    <w:rsid w:val="00997822"/>
    <w:rsid w:val="009A4B6A"/>
    <w:rsid w:val="009B5035"/>
    <w:rsid w:val="009C2022"/>
    <w:rsid w:val="009C3160"/>
    <w:rsid w:val="009E646C"/>
    <w:rsid w:val="009E766E"/>
    <w:rsid w:val="009F00BA"/>
    <w:rsid w:val="009F1960"/>
    <w:rsid w:val="009F2AB8"/>
    <w:rsid w:val="009F715E"/>
    <w:rsid w:val="00A10DBB"/>
    <w:rsid w:val="00A11720"/>
    <w:rsid w:val="00A17E29"/>
    <w:rsid w:val="00A21247"/>
    <w:rsid w:val="00A26B1E"/>
    <w:rsid w:val="00A318E1"/>
    <w:rsid w:val="00A31D47"/>
    <w:rsid w:val="00A32912"/>
    <w:rsid w:val="00A4013E"/>
    <w:rsid w:val="00A4045F"/>
    <w:rsid w:val="00A427CD"/>
    <w:rsid w:val="00A44EDE"/>
    <w:rsid w:val="00A45FEE"/>
    <w:rsid w:val="00A4600B"/>
    <w:rsid w:val="00A4782E"/>
    <w:rsid w:val="00A50506"/>
    <w:rsid w:val="00A51EF0"/>
    <w:rsid w:val="00A5337A"/>
    <w:rsid w:val="00A534F0"/>
    <w:rsid w:val="00A62A8F"/>
    <w:rsid w:val="00A67A81"/>
    <w:rsid w:val="00A730A6"/>
    <w:rsid w:val="00A81820"/>
    <w:rsid w:val="00A971A0"/>
    <w:rsid w:val="00AA1F22"/>
    <w:rsid w:val="00AA60B7"/>
    <w:rsid w:val="00AA61E6"/>
    <w:rsid w:val="00AB5EA7"/>
    <w:rsid w:val="00AC1A6F"/>
    <w:rsid w:val="00AD4361"/>
    <w:rsid w:val="00AE1952"/>
    <w:rsid w:val="00AE3CE1"/>
    <w:rsid w:val="00AE674D"/>
    <w:rsid w:val="00AE7259"/>
    <w:rsid w:val="00AF02C8"/>
    <w:rsid w:val="00B00253"/>
    <w:rsid w:val="00B04F97"/>
    <w:rsid w:val="00B05821"/>
    <w:rsid w:val="00B06D1A"/>
    <w:rsid w:val="00B100D6"/>
    <w:rsid w:val="00B164C9"/>
    <w:rsid w:val="00B26C28"/>
    <w:rsid w:val="00B3410B"/>
    <w:rsid w:val="00B4174C"/>
    <w:rsid w:val="00B453F5"/>
    <w:rsid w:val="00B47743"/>
    <w:rsid w:val="00B50E9D"/>
    <w:rsid w:val="00B542F6"/>
    <w:rsid w:val="00B5623C"/>
    <w:rsid w:val="00B57F77"/>
    <w:rsid w:val="00B60426"/>
    <w:rsid w:val="00B61624"/>
    <w:rsid w:val="00B62AE8"/>
    <w:rsid w:val="00B66481"/>
    <w:rsid w:val="00B7189C"/>
    <w:rsid w:val="00B718A5"/>
    <w:rsid w:val="00B84966"/>
    <w:rsid w:val="00B90414"/>
    <w:rsid w:val="00B90AD6"/>
    <w:rsid w:val="00BA5A3C"/>
    <w:rsid w:val="00BA788A"/>
    <w:rsid w:val="00BB4983"/>
    <w:rsid w:val="00BB7597"/>
    <w:rsid w:val="00BC0C51"/>
    <w:rsid w:val="00BC2AAB"/>
    <w:rsid w:val="00BC62E2"/>
    <w:rsid w:val="00BF591D"/>
    <w:rsid w:val="00BF62F7"/>
    <w:rsid w:val="00C0349F"/>
    <w:rsid w:val="00C36283"/>
    <w:rsid w:val="00C37820"/>
    <w:rsid w:val="00C42125"/>
    <w:rsid w:val="00C5584A"/>
    <w:rsid w:val="00C60F30"/>
    <w:rsid w:val="00C62814"/>
    <w:rsid w:val="00C6682C"/>
    <w:rsid w:val="00C67B25"/>
    <w:rsid w:val="00C7067F"/>
    <w:rsid w:val="00C748F7"/>
    <w:rsid w:val="00C74937"/>
    <w:rsid w:val="00CB011A"/>
    <w:rsid w:val="00CB2599"/>
    <w:rsid w:val="00CC39AB"/>
    <w:rsid w:val="00CC4C8F"/>
    <w:rsid w:val="00CD2139"/>
    <w:rsid w:val="00CD4E78"/>
    <w:rsid w:val="00CD6848"/>
    <w:rsid w:val="00CE5986"/>
    <w:rsid w:val="00D0151B"/>
    <w:rsid w:val="00D047CD"/>
    <w:rsid w:val="00D22441"/>
    <w:rsid w:val="00D40835"/>
    <w:rsid w:val="00D52ECD"/>
    <w:rsid w:val="00D57471"/>
    <w:rsid w:val="00D64311"/>
    <w:rsid w:val="00D6442C"/>
    <w:rsid w:val="00D647EF"/>
    <w:rsid w:val="00D73137"/>
    <w:rsid w:val="00D80C22"/>
    <w:rsid w:val="00D945DE"/>
    <w:rsid w:val="00D95A39"/>
    <w:rsid w:val="00D977A2"/>
    <w:rsid w:val="00DA1D47"/>
    <w:rsid w:val="00DA20AD"/>
    <w:rsid w:val="00DA2A59"/>
    <w:rsid w:val="00DA6CC9"/>
    <w:rsid w:val="00DA705A"/>
    <w:rsid w:val="00DB25AC"/>
    <w:rsid w:val="00DC6BF9"/>
    <w:rsid w:val="00DD2ECB"/>
    <w:rsid w:val="00DD50DE"/>
    <w:rsid w:val="00DE3062"/>
    <w:rsid w:val="00DF4241"/>
    <w:rsid w:val="00E00B6E"/>
    <w:rsid w:val="00E02E78"/>
    <w:rsid w:val="00E031C7"/>
    <w:rsid w:val="00E03BEC"/>
    <w:rsid w:val="00E0581D"/>
    <w:rsid w:val="00E159EA"/>
    <w:rsid w:val="00E204DD"/>
    <w:rsid w:val="00E266AB"/>
    <w:rsid w:val="00E27327"/>
    <w:rsid w:val="00E339C1"/>
    <w:rsid w:val="00E353EC"/>
    <w:rsid w:val="00E36508"/>
    <w:rsid w:val="00E436D5"/>
    <w:rsid w:val="00E51F61"/>
    <w:rsid w:val="00E53C24"/>
    <w:rsid w:val="00E56C76"/>
    <w:rsid w:val="00E56E77"/>
    <w:rsid w:val="00E63D34"/>
    <w:rsid w:val="00E91047"/>
    <w:rsid w:val="00E94380"/>
    <w:rsid w:val="00EA23B9"/>
    <w:rsid w:val="00EA2C0A"/>
    <w:rsid w:val="00EB1E0D"/>
    <w:rsid w:val="00EB444D"/>
    <w:rsid w:val="00EB4F7C"/>
    <w:rsid w:val="00ED7134"/>
    <w:rsid w:val="00EE25BE"/>
    <w:rsid w:val="00EE5C0D"/>
    <w:rsid w:val="00EF4792"/>
    <w:rsid w:val="00EF5981"/>
    <w:rsid w:val="00EF78F9"/>
    <w:rsid w:val="00F02294"/>
    <w:rsid w:val="00F03A49"/>
    <w:rsid w:val="00F1407E"/>
    <w:rsid w:val="00F2779A"/>
    <w:rsid w:val="00F30028"/>
    <w:rsid w:val="00F30DE7"/>
    <w:rsid w:val="00F33078"/>
    <w:rsid w:val="00F3373C"/>
    <w:rsid w:val="00F35F57"/>
    <w:rsid w:val="00F47DFB"/>
    <w:rsid w:val="00F50467"/>
    <w:rsid w:val="00F539B7"/>
    <w:rsid w:val="00F562A0"/>
    <w:rsid w:val="00F57FA4"/>
    <w:rsid w:val="00F6469C"/>
    <w:rsid w:val="00F66A8E"/>
    <w:rsid w:val="00F7111B"/>
    <w:rsid w:val="00F71FEA"/>
    <w:rsid w:val="00F74E47"/>
    <w:rsid w:val="00F75147"/>
    <w:rsid w:val="00F92519"/>
    <w:rsid w:val="00F92AB7"/>
    <w:rsid w:val="00FA02CB"/>
    <w:rsid w:val="00FA2177"/>
    <w:rsid w:val="00FA6F07"/>
    <w:rsid w:val="00FB00FC"/>
    <w:rsid w:val="00FB0783"/>
    <w:rsid w:val="00FB7A8B"/>
    <w:rsid w:val="00FC46FC"/>
    <w:rsid w:val="00FD0127"/>
    <w:rsid w:val="00FD439E"/>
    <w:rsid w:val="00FD6DEA"/>
    <w:rsid w:val="00FD76CB"/>
    <w:rsid w:val="00FE152B"/>
    <w:rsid w:val="00FE239E"/>
    <w:rsid w:val="00FE26AF"/>
    <w:rsid w:val="00FE308F"/>
    <w:rsid w:val="00FE3195"/>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CDB2D29"/>
  <w15:chartTrackingRefBased/>
  <w15:docId w15:val="{4EFF26C5-0393-4083-A7D9-7D6B7E00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82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566EDA"/>
    <w:pPr>
      <w:spacing w:before="240"/>
      <w:outlineLvl w:val="1"/>
    </w:pPr>
  </w:style>
  <w:style w:type="paragraph" w:styleId="Heading3">
    <w:name w:val="heading 3"/>
    <w:basedOn w:val="Heading1"/>
    <w:next w:val="Normal"/>
    <w:link w:val="Heading3Char"/>
    <w:qFormat/>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qFormat/>
    <w:rsid w:val="00566EDA"/>
    <w:pPr>
      <w:tabs>
        <w:tab w:val="clear" w:pos="1021"/>
        <w:tab w:val="clear" w:pos="1191"/>
      </w:tabs>
      <w:ind w:left="1588" w:hanging="1588"/>
      <w:outlineLvl w:val="5"/>
    </w:pPr>
  </w:style>
  <w:style w:type="paragraph" w:styleId="Heading7">
    <w:name w:val="heading 7"/>
    <w:basedOn w:val="Heading6"/>
    <w:next w:val="Normal"/>
    <w:link w:val="Heading7Char"/>
    <w:qFormat/>
    <w:rsid w:val="00566EDA"/>
    <w:pPr>
      <w:outlineLvl w:val="6"/>
    </w:pPr>
  </w:style>
  <w:style w:type="paragraph" w:styleId="Heading8">
    <w:name w:val="heading 8"/>
    <w:basedOn w:val="Heading6"/>
    <w:next w:val="Normal"/>
    <w:link w:val="Heading8Char"/>
    <w:qFormat/>
    <w:rsid w:val="00566EDA"/>
    <w:pPr>
      <w:outlineLvl w:val="7"/>
    </w:pPr>
  </w:style>
  <w:style w:type="paragraph" w:styleId="Heading9">
    <w:name w:val="heading 9"/>
    <w:basedOn w:val="Heading6"/>
    <w:next w:val="Normal"/>
    <w:link w:val="Heading9Char"/>
    <w:qFormat/>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qFormat/>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aliases w:val="超级链接,Style 58,超?级链,CEO_Hyperlink,超链接1,超????,하이퍼링크2,超??级链Ú,fL????,fL?级,超??级链,하이퍼링크21"/>
    <w:basedOn w:val="DefaultParagraphFont"/>
    <w:qForma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qFormat/>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iPriority w:val="99"/>
    <w:unhideWhenUsed/>
    <w:qFormat/>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uiPriority w:val="99"/>
    <w:qFormat/>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qFormat/>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LSDeadline">
    <w:name w:val="LSDeadline"/>
    <w:basedOn w:val="Normal"/>
    <w:rsid w:val="00CD6848"/>
    <w:pPr>
      <w:tabs>
        <w:tab w:val="left" w:pos="794"/>
        <w:tab w:val="left" w:pos="1191"/>
        <w:tab w:val="left" w:pos="1588"/>
        <w:tab w:val="left" w:pos="1985"/>
      </w:tabs>
      <w:overflowPunct w:val="0"/>
      <w:autoSpaceDE w:val="0"/>
      <w:autoSpaceDN w:val="0"/>
      <w:adjustRightInd w:val="0"/>
      <w:textAlignment w:val="baseline"/>
    </w:pPr>
    <w:rPr>
      <w:rFonts w:eastAsia="Times New Roman"/>
      <w:b/>
      <w:bCs/>
      <w:szCs w:val="20"/>
      <w:lang w:eastAsia="en-US"/>
    </w:rPr>
  </w:style>
  <w:style w:type="paragraph" w:customStyle="1" w:styleId="LSForAction">
    <w:name w:val="LSForAction"/>
    <w:basedOn w:val="Normal"/>
    <w:rsid w:val="00CD6848"/>
    <w:pPr>
      <w:tabs>
        <w:tab w:val="left" w:pos="794"/>
        <w:tab w:val="left" w:pos="1191"/>
        <w:tab w:val="left" w:pos="1588"/>
        <w:tab w:val="left" w:pos="1985"/>
      </w:tabs>
      <w:overflowPunct w:val="0"/>
      <w:autoSpaceDE w:val="0"/>
      <w:autoSpaceDN w:val="0"/>
      <w:adjustRightInd w:val="0"/>
      <w:textAlignment w:val="baseline"/>
    </w:pPr>
    <w:rPr>
      <w:rFonts w:eastAsia="Times New Roman"/>
      <w:b/>
      <w:bCs/>
      <w:szCs w:val="20"/>
      <w:lang w:eastAsia="en-US"/>
    </w:rPr>
  </w:style>
  <w:style w:type="paragraph" w:customStyle="1" w:styleId="LSForInfo">
    <w:name w:val="LSForInfo"/>
    <w:basedOn w:val="LSForAction"/>
    <w:rsid w:val="00CD6848"/>
  </w:style>
  <w:style w:type="paragraph" w:customStyle="1" w:styleId="LSForComment">
    <w:name w:val="LSForComment"/>
    <w:basedOn w:val="LSForAction"/>
    <w:rsid w:val="00CD6848"/>
  </w:style>
  <w:style w:type="paragraph" w:customStyle="1" w:styleId="enumlev1">
    <w:name w:val="enumlev1"/>
    <w:basedOn w:val="Normal"/>
    <w:link w:val="enumlev1Char"/>
    <w:qFormat/>
    <w:rsid w:val="00B50E9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Normalaftertitle">
    <w:name w:val="Normal_after_title"/>
    <w:basedOn w:val="Normal"/>
    <w:next w:val="Normal"/>
    <w:rsid w:val="00107BC2"/>
    <w:pPr>
      <w:tabs>
        <w:tab w:val="left" w:pos="794"/>
        <w:tab w:val="left" w:pos="1191"/>
        <w:tab w:val="left" w:pos="1588"/>
        <w:tab w:val="left" w:pos="1985"/>
      </w:tabs>
      <w:overflowPunct w:val="0"/>
      <w:autoSpaceDE w:val="0"/>
      <w:autoSpaceDN w:val="0"/>
      <w:adjustRightInd w:val="0"/>
      <w:spacing w:before="360"/>
      <w:textAlignment w:val="baseline"/>
    </w:pPr>
    <w:rPr>
      <w:rFonts w:eastAsia="MS Mincho"/>
      <w:szCs w:val="20"/>
      <w:lang w:eastAsia="en-US"/>
    </w:rPr>
  </w:style>
  <w:style w:type="table" w:styleId="TableGrid">
    <w:name w:val="Table Grid"/>
    <w:basedOn w:val="TableNormal"/>
    <w:rsid w:val="00A53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34F0"/>
    <w:pPr>
      <w:ind w:left="720"/>
      <w:contextualSpacing/>
    </w:pPr>
  </w:style>
  <w:style w:type="character" w:customStyle="1" w:styleId="UnresolvedMention1">
    <w:name w:val="Unresolved Mention1"/>
    <w:basedOn w:val="DefaultParagraphFont"/>
    <w:uiPriority w:val="99"/>
    <w:semiHidden/>
    <w:unhideWhenUsed/>
    <w:rsid w:val="00A534F0"/>
    <w:rPr>
      <w:color w:val="605E5C"/>
      <w:shd w:val="clear" w:color="auto" w:fill="E1DFDD"/>
    </w:rPr>
  </w:style>
  <w:style w:type="numbering" w:customStyle="1" w:styleId="NoList1">
    <w:name w:val="No List1"/>
    <w:next w:val="NoList"/>
    <w:uiPriority w:val="99"/>
    <w:semiHidden/>
    <w:unhideWhenUsed/>
    <w:rsid w:val="00DD2ECB"/>
  </w:style>
  <w:style w:type="paragraph" w:customStyle="1" w:styleId="msonormal0">
    <w:name w:val="msonormal"/>
    <w:basedOn w:val="Normal"/>
    <w:rsid w:val="00DD2ECB"/>
    <w:pPr>
      <w:spacing w:before="100" w:beforeAutospacing="1" w:after="100" w:afterAutospacing="1"/>
    </w:pPr>
    <w:rPr>
      <w:rFonts w:eastAsia="Times New Roman"/>
      <w:lang w:val="fr-CH" w:eastAsia="fr-CH"/>
    </w:rPr>
  </w:style>
  <w:style w:type="character" w:styleId="FollowedHyperlink">
    <w:name w:val="FollowedHyperlink"/>
    <w:basedOn w:val="DefaultParagraphFont"/>
    <w:uiPriority w:val="99"/>
    <w:semiHidden/>
    <w:unhideWhenUsed/>
    <w:rsid w:val="00DD2ECB"/>
    <w:rPr>
      <w:color w:val="800080"/>
      <w:u w:val="single"/>
    </w:rPr>
  </w:style>
  <w:style w:type="character" w:customStyle="1" w:styleId="UnresolvedMention2">
    <w:name w:val="Unresolved Mention2"/>
    <w:basedOn w:val="DefaultParagraphFont"/>
    <w:uiPriority w:val="99"/>
    <w:semiHidden/>
    <w:unhideWhenUsed/>
    <w:rsid w:val="006F3074"/>
    <w:rPr>
      <w:color w:val="605E5C"/>
      <w:shd w:val="clear" w:color="auto" w:fill="E1DFDD"/>
    </w:rPr>
  </w:style>
  <w:style w:type="character" w:customStyle="1" w:styleId="UnresolvedMention">
    <w:name w:val="Unresolved Mention"/>
    <w:basedOn w:val="DefaultParagraphFont"/>
    <w:uiPriority w:val="99"/>
    <w:semiHidden/>
    <w:unhideWhenUsed/>
    <w:rsid w:val="00E91047"/>
    <w:rPr>
      <w:color w:val="605E5C"/>
      <w:shd w:val="clear" w:color="auto" w:fill="E1DFDD"/>
    </w:rPr>
  </w:style>
  <w:style w:type="paragraph" w:styleId="NormalWeb">
    <w:name w:val="Normal (Web)"/>
    <w:basedOn w:val="Normal"/>
    <w:uiPriority w:val="99"/>
    <w:unhideWhenUsed/>
    <w:rsid w:val="009F2AB8"/>
    <w:pPr>
      <w:spacing w:before="100" w:beforeAutospacing="1" w:after="100" w:afterAutospacing="1"/>
    </w:pPr>
    <w:rPr>
      <w:rFonts w:eastAsia="Times New Roman"/>
      <w:lang w:eastAsia="en-US"/>
    </w:rPr>
  </w:style>
  <w:style w:type="character" w:customStyle="1" w:styleId="enumlev1Char">
    <w:name w:val="enumlev1 Char"/>
    <w:link w:val="enumlev1"/>
    <w:qFormat/>
    <w:locked/>
    <w:rsid w:val="009F2AB8"/>
    <w:rPr>
      <w:rFonts w:ascii="Times New Roman" w:eastAsia="Times New Roman" w:hAnsi="Times New Roman" w:cs="Times New Roman"/>
      <w:sz w:val="24"/>
      <w:szCs w:val="20"/>
      <w:lang w:val="en-GB" w:eastAsia="en-US"/>
    </w:rPr>
  </w:style>
  <w:style w:type="paragraph" w:styleId="FootnoteText">
    <w:name w:val="footnote text"/>
    <w:basedOn w:val="Normal"/>
    <w:link w:val="FootnoteTextChar"/>
    <w:uiPriority w:val="99"/>
    <w:unhideWhenUsed/>
    <w:rsid w:val="009F2AB8"/>
    <w:pPr>
      <w:spacing w:before="0"/>
    </w:pPr>
    <w:rPr>
      <w:rFonts w:eastAsia="Times New Roman"/>
      <w:sz w:val="20"/>
      <w:szCs w:val="20"/>
      <w:lang w:eastAsia="en-US"/>
    </w:rPr>
  </w:style>
  <w:style w:type="character" w:customStyle="1" w:styleId="FootnoteTextChar">
    <w:name w:val="Footnote Text Char"/>
    <w:basedOn w:val="DefaultParagraphFont"/>
    <w:link w:val="FootnoteText"/>
    <w:uiPriority w:val="99"/>
    <w:rsid w:val="009F2AB8"/>
    <w:rPr>
      <w:rFonts w:ascii="Times New Roman" w:eastAsia="Times New Roman" w:hAnsi="Times New Roman" w:cs="Times New Roman"/>
      <w:sz w:val="20"/>
      <w:szCs w:val="20"/>
      <w:lang w:val="en-GB" w:eastAsia="en-US"/>
    </w:rPr>
  </w:style>
  <w:style w:type="character" w:styleId="FootnoteReference">
    <w:name w:val="footnote reference"/>
    <w:basedOn w:val="DefaultParagraphFont"/>
    <w:uiPriority w:val="99"/>
    <w:semiHidden/>
    <w:unhideWhenUsed/>
    <w:rsid w:val="009F2AB8"/>
    <w:rPr>
      <w:vertAlign w:val="superscript"/>
    </w:rPr>
  </w:style>
  <w:style w:type="paragraph" w:customStyle="1" w:styleId="Default">
    <w:name w:val="Default"/>
    <w:rsid w:val="009F2AB8"/>
    <w:pPr>
      <w:autoSpaceDE w:val="0"/>
      <w:autoSpaceDN w:val="0"/>
      <w:adjustRightInd w:val="0"/>
      <w:spacing w:after="0" w:line="240" w:lineRule="auto"/>
    </w:pPr>
    <w:rPr>
      <w:rFonts w:ascii="Times New Roman" w:hAnsi="Times New Roman" w:cs="Times New Roman"/>
      <w:color w:val="000000"/>
      <w:sz w:val="24"/>
      <w:szCs w:val="24"/>
      <w:lang w:val="en-CA"/>
    </w:rPr>
  </w:style>
  <w:style w:type="character" w:styleId="CommentReference">
    <w:name w:val="annotation reference"/>
    <w:basedOn w:val="DefaultParagraphFont"/>
    <w:uiPriority w:val="99"/>
    <w:semiHidden/>
    <w:unhideWhenUsed/>
    <w:rsid w:val="006121CE"/>
    <w:rPr>
      <w:sz w:val="16"/>
      <w:szCs w:val="16"/>
    </w:rPr>
  </w:style>
  <w:style w:type="paragraph" w:styleId="CommentText">
    <w:name w:val="annotation text"/>
    <w:basedOn w:val="Normal"/>
    <w:link w:val="CommentTextChar"/>
    <w:uiPriority w:val="99"/>
    <w:semiHidden/>
    <w:unhideWhenUsed/>
    <w:rsid w:val="006121CE"/>
    <w:rPr>
      <w:sz w:val="20"/>
      <w:szCs w:val="20"/>
    </w:rPr>
  </w:style>
  <w:style w:type="character" w:customStyle="1" w:styleId="CommentTextChar">
    <w:name w:val="Comment Text Char"/>
    <w:basedOn w:val="DefaultParagraphFont"/>
    <w:link w:val="CommentText"/>
    <w:uiPriority w:val="99"/>
    <w:semiHidden/>
    <w:rsid w:val="006121CE"/>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6121CE"/>
    <w:rPr>
      <w:b/>
      <w:bCs/>
    </w:rPr>
  </w:style>
  <w:style w:type="character" w:customStyle="1" w:styleId="CommentSubjectChar">
    <w:name w:val="Comment Subject Char"/>
    <w:basedOn w:val="CommentTextChar"/>
    <w:link w:val="CommentSubject"/>
    <w:uiPriority w:val="99"/>
    <w:semiHidden/>
    <w:rsid w:val="006121CE"/>
    <w:rPr>
      <w:rFonts w:ascii="Times New Roman" w:hAnsi="Times New Roman" w:cs="Times New Roman"/>
      <w:b/>
      <w:bCs/>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970075">
      <w:bodyDiv w:val="1"/>
      <w:marLeft w:val="0"/>
      <w:marRight w:val="0"/>
      <w:marTop w:val="0"/>
      <w:marBottom w:val="0"/>
      <w:divBdr>
        <w:top w:val="none" w:sz="0" w:space="0" w:color="auto"/>
        <w:left w:val="none" w:sz="0" w:space="0" w:color="auto"/>
        <w:bottom w:val="none" w:sz="0" w:space="0" w:color="auto"/>
        <w:right w:val="none" w:sz="0" w:space="0" w:color="auto"/>
      </w:divBdr>
    </w:div>
    <w:div w:id="936791163">
      <w:bodyDiv w:val="1"/>
      <w:marLeft w:val="0"/>
      <w:marRight w:val="0"/>
      <w:marTop w:val="0"/>
      <w:marBottom w:val="0"/>
      <w:divBdr>
        <w:top w:val="none" w:sz="0" w:space="0" w:color="auto"/>
        <w:left w:val="none" w:sz="0" w:space="0" w:color="auto"/>
        <w:bottom w:val="none" w:sz="0" w:space="0" w:color="auto"/>
        <w:right w:val="none" w:sz="0" w:space="0" w:color="auto"/>
      </w:divBdr>
    </w:div>
    <w:div w:id="1155300586">
      <w:bodyDiv w:val="1"/>
      <w:marLeft w:val="0"/>
      <w:marRight w:val="0"/>
      <w:marTop w:val="0"/>
      <w:marBottom w:val="0"/>
      <w:divBdr>
        <w:top w:val="none" w:sz="0" w:space="0" w:color="auto"/>
        <w:left w:val="none" w:sz="0" w:space="0" w:color="auto"/>
        <w:bottom w:val="none" w:sz="0" w:space="0" w:color="auto"/>
        <w:right w:val="none" w:sz="0" w:space="0" w:color="auto"/>
      </w:divBdr>
    </w:div>
    <w:div w:id="1263949421">
      <w:bodyDiv w:val="1"/>
      <w:marLeft w:val="0"/>
      <w:marRight w:val="0"/>
      <w:marTop w:val="0"/>
      <w:marBottom w:val="0"/>
      <w:divBdr>
        <w:top w:val="none" w:sz="0" w:space="0" w:color="auto"/>
        <w:left w:val="none" w:sz="0" w:space="0" w:color="auto"/>
        <w:bottom w:val="none" w:sz="0" w:space="0" w:color="auto"/>
        <w:right w:val="none" w:sz="0" w:space="0" w:color="auto"/>
      </w:divBdr>
    </w:div>
    <w:div w:id="1472744792">
      <w:bodyDiv w:val="1"/>
      <w:marLeft w:val="0"/>
      <w:marRight w:val="0"/>
      <w:marTop w:val="0"/>
      <w:marBottom w:val="0"/>
      <w:divBdr>
        <w:top w:val="none" w:sz="0" w:space="0" w:color="auto"/>
        <w:left w:val="none" w:sz="0" w:space="0" w:color="auto"/>
        <w:bottom w:val="none" w:sz="0" w:space="0" w:color="auto"/>
        <w:right w:val="none" w:sz="0" w:space="0" w:color="auto"/>
      </w:divBdr>
    </w:div>
    <w:div w:id="154902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asser.almarzouqi@tra.gov.a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handle.itu.int/11.1002/ls/sp16-sg20-oLS-00232.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tu.int/go/fgai4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s://itu.int/go/fgai4a"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andle.itu.int/11.1002/ls/sp16-sg20-oLS-00232.doc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52888CD44D40069567BCAEBFDFEF34"/>
        <w:category>
          <w:name w:val="General"/>
          <w:gallery w:val="placeholder"/>
        </w:category>
        <w:types>
          <w:type w:val="bbPlcHdr"/>
        </w:types>
        <w:behaviors>
          <w:behavior w:val="content"/>
        </w:behaviors>
        <w:guid w:val="{54BC199A-FCB9-4879-BDCB-141A579F8F81}"/>
      </w:docPartPr>
      <w:docPartBody>
        <w:p w:rsidR="00270901" w:rsidRDefault="00020AA6" w:rsidP="00020AA6">
          <w:pPr>
            <w:pStyle w:val="A952888CD44D40069567BCAEBFDFEF34"/>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w:altName w:val="MS Mincho"/>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B1"/>
    <w:rsid w:val="00020AA6"/>
    <w:rsid w:val="00037F0A"/>
    <w:rsid w:val="00050609"/>
    <w:rsid w:val="00061607"/>
    <w:rsid w:val="00072B8C"/>
    <w:rsid w:val="000E25BB"/>
    <w:rsid w:val="00197DA6"/>
    <w:rsid w:val="001A1C4C"/>
    <w:rsid w:val="001B6C6B"/>
    <w:rsid w:val="00200121"/>
    <w:rsid w:val="00256D54"/>
    <w:rsid w:val="00270901"/>
    <w:rsid w:val="002A0AE4"/>
    <w:rsid w:val="002E1CB2"/>
    <w:rsid w:val="00300983"/>
    <w:rsid w:val="003200CA"/>
    <w:rsid w:val="00325284"/>
    <w:rsid w:val="00325869"/>
    <w:rsid w:val="003610F4"/>
    <w:rsid w:val="003962CD"/>
    <w:rsid w:val="003B491B"/>
    <w:rsid w:val="003D296D"/>
    <w:rsid w:val="003F520B"/>
    <w:rsid w:val="00400F37"/>
    <w:rsid w:val="00400FFE"/>
    <w:rsid w:val="00402B48"/>
    <w:rsid w:val="00403A9C"/>
    <w:rsid w:val="00454CAD"/>
    <w:rsid w:val="00464382"/>
    <w:rsid w:val="00473D63"/>
    <w:rsid w:val="00474129"/>
    <w:rsid w:val="004D3A5B"/>
    <w:rsid w:val="004E2252"/>
    <w:rsid w:val="004F124B"/>
    <w:rsid w:val="00521197"/>
    <w:rsid w:val="005B0AEB"/>
    <w:rsid w:val="005B38F3"/>
    <w:rsid w:val="005C2895"/>
    <w:rsid w:val="005F6CD5"/>
    <w:rsid w:val="0061653B"/>
    <w:rsid w:val="006431B1"/>
    <w:rsid w:val="00672B22"/>
    <w:rsid w:val="0068318E"/>
    <w:rsid w:val="006D2486"/>
    <w:rsid w:val="006F6568"/>
    <w:rsid w:val="0070238E"/>
    <w:rsid w:val="0071787F"/>
    <w:rsid w:val="00726DDE"/>
    <w:rsid w:val="00731377"/>
    <w:rsid w:val="00747A76"/>
    <w:rsid w:val="00795BA6"/>
    <w:rsid w:val="007C02F8"/>
    <w:rsid w:val="00841C9F"/>
    <w:rsid w:val="00863B63"/>
    <w:rsid w:val="008715A8"/>
    <w:rsid w:val="008D554D"/>
    <w:rsid w:val="008E5D10"/>
    <w:rsid w:val="00947D8D"/>
    <w:rsid w:val="009916A9"/>
    <w:rsid w:val="00992675"/>
    <w:rsid w:val="009A4B03"/>
    <w:rsid w:val="009A505A"/>
    <w:rsid w:val="009C54FE"/>
    <w:rsid w:val="009F2F69"/>
    <w:rsid w:val="00A3586C"/>
    <w:rsid w:val="00A65845"/>
    <w:rsid w:val="00A8359E"/>
    <w:rsid w:val="00A84E1D"/>
    <w:rsid w:val="00AB0F92"/>
    <w:rsid w:val="00AF3CAC"/>
    <w:rsid w:val="00B0109D"/>
    <w:rsid w:val="00B21D9B"/>
    <w:rsid w:val="00B603E6"/>
    <w:rsid w:val="00BF10DB"/>
    <w:rsid w:val="00BF3BC1"/>
    <w:rsid w:val="00C02C21"/>
    <w:rsid w:val="00C7519D"/>
    <w:rsid w:val="00CD251B"/>
    <w:rsid w:val="00D13A99"/>
    <w:rsid w:val="00D352FB"/>
    <w:rsid w:val="00D40096"/>
    <w:rsid w:val="00D677E6"/>
    <w:rsid w:val="00DB774F"/>
    <w:rsid w:val="00DD7F58"/>
    <w:rsid w:val="00DF32A8"/>
    <w:rsid w:val="00E119F6"/>
    <w:rsid w:val="00E24248"/>
    <w:rsid w:val="00E66F7A"/>
    <w:rsid w:val="00E8408F"/>
    <w:rsid w:val="00E95749"/>
    <w:rsid w:val="00EE281E"/>
    <w:rsid w:val="00F01945"/>
    <w:rsid w:val="00F176CB"/>
    <w:rsid w:val="00F20576"/>
    <w:rsid w:val="00F869EF"/>
    <w:rsid w:val="00F940EE"/>
    <w:rsid w:val="00F96566"/>
    <w:rsid w:val="00FD5259"/>
    <w:rsid w:val="00FE01B7"/>
    <w:rsid w:val="00FE59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20AA6"/>
  </w:style>
  <w:style w:type="paragraph" w:customStyle="1" w:styleId="A952888CD44D40069567BCAEBFDFEF34">
    <w:name w:val="A952888CD44D40069567BCAEBFDFEF34"/>
    <w:rsid w:val="00020AA6"/>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GCustom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 minOccurs="0"/>
                <xsd:element ref="ns2:SourceRGM" minOccurs="0"/>
                <xsd:element ref="ns2:Abstract" minOccurs="0"/>
                <xsd:element ref="ns2:Observations"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StudyPeriod" minOccurs="0"/>
                <xsd:element ref="ns2:Document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 ma:index="5" nillable="true" ma:displayName="Purpose" ma:default="Other" ma:format="Dropdown" ma:internalName="Purpose">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StudyPeriod" ma:index="20" nillable="true" ma:displayName="StudyPeriod" ma:internalName="StudyPeriod">
      <xsd:simpleType>
        <xsd:restriction base="dms:Text">
          <xsd:maxLength value="30"/>
        </xsd:restriction>
      </xsd:simpleType>
    </xsd:element>
    <xsd:element name="DocumentSource" ma:index="24" nillable="true" ma:displayName="DocumentSource" ma:internalName="Document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SgText xmlns="3f6fad35-1f81-480e-a4e5-6e5474dcfb96" xsi:nil="true"/>
    <Purpose xmlns="3f6fad35-1f81-480e-a4e5-6e5474dcfb96">Information</Purpose>
    <Abstract xmlns="3f6fad35-1f81-480e-a4e5-6e5474dcfb96">This document contains the Terms of Reference of ITU-T Focus Group on “Artificial Intelligence (AI) and Internet of Things (IoT) for Digital Agriculture” (FG-AI4A) as agreed during the SG20 plenary held on 21 October 2021.</Abstract>
    <SourceRGM xmlns="3f6fad35-1f81-480e-a4e5-6e5474dcfb96" xsi:nil="true"/>
    <StudyGroup xmlns="3f6fad35-1f81-480e-a4e5-6e5474dcfb96" xsi:nil="true"/>
    <StudyPeriod xmlns="3f6fad35-1f81-480e-a4e5-6e5474dcfb96">2017-2020</StudyPeriod>
    <DocType xmlns="3f6fad35-1f81-480e-a4e5-6e5474dcfb96">TD</DocType>
    <QuestionText xmlns="3f6fad35-1f81-480e-a4e5-6e5474dcfb96" xsi:nil="true"/>
    <DocTypeText xmlns="3f6fad35-1f81-480e-a4e5-6e5474dcfb96">TD</DocTypeText>
    <CategoryDescription xmlns="http://schemas.microsoft.com/sharepoint.v3" xsi:nil="true"/>
    <ShortName xmlns="3f6fad35-1f81-480e-a4e5-6e5474dcfb96" xsi:nil="true"/>
    <Place xmlns="3f6fad35-1f81-480e-a4e5-6e5474dcfb96" xsi:nil="true"/>
    <Observations xmlns="3f6fad35-1f81-480e-a4e5-6e5474dcfb96" xsi:nil="true"/>
    <DocumentSource xmlns="3f6fad35-1f81-480e-a4e5-6e5474dcfb9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purl.org/dc/elements/1.1/"/>
    <ds:schemaRef ds:uri="http://schemas.microsoft.com/sharepoint.v3"/>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3f6fad35-1f81-480e-a4e5-6e5474dcfb96"/>
    <ds:schemaRef ds:uri="http://www.w3.org/XML/1998/namespace"/>
    <ds:schemaRef ds:uri="http://purl.org/dc/dcmitype/"/>
  </ds:schemaRefs>
</ds:datastoreItem>
</file>

<file path=customXml/itemProps4.xml><?xml version="1.0" encoding="utf-8"?>
<ds:datastoreItem xmlns:ds="http://schemas.openxmlformats.org/officeDocument/2006/customXml" ds:itemID="{3BBDEDAE-2823-4DC9-83B2-0F4581BD1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2914</Words>
  <Characters>16613</Characters>
  <Application>Microsoft Office Word</Application>
  <DocSecurity>0</DocSecurity>
  <Lines>138</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Draft LS/o on establishment of a new ITU-T Focus Group on “Artificial Intelligence (AI) and Internet of Things (IoT) for Digital Agriculture” (FG-AI4A) [to All ITU-R, ITU-T and ITU-D SGs; FAO, ITU-T TSAG; FG-AI4A]</vt:lpstr>
      <vt:lpstr>Draft agenda for Question 5/20 meeting (Geneva, 9-18 April 2019)</vt:lpstr>
    </vt:vector>
  </TitlesOfParts>
  <Manager>ITU-T</Manager>
  <Company>International Telecommunication Union (ITU)</Company>
  <LinksUpToDate>false</LinksUpToDate>
  <CharactersWithSpaces>19489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LS/o on establishment of a new ITU-T Focus Group on “Artificial Intelligence (AI) and Internet of Things (IoT) for Digital Agriculture” (FG-AI4A) [to All ITU-R, ITU-T and ITU-D SGs; FAO, ITU-T TSAG; FG-AI4A]</dc:title>
  <dc:subject/>
  <dc:creator>ITU-T Study Group 20</dc:creator>
  <cp:keywords>ToR; FG-AI4A</cp:keywords>
  <dc:description>SG20-LS232  For: Virtual, 11-21 October 2021_x000d_Document date: _x000d_Saved by ITU51014379 at 09:51:40 on 22.10.2021</dc:description>
  <cp:lastModifiedBy>Al-Mnini, Lara</cp:lastModifiedBy>
  <cp:revision>3</cp:revision>
  <cp:lastPrinted>2016-12-23T12:52:00Z</cp:lastPrinted>
  <dcterms:created xsi:type="dcterms:W3CDTF">2021-10-22T08:30:00Z</dcterms:created>
  <dcterms:modified xsi:type="dcterms:W3CDTF">2021-10-22T08:36:00Z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SG20-LS232</vt:lpwstr>
  </property>
  <property fmtid="{D5CDD505-2E9C-101B-9397-08002B2CF9AE}" pid="3" name="Docdate">
    <vt:lpwstr/>
  </property>
  <property fmtid="{D5CDD505-2E9C-101B-9397-08002B2CF9AE}" pid="4" name="Docorlang">
    <vt:lpwstr/>
  </property>
  <property fmtid="{D5CDD505-2E9C-101B-9397-08002B2CF9AE}" pid="5" name="Docbluepink">
    <vt:lpwstr>All/20</vt:lpwstr>
  </property>
  <property fmtid="{D5CDD505-2E9C-101B-9397-08002B2CF9AE}" pid="6" name="Docdest">
    <vt:lpwstr>Virtual, 11-21 October 2021</vt:lpwstr>
  </property>
  <property fmtid="{D5CDD505-2E9C-101B-9397-08002B2CF9AE}" pid="7" name="Docauthor">
    <vt:lpwstr>ITU-T Study Group 20</vt:lpwstr>
  </property>
</Properties>
</file>