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EF6B" w14:textId="63FEEE03"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bookmarkStart w:id="0" w:name="_GoBack"/>
      <w:bookmarkEnd w:id="0"/>
    </w:p>
    <w:p w14:paraId="333F8A8D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E5D55C1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32348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6A664C76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F835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F4DBE" w14:textId="77777777" w:rsidR="00911477" w:rsidRPr="00DE4DB9" w:rsidRDefault="0012322C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to the ITU-T FG ML5G on Use Case template</w:t>
            </w:r>
          </w:p>
        </w:tc>
      </w:tr>
      <w:tr w:rsidR="00911477" w:rsidRPr="002A36EA" w14:paraId="52FAE09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02DE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33E9585" w14:textId="77777777" w:rsidR="00911477" w:rsidRPr="00911477" w:rsidRDefault="0012322C" w:rsidP="007F05C7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2020-04-02</w:t>
            </w:r>
          </w:p>
        </w:tc>
      </w:tr>
      <w:tr w:rsidR="00911477" w:rsidRPr="00D21604" w14:paraId="0F375258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7C3F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4FDB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599B0BB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EB82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BCD98" w14:textId="77777777" w:rsidR="00911477" w:rsidRPr="00DE4DB9" w:rsidRDefault="0012322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ISG ENI</w:t>
            </w:r>
          </w:p>
        </w:tc>
      </w:tr>
      <w:tr w:rsidR="00911477" w:rsidRPr="002A36EA" w14:paraId="7AFD9F2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E7BD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11489" w14:textId="77777777" w:rsidR="00911477" w:rsidRPr="00911477" w:rsidRDefault="0012322C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Ray Forbes (Raymond.forbes@huawei.com)</w:t>
            </w:r>
          </w:p>
        </w:tc>
      </w:tr>
      <w:tr w:rsidR="00911477" w:rsidRPr="008F646A" w14:paraId="1A74664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FEE7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C2DC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4986B77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4CD3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7C0C65D" w14:textId="77777777" w:rsidR="00911477" w:rsidRPr="00DE4DB9" w:rsidRDefault="0012322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ITU-T FG ML5G</w:t>
            </w:r>
          </w:p>
        </w:tc>
      </w:tr>
      <w:tr w:rsidR="00911477" w:rsidRPr="00DE4DB9" w14:paraId="578B315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9870E" w14:textId="6CF2F7DD" w:rsidR="00911477" w:rsidRPr="00DE4DB9" w:rsidRDefault="004269D1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to</w:t>
            </w:r>
            <w:r w:rsidR="00911477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9FF05B8" w14:textId="77777777" w:rsidR="00911477" w:rsidRPr="00DE4DB9" w:rsidRDefault="0012322C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Vishnu Ram OV (vishnu.n@ieee.org)</w:t>
            </w:r>
          </w:p>
        </w:tc>
      </w:tr>
      <w:tr w:rsidR="00911477" w:rsidRPr="00F85372" w14:paraId="3F23769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FE99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BE0EE5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061564D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843A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C997474" w14:textId="77777777" w:rsidR="00911477" w:rsidRPr="00911477" w:rsidRDefault="0012322C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Workshop on “</w:t>
            </w:r>
            <w:r w:rsidRPr="0012322C">
              <w:rPr>
                <w:rFonts w:ascii="Arial" w:hAnsi="Arial" w:cs="Arial"/>
                <w:color w:val="0000FF"/>
              </w:rPr>
              <w:t>ENI-Machine Learning in communication networks</w:t>
            </w:r>
            <w:r>
              <w:rPr>
                <w:rFonts w:ascii="Arial" w:hAnsi="Arial" w:cs="Arial"/>
                <w:color w:val="0000FF"/>
              </w:rPr>
              <w:t>” 2020-03-16</w:t>
            </w:r>
          </w:p>
        </w:tc>
      </w:tr>
      <w:tr w:rsidR="00911477" w:rsidRPr="00D21604" w14:paraId="5DD590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AC97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79F1AD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A29C23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22165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FF513" w14:textId="77777777" w:rsidR="00911477" w:rsidRPr="00911477" w:rsidRDefault="001F5FF6" w:rsidP="007F05C7">
            <w:pPr>
              <w:ind w:left="57"/>
              <w:rPr>
                <w:rFonts w:ascii="Arial" w:hAnsi="Arial" w:cs="Arial"/>
                <w:color w:val="0000FF"/>
              </w:rPr>
            </w:pPr>
            <w:hyperlink r:id="rId8" w:history="1">
              <w:r w:rsidR="0012322C" w:rsidRPr="00E87DC0">
                <w:rPr>
                  <w:rStyle w:val="Hyperlink"/>
                  <w:rFonts w:ascii="Arial" w:hAnsi="Arial" w:cs="Arial"/>
                </w:rPr>
                <w:t>https://www.etsi.org/deliver/etsi_gs/ENI/001_099/001/02.01.01_60/gs_ENI001v020101p.pdf</w:t>
              </w:r>
            </w:hyperlink>
            <w:r w:rsidR="0012322C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2E5375" w14:paraId="4E1DC7F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0C18BC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78CA571" w14:textId="77777777" w:rsidR="00911477" w:rsidRPr="00866086" w:rsidRDefault="00911477" w:rsidP="00911477"/>
    <w:p w14:paraId="19B3DD09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3354D9" w14:textId="3C9B3410" w:rsidR="00911477" w:rsidRDefault="0012322C" w:rsidP="00911477">
      <w:pPr>
        <w:rPr>
          <w:rFonts w:ascii="Arial" w:hAnsi="Arial" w:cs="Arial"/>
        </w:rPr>
      </w:pPr>
      <w:r w:rsidRPr="00BA6F0F">
        <w:rPr>
          <w:rFonts w:ascii="Arial" w:hAnsi="Arial" w:cs="Arial"/>
        </w:rPr>
        <w:t>ISG ENI was very pleased to have a workshop with the ITU-T on 16</w:t>
      </w:r>
      <w:r w:rsidRPr="00BA6F0F">
        <w:rPr>
          <w:rFonts w:ascii="Arial" w:hAnsi="Arial" w:cs="Arial"/>
          <w:vertAlign w:val="superscript"/>
        </w:rPr>
        <w:t>th</w:t>
      </w:r>
      <w:r w:rsidRPr="00BA6F0F">
        <w:rPr>
          <w:rFonts w:ascii="Arial" w:hAnsi="Arial" w:cs="Arial"/>
        </w:rPr>
        <w:t xml:space="preserve"> March 2020. At this workshop</w:t>
      </w:r>
      <w:r w:rsidR="00242923">
        <w:rPr>
          <w:rFonts w:ascii="Arial" w:hAnsi="Arial" w:cs="Arial"/>
        </w:rPr>
        <w:t>,</w:t>
      </w:r>
      <w:r w:rsidRPr="00BA6F0F">
        <w:rPr>
          <w:rFonts w:ascii="Arial" w:hAnsi="Arial" w:cs="Arial"/>
        </w:rPr>
        <w:t xml:space="preserve"> the Use Case template was discussed. </w:t>
      </w:r>
      <w:r w:rsidR="00BA6F0F" w:rsidRPr="00BA6F0F">
        <w:rPr>
          <w:rFonts w:ascii="Arial" w:hAnsi="Arial" w:cs="Arial"/>
        </w:rPr>
        <w:t xml:space="preserve">ISG ENI </w:t>
      </w:r>
      <w:r w:rsidR="00242923">
        <w:rPr>
          <w:rFonts w:ascii="Arial" w:hAnsi="Arial" w:cs="Arial"/>
        </w:rPr>
        <w:t>has</w:t>
      </w:r>
      <w:r w:rsidR="00242923" w:rsidRPr="00BA6F0F">
        <w:rPr>
          <w:rFonts w:ascii="Arial" w:hAnsi="Arial" w:cs="Arial"/>
        </w:rPr>
        <w:t xml:space="preserve"> </w:t>
      </w:r>
      <w:r w:rsidR="00BA6F0F" w:rsidRPr="00BA6F0F">
        <w:rPr>
          <w:rFonts w:ascii="Arial" w:hAnsi="Arial" w:cs="Arial"/>
        </w:rPr>
        <w:t xml:space="preserve">worked on a template and used it when drafting and adding to </w:t>
      </w:r>
      <w:r w:rsidR="00242923">
        <w:rPr>
          <w:rFonts w:ascii="Arial" w:hAnsi="Arial" w:cs="Arial"/>
        </w:rPr>
        <w:t xml:space="preserve">the </w:t>
      </w:r>
      <w:r w:rsidR="00BA6F0F" w:rsidRPr="00BA6F0F">
        <w:rPr>
          <w:rFonts w:ascii="Arial" w:hAnsi="Arial" w:cs="Arial"/>
        </w:rPr>
        <w:t>Use Cases</w:t>
      </w:r>
      <w:r w:rsidRPr="00BA6F0F">
        <w:rPr>
          <w:rFonts w:ascii="Arial" w:hAnsi="Arial" w:cs="Arial"/>
        </w:rPr>
        <w:t xml:space="preserve"> </w:t>
      </w:r>
      <w:r w:rsidR="00242923">
        <w:rPr>
          <w:rFonts w:ascii="Arial" w:hAnsi="Arial" w:cs="Arial"/>
        </w:rPr>
        <w:t>specification. T</w:t>
      </w:r>
      <w:r w:rsidR="00BA6F0F" w:rsidRPr="00BA6F0F">
        <w:rPr>
          <w:rFonts w:ascii="Arial" w:hAnsi="Arial" w:cs="Arial"/>
        </w:rPr>
        <w:t>his template is extensively use in ENI 001</w:t>
      </w:r>
      <w:r w:rsidR="00242923">
        <w:rPr>
          <w:rFonts w:ascii="Arial" w:hAnsi="Arial" w:cs="Arial"/>
        </w:rPr>
        <w:t>;</w:t>
      </w:r>
      <w:r w:rsidR="00BA6F0F" w:rsidRPr="00BA6F0F">
        <w:rPr>
          <w:rFonts w:ascii="Arial" w:hAnsi="Arial" w:cs="Arial"/>
        </w:rPr>
        <w:t xml:space="preserve"> the link to the published version as revision 2.1.1 is attached.</w:t>
      </w:r>
    </w:p>
    <w:p w14:paraId="604AD39C" w14:textId="77777777" w:rsidR="00BA6F0F" w:rsidRDefault="00BA6F0F" w:rsidP="00911477">
      <w:pPr>
        <w:rPr>
          <w:rFonts w:ascii="Arial" w:hAnsi="Arial" w:cs="Arial"/>
        </w:rPr>
      </w:pPr>
    </w:p>
    <w:p w14:paraId="31A4EC27" w14:textId="29805865" w:rsidR="00BA6F0F" w:rsidRDefault="00BA6F0F" w:rsidP="00911477">
      <w:pPr>
        <w:rPr>
          <w:rFonts w:ascii="Arial" w:hAnsi="Arial" w:cs="Arial"/>
        </w:rPr>
      </w:pPr>
      <w:r>
        <w:rPr>
          <w:rFonts w:ascii="Arial" w:hAnsi="Arial" w:cs="Arial"/>
        </w:rPr>
        <w:t>In the first version</w:t>
      </w:r>
      <w:r w:rsidR="00242923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the template</w:t>
      </w:r>
      <w:r w:rsidR="00242923">
        <w:rPr>
          <w:rFonts w:ascii="Arial" w:hAnsi="Arial" w:cs="Arial"/>
        </w:rPr>
        <w:t>, we</w:t>
      </w:r>
      <w:r>
        <w:rPr>
          <w:rFonts w:ascii="Arial" w:hAnsi="Arial" w:cs="Arial"/>
        </w:rPr>
        <w:t xml:space="preserve"> had a user and service perspective</w:t>
      </w:r>
      <w:r w:rsidR="00242923">
        <w:rPr>
          <w:rFonts w:ascii="Arial" w:hAnsi="Arial" w:cs="Arial"/>
        </w:rPr>
        <w:t>.</w:t>
      </w:r>
    </w:p>
    <w:p w14:paraId="1F045DE6" w14:textId="77777777" w:rsidR="00BA6F0F" w:rsidRDefault="00BA6F0F" w:rsidP="00911477">
      <w:pPr>
        <w:rPr>
          <w:rFonts w:ascii="Arial" w:hAnsi="Arial" w:cs="Arial"/>
        </w:rPr>
      </w:pPr>
    </w:p>
    <w:p w14:paraId="05931035" w14:textId="179C77AC" w:rsidR="00BA6F0F" w:rsidRPr="00BA6F0F" w:rsidRDefault="00BA6F0F" w:rsidP="009114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template was extended to reference the link too and validation of the System Architecture in ENI 005 v1.1.1. The Architecture is used in version 2.1.1 and beyond </w:t>
      </w:r>
      <w:r w:rsidR="00242923">
        <w:rPr>
          <w:rFonts w:ascii="Arial" w:hAnsi="Arial" w:cs="Arial"/>
        </w:rPr>
        <w:t xml:space="preserve">of the </w:t>
      </w:r>
      <w:r>
        <w:rPr>
          <w:rFonts w:ascii="Arial" w:hAnsi="Arial" w:cs="Arial"/>
        </w:rPr>
        <w:t>Use Cases</w:t>
      </w:r>
      <w:r w:rsidR="00242923">
        <w:rPr>
          <w:rFonts w:ascii="Arial" w:hAnsi="Arial" w:cs="Arial"/>
        </w:rPr>
        <w:t xml:space="preserve"> specification</w:t>
      </w:r>
      <w:r>
        <w:rPr>
          <w:rFonts w:ascii="Arial" w:hAnsi="Arial" w:cs="Arial"/>
        </w:rPr>
        <w:t>. The template itself is not dependant o</w:t>
      </w:r>
      <w:r w:rsidR="00242923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System Architecture.</w:t>
      </w:r>
    </w:p>
    <w:p w14:paraId="75E177F3" w14:textId="77777777" w:rsidR="0012322C" w:rsidRDefault="0012322C" w:rsidP="00911477">
      <w:pPr>
        <w:rPr>
          <w:rFonts w:ascii="Arial" w:hAnsi="Arial" w:cs="Arial"/>
          <w:b/>
        </w:rPr>
      </w:pPr>
    </w:p>
    <w:p w14:paraId="65C3960B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600C13" w14:textId="77777777" w:rsidR="00BA6F0F" w:rsidRPr="00C43D33" w:rsidRDefault="00C43D33" w:rsidP="00911477">
      <w:pPr>
        <w:spacing w:after="120"/>
        <w:rPr>
          <w:rFonts w:ascii="Arial" w:hAnsi="Arial" w:cs="Arial"/>
        </w:rPr>
      </w:pPr>
      <w:r w:rsidRPr="00C43D33">
        <w:rPr>
          <w:rFonts w:ascii="Arial" w:hAnsi="Arial" w:cs="Arial"/>
        </w:rPr>
        <w:t>To see and use the template – inform ISG ENI of your experiences and suggestions:</w:t>
      </w:r>
    </w:p>
    <w:p w14:paraId="4EBBF3D7" w14:textId="77777777" w:rsidR="00C43D33" w:rsidRDefault="00C43D33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following example of the entire template is referenced:</w:t>
      </w:r>
    </w:p>
    <w:p w14:paraId="1B866F20" w14:textId="77777777" w:rsidR="00C43D33" w:rsidRDefault="00C43D33" w:rsidP="00C43D33">
      <w:pPr>
        <w:pStyle w:val="TOC3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t>5.3.2</w:t>
      </w:r>
      <w:r w:rsidRPr="000D0369">
        <w:tab/>
        <w:t>Use Case #2-2: Radio Coverage and capacity optimization</w:t>
      </w:r>
      <w:r>
        <w:tab/>
      </w:r>
      <w:r>
        <w:fldChar w:fldCharType="begin"/>
      </w:r>
      <w:r>
        <w:instrText xml:space="preserve"> PAGEREF _Toc19523421 \h </w:instrText>
      </w:r>
      <w:r>
        <w:fldChar w:fldCharType="separate"/>
      </w:r>
      <w:r>
        <w:t>26</w:t>
      </w:r>
      <w:r>
        <w:fldChar w:fldCharType="end"/>
      </w:r>
    </w:p>
    <w:p w14:paraId="0F61E74F" w14:textId="77777777" w:rsidR="00C43D33" w:rsidRDefault="00C43D33" w:rsidP="00C43D33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369">
        <w:rPr>
          <w:rFonts w:eastAsiaTheme="minorEastAsia"/>
          <w:lang w:eastAsia="zh-CN"/>
        </w:rPr>
        <w:t>5.3.2.1</w:t>
      </w:r>
      <w:r w:rsidRPr="000D0369">
        <w:rPr>
          <w:rFonts w:eastAsiaTheme="minorEastAsia"/>
          <w:lang w:eastAsia="zh-CN"/>
        </w:rPr>
        <w:tab/>
      </w:r>
      <w:r w:rsidRPr="000D0369">
        <w:rPr>
          <w:rFonts w:eastAsiaTheme="minorEastAsia"/>
        </w:rPr>
        <w:t>Use case context</w:t>
      </w:r>
      <w:r>
        <w:tab/>
      </w:r>
      <w:r>
        <w:fldChar w:fldCharType="begin"/>
      </w:r>
      <w:r>
        <w:instrText xml:space="preserve"> PAGEREF _Toc19523422 \h </w:instrText>
      </w:r>
      <w:r>
        <w:fldChar w:fldCharType="separate"/>
      </w:r>
      <w:r>
        <w:t>26</w:t>
      </w:r>
      <w:r>
        <w:fldChar w:fldCharType="end"/>
      </w:r>
    </w:p>
    <w:p w14:paraId="39F37C85" w14:textId="77777777" w:rsidR="00C43D33" w:rsidRDefault="00C43D33" w:rsidP="00C43D33">
      <w:pPr>
        <w:pStyle w:val="TOC4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rPr>
          <w:lang w:eastAsia="zh-CN"/>
        </w:rPr>
        <w:t>5.3.2.2</w:t>
      </w:r>
      <w:r w:rsidRPr="000D0369">
        <w:rPr>
          <w:lang w:eastAsia="zh-CN"/>
        </w:rPr>
        <w:tab/>
      </w:r>
      <w:r w:rsidRPr="000D0369">
        <w:t>Description of the use case</w:t>
      </w:r>
      <w:r>
        <w:tab/>
      </w:r>
      <w:r>
        <w:fldChar w:fldCharType="begin"/>
      </w:r>
      <w:r>
        <w:instrText xml:space="preserve"> PAGEREF _Toc19523423 \h </w:instrText>
      </w:r>
      <w:r>
        <w:fldChar w:fldCharType="separate"/>
      </w:r>
      <w:r>
        <w:t>27</w:t>
      </w:r>
      <w:r>
        <w:fldChar w:fldCharType="end"/>
      </w:r>
    </w:p>
    <w:p w14:paraId="4CFCC458" w14:textId="77777777" w:rsidR="00C43D33" w:rsidRDefault="00C43D33" w:rsidP="00C43D33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369">
        <w:rPr>
          <w:rFonts w:eastAsiaTheme="minorEastAsia"/>
        </w:rPr>
        <w:t>5.3.2.2.1</w:t>
      </w:r>
      <w:r w:rsidRPr="000D0369">
        <w:rPr>
          <w:rFonts w:eastAsiaTheme="minorEastAsia"/>
        </w:rPr>
        <w:tab/>
        <w:t>Overview</w:t>
      </w:r>
      <w:r>
        <w:tab/>
      </w:r>
      <w:r>
        <w:fldChar w:fldCharType="begin"/>
      </w:r>
      <w:r>
        <w:instrText xml:space="preserve"> PAGEREF _Toc19523424 \h </w:instrText>
      </w:r>
      <w:r>
        <w:fldChar w:fldCharType="separate"/>
      </w:r>
      <w:r>
        <w:t>27</w:t>
      </w:r>
      <w:r>
        <w:fldChar w:fldCharType="end"/>
      </w:r>
    </w:p>
    <w:p w14:paraId="18054F7E" w14:textId="77777777" w:rsidR="00C43D33" w:rsidRDefault="00C43D33" w:rsidP="00C43D33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369">
        <w:rPr>
          <w:rFonts w:eastAsiaTheme="minorEastAsia"/>
        </w:rPr>
        <w:t>5.3.2.2.2</w:t>
      </w:r>
      <w:r w:rsidRPr="000D0369">
        <w:rPr>
          <w:rFonts w:eastAsiaTheme="minorEastAsia"/>
        </w:rPr>
        <w:tab/>
        <w:t>Motivation</w:t>
      </w:r>
      <w:r>
        <w:tab/>
      </w:r>
      <w:r>
        <w:fldChar w:fldCharType="begin"/>
      </w:r>
      <w:r>
        <w:instrText xml:space="preserve"> PAGEREF _Toc19523425 \h </w:instrText>
      </w:r>
      <w:r>
        <w:fldChar w:fldCharType="separate"/>
      </w:r>
      <w:r>
        <w:t>27</w:t>
      </w:r>
      <w:r>
        <w:fldChar w:fldCharType="end"/>
      </w:r>
    </w:p>
    <w:p w14:paraId="1EC7615A" w14:textId="77777777" w:rsidR="00C43D33" w:rsidRDefault="00C43D33" w:rsidP="00C43D33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369">
        <w:rPr>
          <w:rFonts w:eastAsiaTheme="minorEastAsia"/>
        </w:rPr>
        <w:t>5.3.2.2.3</w:t>
      </w:r>
      <w:r w:rsidRPr="000D0369">
        <w:rPr>
          <w:rFonts w:eastAsiaTheme="minorEastAsia"/>
        </w:rPr>
        <w:tab/>
        <w:t>Actors and Roles</w:t>
      </w:r>
      <w:r>
        <w:tab/>
      </w:r>
      <w:r>
        <w:fldChar w:fldCharType="begin"/>
      </w:r>
      <w:r>
        <w:instrText xml:space="preserve"> PAGEREF _Toc19523426 \h </w:instrText>
      </w:r>
      <w:r>
        <w:fldChar w:fldCharType="separate"/>
      </w:r>
      <w:r>
        <w:t>27</w:t>
      </w:r>
      <w:r>
        <w:fldChar w:fldCharType="end"/>
      </w:r>
    </w:p>
    <w:p w14:paraId="61EE8599" w14:textId="77777777" w:rsidR="00C43D33" w:rsidRDefault="00C43D33" w:rsidP="00C43D33">
      <w:pPr>
        <w:pStyle w:val="TOC5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t>5.3.2.2.4</w:t>
      </w:r>
      <w:r w:rsidRPr="000D0369">
        <w:tab/>
        <w:t>Initial context configuration</w:t>
      </w:r>
      <w:r>
        <w:tab/>
      </w:r>
      <w:r>
        <w:fldChar w:fldCharType="begin"/>
      </w:r>
      <w:r>
        <w:instrText xml:space="preserve"> PAGEREF _Toc19523427 \h </w:instrText>
      </w:r>
      <w:r>
        <w:fldChar w:fldCharType="separate"/>
      </w:r>
      <w:r>
        <w:t>27</w:t>
      </w:r>
      <w:r>
        <w:fldChar w:fldCharType="end"/>
      </w:r>
    </w:p>
    <w:p w14:paraId="16881880" w14:textId="77777777" w:rsidR="00C43D33" w:rsidRDefault="00C43D33" w:rsidP="00C43D33">
      <w:pPr>
        <w:pStyle w:val="TOC5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t>5.3.2.2.5</w:t>
      </w:r>
      <w:r w:rsidRPr="000D0369">
        <w:tab/>
        <w:t>Triggering conditions</w:t>
      </w:r>
      <w:r>
        <w:tab/>
      </w:r>
      <w:r>
        <w:fldChar w:fldCharType="begin"/>
      </w:r>
      <w:r>
        <w:instrText xml:space="preserve"> PAGEREF _Toc19523428 \h </w:instrText>
      </w:r>
      <w:r>
        <w:fldChar w:fldCharType="separate"/>
      </w:r>
      <w:r>
        <w:t>28</w:t>
      </w:r>
      <w:r>
        <w:fldChar w:fldCharType="end"/>
      </w:r>
    </w:p>
    <w:p w14:paraId="7E2098C6" w14:textId="77777777" w:rsidR="00C43D33" w:rsidRDefault="00C43D33" w:rsidP="00C43D33">
      <w:pPr>
        <w:pStyle w:val="TOC5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t>5.3.2.2.6</w:t>
      </w:r>
      <w:r w:rsidRPr="000D0369">
        <w:tab/>
        <w:t>Operational flow of actions</w:t>
      </w:r>
      <w:r>
        <w:tab/>
      </w:r>
      <w:r>
        <w:fldChar w:fldCharType="begin"/>
      </w:r>
      <w:r>
        <w:instrText xml:space="preserve"> PAGEREF _Toc19523429 \h </w:instrText>
      </w:r>
      <w:r>
        <w:fldChar w:fldCharType="separate"/>
      </w:r>
      <w:r>
        <w:t>28</w:t>
      </w:r>
      <w:r>
        <w:fldChar w:fldCharType="end"/>
      </w:r>
    </w:p>
    <w:p w14:paraId="4391DF90" w14:textId="77777777" w:rsidR="00C43D33" w:rsidRDefault="00C43D33" w:rsidP="00C43D33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369">
        <w:rPr>
          <w:rFonts w:eastAsiaTheme="minorEastAsia"/>
        </w:rPr>
        <w:t>5.3.2.2.7</w:t>
      </w:r>
      <w:r w:rsidRPr="000D0369">
        <w:rPr>
          <w:rFonts w:eastAsiaTheme="minorEastAsia"/>
        </w:rPr>
        <w:tab/>
        <w:t>Post-conditions</w:t>
      </w:r>
      <w:r>
        <w:tab/>
      </w:r>
      <w:r>
        <w:fldChar w:fldCharType="begin"/>
      </w:r>
      <w:r>
        <w:instrText xml:space="preserve"> PAGEREF _Toc19523430 \h </w:instrText>
      </w:r>
      <w:r>
        <w:fldChar w:fldCharType="separate"/>
      </w:r>
      <w:r>
        <w:t>28</w:t>
      </w:r>
      <w:r>
        <w:fldChar w:fldCharType="end"/>
      </w:r>
    </w:p>
    <w:p w14:paraId="4E3A6610" w14:textId="77777777" w:rsidR="00C43D33" w:rsidRDefault="00C43D33" w:rsidP="00C43D33">
      <w:pPr>
        <w:pStyle w:val="TOC4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t>5.3.2.3</w:t>
      </w:r>
      <w:r w:rsidRPr="000D0369">
        <w:tab/>
      </w:r>
      <w:r w:rsidRPr="000D0369">
        <w:rPr>
          <w:bCs/>
        </w:rPr>
        <w:t>Mapping to ENI reference architecture</w:t>
      </w:r>
      <w:r>
        <w:tab/>
      </w:r>
      <w:r>
        <w:fldChar w:fldCharType="begin"/>
      </w:r>
      <w:r>
        <w:instrText xml:space="preserve"> PAGEREF _Toc19523431 \h </w:instrText>
      </w:r>
      <w:r>
        <w:fldChar w:fldCharType="separate"/>
      </w:r>
      <w:r>
        <w:t>28</w:t>
      </w:r>
      <w:r>
        <w:fldChar w:fldCharType="end"/>
      </w:r>
    </w:p>
    <w:p w14:paraId="316A49FB" w14:textId="77777777" w:rsidR="00C43D33" w:rsidRDefault="00C43D33" w:rsidP="00C43D33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369">
        <w:rPr>
          <w:rFonts w:eastAsiaTheme="minorEastAsia"/>
        </w:rPr>
        <w:t>5.3.2.3.1</w:t>
      </w:r>
      <w:r w:rsidRPr="000D0369">
        <w:rPr>
          <w:rFonts w:eastAsiaTheme="minorEastAsia"/>
        </w:rPr>
        <w:tab/>
        <w:t>Functional blocks</w:t>
      </w:r>
      <w:r>
        <w:tab/>
      </w:r>
      <w:r>
        <w:fldChar w:fldCharType="begin"/>
      </w:r>
      <w:r>
        <w:instrText xml:space="preserve"> PAGEREF _Toc19523432 \h </w:instrText>
      </w:r>
      <w:r>
        <w:fldChar w:fldCharType="separate"/>
      </w:r>
      <w:r>
        <w:t>28</w:t>
      </w:r>
      <w:r>
        <w:fldChar w:fldCharType="end"/>
      </w:r>
    </w:p>
    <w:p w14:paraId="55A4F7AD" w14:textId="77777777" w:rsidR="00C43D33" w:rsidRDefault="00C43D33" w:rsidP="00C43D33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369">
        <w:rPr>
          <w:rFonts w:eastAsiaTheme="minorEastAsia"/>
        </w:rPr>
        <w:t>5.3.2.3.2</w:t>
      </w:r>
      <w:r w:rsidRPr="000D0369">
        <w:rPr>
          <w:rFonts w:eastAsiaTheme="minorEastAsia"/>
        </w:rPr>
        <w:tab/>
        <w:t>Interfaces</w:t>
      </w:r>
      <w:r>
        <w:tab/>
      </w:r>
      <w:r>
        <w:fldChar w:fldCharType="begin"/>
      </w:r>
      <w:r>
        <w:instrText xml:space="preserve"> PAGEREF _Toc19523433 \h </w:instrText>
      </w:r>
      <w:r>
        <w:fldChar w:fldCharType="separate"/>
      </w:r>
      <w:r>
        <w:t>29</w:t>
      </w:r>
      <w:r>
        <w:fldChar w:fldCharType="end"/>
      </w:r>
    </w:p>
    <w:p w14:paraId="34BE8B5A" w14:textId="77777777" w:rsidR="00C43D33" w:rsidRDefault="00C43D33" w:rsidP="00C43D33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369">
        <w:rPr>
          <w:rFonts w:eastAsiaTheme="minorEastAsia"/>
        </w:rPr>
        <w:t>5.3.2.3.3</w:t>
      </w:r>
      <w:r w:rsidRPr="000D0369">
        <w:rPr>
          <w:rFonts w:eastAsiaTheme="minorEastAsia"/>
        </w:rPr>
        <w:tab/>
        <w:t>Flow of information</w:t>
      </w:r>
      <w:r>
        <w:tab/>
      </w:r>
      <w:r>
        <w:fldChar w:fldCharType="begin"/>
      </w:r>
      <w:r>
        <w:instrText xml:space="preserve"> PAGEREF _Toc19523434 \h </w:instrText>
      </w:r>
      <w:r>
        <w:fldChar w:fldCharType="separate"/>
      </w:r>
      <w:r>
        <w:t>29</w:t>
      </w:r>
      <w:r>
        <w:fldChar w:fldCharType="end"/>
      </w:r>
    </w:p>
    <w:p w14:paraId="0CF4DDEE" w14:textId="77777777" w:rsidR="00C43D33" w:rsidRDefault="00C43D33" w:rsidP="00C43D33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Fully worked examples also are:</w:t>
      </w:r>
    </w:p>
    <w:p w14:paraId="28F2ABF5" w14:textId="77777777" w:rsidR="00C43D33" w:rsidRDefault="00C43D33" w:rsidP="00C43D33">
      <w:pPr>
        <w:pStyle w:val="TOC3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t>5.3.5</w:t>
      </w:r>
      <w:r w:rsidRPr="000D0369">
        <w:tab/>
        <w:t>Use Case #2-5: Elastic Resource Management and Orchestration</w:t>
      </w:r>
      <w:r>
        <w:tab/>
      </w:r>
      <w:r>
        <w:fldChar w:fldCharType="begin"/>
      </w:r>
      <w:r>
        <w:instrText xml:space="preserve"> PAGEREF _Toc19523455 \h </w:instrText>
      </w:r>
      <w:r>
        <w:fldChar w:fldCharType="separate"/>
      </w:r>
      <w:r>
        <w:t>35</w:t>
      </w:r>
      <w:r>
        <w:fldChar w:fldCharType="end"/>
      </w:r>
    </w:p>
    <w:p w14:paraId="00BBAE33" w14:textId="77777777" w:rsidR="00C43D33" w:rsidRDefault="00C43D33" w:rsidP="00C43D33">
      <w:pPr>
        <w:pStyle w:val="TOC3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t>5.3.6</w:t>
      </w:r>
      <w:r w:rsidRPr="000D0369">
        <w:tab/>
        <w:t>Use Case #2-6: Application Characteristic based Network Operation</w:t>
      </w:r>
      <w:r>
        <w:tab/>
      </w:r>
      <w:r>
        <w:fldChar w:fldCharType="begin"/>
      </w:r>
      <w:r>
        <w:instrText xml:space="preserve"> PAGEREF _Toc19523469 \h </w:instrText>
      </w:r>
      <w:r>
        <w:fldChar w:fldCharType="separate"/>
      </w:r>
      <w:r>
        <w:t>40</w:t>
      </w:r>
      <w:r>
        <w:fldChar w:fldCharType="end"/>
      </w:r>
    </w:p>
    <w:p w14:paraId="3B1685FD" w14:textId="77777777" w:rsidR="00C43D33" w:rsidRDefault="00C43D33" w:rsidP="00C43D33">
      <w:pPr>
        <w:pStyle w:val="TOC3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t>5.3.7</w:t>
      </w:r>
      <w:r w:rsidRPr="000D0369">
        <w:tab/>
        <w:t>Use Case #2-7: AI enabled network traffic classification</w:t>
      </w:r>
      <w:r>
        <w:tab/>
      </w:r>
      <w:r>
        <w:fldChar w:fldCharType="begin"/>
      </w:r>
      <w:r>
        <w:instrText xml:space="preserve"> PAGEREF _Toc19523483 \h </w:instrText>
      </w:r>
      <w:r>
        <w:fldChar w:fldCharType="separate"/>
      </w:r>
      <w:r>
        <w:t>45</w:t>
      </w:r>
      <w:r>
        <w:fldChar w:fldCharType="end"/>
      </w:r>
    </w:p>
    <w:p w14:paraId="6A1EFBDF" w14:textId="77777777" w:rsidR="00C43D33" w:rsidRDefault="00C43D33" w:rsidP="00C43D33">
      <w:pPr>
        <w:pStyle w:val="TOC3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t>5.4.1</w:t>
      </w:r>
      <w:r w:rsidRPr="000D0369">
        <w:tab/>
        <w:t>Use Case #3-1: Context-aware VoLTE Service Experience Optimization</w:t>
      </w:r>
      <w:r>
        <w:tab/>
      </w:r>
      <w:r>
        <w:fldChar w:fldCharType="begin"/>
      </w:r>
      <w:r>
        <w:instrText xml:space="preserve"> PAGEREF _Toc19523518 \h </w:instrText>
      </w:r>
      <w:r>
        <w:fldChar w:fldCharType="separate"/>
      </w:r>
      <w:r>
        <w:t>57</w:t>
      </w:r>
      <w:r>
        <w:fldChar w:fldCharType="end"/>
      </w:r>
    </w:p>
    <w:p w14:paraId="41B191D3" w14:textId="77777777" w:rsidR="00C43D33" w:rsidRDefault="00C43D33" w:rsidP="00C43D33">
      <w:pPr>
        <w:pStyle w:val="TOC3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t>5.5.2</w:t>
      </w:r>
      <w:r w:rsidRPr="000D0369">
        <w:tab/>
        <w:t>Use Case #4-2: Assurance of Service Requirements</w:t>
      </w:r>
      <w:r>
        <w:tab/>
      </w:r>
      <w:r>
        <w:fldChar w:fldCharType="begin"/>
      </w:r>
      <w:r>
        <w:instrText xml:space="preserve"> PAGEREF _Toc19523573 \h </w:instrText>
      </w:r>
      <w:r>
        <w:fldChar w:fldCharType="separate"/>
      </w:r>
      <w:r>
        <w:t>71</w:t>
      </w:r>
      <w:r>
        <w:fldChar w:fldCharType="end"/>
      </w:r>
    </w:p>
    <w:p w14:paraId="54341023" w14:textId="77777777" w:rsidR="00C43D33" w:rsidRDefault="00C43D33" w:rsidP="00C43D33">
      <w:pPr>
        <w:pStyle w:val="TOC3"/>
        <w:rPr>
          <w:rFonts w:asciiTheme="minorHAnsi" w:hAnsiTheme="minorHAnsi" w:cstheme="minorBidi"/>
          <w:sz w:val="22"/>
          <w:szCs w:val="22"/>
          <w:lang w:eastAsia="en-GB"/>
        </w:rPr>
      </w:pPr>
      <w:r w:rsidRPr="000D0369">
        <w:t>5.6.2</w:t>
      </w:r>
      <w:r w:rsidRPr="000D0369">
        <w:tab/>
        <w:t>Use Case #5-2: Limiting profit in cyber-attacks</w:t>
      </w:r>
      <w:r>
        <w:tab/>
      </w:r>
      <w:r>
        <w:fldChar w:fldCharType="begin"/>
      </w:r>
      <w:r>
        <w:instrText xml:space="preserve"> PAGEREF _Toc19523607 \h </w:instrText>
      </w:r>
      <w:r>
        <w:fldChar w:fldCharType="separate"/>
      </w:r>
      <w:r>
        <w:t>85</w:t>
      </w:r>
      <w:r>
        <w:fldChar w:fldCharType="end"/>
      </w:r>
    </w:p>
    <w:p w14:paraId="6C5BE94D" w14:textId="176247C7" w:rsidR="00C43D33" w:rsidRDefault="00C43D33" w:rsidP="00710D4E">
      <w:pPr>
        <w:keepNext/>
        <w:keepLines/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In an Annex to a draft</w:t>
      </w:r>
      <w:r w:rsidR="00242923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we had notes on how to use the template:</w:t>
      </w:r>
      <w:r w:rsidR="00710D4E">
        <w:rPr>
          <w:rFonts w:ascii="Arial" w:hAnsi="Arial" w:cs="Arial"/>
          <w:b/>
        </w:rPr>
        <w:t xml:space="preserve"> </w:t>
      </w:r>
      <w:r w:rsidR="00710D4E" w:rsidRPr="00710D4E">
        <w:rPr>
          <w:rFonts w:ascii="Arial" w:hAnsi="Arial" w:cs="Arial"/>
        </w:rPr>
        <w:t>This predated the System Architecture enhancements.</w:t>
      </w:r>
      <w:r>
        <w:rPr>
          <w:rFonts w:ascii="Arial" w:hAnsi="Arial" w:cs="Arial"/>
          <w:b/>
        </w:rPr>
        <w:t xml:space="preserve">  </w:t>
      </w:r>
    </w:p>
    <w:p w14:paraId="1D121FF8" w14:textId="77777777" w:rsidR="00710D4E" w:rsidRDefault="00710D4E" w:rsidP="00710D4E">
      <w:pPr>
        <w:pStyle w:val="Heading1"/>
        <w:ind w:left="432" w:firstLine="0"/>
        <w:rPr>
          <w:i/>
          <w:color w:val="76923C"/>
          <w:sz w:val="24"/>
          <w:szCs w:val="24"/>
        </w:rPr>
      </w:pPr>
      <w:bookmarkStart w:id="1" w:name="_Toc500932489"/>
      <w:r>
        <w:t>Use Case Template</w:t>
      </w:r>
      <w:bookmarkEnd w:id="1"/>
      <w:r>
        <w:t xml:space="preserve"> </w:t>
      </w:r>
      <w:r>
        <w:rPr>
          <w:i/>
          <w:color w:val="76923C"/>
          <w:sz w:val="24"/>
          <w:szCs w:val="24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6037"/>
      </w:tblGrid>
      <w:tr w:rsidR="00710D4E" w:rsidRPr="00C77877" w14:paraId="37ACD867" w14:textId="77777777" w:rsidTr="00AA3160">
        <w:trPr>
          <w:trHeight w:val="413"/>
          <w:jc w:val="center"/>
        </w:trPr>
        <w:tc>
          <w:tcPr>
            <w:tcW w:w="8697" w:type="dxa"/>
            <w:gridSpan w:val="2"/>
          </w:tcPr>
          <w:p w14:paraId="5B611D45" w14:textId="77777777" w:rsidR="00710D4E" w:rsidRPr="00B37610" w:rsidRDefault="00710D4E" w:rsidP="00AA3160">
            <w:pPr>
              <w:rPr>
                <w:b/>
                <w:sz w:val="18"/>
              </w:rPr>
            </w:pPr>
            <w:r w:rsidRPr="00B37610">
              <w:rPr>
                <w:b/>
                <w:sz w:val="18"/>
              </w:rPr>
              <w:t>General Information (As one subsection in Clause 5)</w:t>
            </w:r>
          </w:p>
        </w:tc>
      </w:tr>
      <w:tr w:rsidR="00710D4E" w:rsidRPr="00C77877" w14:paraId="36559FA9" w14:textId="77777777" w:rsidTr="00AA3160">
        <w:trPr>
          <w:jc w:val="center"/>
        </w:trPr>
        <w:tc>
          <w:tcPr>
            <w:tcW w:w="2660" w:type="dxa"/>
          </w:tcPr>
          <w:p w14:paraId="7CF6B650" w14:textId="77777777" w:rsidR="00710D4E" w:rsidRPr="00B37610" w:rsidRDefault="00710D4E" w:rsidP="00AA3160">
            <w:pPr>
              <w:rPr>
                <w:b/>
                <w:sz w:val="18"/>
              </w:rPr>
            </w:pPr>
            <w:r w:rsidRPr="00B37610">
              <w:rPr>
                <w:b/>
                <w:sz w:val="18"/>
              </w:rPr>
              <w:t>Use Case ID</w:t>
            </w:r>
          </w:p>
        </w:tc>
        <w:tc>
          <w:tcPr>
            <w:tcW w:w="6037" w:type="dxa"/>
          </w:tcPr>
          <w:p w14:paraId="1FBD2588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sz w:val="18"/>
              </w:rPr>
              <w:t xml:space="preserve">&lt;Number&gt; </w:t>
            </w:r>
          </w:p>
        </w:tc>
      </w:tr>
      <w:tr w:rsidR="00710D4E" w:rsidRPr="00C77877" w14:paraId="16432EC5" w14:textId="77777777" w:rsidTr="00AA3160">
        <w:trPr>
          <w:jc w:val="center"/>
        </w:trPr>
        <w:tc>
          <w:tcPr>
            <w:tcW w:w="2660" w:type="dxa"/>
          </w:tcPr>
          <w:p w14:paraId="0DDAD44A" w14:textId="77777777" w:rsidR="00710D4E" w:rsidRPr="00B37610" w:rsidRDefault="00710D4E" w:rsidP="00AA3160">
            <w:pPr>
              <w:rPr>
                <w:b/>
                <w:sz w:val="18"/>
              </w:rPr>
            </w:pPr>
            <w:r w:rsidRPr="00B37610">
              <w:rPr>
                <w:b/>
                <w:sz w:val="18"/>
              </w:rPr>
              <w:t>Use Case Name</w:t>
            </w:r>
          </w:p>
        </w:tc>
        <w:tc>
          <w:tcPr>
            <w:tcW w:w="6037" w:type="dxa"/>
          </w:tcPr>
          <w:p w14:paraId="1F0ECFB6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sz w:val="18"/>
              </w:rPr>
              <w:t>&lt;Name&gt;</w:t>
            </w:r>
          </w:p>
        </w:tc>
      </w:tr>
      <w:tr w:rsidR="00710D4E" w:rsidRPr="00C77877" w14:paraId="0140F074" w14:textId="77777777" w:rsidTr="00AA3160">
        <w:trPr>
          <w:jc w:val="center"/>
        </w:trPr>
        <w:tc>
          <w:tcPr>
            <w:tcW w:w="2660" w:type="dxa"/>
          </w:tcPr>
          <w:p w14:paraId="2A65F124" w14:textId="77777777" w:rsidR="00710D4E" w:rsidRPr="00B37610" w:rsidRDefault="00710D4E" w:rsidP="00AA3160">
            <w:pPr>
              <w:rPr>
                <w:b/>
                <w:sz w:val="18"/>
              </w:rPr>
            </w:pPr>
            <w:r w:rsidRPr="00B37610">
              <w:rPr>
                <w:b/>
                <w:sz w:val="18"/>
              </w:rPr>
              <w:t>Created By</w:t>
            </w:r>
          </w:p>
        </w:tc>
        <w:tc>
          <w:tcPr>
            <w:tcW w:w="6037" w:type="dxa"/>
          </w:tcPr>
          <w:p w14:paraId="23E0C70D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sz w:val="18"/>
              </w:rPr>
              <w:t>&lt;Name, Organisation&gt;</w:t>
            </w:r>
          </w:p>
        </w:tc>
      </w:tr>
      <w:tr w:rsidR="00710D4E" w:rsidRPr="00C77877" w14:paraId="28EFB312" w14:textId="77777777" w:rsidTr="00AA3160">
        <w:trPr>
          <w:jc w:val="center"/>
        </w:trPr>
        <w:tc>
          <w:tcPr>
            <w:tcW w:w="2660" w:type="dxa"/>
          </w:tcPr>
          <w:p w14:paraId="3355447E" w14:textId="77777777" w:rsidR="00710D4E" w:rsidRPr="00B37610" w:rsidRDefault="00710D4E" w:rsidP="00AA3160">
            <w:pPr>
              <w:rPr>
                <w:b/>
                <w:sz w:val="18"/>
              </w:rPr>
            </w:pPr>
            <w:r w:rsidRPr="00B37610">
              <w:rPr>
                <w:b/>
                <w:sz w:val="18"/>
              </w:rPr>
              <w:t>Creation Date</w:t>
            </w:r>
          </w:p>
        </w:tc>
        <w:tc>
          <w:tcPr>
            <w:tcW w:w="6037" w:type="dxa"/>
          </w:tcPr>
          <w:p w14:paraId="69317202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sz w:val="18"/>
              </w:rPr>
              <w:t>&lt;MM-DD-YY&gt;</w:t>
            </w:r>
          </w:p>
        </w:tc>
      </w:tr>
      <w:tr w:rsidR="00710D4E" w:rsidRPr="00C77877" w14:paraId="36F266DD" w14:textId="77777777" w:rsidTr="00AA3160">
        <w:trPr>
          <w:jc w:val="center"/>
        </w:trPr>
        <w:tc>
          <w:tcPr>
            <w:tcW w:w="2660" w:type="dxa"/>
          </w:tcPr>
          <w:p w14:paraId="0EB590C2" w14:textId="77777777" w:rsidR="00710D4E" w:rsidRPr="00B37610" w:rsidRDefault="00710D4E" w:rsidP="00AA3160">
            <w:pPr>
              <w:rPr>
                <w:b/>
                <w:sz w:val="18"/>
              </w:rPr>
            </w:pPr>
            <w:r w:rsidRPr="00B37610">
              <w:rPr>
                <w:b/>
                <w:sz w:val="18"/>
              </w:rPr>
              <w:t>Last Updated By</w:t>
            </w:r>
          </w:p>
        </w:tc>
        <w:tc>
          <w:tcPr>
            <w:tcW w:w="6037" w:type="dxa"/>
          </w:tcPr>
          <w:p w14:paraId="667F266F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sz w:val="18"/>
              </w:rPr>
              <w:t>&lt;Name&gt;</w:t>
            </w:r>
          </w:p>
        </w:tc>
      </w:tr>
      <w:tr w:rsidR="00710D4E" w:rsidRPr="00C77877" w14:paraId="3AA37C15" w14:textId="77777777" w:rsidTr="00AA3160">
        <w:trPr>
          <w:jc w:val="center"/>
        </w:trPr>
        <w:tc>
          <w:tcPr>
            <w:tcW w:w="2660" w:type="dxa"/>
          </w:tcPr>
          <w:p w14:paraId="0C60ED67" w14:textId="77777777" w:rsidR="00710D4E" w:rsidRPr="00B37610" w:rsidRDefault="00710D4E" w:rsidP="00AA3160">
            <w:pPr>
              <w:rPr>
                <w:b/>
                <w:sz w:val="18"/>
              </w:rPr>
            </w:pPr>
            <w:r w:rsidRPr="00B37610">
              <w:rPr>
                <w:b/>
                <w:sz w:val="18"/>
              </w:rPr>
              <w:t>Last Updated Date</w:t>
            </w:r>
          </w:p>
        </w:tc>
        <w:tc>
          <w:tcPr>
            <w:tcW w:w="6037" w:type="dxa"/>
          </w:tcPr>
          <w:p w14:paraId="7D8035F9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sz w:val="18"/>
              </w:rPr>
              <w:t>&lt;MM-DD-YY&gt;</w:t>
            </w:r>
          </w:p>
        </w:tc>
      </w:tr>
      <w:tr w:rsidR="00710D4E" w:rsidRPr="00C77877" w14:paraId="0DAE6EEE" w14:textId="77777777" w:rsidTr="00AA3160">
        <w:trPr>
          <w:jc w:val="center"/>
        </w:trPr>
        <w:tc>
          <w:tcPr>
            <w:tcW w:w="8697" w:type="dxa"/>
            <w:gridSpan w:val="2"/>
          </w:tcPr>
          <w:p w14:paraId="2CDBF763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b/>
                <w:sz w:val="18"/>
              </w:rPr>
              <w:t>Detailed Description (Each of the row below becomes one subsection in Clause 5)</w:t>
            </w:r>
          </w:p>
        </w:tc>
      </w:tr>
      <w:tr w:rsidR="00710D4E" w:rsidRPr="00C77877" w14:paraId="43357CC7" w14:textId="77777777" w:rsidTr="00AA3160">
        <w:trPr>
          <w:jc w:val="center"/>
        </w:trPr>
        <w:tc>
          <w:tcPr>
            <w:tcW w:w="2660" w:type="dxa"/>
          </w:tcPr>
          <w:p w14:paraId="77E24B64" w14:textId="77777777" w:rsidR="00710D4E" w:rsidRPr="00C703C7" w:rsidRDefault="00710D4E" w:rsidP="00710D4E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200" w:line="276" w:lineRule="auto"/>
              <w:ind w:left="414" w:hanging="414"/>
              <w:textAlignment w:val="auto"/>
              <w:rPr>
                <w:b/>
                <w:sz w:val="18"/>
              </w:rPr>
            </w:pPr>
            <w:r w:rsidRPr="00C703C7">
              <w:rPr>
                <w:b/>
                <w:sz w:val="18"/>
              </w:rPr>
              <w:t>Use case context</w:t>
            </w:r>
          </w:p>
        </w:tc>
        <w:tc>
          <w:tcPr>
            <w:tcW w:w="6037" w:type="dxa"/>
          </w:tcPr>
          <w:p w14:paraId="3F733E9A" w14:textId="77777777" w:rsidR="00710D4E" w:rsidRPr="00B37610" w:rsidRDefault="00710D4E" w:rsidP="00AA3160">
            <w:pPr>
              <w:rPr>
                <w:sz w:val="18"/>
              </w:rPr>
            </w:pPr>
            <w:r>
              <w:rPr>
                <w:sz w:val="18"/>
              </w:rPr>
              <w:t>&lt;</w:t>
            </w:r>
            <w:r w:rsidRPr="00B37610">
              <w:rPr>
                <w:sz w:val="18"/>
              </w:rPr>
              <w:t>Contents are meant to contain the context, i.e. a snapshot of everything that constitutes the environment where the UC can be found, e.g. technical areas and respective relevance</w:t>
            </w:r>
            <w:r>
              <w:rPr>
                <w:sz w:val="18"/>
              </w:rPr>
              <w:t>&gt;</w:t>
            </w:r>
          </w:p>
        </w:tc>
      </w:tr>
      <w:tr w:rsidR="00710D4E" w:rsidRPr="00C77877" w14:paraId="4F1E1EEF" w14:textId="77777777" w:rsidTr="00AA3160">
        <w:trPr>
          <w:jc w:val="center"/>
        </w:trPr>
        <w:tc>
          <w:tcPr>
            <w:tcW w:w="2660" w:type="dxa"/>
          </w:tcPr>
          <w:p w14:paraId="7600A82B" w14:textId="77777777" w:rsidR="00710D4E" w:rsidRPr="00B37610" w:rsidRDefault="00710D4E" w:rsidP="00710D4E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b/>
                <w:sz w:val="18"/>
              </w:rPr>
            </w:pPr>
            <w:r w:rsidRPr="00B37610">
              <w:rPr>
                <w:b/>
                <w:sz w:val="18"/>
              </w:rPr>
              <w:t xml:space="preserve">Descriptions   </w:t>
            </w:r>
          </w:p>
        </w:tc>
        <w:tc>
          <w:tcPr>
            <w:tcW w:w="6037" w:type="dxa"/>
          </w:tcPr>
          <w:p w14:paraId="12407D93" w14:textId="77777777" w:rsidR="00710D4E" w:rsidRPr="00B37610" w:rsidRDefault="00710D4E" w:rsidP="00AA3160">
            <w:r>
              <w:rPr>
                <w:sz w:val="18"/>
              </w:rPr>
              <w:t>&lt;…&gt;</w:t>
            </w:r>
          </w:p>
        </w:tc>
      </w:tr>
      <w:tr w:rsidR="00710D4E" w:rsidRPr="00C77877" w14:paraId="3292099D" w14:textId="77777777" w:rsidTr="00AA3160">
        <w:trPr>
          <w:jc w:val="center"/>
        </w:trPr>
        <w:tc>
          <w:tcPr>
            <w:tcW w:w="2660" w:type="dxa"/>
          </w:tcPr>
          <w:p w14:paraId="519588F2" w14:textId="77777777" w:rsidR="00710D4E" w:rsidRPr="00B37610" w:rsidRDefault="00710D4E" w:rsidP="00AA3160">
            <w:pPr>
              <w:rPr>
                <w:b/>
                <w:sz w:val="18"/>
              </w:rPr>
            </w:pPr>
            <w:r w:rsidRPr="00366CA3">
              <w:rPr>
                <w:b/>
                <w:sz w:val="18"/>
              </w:rPr>
              <w:t>2.1 Overview</w:t>
            </w:r>
          </w:p>
        </w:tc>
        <w:tc>
          <w:tcPr>
            <w:tcW w:w="6037" w:type="dxa"/>
          </w:tcPr>
          <w:p w14:paraId="70B388BF" w14:textId="77777777" w:rsidR="00710D4E" w:rsidRDefault="00710D4E" w:rsidP="00AA3160">
            <w:pPr>
              <w:rPr>
                <w:sz w:val="18"/>
              </w:rPr>
            </w:pPr>
            <w:r>
              <w:rPr>
                <w:sz w:val="18"/>
              </w:rPr>
              <w:t>&lt;</w:t>
            </w:r>
            <w:r w:rsidRPr="000E6380">
              <w:rPr>
                <w:sz w:val="18"/>
              </w:rPr>
              <w:t>One or two paragraphs that contain a short and clear, isolated, description of the Use Case</w:t>
            </w:r>
            <w:r>
              <w:rPr>
                <w:sz w:val="18"/>
              </w:rPr>
              <w:t>&gt;</w:t>
            </w:r>
          </w:p>
        </w:tc>
      </w:tr>
      <w:tr w:rsidR="00710D4E" w:rsidRPr="00C77877" w14:paraId="7403A2CD" w14:textId="77777777" w:rsidTr="00AA3160">
        <w:trPr>
          <w:jc w:val="center"/>
        </w:trPr>
        <w:tc>
          <w:tcPr>
            <w:tcW w:w="2660" w:type="dxa"/>
          </w:tcPr>
          <w:p w14:paraId="27879A30" w14:textId="77777777" w:rsidR="00710D4E" w:rsidRPr="00B37610" w:rsidRDefault="00710D4E" w:rsidP="00AA3160">
            <w:pPr>
              <w:rPr>
                <w:b/>
                <w:sz w:val="18"/>
              </w:rPr>
            </w:pPr>
            <w:r w:rsidRPr="00B37610">
              <w:rPr>
                <w:b/>
                <w:sz w:val="18"/>
              </w:rPr>
              <w:t>2.</w:t>
            </w:r>
            <w:r>
              <w:rPr>
                <w:b/>
                <w:sz w:val="18"/>
              </w:rPr>
              <w:t>2</w:t>
            </w:r>
            <w:r w:rsidRPr="00B37610">
              <w:rPr>
                <w:b/>
                <w:sz w:val="18"/>
              </w:rPr>
              <w:t xml:space="preserve"> Motivation</w:t>
            </w:r>
          </w:p>
        </w:tc>
        <w:tc>
          <w:tcPr>
            <w:tcW w:w="6037" w:type="dxa"/>
          </w:tcPr>
          <w:p w14:paraId="1832E839" w14:textId="77777777" w:rsidR="00710D4E" w:rsidRPr="00B37610" w:rsidRDefault="00710D4E" w:rsidP="00AA3160">
            <w:pPr>
              <w:rPr>
                <w:sz w:val="18"/>
              </w:rPr>
            </w:pPr>
            <w:r>
              <w:rPr>
                <w:sz w:val="18"/>
              </w:rPr>
              <w:t>&lt;</w:t>
            </w:r>
            <w:r w:rsidRPr="00B37610">
              <w:rPr>
                <w:sz w:val="18"/>
              </w:rPr>
              <w:t xml:space="preserve">Contents are meant to include the motivation for including the UC in the document, i.e. in this case, leveraging the benefits that using the ENI </w:t>
            </w:r>
            <w:r>
              <w:rPr>
                <w:sz w:val="18"/>
              </w:rPr>
              <w:t>system</w:t>
            </w:r>
            <w:r w:rsidRPr="00B37610">
              <w:rPr>
                <w:sz w:val="18"/>
              </w:rPr>
              <w:t xml:space="preserve"> can bring to solve or to mitigate the situation</w:t>
            </w:r>
            <w:r>
              <w:rPr>
                <w:sz w:val="18"/>
              </w:rPr>
              <w:t>&gt;</w:t>
            </w:r>
          </w:p>
        </w:tc>
      </w:tr>
      <w:tr w:rsidR="00710D4E" w:rsidRPr="00C77877" w14:paraId="13B03FFA" w14:textId="77777777" w:rsidTr="00AA3160">
        <w:trPr>
          <w:jc w:val="center"/>
        </w:trPr>
        <w:tc>
          <w:tcPr>
            <w:tcW w:w="2660" w:type="dxa"/>
          </w:tcPr>
          <w:p w14:paraId="4A899958" w14:textId="77777777" w:rsidR="00710D4E" w:rsidRPr="00B37610" w:rsidRDefault="00710D4E" w:rsidP="00AA3160">
            <w:pPr>
              <w:rPr>
                <w:sz w:val="18"/>
              </w:rPr>
            </w:pPr>
            <w:bookmarkStart w:id="2" w:name="_Ref485629190"/>
            <w:r w:rsidRPr="00B37610">
              <w:rPr>
                <w:b/>
                <w:sz w:val="18"/>
              </w:rPr>
              <w:t>2.</w:t>
            </w:r>
            <w:r>
              <w:rPr>
                <w:b/>
                <w:sz w:val="18"/>
              </w:rPr>
              <w:t>3</w:t>
            </w:r>
            <w:r w:rsidRPr="00B37610">
              <w:rPr>
                <w:b/>
                <w:sz w:val="18"/>
              </w:rPr>
              <w:t xml:space="preserve"> Pictorial representation</w:t>
            </w:r>
            <w:bookmarkEnd w:id="2"/>
          </w:p>
        </w:tc>
        <w:tc>
          <w:tcPr>
            <w:tcW w:w="6037" w:type="dxa"/>
          </w:tcPr>
          <w:p w14:paraId="1BCC9D03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sz w:val="18"/>
              </w:rPr>
              <w:t>&lt;A figure to illustrate the use case&gt;</w:t>
            </w:r>
          </w:p>
        </w:tc>
      </w:tr>
      <w:tr w:rsidR="00710D4E" w:rsidRPr="00C77877" w14:paraId="30930DD7" w14:textId="77777777" w:rsidTr="00AA3160">
        <w:trPr>
          <w:jc w:val="center"/>
        </w:trPr>
        <w:tc>
          <w:tcPr>
            <w:tcW w:w="2660" w:type="dxa"/>
          </w:tcPr>
          <w:p w14:paraId="6B932306" w14:textId="77777777" w:rsidR="00710D4E" w:rsidRPr="00B37610" w:rsidRDefault="00710D4E" w:rsidP="00AA3160">
            <w:pPr>
              <w:tabs>
                <w:tab w:val="left" w:pos="293"/>
              </w:tabs>
              <w:rPr>
                <w:b/>
                <w:sz w:val="18"/>
              </w:rPr>
            </w:pPr>
            <w:r w:rsidRPr="00B37610">
              <w:rPr>
                <w:b/>
                <w:sz w:val="18"/>
              </w:rPr>
              <w:t>2.</w:t>
            </w:r>
            <w:r>
              <w:rPr>
                <w:b/>
                <w:sz w:val="18"/>
              </w:rPr>
              <w:t>4</w:t>
            </w:r>
            <w:r w:rsidRPr="00B37610">
              <w:rPr>
                <w:b/>
                <w:sz w:val="18"/>
              </w:rPr>
              <w:t xml:space="preserve"> </w:t>
            </w:r>
            <w:bookmarkStart w:id="3" w:name="_Ref485629427"/>
            <w:r w:rsidRPr="00B37610">
              <w:rPr>
                <w:b/>
                <w:sz w:val="18"/>
              </w:rPr>
              <w:t>Actors and Roles</w:t>
            </w:r>
            <w:bookmarkEnd w:id="3"/>
            <w:r w:rsidRPr="00B37610">
              <w:rPr>
                <w:b/>
                <w:sz w:val="18"/>
              </w:rPr>
              <w:t xml:space="preserve"> </w:t>
            </w:r>
          </w:p>
        </w:tc>
        <w:tc>
          <w:tcPr>
            <w:tcW w:w="6037" w:type="dxa"/>
          </w:tcPr>
          <w:p w14:paraId="06B388C8" w14:textId="77777777" w:rsidR="00710D4E" w:rsidRPr="00B37610" w:rsidRDefault="00710D4E" w:rsidP="00AA3160">
            <w:pPr>
              <w:rPr>
                <w:sz w:val="18"/>
                <w:lang w:val="en-US"/>
              </w:rPr>
            </w:pPr>
            <w:r w:rsidRPr="00B37610">
              <w:rPr>
                <w:sz w:val="18"/>
                <w:lang w:val="en-US"/>
              </w:rPr>
              <w:t>&lt;List of the actors and roles that will be involved in the operation of ENI, including the network and/or RAN components and the stakeholders associated with them.&gt;</w:t>
            </w:r>
          </w:p>
        </w:tc>
      </w:tr>
      <w:tr w:rsidR="00710D4E" w:rsidRPr="00C77877" w14:paraId="4BC2DF3B" w14:textId="77777777" w:rsidTr="00AA3160">
        <w:trPr>
          <w:jc w:val="center"/>
        </w:trPr>
        <w:tc>
          <w:tcPr>
            <w:tcW w:w="2660" w:type="dxa"/>
          </w:tcPr>
          <w:p w14:paraId="1486B8E4" w14:textId="77777777" w:rsidR="00710D4E" w:rsidRPr="00B37610" w:rsidRDefault="00710D4E" w:rsidP="00AA3160">
            <w:pPr>
              <w:rPr>
                <w:b/>
                <w:sz w:val="18"/>
              </w:rPr>
            </w:pPr>
            <w:bookmarkStart w:id="4" w:name="_Ref485629467"/>
            <w:r w:rsidRPr="00B37610">
              <w:rPr>
                <w:b/>
                <w:sz w:val="18"/>
              </w:rPr>
              <w:t>2.</w:t>
            </w:r>
            <w:r>
              <w:rPr>
                <w:b/>
                <w:sz w:val="18"/>
              </w:rPr>
              <w:t>5</w:t>
            </w:r>
            <w:r w:rsidRPr="00B37610">
              <w:rPr>
                <w:b/>
                <w:sz w:val="18"/>
              </w:rPr>
              <w:t xml:space="preserve"> Initial context configuration</w:t>
            </w:r>
            <w:bookmarkEnd w:id="4"/>
          </w:p>
        </w:tc>
        <w:tc>
          <w:tcPr>
            <w:tcW w:w="6037" w:type="dxa"/>
          </w:tcPr>
          <w:p w14:paraId="0F6FB6C2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sz w:val="18"/>
              </w:rPr>
              <w:t xml:space="preserve">&lt;List of the initial configurations before the operation of ENI, and the initial configuration of the context of use case that ENI will analyse  &gt; </w:t>
            </w:r>
          </w:p>
        </w:tc>
      </w:tr>
      <w:tr w:rsidR="00710D4E" w:rsidRPr="00C77877" w14:paraId="15669298" w14:textId="77777777" w:rsidTr="00AA3160">
        <w:trPr>
          <w:jc w:val="center"/>
        </w:trPr>
        <w:tc>
          <w:tcPr>
            <w:tcW w:w="2660" w:type="dxa"/>
          </w:tcPr>
          <w:p w14:paraId="0DFAC177" w14:textId="77777777" w:rsidR="00710D4E" w:rsidRPr="00B37610" w:rsidRDefault="00710D4E" w:rsidP="00AA3160">
            <w:pPr>
              <w:rPr>
                <w:b/>
                <w:sz w:val="18"/>
              </w:rPr>
            </w:pPr>
            <w:bookmarkStart w:id="5" w:name="_Ref485629476"/>
            <w:r w:rsidRPr="00B37610">
              <w:rPr>
                <w:b/>
                <w:sz w:val="18"/>
              </w:rPr>
              <w:t>2.</w:t>
            </w:r>
            <w:r>
              <w:rPr>
                <w:b/>
                <w:sz w:val="18"/>
              </w:rPr>
              <w:t>6</w:t>
            </w:r>
            <w:r w:rsidRPr="00B37610">
              <w:rPr>
                <w:b/>
                <w:sz w:val="18"/>
              </w:rPr>
              <w:t xml:space="preserve"> Triggering condition</w:t>
            </w:r>
            <w:bookmarkEnd w:id="5"/>
          </w:p>
        </w:tc>
        <w:tc>
          <w:tcPr>
            <w:tcW w:w="6037" w:type="dxa"/>
          </w:tcPr>
          <w:p w14:paraId="67DC9C57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sz w:val="18"/>
              </w:rPr>
              <w:t>&lt;Actions that trigger the operation of ENI&gt;</w:t>
            </w:r>
          </w:p>
        </w:tc>
      </w:tr>
      <w:tr w:rsidR="00710D4E" w:rsidRPr="00C77877" w14:paraId="7EBA4157" w14:textId="77777777" w:rsidTr="00AA3160">
        <w:trPr>
          <w:jc w:val="center"/>
        </w:trPr>
        <w:tc>
          <w:tcPr>
            <w:tcW w:w="2660" w:type="dxa"/>
          </w:tcPr>
          <w:p w14:paraId="1B1294A8" w14:textId="77777777" w:rsidR="00710D4E" w:rsidRPr="00B37610" w:rsidRDefault="00710D4E" w:rsidP="00AA3160">
            <w:pPr>
              <w:rPr>
                <w:b/>
                <w:sz w:val="18"/>
              </w:rPr>
            </w:pPr>
            <w:bookmarkStart w:id="6" w:name="_Ref485629484"/>
            <w:r w:rsidRPr="00B37610">
              <w:rPr>
                <w:b/>
                <w:sz w:val="18"/>
              </w:rPr>
              <w:t>2.</w:t>
            </w:r>
            <w:r>
              <w:rPr>
                <w:b/>
                <w:sz w:val="18"/>
              </w:rPr>
              <w:t>7</w:t>
            </w:r>
            <w:r w:rsidRPr="00B37610">
              <w:rPr>
                <w:b/>
                <w:sz w:val="18"/>
              </w:rPr>
              <w:t xml:space="preserve"> Operational flow of actions</w:t>
            </w:r>
            <w:bookmarkEnd w:id="6"/>
          </w:p>
        </w:tc>
        <w:tc>
          <w:tcPr>
            <w:tcW w:w="6037" w:type="dxa"/>
          </w:tcPr>
          <w:p w14:paraId="32DDB6CA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sz w:val="18"/>
              </w:rPr>
              <w:t>&lt;Interactions between actors and system required for successful execution of the iterative ENI operation&gt;</w:t>
            </w:r>
          </w:p>
        </w:tc>
      </w:tr>
      <w:tr w:rsidR="00710D4E" w:rsidRPr="00C77877" w14:paraId="270810BD" w14:textId="77777777" w:rsidTr="00AA3160">
        <w:trPr>
          <w:jc w:val="center"/>
        </w:trPr>
        <w:tc>
          <w:tcPr>
            <w:tcW w:w="2660" w:type="dxa"/>
          </w:tcPr>
          <w:p w14:paraId="4A699E44" w14:textId="77777777" w:rsidR="00710D4E" w:rsidRPr="00B37610" w:rsidRDefault="00710D4E" w:rsidP="00AA3160">
            <w:pPr>
              <w:rPr>
                <w:b/>
                <w:sz w:val="18"/>
              </w:rPr>
            </w:pPr>
            <w:bookmarkStart w:id="7" w:name="_Ref485629494"/>
            <w:r w:rsidRPr="00B37610">
              <w:rPr>
                <w:b/>
                <w:sz w:val="18"/>
              </w:rPr>
              <w:t>2.</w:t>
            </w:r>
            <w:r>
              <w:rPr>
                <w:b/>
                <w:sz w:val="18"/>
              </w:rPr>
              <w:t>8</w:t>
            </w:r>
            <w:r w:rsidRPr="00B37610">
              <w:rPr>
                <w:b/>
                <w:sz w:val="18"/>
              </w:rPr>
              <w:t xml:space="preserve"> Post-condition</w:t>
            </w:r>
            <w:bookmarkEnd w:id="7"/>
          </w:p>
        </w:tc>
        <w:tc>
          <w:tcPr>
            <w:tcW w:w="6037" w:type="dxa"/>
          </w:tcPr>
          <w:p w14:paraId="50E973B0" w14:textId="77777777" w:rsidR="00710D4E" w:rsidRPr="00B37610" w:rsidRDefault="00710D4E" w:rsidP="00AA3160">
            <w:pPr>
              <w:rPr>
                <w:sz w:val="18"/>
              </w:rPr>
            </w:pPr>
            <w:r w:rsidRPr="00B37610">
              <w:rPr>
                <w:sz w:val="18"/>
              </w:rPr>
              <w:t>&lt;List of post-condition&gt;</w:t>
            </w:r>
          </w:p>
        </w:tc>
      </w:tr>
    </w:tbl>
    <w:p w14:paraId="7B76E86A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1BBF2ED5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07472D4" w14:textId="77777777" w:rsidR="00BA6F0F" w:rsidRPr="00BA6F0F" w:rsidRDefault="00BA6F0F" w:rsidP="00911477">
      <w:pPr>
        <w:spacing w:after="120"/>
        <w:rPr>
          <w:rFonts w:ascii="Arial" w:hAnsi="Arial" w:cs="Arial"/>
        </w:rPr>
      </w:pPr>
      <w:r w:rsidRPr="00BA6F0F">
        <w:rPr>
          <w:rFonts w:ascii="Arial" w:hAnsi="Arial" w:cs="Arial"/>
        </w:rPr>
        <w:t>ENI has planned a number of plenary meetings in 2020</w:t>
      </w:r>
      <w:r>
        <w:rPr>
          <w:rFonts w:ascii="Arial" w:hAnsi="Arial" w:cs="Arial"/>
        </w:rPr>
        <w:t>:</w:t>
      </w:r>
    </w:p>
    <w:p w14:paraId="5E65F380" w14:textId="77777777" w:rsidR="00BA6F0F" w:rsidRPr="00BA6F0F" w:rsidRDefault="00BA6F0F" w:rsidP="00BA6F0F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color w:val="222222"/>
          <w:lang w:eastAsia="zh-CN"/>
        </w:rPr>
      </w:pPr>
      <w:r w:rsidRPr="00BA6F0F">
        <w:rPr>
          <w:rFonts w:ascii="Arial" w:hAnsi="Arial" w:cs="Arial"/>
          <w:color w:val="222222"/>
          <w:lang w:eastAsia="zh-CN"/>
        </w:rPr>
        <w:t xml:space="preserve">ENI#14 23-26 June Face to Face Technical Meeting – CONFIRMED – f2f or online is not confirmed </w:t>
      </w:r>
    </w:p>
    <w:p w14:paraId="083B5018" w14:textId="77777777" w:rsidR="00BA6F0F" w:rsidRPr="00BA6F0F" w:rsidRDefault="00BA6F0F" w:rsidP="00BA6F0F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color w:val="222222"/>
          <w:lang w:eastAsia="zh-CN"/>
        </w:rPr>
      </w:pPr>
      <w:r w:rsidRPr="00BA6F0F">
        <w:rPr>
          <w:rFonts w:ascii="Arial" w:hAnsi="Arial" w:cs="Arial"/>
          <w:color w:val="222222"/>
          <w:lang w:eastAsia="zh-CN"/>
        </w:rPr>
        <w:t xml:space="preserve">ENI#15 14-18 September 2020 London </w:t>
      </w:r>
    </w:p>
    <w:p w14:paraId="667C4CFB" w14:textId="77777777" w:rsidR="00BA6F0F" w:rsidRPr="00BA6F0F" w:rsidRDefault="00BA6F0F" w:rsidP="00BA6F0F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color w:val="222222"/>
          <w:lang w:eastAsia="zh-CN"/>
        </w:rPr>
      </w:pPr>
      <w:r w:rsidRPr="00BA6F0F">
        <w:rPr>
          <w:rFonts w:ascii="Arial" w:hAnsi="Arial" w:cs="Arial"/>
          <w:color w:val="222222"/>
          <w:lang w:eastAsia="zh-CN"/>
        </w:rPr>
        <w:t xml:space="preserve">ENI#16 07-11 December 2020 co-host AsiaInfo &amp; China Telecommunications confirmed in Beijing </w:t>
      </w:r>
    </w:p>
    <w:p w14:paraId="49A23617" w14:textId="77777777" w:rsidR="00BA6F0F" w:rsidRPr="00BA6F0F" w:rsidRDefault="00BA6F0F" w:rsidP="00BA6F0F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color w:val="222222"/>
          <w:sz w:val="21"/>
          <w:szCs w:val="21"/>
          <w:lang w:eastAsia="zh-CN"/>
        </w:rPr>
      </w:pPr>
      <w:r w:rsidRPr="00BA6F0F">
        <w:rPr>
          <w:rFonts w:ascii="Arial" w:hAnsi="Arial" w:cs="Arial"/>
          <w:color w:val="222222"/>
          <w:sz w:val="21"/>
          <w:szCs w:val="21"/>
          <w:lang w:eastAsia="zh-CN"/>
        </w:rPr>
        <w:t xml:space="preserve">According to the covid-19 virus </w:t>
      </w:r>
      <w:r w:rsidR="00A31E08">
        <w:rPr>
          <w:rFonts w:ascii="Arial" w:hAnsi="Arial" w:cs="Arial"/>
          <w:color w:val="222222"/>
          <w:sz w:val="21"/>
          <w:szCs w:val="21"/>
          <w:lang w:eastAsia="zh-CN"/>
        </w:rPr>
        <w:t>situation</w:t>
      </w:r>
    </w:p>
    <w:p w14:paraId="6F01E253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7660F" w14:textId="77777777" w:rsidR="001F5FF6" w:rsidRDefault="001F5FF6" w:rsidP="00D9435B">
      <w:r>
        <w:separator/>
      </w:r>
    </w:p>
  </w:endnote>
  <w:endnote w:type="continuationSeparator" w:id="0">
    <w:p w14:paraId="445111AC" w14:textId="77777777" w:rsidR="001F5FF6" w:rsidRDefault="001F5FF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75A7C" w14:textId="77777777" w:rsidR="00E022F5" w:rsidRDefault="00E02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F74D0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269D1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D23BCE">
      <w:rPr>
        <w:rFonts w:ascii="Arial" w:hAnsi="Arial" w:cs="Arial"/>
        <w:noProof/>
      </w:rPr>
      <w:fldChar w:fldCharType="begin"/>
    </w:r>
    <w:r w:rsidR="00D23BCE">
      <w:rPr>
        <w:rFonts w:ascii="Arial" w:hAnsi="Arial" w:cs="Arial"/>
        <w:noProof/>
      </w:rPr>
      <w:instrText xml:space="preserve"> NUMPAGES   \* MERGEFORMAT </w:instrText>
    </w:r>
    <w:r w:rsidR="00D23BCE">
      <w:rPr>
        <w:rFonts w:ascii="Arial" w:hAnsi="Arial" w:cs="Arial"/>
        <w:noProof/>
      </w:rPr>
      <w:fldChar w:fldCharType="separate"/>
    </w:r>
    <w:r w:rsidR="004269D1">
      <w:rPr>
        <w:rFonts w:ascii="Arial" w:hAnsi="Arial" w:cs="Arial"/>
        <w:noProof/>
      </w:rPr>
      <w:t>3</w:t>
    </w:r>
    <w:r w:rsidR="00D23BCE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97D0A" w14:textId="77777777" w:rsidR="00E022F5" w:rsidRDefault="00E02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F9552" w14:textId="77777777" w:rsidR="001F5FF6" w:rsidRDefault="001F5FF6" w:rsidP="00D9435B">
      <w:r>
        <w:separator/>
      </w:r>
    </w:p>
  </w:footnote>
  <w:footnote w:type="continuationSeparator" w:id="0">
    <w:p w14:paraId="08D0735B" w14:textId="77777777" w:rsidR="001F5FF6" w:rsidRDefault="001F5FF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C4F2A" w14:textId="77777777" w:rsidR="00E022F5" w:rsidRDefault="00E022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A2E18" w14:textId="1354E77D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zh-CN"/>
      </w:rPr>
      <w:drawing>
        <wp:anchor distT="0" distB="0" distL="114300" distR="114300" simplePos="0" relativeHeight="251659264" behindDoc="1" locked="0" layoutInCell="1" allowOverlap="1" wp14:anchorId="08951899" wp14:editId="5ADD650C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E022F5">
      <w:rPr>
        <w:rFonts w:ascii="Arial" w:hAnsi="Arial" w:cs="Arial"/>
        <w:b/>
        <w:sz w:val="36"/>
        <w:szCs w:val="36"/>
        <w:shd w:val="clear" w:color="auto" w:fill="DBE5F1"/>
      </w:rPr>
      <w:t>ENI(20)000070r1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2FC04" w14:textId="77777777" w:rsidR="00E022F5" w:rsidRDefault="00E022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95812"/>
    <w:multiLevelType w:val="hybridMultilevel"/>
    <w:tmpl w:val="E9E46F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946801"/>
    <w:multiLevelType w:val="hybridMultilevel"/>
    <w:tmpl w:val="95B02B4E"/>
    <w:lvl w:ilvl="0" w:tplc="930CA66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7"/>
  </w:num>
  <w:num w:numId="4">
    <w:abstractNumId w:val="20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3"/>
  </w:num>
  <w:num w:numId="16">
    <w:abstractNumId w:val="19"/>
  </w:num>
  <w:num w:numId="17">
    <w:abstractNumId w:val="12"/>
  </w:num>
  <w:num w:numId="18">
    <w:abstractNumId w:val="16"/>
  </w:num>
  <w:num w:numId="19">
    <w:abstractNumId w:val="14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C4CB6"/>
    <w:rsid w:val="0012322C"/>
    <w:rsid w:val="00181471"/>
    <w:rsid w:val="00191D22"/>
    <w:rsid w:val="001B2ABC"/>
    <w:rsid w:val="001C30D5"/>
    <w:rsid w:val="001F5FF6"/>
    <w:rsid w:val="00216D13"/>
    <w:rsid w:val="00242923"/>
    <w:rsid w:val="002676F5"/>
    <w:rsid w:val="00297B33"/>
    <w:rsid w:val="002F5958"/>
    <w:rsid w:val="003050B4"/>
    <w:rsid w:val="00333B0D"/>
    <w:rsid w:val="003354CE"/>
    <w:rsid w:val="0036058F"/>
    <w:rsid w:val="003D5716"/>
    <w:rsid w:val="004050E6"/>
    <w:rsid w:val="004124A2"/>
    <w:rsid w:val="004269D1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10D4E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54265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31E08"/>
    <w:rsid w:val="00A61734"/>
    <w:rsid w:val="00B22603"/>
    <w:rsid w:val="00B703A5"/>
    <w:rsid w:val="00B837B4"/>
    <w:rsid w:val="00BA6F0F"/>
    <w:rsid w:val="00BB5244"/>
    <w:rsid w:val="00BE7AFE"/>
    <w:rsid w:val="00C04D8B"/>
    <w:rsid w:val="00C15BAD"/>
    <w:rsid w:val="00C43D33"/>
    <w:rsid w:val="00C67710"/>
    <w:rsid w:val="00C76D35"/>
    <w:rsid w:val="00CA135C"/>
    <w:rsid w:val="00CC0049"/>
    <w:rsid w:val="00D23BCE"/>
    <w:rsid w:val="00D9435B"/>
    <w:rsid w:val="00DA185D"/>
    <w:rsid w:val="00DA65AB"/>
    <w:rsid w:val="00DD314A"/>
    <w:rsid w:val="00DE4DB9"/>
    <w:rsid w:val="00DF6ED5"/>
    <w:rsid w:val="00E00EF0"/>
    <w:rsid w:val="00E022F5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92BB28"/>
  <w15:docId w15:val="{E9A774DB-A932-4EAE-B32E-1610B5934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NormalWeb">
    <w:name w:val="Normal (Web)"/>
    <w:basedOn w:val="Normal"/>
    <w:uiPriority w:val="99"/>
    <w:semiHidden/>
    <w:unhideWhenUsed/>
    <w:rsid w:val="00BA6F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6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6F0F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BA6F0F"/>
    <w:pPr>
      <w:ind w:left="720"/>
      <w:contextualSpacing/>
    </w:pPr>
  </w:style>
  <w:style w:type="table" w:styleId="TableGrid">
    <w:name w:val="Table Grid"/>
    <w:basedOn w:val="TableNormal"/>
    <w:uiPriority w:val="59"/>
    <w:rsid w:val="00710D4E"/>
    <w:pPr>
      <w:spacing w:after="0" w:line="240" w:lineRule="auto"/>
    </w:pPr>
    <w:rPr>
      <w:rFonts w:eastAsiaTheme="minorEastAsia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26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69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69D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6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69D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5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si.org/deliver/etsi_gs/ENI/001_099/001/02.01.01_60/gs_ENI001v020101p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A9E13-B365-4B47-A4F9-869B3E102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ENI(20)000_001 - LIaison to the ITU-T FG ML5G on Use Case template</vt:lpstr>
    </vt:vector>
  </TitlesOfParts>
  <Company>ETSI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ENI(20)000_001 - LIaison to the ITU-T FG ML5G on Use Case template</dc:title>
  <dc:creator>Chairman</dc:creator>
  <dc:description>20110621 - Template upated:1- L&amp;R margins set to 2cm 2-Header table left indent set to 0</dc:description>
  <cp:lastModifiedBy>Christine Mera</cp:lastModifiedBy>
  <cp:revision>2</cp:revision>
  <cp:lastPrinted>2010-12-06T15:51:00Z</cp:lastPrinted>
  <dcterms:created xsi:type="dcterms:W3CDTF">2020-04-20T14:11:00Z</dcterms:created>
  <dcterms:modified xsi:type="dcterms:W3CDTF">2020-04-20T14:11:00Z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1587391038</vt:lpwstr>
  </property>
</Properties>
</file>