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2994"/>
        <w:gridCol w:w="1053"/>
        <w:gridCol w:w="3632"/>
      </w:tblGrid>
      <w:tr w:rsidR="00C771AE" w14:paraId="23BC6C30" w14:textId="77777777" w:rsidTr="009E636D">
        <w:trPr>
          <w:cantSplit/>
        </w:trPr>
        <w:tc>
          <w:tcPr>
            <w:tcW w:w="1192" w:type="dxa"/>
            <w:vMerge w:val="restart"/>
            <w:tcBorders>
              <w:top w:val="nil"/>
              <w:left w:val="nil"/>
              <w:bottom w:val="single" w:sz="12" w:space="0" w:color="auto"/>
              <w:right w:val="nil"/>
            </w:tcBorders>
            <w:hideMark/>
          </w:tcPr>
          <w:p w14:paraId="6C7CE4B8" w14:textId="6CDEEE9D" w:rsidR="00C771AE" w:rsidRDefault="00C771AE">
            <w:pPr>
              <w:rPr>
                <w:rFonts w:eastAsia="MS Mincho"/>
                <w:b/>
                <w:bCs/>
                <w:sz w:val="26"/>
                <w:szCs w:val="20"/>
                <w:lang w:eastAsia="en-GB"/>
              </w:rPr>
            </w:pPr>
            <w:bookmarkStart w:id="0" w:name="dnum" w:colFirst="2" w:colLast="2"/>
            <w:bookmarkStart w:id="1" w:name="dtableau"/>
            <w:r>
              <w:rPr>
                <w:noProof/>
                <w:sz w:val="20"/>
                <w:lang w:val="en-US" w:eastAsia="zh-CN"/>
              </w:rPr>
              <w:drawing>
                <wp:inline distT="0" distB="0" distL="0" distR="0" wp14:anchorId="62C9A2F1" wp14:editId="749AACAA">
                  <wp:extent cx="647700" cy="82867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6" w:type="dxa"/>
            <w:gridSpan w:val="4"/>
            <w:vMerge w:val="restart"/>
            <w:tcBorders>
              <w:top w:val="nil"/>
              <w:left w:val="nil"/>
              <w:bottom w:val="single" w:sz="12" w:space="0" w:color="auto"/>
              <w:right w:val="nil"/>
            </w:tcBorders>
            <w:hideMark/>
          </w:tcPr>
          <w:p w14:paraId="0E5F59A3" w14:textId="77777777" w:rsidR="00C771AE" w:rsidRDefault="00C771AE">
            <w:pPr>
              <w:rPr>
                <w:sz w:val="20"/>
              </w:rPr>
            </w:pPr>
            <w:r>
              <w:rPr>
                <w:sz w:val="20"/>
              </w:rPr>
              <w:t>INTERNATIONAL TELECOMMUNICATION UNION</w:t>
            </w:r>
          </w:p>
          <w:p w14:paraId="7AFE802D" w14:textId="77777777" w:rsidR="00C771AE" w:rsidRDefault="00C771AE">
            <w:pPr>
              <w:rPr>
                <w:b/>
                <w:bCs/>
                <w:sz w:val="26"/>
              </w:rPr>
            </w:pPr>
            <w:r>
              <w:rPr>
                <w:b/>
                <w:bCs/>
                <w:sz w:val="26"/>
              </w:rPr>
              <w:t>TELECOMMUNICATION STANDARDIZATION SECTOR</w:t>
            </w:r>
          </w:p>
          <w:p w14:paraId="108846DF" w14:textId="77777777" w:rsidR="00C771AE" w:rsidRDefault="00C771AE">
            <w:pPr>
              <w:rPr>
                <w:sz w:val="20"/>
              </w:rPr>
            </w:pPr>
            <w:r>
              <w:rPr>
                <w:sz w:val="20"/>
              </w:rPr>
              <w:t>STUDY PERIOD 2017-2020</w:t>
            </w:r>
          </w:p>
        </w:tc>
        <w:tc>
          <w:tcPr>
            <w:tcW w:w="3632" w:type="dxa"/>
            <w:hideMark/>
          </w:tcPr>
          <w:p w14:paraId="57138AB0" w14:textId="77777777" w:rsidR="00C771AE" w:rsidRDefault="00C771AE">
            <w:pPr>
              <w:pStyle w:val="Docnumber"/>
              <w:rPr>
                <w:sz w:val="40"/>
              </w:rPr>
            </w:pPr>
            <w:r>
              <w:t>TSAG-TD947</w:t>
            </w:r>
          </w:p>
        </w:tc>
      </w:tr>
      <w:tr w:rsidR="00C771AE" w14:paraId="46008AF9" w14:textId="77777777" w:rsidTr="009E636D">
        <w:trPr>
          <w:cantSplit/>
          <w:trHeight w:val="461"/>
        </w:trPr>
        <w:tc>
          <w:tcPr>
            <w:tcW w:w="1192" w:type="dxa"/>
            <w:vMerge/>
            <w:tcBorders>
              <w:top w:val="nil"/>
              <w:left w:val="nil"/>
              <w:bottom w:val="single" w:sz="12" w:space="0" w:color="auto"/>
              <w:right w:val="nil"/>
            </w:tcBorders>
            <w:vAlign w:val="center"/>
            <w:hideMark/>
          </w:tcPr>
          <w:p w14:paraId="0E8F36A5" w14:textId="77777777" w:rsidR="00C771AE" w:rsidRDefault="00C771AE">
            <w:pPr>
              <w:spacing w:before="0"/>
              <w:rPr>
                <w:b/>
                <w:bCs/>
                <w:sz w:val="26"/>
              </w:rPr>
            </w:pPr>
          </w:p>
        </w:tc>
        <w:tc>
          <w:tcPr>
            <w:tcW w:w="5106" w:type="dxa"/>
            <w:gridSpan w:val="4"/>
            <w:vMerge/>
            <w:tcBorders>
              <w:top w:val="nil"/>
              <w:left w:val="nil"/>
              <w:bottom w:val="single" w:sz="12" w:space="0" w:color="auto"/>
              <w:right w:val="nil"/>
            </w:tcBorders>
            <w:vAlign w:val="center"/>
            <w:hideMark/>
          </w:tcPr>
          <w:p w14:paraId="27301D2D" w14:textId="77777777" w:rsidR="00C771AE" w:rsidRDefault="00C771AE">
            <w:pPr>
              <w:spacing w:before="0"/>
              <w:rPr>
                <w:sz w:val="20"/>
              </w:rPr>
            </w:pPr>
          </w:p>
        </w:tc>
        <w:tc>
          <w:tcPr>
            <w:tcW w:w="3632" w:type="dxa"/>
            <w:hideMark/>
          </w:tcPr>
          <w:p w14:paraId="7BDC1AE4" w14:textId="77777777" w:rsidR="00C771AE" w:rsidRDefault="00C771AE">
            <w:pPr>
              <w:jc w:val="right"/>
              <w:rPr>
                <w:b/>
                <w:bCs/>
                <w:sz w:val="28"/>
              </w:rPr>
            </w:pPr>
            <w:r>
              <w:rPr>
                <w:b/>
                <w:bCs/>
                <w:sz w:val="28"/>
              </w:rPr>
              <w:t>TSAG</w:t>
            </w:r>
          </w:p>
        </w:tc>
      </w:tr>
      <w:tr w:rsidR="00C771AE" w14:paraId="34309AB5" w14:textId="77777777" w:rsidTr="009E636D">
        <w:trPr>
          <w:cantSplit/>
          <w:trHeight w:val="379"/>
        </w:trPr>
        <w:tc>
          <w:tcPr>
            <w:tcW w:w="1192" w:type="dxa"/>
            <w:vMerge/>
            <w:tcBorders>
              <w:top w:val="nil"/>
              <w:left w:val="nil"/>
              <w:bottom w:val="single" w:sz="12" w:space="0" w:color="auto"/>
              <w:right w:val="nil"/>
            </w:tcBorders>
            <w:vAlign w:val="center"/>
            <w:hideMark/>
          </w:tcPr>
          <w:p w14:paraId="1DE04CE6" w14:textId="77777777" w:rsidR="00C771AE" w:rsidRDefault="00C771AE">
            <w:pPr>
              <w:spacing w:before="0"/>
              <w:rPr>
                <w:b/>
                <w:bCs/>
                <w:sz w:val="26"/>
              </w:rPr>
            </w:pPr>
            <w:bookmarkStart w:id="2" w:name="dorlang" w:colFirst="4" w:colLast="4"/>
          </w:p>
        </w:tc>
        <w:tc>
          <w:tcPr>
            <w:tcW w:w="5106" w:type="dxa"/>
            <w:gridSpan w:val="4"/>
            <w:vMerge/>
            <w:tcBorders>
              <w:top w:val="nil"/>
              <w:left w:val="nil"/>
              <w:bottom w:val="single" w:sz="12" w:space="0" w:color="auto"/>
              <w:right w:val="nil"/>
            </w:tcBorders>
            <w:vAlign w:val="center"/>
            <w:hideMark/>
          </w:tcPr>
          <w:p w14:paraId="40F2D03F" w14:textId="77777777" w:rsidR="00C771AE" w:rsidRDefault="00C771AE">
            <w:pPr>
              <w:spacing w:before="0"/>
              <w:rPr>
                <w:sz w:val="20"/>
              </w:rPr>
            </w:pPr>
          </w:p>
        </w:tc>
        <w:tc>
          <w:tcPr>
            <w:tcW w:w="3632" w:type="dxa"/>
            <w:tcBorders>
              <w:top w:val="nil"/>
              <w:left w:val="nil"/>
              <w:bottom w:val="single" w:sz="12" w:space="0" w:color="auto"/>
              <w:right w:val="nil"/>
            </w:tcBorders>
            <w:hideMark/>
          </w:tcPr>
          <w:p w14:paraId="3E2BDFAC" w14:textId="77777777" w:rsidR="00C771AE" w:rsidRDefault="00C771AE">
            <w:pPr>
              <w:jc w:val="right"/>
              <w:rPr>
                <w:b/>
                <w:bCs/>
                <w:sz w:val="28"/>
              </w:rPr>
            </w:pPr>
            <w:r>
              <w:rPr>
                <w:b/>
                <w:bCs/>
                <w:sz w:val="28"/>
              </w:rPr>
              <w:t>Original: English</w:t>
            </w:r>
          </w:p>
        </w:tc>
      </w:tr>
      <w:bookmarkEnd w:id="2"/>
      <w:tr w:rsidR="00C771AE" w14:paraId="2F5F4B07" w14:textId="77777777" w:rsidTr="009E636D">
        <w:trPr>
          <w:cantSplit/>
          <w:trHeight w:val="357"/>
        </w:trPr>
        <w:tc>
          <w:tcPr>
            <w:tcW w:w="1551" w:type="dxa"/>
            <w:gridSpan w:val="2"/>
            <w:hideMark/>
          </w:tcPr>
          <w:p w14:paraId="47ABE7B2" w14:textId="77777777" w:rsidR="00C771AE" w:rsidRDefault="00C771AE">
            <w:pPr>
              <w:rPr>
                <w:b/>
                <w:bCs/>
              </w:rPr>
            </w:pPr>
            <w:r>
              <w:rPr>
                <w:b/>
                <w:bCs/>
              </w:rPr>
              <w:t>Question(s):</w:t>
            </w:r>
          </w:p>
        </w:tc>
        <w:tc>
          <w:tcPr>
            <w:tcW w:w="4747" w:type="dxa"/>
            <w:gridSpan w:val="3"/>
            <w:hideMark/>
          </w:tcPr>
          <w:p w14:paraId="28E47E9E" w14:textId="2EB2B88B" w:rsidR="00C771AE" w:rsidRDefault="009E636D">
            <w:r>
              <w:t>N/</w:t>
            </w:r>
            <w:r w:rsidR="00C771AE">
              <w:t>A</w:t>
            </w:r>
          </w:p>
        </w:tc>
        <w:tc>
          <w:tcPr>
            <w:tcW w:w="3632" w:type="dxa"/>
            <w:hideMark/>
          </w:tcPr>
          <w:p w14:paraId="60DA3CE7" w14:textId="77777777" w:rsidR="00C771AE" w:rsidRDefault="00C771AE">
            <w:pPr>
              <w:jc w:val="right"/>
            </w:pPr>
            <w:r>
              <w:t>E-Meeting, 11-18 January 2021</w:t>
            </w:r>
          </w:p>
        </w:tc>
      </w:tr>
      <w:tr w:rsidR="00C771AE" w14:paraId="7D131996" w14:textId="77777777" w:rsidTr="009E636D">
        <w:trPr>
          <w:cantSplit/>
          <w:trHeight w:val="357"/>
        </w:trPr>
        <w:tc>
          <w:tcPr>
            <w:tcW w:w="9930" w:type="dxa"/>
            <w:gridSpan w:val="6"/>
            <w:hideMark/>
          </w:tcPr>
          <w:p w14:paraId="75CE0E9A" w14:textId="59CC8E02" w:rsidR="00C771AE" w:rsidRDefault="00C771AE">
            <w:pPr>
              <w:jc w:val="center"/>
              <w:rPr>
                <w:b/>
                <w:bCs/>
              </w:rPr>
            </w:pPr>
            <w:bookmarkStart w:id="3" w:name="dtitle"/>
            <w:r>
              <w:rPr>
                <w:b/>
                <w:bCs/>
              </w:rPr>
              <w:t>TD</w:t>
            </w:r>
            <w:r>
              <w:rPr>
                <w:b/>
                <w:bCs/>
              </w:rPr>
              <w:br/>
              <w:t>(Ref</w:t>
            </w:r>
            <w:r w:rsidR="009E636D">
              <w:rPr>
                <w:b/>
                <w:bCs/>
              </w:rPr>
              <w:t>.</w:t>
            </w:r>
            <w:r>
              <w:rPr>
                <w:b/>
                <w:bCs/>
              </w:rPr>
              <w:t xml:space="preserve">: </w:t>
            </w:r>
            <w:hyperlink r:id="rId12" w:tooltip="ITU-T ftp file restricted to TIES access only" w:history="1">
              <w:r>
                <w:rPr>
                  <w:rStyle w:val="Hyperlink"/>
                </w:rPr>
                <w:t>SG2-LS177</w:t>
              </w:r>
            </w:hyperlink>
            <w:r>
              <w:t>)</w:t>
            </w:r>
          </w:p>
        </w:tc>
        <w:bookmarkEnd w:id="3"/>
      </w:tr>
      <w:tr w:rsidR="00C771AE" w14:paraId="497B352F" w14:textId="77777777" w:rsidTr="009E636D">
        <w:trPr>
          <w:cantSplit/>
          <w:trHeight w:val="357"/>
        </w:trPr>
        <w:tc>
          <w:tcPr>
            <w:tcW w:w="1551" w:type="dxa"/>
            <w:gridSpan w:val="2"/>
            <w:hideMark/>
          </w:tcPr>
          <w:p w14:paraId="60C98235" w14:textId="77777777" w:rsidR="00C771AE" w:rsidRDefault="00C771AE">
            <w:pPr>
              <w:rPr>
                <w:b/>
                <w:bCs/>
              </w:rPr>
            </w:pPr>
            <w:r>
              <w:rPr>
                <w:b/>
                <w:bCs/>
              </w:rPr>
              <w:t>Source:</w:t>
            </w:r>
          </w:p>
        </w:tc>
        <w:tc>
          <w:tcPr>
            <w:tcW w:w="8379" w:type="dxa"/>
            <w:gridSpan w:val="4"/>
            <w:hideMark/>
          </w:tcPr>
          <w:p w14:paraId="2D9508B1" w14:textId="77777777" w:rsidR="00C771AE" w:rsidRDefault="00C771AE">
            <w:r>
              <w:t>ITU-T Study Group 2</w:t>
            </w:r>
          </w:p>
        </w:tc>
      </w:tr>
      <w:tr w:rsidR="00C771AE" w14:paraId="79328100" w14:textId="77777777" w:rsidTr="009E636D">
        <w:trPr>
          <w:cantSplit/>
          <w:trHeight w:val="357"/>
        </w:trPr>
        <w:tc>
          <w:tcPr>
            <w:tcW w:w="1551" w:type="dxa"/>
            <w:gridSpan w:val="2"/>
            <w:hideMark/>
          </w:tcPr>
          <w:p w14:paraId="16B41F79" w14:textId="77777777" w:rsidR="00C771AE" w:rsidRDefault="00C771AE">
            <w:pPr>
              <w:rPr>
                <w:b/>
                <w:bCs/>
              </w:rPr>
            </w:pPr>
            <w:r>
              <w:rPr>
                <w:b/>
                <w:bCs/>
              </w:rPr>
              <w:t>Title:</w:t>
            </w:r>
          </w:p>
        </w:tc>
        <w:tc>
          <w:tcPr>
            <w:tcW w:w="8379" w:type="dxa"/>
            <w:gridSpan w:val="4"/>
            <w:hideMark/>
          </w:tcPr>
          <w:p w14:paraId="17281ECE" w14:textId="77777777" w:rsidR="00C771AE" w:rsidRDefault="00C771AE">
            <w:pPr>
              <w:spacing w:after="120"/>
            </w:pPr>
            <w:r>
              <w:t>LS on establishment of a new ITU-T Focus Group on Artificial Intelligence for Natural Disaster Management (FG-AI4NDM) and first meeting (Virtual, 15-17 March 2021) [from ITU-T SG2]</w:t>
            </w:r>
          </w:p>
        </w:tc>
      </w:tr>
      <w:tr w:rsidR="00C771AE" w14:paraId="0AB22C6E" w14:textId="77777777" w:rsidTr="009E636D">
        <w:trPr>
          <w:cantSplit/>
          <w:trHeight w:val="357"/>
        </w:trPr>
        <w:tc>
          <w:tcPr>
            <w:tcW w:w="1551" w:type="dxa"/>
            <w:gridSpan w:val="2"/>
            <w:hideMark/>
          </w:tcPr>
          <w:p w14:paraId="218BD7BC" w14:textId="77777777" w:rsidR="00C771AE" w:rsidRDefault="00C771AE">
            <w:pPr>
              <w:rPr>
                <w:b/>
                <w:bCs/>
              </w:rPr>
            </w:pPr>
            <w:r>
              <w:rPr>
                <w:b/>
                <w:bCs/>
              </w:rPr>
              <w:t>Purpose:</w:t>
            </w:r>
          </w:p>
        </w:tc>
        <w:tc>
          <w:tcPr>
            <w:tcW w:w="8379" w:type="dxa"/>
            <w:gridSpan w:val="4"/>
          </w:tcPr>
          <w:p w14:paraId="0CE00F28" w14:textId="57B02C3F" w:rsidR="00C771AE" w:rsidRDefault="009E636D">
            <w:r>
              <w:t>Information</w:t>
            </w:r>
          </w:p>
        </w:tc>
      </w:tr>
      <w:tr w:rsidR="00C771AE" w14:paraId="0CBF08A0" w14:textId="77777777" w:rsidTr="009E636D">
        <w:trPr>
          <w:cantSplit/>
          <w:trHeight w:val="357"/>
        </w:trPr>
        <w:tc>
          <w:tcPr>
            <w:tcW w:w="9930" w:type="dxa"/>
            <w:gridSpan w:val="6"/>
            <w:tcBorders>
              <w:top w:val="single" w:sz="12" w:space="0" w:color="auto"/>
              <w:left w:val="nil"/>
              <w:bottom w:val="nil"/>
              <w:right w:val="nil"/>
            </w:tcBorders>
            <w:hideMark/>
          </w:tcPr>
          <w:p w14:paraId="705F2298" w14:textId="77777777" w:rsidR="00C771AE" w:rsidRDefault="00C771AE">
            <w:pPr>
              <w:jc w:val="center"/>
              <w:rPr>
                <w:b/>
              </w:rPr>
            </w:pPr>
            <w:r>
              <w:rPr>
                <w:b/>
              </w:rPr>
              <w:t>LIAISON STATEMENT</w:t>
            </w:r>
          </w:p>
        </w:tc>
      </w:tr>
      <w:tr w:rsidR="00C771AE" w14:paraId="405D8F98" w14:textId="77777777" w:rsidTr="009E636D">
        <w:trPr>
          <w:cantSplit/>
          <w:trHeight w:val="357"/>
        </w:trPr>
        <w:tc>
          <w:tcPr>
            <w:tcW w:w="2251" w:type="dxa"/>
            <w:gridSpan w:val="3"/>
            <w:hideMark/>
          </w:tcPr>
          <w:p w14:paraId="17BA88B7" w14:textId="77777777" w:rsidR="00C771AE" w:rsidRDefault="00C771AE">
            <w:pPr>
              <w:rPr>
                <w:b/>
                <w:bCs/>
              </w:rPr>
            </w:pPr>
            <w:r>
              <w:rPr>
                <w:b/>
                <w:bCs/>
              </w:rPr>
              <w:t>For action to:</w:t>
            </w:r>
          </w:p>
        </w:tc>
        <w:tc>
          <w:tcPr>
            <w:tcW w:w="7679" w:type="dxa"/>
            <w:gridSpan w:val="3"/>
            <w:hideMark/>
          </w:tcPr>
          <w:p w14:paraId="6A1B9CDC" w14:textId="77777777" w:rsidR="00C771AE" w:rsidRDefault="00C771AE">
            <w:r>
              <w:t>JCA-AHF, ITU-R SG 1, ITU-R SG 5, ITU-R SG 6, ITU-R SG 3, ITU-R SG 4, ITU-R SG 7, ISO, ITU-D SG 2, ITU-D SG 1, WMO, IEEE, UNESCO, UNHCR, World Health Organization, UNEP, World Bank (The), SG3, SG5, SG9, SG11, SG12, SG13, SG15, SG16, SG17, SG20, UNEP-MAP, UNDDR, PAHO, IUGG, AOGS, GEO, AMS, EMS, AGU, EGU, ESA, ISC, UFM, ACM</w:t>
            </w:r>
          </w:p>
        </w:tc>
      </w:tr>
      <w:tr w:rsidR="00C771AE" w14:paraId="7EEC98AA" w14:textId="77777777" w:rsidTr="009E636D">
        <w:trPr>
          <w:cantSplit/>
          <w:trHeight w:val="357"/>
        </w:trPr>
        <w:tc>
          <w:tcPr>
            <w:tcW w:w="2251" w:type="dxa"/>
            <w:gridSpan w:val="3"/>
            <w:hideMark/>
          </w:tcPr>
          <w:p w14:paraId="605A94BB" w14:textId="77777777" w:rsidR="00C771AE" w:rsidRDefault="00C771AE">
            <w:pPr>
              <w:rPr>
                <w:b/>
                <w:bCs/>
              </w:rPr>
            </w:pPr>
            <w:r>
              <w:rPr>
                <w:b/>
                <w:bCs/>
              </w:rPr>
              <w:t>For comment to:</w:t>
            </w:r>
          </w:p>
        </w:tc>
        <w:tc>
          <w:tcPr>
            <w:tcW w:w="7679" w:type="dxa"/>
            <w:gridSpan w:val="3"/>
            <w:hideMark/>
          </w:tcPr>
          <w:p w14:paraId="0E08B3F6" w14:textId="77777777" w:rsidR="00C771AE" w:rsidRDefault="00C771AE">
            <w:r>
              <w:t>-</w:t>
            </w:r>
          </w:p>
        </w:tc>
      </w:tr>
      <w:tr w:rsidR="00C771AE" w14:paraId="12BF44EC" w14:textId="77777777" w:rsidTr="009E636D">
        <w:trPr>
          <w:cantSplit/>
          <w:trHeight w:val="357"/>
        </w:trPr>
        <w:tc>
          <w:tcPr>
            <w:tcW w:w="2251" w:type="dxa"/>
            <w:gridSpan w:val="3"/>
            <w:hideMark/>
          </w:tcPr>
          <w:p w14:paraId="55A9A9B8" w14:textId="77777777" w:rsidR="00C771AE" w:rsidRDefault="00C771AE">
            <w:pPr>
              <w:rPr>
                <w:b/>
                <w:bCs/>
              </w:rPr>
            </w:pPr>
            <w:r>
              <w:rPr>
                <w:b/>
                <w:bCs/>
              </w:rPr>
              <w:t>For information to:</w:t>
            </w:r>
          </w:p>
        </w:tc>
        <w:tc>
          <w:tcPr>
            <w:tcW w:w="7679" w:type="dxa"/>
            <w:gridSpan w:val="3"/>
            <w:hideMark/>
          </w:tcPr>
          <w:p w14:paraId="68E0CA56" w14:textId="77777777" w:rsidR="00C771AE" w:rsidRDefault="00C771AE">
            <w:r>
              <w:t>TSAG, FG AI4NDM</w:t>
            </w:r>
          </w:p>
        </w:tc>
      </w:tr>
      <w:tr w:rsidR="00C771AE" w14:paraId="200A7569" w14:textId="77777777" w:rsidTr="009E636D">
        <w:trPr>
          <w:cantSplit/>
          <w:trHeight w:val="357"/>
        </w:trPr>
        <w:tc>
          <w:tcPr>
            <w:tcW w:w="2251" w:type="dxa"/>
            <w:gridSpan w:val="3"/>
            <w:hideMark/>
          </w:tcPr>
          <w:p w14:paraId="4EC3D8FE" w14:textId="77777777" w:rsidR="00C771AE" w:rsidRDefault="00C771AE">
            <w:pPr>
              <w:rPr>
                <w:b/>
                <w:bCs/>
              </w:rPr>
            </w:pPr>
            <w:r>
              <w:rPr>
                <w:b/>
                <w:bCs/>
              </w:rPr>
              <w:t>Approval:</w:t>
            </w:r>
          </w:p>
        </w:tc>
        <w:tc>
          <w:tcPr>
            <w:tcW w:w="7679" w:type="dxa"/>
            <w:gridSpan w:val="3"/>
            <w:hideMark/>
          </w:tcPr>
          <w:p w14:paraId="4A685826" w14:textId="77777777" w:rsidR="00C771AE" w:rsidRDefault="00C771AE">
            <w:r>
              <w:t>ITU-T Study Group 2 management (8 January 2021, by correspondence)</w:t>
            </w:r>
          </w:p>
        </w:tc>
      </w:tr>
      <w:tr w:rsidR="00C771AE" w14:paraId="77962F4B" w14:textId="77777777" w:rsidTr="009E636D">
        <w:trPr>
          <w:cantSplit/>
          <w:trHeight w:val="357"/>
        </w:trPr>
        <w:tc>
          <w:tcPr>
            <w:tcW w:w="2251" w:type="dxa"/>
            <w:gridSpan w:val="3"/>
            <w:tcBorders>
              <w:top w:val="nil"/>
              <w:left w:val="nil"/>
              <w:bottom w:val="single" w:sz="12" w:space="0" w:color="auto"/>
              <w:right w:val="nil"/>
            </w:tcBorders>
            <w:hideMark/>
          </w:tcPr>
          <w:p w14:paraId="4C46FB2F" w14:textId="77777777" w:rsidR="00C771AE" w:rsidRDefault="00C771AE">
            <w:r>
              <w:rPr>
                <w:b/>
              </w:rPr>
              <w:t>Deadline:</w:t>
            </w:r>
          </w:p>
        </w:tc>
        <w:tc>
          <w:tcPr>
            <w:tcW w:w="7679" w:type="dxa"/>
            <w:gridSpan w:val="3"/>
            <w:tcBorders>
              <w:top w:val="nil"/>
              <w:left w:val="nil"/>
              <w:bottom w:val="single" w:sz="12" w:space="0" w:color="auto"/>
              <w:right w:val="nil"/>
            </w:tcBorders>
            <w:hideMark/>
          </w:tcPr>
          <w:p w14:paraId="5A1F2333" w14:textId="77777777" w:rsidR="00C771AE" w:rsidRDefault="00C771AE">
            <w:r>
              <w:t>N/A</w:t>
            </w:r>
          </w:p>
        </w:tc>
      </w:tr>
      <w:tr w:rsidR="00C771AE" w:rsidRPr="00D17AEE" w14:paraId="3190F771" w14:textId="77777777" w:rsidTr="009E636D">
        <w:trPr>
          <w:trHeight w:val="204"/>
        </w:trPr>
        <w:tc>
          <w:tcPr>
            <w:tcW w:w="2251" w:type="dxa"/>
            <w:gridSpan w:val="3"/>
            <w:tcBorders>
              <w:top w:val="nil"/>
              <w:left w:val="nil"/>
              <w:bottom w:val="single" w:sz="12" w:space="0" w:color="auto"/>
              <w:right w:val="nil"/>
            </w:tcBorders>
            <w:hideMark/>
          </w:tcPr>
          <w:p w14:paraId="57A1534B" w14:textId="77777777" w:rsidR="00C771AE" w:rsidRDefault="00C771AE">
            <w:pPr>
              <w:rPr>
                <w:b/>
                <w:bCs/>
              </w:rPr>
            </w:pPr>
            <w:r>
              <w:rPr>
                <w:b/>
                <w:bCs/>
              </w:rPr>
              <w:t>Contact:</w:t>
            </w:r>
          </w:p>
        </w:tc>
        <w:tc>
          <w:tcPr>
            <w:tcW w:w="2994" w:type="dxa"/>
            <w:tcBorders>
              <w:top w:val="nil"/>
              <w:left w:val="nil"/>
              <w:bottom w:val="single" w:sz="12" w:space="0" w:color="auto"/>
              <w:right w:val="nil"/>
            </w:tcBorders>
            <w:hideMark/>
          </w:tcPr>
          <w:p w14:paraId="6305589C" w14:textId="77777777" w:rsidR="00C771AE" w:rsidRDefault="00C771AE" w:rsidP="009E636D">
            <w:pPr>
              <w:rPr>
                <w:szCs w:val="20"/>
              </w:rPr>
            </w:pPr>
            <w:r>
              <w:t>Philip Rushton</w:t>
            </w:r>
            <w:r>
              <w:br/>
              <w:t>Chairman, ITU-T SG2</w:t>
            </w:r>
          </w:p>
        </w:tc>
        <w:tc>
          <w:tcPr>
            <w:tcW w:w="4685" w:type="dxa"/>
            <w:gridSpan w:val="2"/>
            <w:tcBorders>
              <w:top w:val="nil"/>
              <w:left w:val="nil"/>
              <w:bottom w:val="single" w:sz="12" w:space="0" w:color="auto"/>
              <w:right w:val="nil"/>
            </w:tcBorders>
            <w:hideMark/>
          </w:tcPr>
          <w:p w14:paraId="5F2535E2" w14:textId="32812EFE" w:rsidR="00C771AE" w:rsidRPr="00D17AEE" w:rsidRDefault="00C771AE" w:rsidP="009E636D">
            <w:pPr>
              <w:rPr>
                <w:lang w:val="fr-FR"/>
              </w:rPr>
            </w:pPr>
            <w:proofErr w:type="gramStart"/>
            <w:r w:rsidRPr="00D17AEE">
              <w:rPr>
                <w:lang w:val="fr-FR"/>
              </w:rPr>
              <w:t>Tel:</w:t>
            </w:r>
            <w:proofErr w:type="gramEnd"/>
            <w:r w:rsidRPr="00D17AEE">
              <w:rPr>
                <w:lang w:val="fr-FR"/>
              </w:rPr>
              <w:t xml:space="preserve"> </w:t>
            </w:r>
            <w:r w:rsidRPr="00D17AEE">
              <w:rPr>
                <w:lang w:val="fr-FR"/>
              </w:rPr>
              <w:tab/>
              <w:t>+44 20 3286 3085</w:t>
            </w:r>
            <w:r w:rsidRPr="00D17AEE">
              <w:rPr>
                <w:lang w:val="fr-FR"/>
              </w:rPr>
              <w:br/>
              <w:t xml:space="preserve">E-mail: </w:t>
            </w:r>
            <w:hyperlink r:id="rId13" w:history="1">
              <w:r w:rsidR="009E636D" w:rsidRPr="00F05CB7">
                <w:rPr>
                  <w:rStyle w:val="Hyperlink"/>
                  <w:lang w:val="fr-FR"/>
                </w:rPr>
                <w:t>philrushton@rcc-uk.uk</w:t>
              </w:r>
            </w:hyperlink>
            <w:r w:rsidR="009E636D">
              <w:rPr>
                <w:lang w:val="fr-FR"/>
              </w:rPr>
              <w:t xml:space="preserve"> </w:t>
            </w:r>
          </w:p>
        </w:tc>
      </w:tr>
      <w:tr w:rsidR="00C771AE" w:rsidRPr="00D17AEE" w14:paraId="15E7AF13" w14:textId="77777777" w:rsidTr="009E636D">
        <w:trPr>
          <w:trHeight w:val="204"/>
        </w:trPr>
        <w:tc>
          <w:tcPr>
            <w:tcW w:w="2251" w:type="dxa"/>
            <w:gridSpan w:val="3"/>
            <w:tcBorders>
              <w:top w:val="nil"/>
              <w:left w:val="nil"/>
              <w:bottom w:val="single" w:sz="12" w:space="0" w:color="auto"/>
              <w:right w:val="nil"/>
            </w:tcBorders>
            <w:hideMark/>
          </w:tcPr>
          <w:p w14:paraId="217189D0" w14:textId="77777777" w:rsidR="00C771AE" w:rsidRDefault="00C771AE">
            <w:pPr>
              <w:rPr>
                <w:b/>
                <w:bCs/>
              </w:rPr>
            </w:pPr>
            <w:r>
              <w:rPr>
                <w:b/>
                <w:bCs/>
              </w:rPr>
              <w:t>Contact:</w:t>
            </w:r>
          </w:p>
        </w:tc>
        <w:tc>
          <w:tcPr>
            <w:tcW w:w="2994" w:type="dxa"/>
            <w:tcBorders>
              <w:top w:val="nil"/>
              <w:left w:val="nil"/>
              <w:bottom w:val="single" w:sz="12" w:space="0" w:color="auto"/>
              <w:right w:val="nil"/>
            </w:tcBorders>
            <w:hideMark/>
          </w:tcPr>
          <w:p w14:paraId="1BC0A949" w14:textId="77777777" w:rsidR="00C771AE" w:rsidRDefault="00C771AE" w:rsidP="009E636D">
            <w:pPr>
              <w:rPr>
                <w:szCs w:val="20"/>
              </w:rPr>
            </w:pPr>
            <w:r>
              <w:t xml:space="preserve">Monique </w:t>
            </w:r>
            <w:proofErr w:type="spellStart"/>
            <w:r>
              <w:t>Kuglitsch</w:t>
            </w:r>
            <w:proofErr w:type="spellEnd"/>
            <w:r>
              <w:br/>
              <w:t>Chairman, FG-AI4NDM</w:t>
            </w:r>
          </w:p>
        </w:tc>
        <w:tc>
          <w:tcPr>
            <w:tcW w:w="4685" w:type="dxa"/>
            <w:gridSpan w:val="2"/>
            <w:tcBorders>
              <w:top w:val="nil"/>
              <w:left w:val="nil"/>
              <w:bottom w:val="single" w:sz="12" w:space="0" w:color="auto"/>
              <w:right w:val="nil"/>
            </w:tcBorders>
            <w:hideMark/>
          </w:tcPr>
          <w:p w14:paraId="492B1C40" w14:textId="3ADEBA54" w:rsidR="00C771AE" w:rsidRPr="00D17AEE" w:rsidRDefault="00C771AE" w:rsidP="009E636D">
            <w:pPr>
              <w:rPr>
                <w:lang w:val="fr-FR"/>
              </w:rPr>
            </w:pPr>
            <w:proofErr w:type="gramStart"/>
            <w:r w:rsidRPr="00D17AEE">
              <w:rPr>
                <w:lang w:val="fr-FR"/>
              </w:rPr>
              <w:t>E-mail:</w:t>
            </w:r>
            <w:proofErr w:type="gramEnd"/>
            <w:r w:rsidRPr="00D17AEE">
              <w:rPr>
                <w:lang w:val="fr-FR"/>
              </w:rPr>
              <w:t xml:space="preserve"> </w:t>
            </w:r>
            <w:hyperlink r:id="rId14" w:history="1">
              <w:r w:rsidR="009E636D" w:rsidRPr="00F05CB7">
                <w:rPr>
                  <w:rStyle w:val="Hyperlink"/>
                  <w:lang w:val="fr-FR"/>
                </w:rPr>
                <w:t>monique.kuglitsch@hhi.fraunhofer.de</w:t>
              </w:r>
            </w:hyperlink>
            <w:r w:rsidR="009E636D">
              <w:rPr>
                <w:lang w:val="fr-FR"/>
              </w:rPr>
              <w:t xml:space="preserve"> </w:t>
            </w:r>
          </w:p>
        </w:tc>
      </w:tr>
    </w:tbl>
    <w:p w14:paraId="74342DFC" w14:textId="77777777" w:rsidR="00C771AE" w:rsidRPr="00D17AEE" w:rsidRDefault="00C771AE" w:rsidP="00C771AE">
      <w:pPr>
        <w:rPr>
          <w:szCs w:val="20"/>
          <w:lang w:val="fr-FR"/>
        </w:rPr>
      </w:pPr>
    </w:p>
    <w:p w14:paraId="10D524B2" w14:textId="77777777" w:rsidR="00C771AE" w:rsidRDefault="00C771AE" w:rsidP="00C771AE">
      <w:r>
        <w:t>A new liaison statement has been received from SG2.</w:t>
      </w:r>
    </w:p>
    <w:p w14:paraId="5BED75C9" w14:textId="77777777" w:rsidR="00C771AE" w:rsidRDefault="00C771AE" w:rsidP="00C771AE">
      <w:r>
        <w:t xml:space="preserve">This liaison statement follows and the original file can be downloaded from the ITU ftp server at </w:t>
      </w:r>
      <w:hyperlink r:id="rId15" w:tooltip="ITU-T ftp file restricted to TIES access only" w:history="1">
        <w:r>
          <w:rPr>
            <w:rStyle w:val="Hyperlink"/>
          </w:rPr>
          <w:t>http://handle.itu.int/11.1002/ls/sp16-sg2-oLS-00177.docx</w:t>
        </w:r>
      </w:hyperlink>
      <w:r>
        <w:t>.</w:t>
      </w:r>
    </w:p>
    <w:p w14:paraId="3FCC97E8" w14:textId="77777777" w:rsidR="00C771AE" w:rsidRDefault="00C771AE" w:rsidP="00C771AE">
      <w:pPr>
        <w:spacing w:before="0"/>
        <w:jc w:val="center"/>
        <w:rPr>
          <w:szCs w:val="20"/>
        </w:rPr>
      </w:pPr>
    </w:p>
    <w:p w14:paraId="53DE9E36" w14:textId="77777777" w:rsidR="00C771AE" w:rsidRDefault="00C771AE">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2976"/>
        <w:gridCol w:w="82"/>
        <w:gridCol w:w="4681"/>
      </w:tblGrid>
      <w:tr w:rsidR="00E80E70" w:rsidRPr="00E80E70" w14:paraId="70C182DE" w14:textId="77777777" w:rsidTr="003F6975">
        <w:trPr>
          <w:cantSplit/>
        </w:trPr>
        <w:tc>
          <w:tcPr>
            <w:tcW w:w="1191" w:type="dxa"/>
            <w:vMerge w:val="restart"/>
          </w:tcPr>
          <w:p w14:paraId="12D6EA8F" w14:textId="05CE3BF3" w:rsidR="00E80E70" w:rsidRPr="00E80E70" w:rsidRDefault="00E80E70" w:rsidP="00E80E70">
            <w:pPr>
              <w:rPr>
                <w:sz w:val="20"/>
                <w:szCs w:val="20"/>
              </w:rPr>
            </w:pPr>
            <w:r w:rsidRPr="00E80E70">
              <w:rPr>
                <w:noProof/>
                <w:sz w:val="20"/>
                <w:szCs w:val="20"/>
                <w:lang w:eastAsia="zh-CN"/>
              </w:rPr>
              <w:lastRenderedPageBreak/>
              <w:drawing>
                <wp:inline distT="0" distB="0" distL="0" distR="0" wp14:anchorId="4F0C44A5" wp14:editId="24B24DA0">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59F1194F" w14:textId="77777777" w:rsidR="00E80E70" w:rsidRPr="00E80E70" w:rsidRDefault="00E80E70" w:rsidP="00E80E70">
            <w:pPr>
              <w:rPr>
                <w:sz w:val="16"/>
                <w:szCs w:val="16"/>
              </w:rPr>
            </w:pPr>
            <w:r w:rsidRPr="00E80E70">
              <w:rPr>
                <w:sz w:val="16"/>
                <w:szCs w:val="16"/>
              </w:rPr>
              <w:t>INTERNATIONAL TELECOMMUNICATION UNION</w:t>
            </w:r>
          </w:p>
          <w:p w14:paraId="1164CFBB" w14:textId="77777777" w:rsidR="00E80E70" w:rsidRPr="00E80E70" w:rsidRDefault="00E80E70" w:rsidP="00E80E70">
            <w:pPr>
              <w:rPr>
                <w:b/>
                <w:bCs/>
                <w:sz w:val="26"/>
                <w:szCs w:val="26"/>
              </w:rPr>
            </w:pPr>
            <w:r w:rsidRPr="00E80E70">
              <w:rPr>
                <w:b/>
                <w:bCs/>
                <w:sz w:val="26"/>
                <w:szCs w:val="26"/>
              </w:rPr>
              <w:t>TELECOMMUNICATION</w:t>
            </w:r>
            <w:r w:rsidRPr="00E80E70">
              <w:rPr>
                <w:b/>
                <w:bCs/>
                <w:sz w:val="26"/>
                <w:szCs w:val="26"/>
              </w:rPr>
              <w:br/>
              <w:t>STANDARDIZATION SECTOR</w:t>
            </w:r>
          </w:p>
          <w:p w14:paraId="6381FF37" w14:textId="77777777" w:rsidR="00E80E70" w:rsidRPr="00E80E70" w:rsidRDefault="00E80E70" w:rsidP="00E80E70">
            <w:pPr>
              <w:rPr>
                <w:sz w:val="20"/>
                <w:szCs w:val="20"/>
              </w:rPr>
            </w:pPr>
            <w:r w:rsidRPr="00E80E70">
              <w:rPr>
                <w:sz w:val="20"/>
                <w:szCs w:val="20"/>
              </w:rPr>
              <w:t xml:space="preserve">STUDY PERIOD </w:t>
            </w:r>
            <w:bookmarkStart w:id="4" w:name="dstudyperiod"/>
            <w:r w:rsidRPr="00E80E70">
              <w:rPr>
                <w:sz w:val="20"/>
                <w:szCs w:val="20"/>
              </w:rPr>
              <w:t>2017-2020</w:t>
            </w:r>
            <w:bookmarkEnd w:id="4"/>
          </w:p>
        </w:tc>
        <w:tc>
          <w:tcPr>
            <w:tcW w:w="4681" w:type="dxa"/>
            <w:vAlign w:val="center"/>
          </w:tcPr>
          <w:p w14:paraId="0D28C95C" w14:textId="09BF5C8A" w:rsidR="00E80E70" w:rsidRPr="00C771AE" w:rsidRDefault="00E80E70" w:rsidP="00C771AE">
            <w:pPr>
              <w:jc w:val="right"/>
              <w:rPr>
                <w:b/>
                <w:sz w:val="28"/>
              </w:rPr>
            </w:pPr>
            <w:r w:rsidRPr="00C771AE">
              <w:rPr>
                <w:b/>
                <w:sz w:val="28"/>
              </w:rPr>
              <w:t>SG2-LS177</w:t>
            </w:r>
          </w:p>
        </w:tc>
      </w:tr>
      <w:tr w:rsidR="00E80E70" w:rsidRPr="00E80E70" w14:paraId="0DC43F2A" w14:textId="77777777" w:rsidTr="003F6975">
        <w:trPr>
          <w:cantSplit/>
        </w:trPr>
        <w:tc>
          <w:tcPr>
            <w:tcW w:w="1191" w:type="dxa"/>
            <w:vMerge/>
          </w:tcPr>
          <w:p w14:paraId="4AC6848C" w14:textId="77777777" w:rsidR="00E80E70" w:rsidRPr="00E80E70" w:rsidRDefault="00E80E70" w:rsidP="00E80E70">
            <w:pPr>
              <w:rPr>
                <w:smallCaps/>
                <w:sz w:val="20"/>
              </w:rPr>
            </w:pPr>
            <w:bookmarkStart w:id="5" w:name="dsg" w:colFirst="2" w:colLast="2"/>
            <w:bookmarkEnd w:id="0"/>
          </w:p>
        </w:tc>
        <w:tc>
          <w:tcPr>
            <w:tcW w:w="4051" w:type="dxa"/>
            <w:gridSpan w:val="4"/>
            <w:vMerge/>
          </w:tcPr>
          <w:p w14:paraId="3CD7B91D" w14:textId="77777777" w:rsidR="00E80E70" w:rsidRPr="00E80E70" w:rsidRDefault="00E80E70" w:rsidP="00E80E70">
            <w:pPr>
              <w:rPr>
                <w:smallCaps/>
                <w:sz w:val="20"/>
              </w:rPr>
            </w:pPr>
          </w:p>
        </w:tc>
        <w:tc>
          <w:tcPr>
            <w:tcW w:w="4681" w:type="dxa"/>
          </w:tcPr>
          <w:p w14:paraId="3AE56799" w14:textId="6EF00A13" w:rsidR="00E80E70" w:rsidRPr="00E80E70" w:rsidRDefault="00E80E70" w:rsidP="00E80E70">
            <w:pPr>
              <w:jc w:val="right"/>
              <w:rPr>
                <w:b/>
                <w:bCs/>
                <w:smallCaps/>
                <w:sz w:val="28"/>
                <w:szCs w:val="28"/>
              </w:rPr>
            </w:pPr>
            <w:r>
              <w:rPr>
                <w:b/>
                <w:bCs/>
                <w:smallCaps/>
                <w:sz w:val="28"/>
                <w:szCs w:val="28"/>
              </w:rPr>
              <w:t>STUDY GROUP 2</w:t>
            </w:r>
          </w:p>
        </w:tc>
      </w:tr>
      <w:bookmarkEnd w:id="5"/>
      <w:tr w:rsidR="00E80E70" w:rsidRPr="00E80E70" w14:paraId="5819F1BF" w14:textId="77777777" w:rsidTr="003F6975">
        <w:trPr>
          <w:cantSplit/>
        </w:trPr>
        <w:tc>
          <w:tcPr>
            <w:tcW w:w="1191" w:type="dxa"/>
            <w:vMerge/>
            <w:tcBorders>
              <w:bottom w:val="single" w:sz="12" w:space="0" w:color="auto"/>
            </w:tcBorders>
          </w:tcPr>
          <w:p w14:paraId="3CB7D4EC" w14:textId="77777777" w:rsidR="00E80E70" w:rsidRPr="00E80E70" w:rsidRDefault="00E80E70" w:rsidP="00E80E70">
            <w:pPr>
              <w:rPr>
                <w:b/>
                <w:bCs/>
                <w:sz w:val="26"/>
              </w:rPr>
            </w:pPr>
          </w:p>
        </w:tc>
        <w:tc>
          <w:tcPr>
            <w:tcW w:w="4051" w:type="dxa"/>
            <w:gridSpan w:val="4"/>
            <w:vMerge/>
            <w:tcBorders>
              <w:bottom w:val="single" w:sz="12" w:space="0" w:color="auto"/>
            </w:tcBorders>
          </w:tcPr>
          <w:p w14:paraId="73703115" w14:textId="77777777" w:rsidR="00E80E70" w:rsidRPr="00E80E70" w:rsidRDefault="00E80E70" w:rsidP="00E80E70">
            <w:pPr>
              <w:rPr>
                <w:b/>
                <w:bCs/>
                <w:sz w:val="26"/>
              </w:rPr>
            </w:pPr>
          </w:p>
        </w:tc>
        <w:tc>
          <w:tcPr>
            <w:tcW w:w="4681" w:type="dxa"/>
            <w:tcBorders>
              <w:bottom w:val="single" w:sz="12" w:space="0" w:color="auto"/>
            </w:tcBorders>
            <w:vAlign w:val="center"/>
          </w:tcPr>
          <w:p w14:paraId="3217DA2E" w14:textId="77777777" w:rsidR="00E80E70" w:rsidRPr="00E80E70" w:rsidRDefault="00E80E70" w:rsidP="00E80E70">
            <w:pPr>
              <w:jc w:val="right"/>
              <w:rPr>
                <w:b/>
                <w:bCs/>
                <w:sz w:val="28"/>
                <w:szCs w:val="28"/>
              </w:rPr>
            </w:pPr>
            <w:r w:rsidRPr="00E80E70">
              <w:rPr>
                <w:b/>
                <w:bCs/>
                <w:sz w:val="28"/>
                <w:szCs w:val="28"/>
              </w:rPr>
              <w:t>Original: English</w:t>
            </w:r>
          </w:p>
        </w:tc>
      </w:tr>
      <w:tr w:rsidR="00E80E70" w:rsidRPr="00E80E70" w14:paraId="777AC295" w14:textId="77777777" w:rsidTr="003F6975">
        <w:trPr>
          <w:cantSplit/>
        </w:trPr>
        <w:tc>
          <w:tcPr>
            <w:tcW w:w="1617" w:type="dxa"/>
            <w:gridSpan w:val="2"/>
          </w:tcPr>
          <w:p w14:paraId="765C20D3" w14:textId="77777777" w:rsidR="00E80E70" w:rsidRPr="00E80E70" w:rsidRDefault="00E80E70" w:rsidP="00E80E70">
            <w:pPr>
              <w:rPr>
                <w:b/>
                <w:bCs/>
              </w:rPr>
            </w:pPr>
            <w:bookmarkStart w:id="6" w:name="dbluepink" w:colFirst="1" w:colLast="1"/>
            <w:bookmarkStart w:id="7" w:name="dmeeting" w:colFirst="2" w:colLast="2"/>
            <w:r w:rsidRPr="00E80E70">
              <w:rPr>
                <w:b/>
                <w:bCs/>
              </w:rPr>
              <w:t>Question(s):</w:t>
            </w:r>
          </w:p>
        </w:tc>
        <w:tc>
          <w:tcPr>
            <w:tcW w:w="3625" w:type="dxa"/>
            <w:gridSpan w:val="3"/>
          </w:tcPr>
          <w:p w14:paraId="476422D5" w14:textId="0D4DC153" w:rsidR="00E80E70" w:rsidRPr="00E80E70" w:rsidRDefault="00E80E70" w:rsidP="00E80E70">
            <w:r w:rsidRPr="00E80E70">
              <w:t>All/2</w:t>
            </w:r>
          </w:p>
        </w:tc>
        <w:tc>
          <w:tcPr>
            <w:tcW w:w="4681" w:type="dxa"/>
          </w:tcPr>
          <w:p w14:paraId="679919AC" w14:textId="6E4C2319" w:rsidR="00E80E70" w:rsidRPr="00E80E70" w:rsidRDefault="00E80E70" w:rsidP="00E80E70">
            <w:pPr>
              <w:jc w:val="right"/>
            </w:pPr>
          </w:p>
        </w:tc>
      </w:tr>
      <w:tr w:rsidR="00E80E70" w:rsidRPr="00E80E70" w14:paraId="63A768C3" w14:textId="77777777" w:rsidTr="003F6975">
        <w:trPr>
          <w:cantSplit/>
        </w:trPr>
        <w:tc>
          <w:tcPr>
            <w:tcW w:w="9923" w:type="dxa"/>
            <w:gridSpan w:val="6"/>
          </w:tcPr>
          <w:p w14:paraId="3B87CBEF" w14:textId="5598DD5D" w:rsidR="00E80E70" w:rsidRPr="00E80E70" w:rsidRDefault="00E80E70" w:rsidP="00E80E70">
            <w:pPr>
              <w:jc w:val="center"/>
              <w:rPr>
                <w:b/>
                <w:bCs/>
              </w:rPr>
            </w:pPr>
            <w:bookmarkStart w:id="8" w:name="ddoctype" w:colFirst="0" w:colLast="0"/>
            <w:bookmarkEnd w:id="6"/>
            <w:bookmarkEnd w:id="7"/>
            <w:r>
              <w:rPr>
                <w:b/>
                <w:bCs/>
              </w:rPr>
              <w:t>(</w:t>
            </w:r>
            <w:r w:rsidRPr="00E80E70">
              <w:rPr>
                <w:b/>
                <w:bCs/>
              </w:rPr>
              <w:t xml:space="preserve">Ref.: </w:t>
            </w:r>
            <w:hyperlink r:id="rId16" w:history="1">
              <w:r w:rsidRPr="00E80E70">
                <w:rPr>
                  <w:rStyle w:val="Hyperlink"/>
                  <w:b/>
                  <w:bCs/>
                </w:rPr>
                <w:t>SG2-TD1299</w:t>
              </w:r>
            </w:hyperlink>
            <w:r>
              <w:rPr>
                <w:b/>
                <w:bCs/>
              </w:rPr>
              <w:t>)</w:t>
            </w:r>
          </w:p>
        </w:tc>
      </w:tr>
      <w:tr w:rsidR="00E80E70" w:rsidRPr="00E80E70" w14:paraId="7A89597C" w14:textId="77777777" w:rsidTr="003F6975">
        <w:trPr>
          <w:cantSplit/>
        </w:trPr>
        <w:tc>
          <w:tcPr>
            <w:tcW w:w="1617" w:type="dxa"/>
            <w:gridSpan w:val="2"/>
          </w:tcPr>
          <w:p w14:paraId="286AF1FC" w14:textId="77777777" w:rsidR="00E80E70" w:rsidRPr="00E80E70" w:rsidRDefault="00E80E70" w:rsidP="00E80E70">
            <w:pPr>
              <w:rPr>
                <w:b/>
                <w:bCs/>
              </w:rPr>
            </w:pPr>
            <w:bookmarkStart w:id="9" w:name="dsource" w:colFirst="1" w:colLast="1"/>
            <w:bookmarkEnd w:id="8"/>
            <w:r w:rsidRPr="00E80E70">
              <w:rPr>
                <w:b/>
                <w:bCs/>
              </w:rPr>
              <w:t>Source:</w:t>
            </w:r>
          </w:p>
        </w:tc>
        <w:tc>
          <w:tcPr>
            <w:tcW w:w="8306" w:type="dxa"/>
            <w:gridSpan w:val="4"/>
          </w:tcPr>
          <w:p w14:paraId="29D20EAA" w14:textId="06FF524B" w:rsidR="00E80E70" w:rsidRPr="00E80E70" w:rsidRDefault="00E80E70" w:rsidP="00E80E70">
            <w:r w:rsidRPr="00E80E70">
              <w:t>ITU-T Study Group 2</w:t>
            </w:r>
          </w:p>
        </w:tc>
      </w:tr>
      <w:tr w:rsidR="00E80E70" w:rsidRPr="00E80E70" w14:paraId="056257DF" w14:textId="77777777" w:rsidTr="003F6975">
        <w:trPr>
          <w:cantSplit/>
        </w:trPr>
        <w:tc>
          <w:tcPr>
            <w:tcW w:w="1617" w:type="dxa"/>
            <w:gridSpan w:val="2"/>
          </w:tcPr>
          <w:p w14:paraId="023AE010" w14:textId="77777777" w:rsidR="00E80E70" w:rsidRPr="00E80E70" w:rsidRDefault="00E80E70" w:rsidP="00E80E70">
            <w:bookmarkStart w:id="10" w:name="dtitle1" w:colFirst="1" w:colLast="1"/>
            <w:bookmarkEnd w:id="9"/>
            <w:r w:rsidRPr="00E80E70">
              <w:rPr>
                <w:b/>
                <w:bCs/>
              </w:rPr>
              <w:t>Title:</w:t>
            </w:r>
          </w:p>
        </w:tc>
        <w:tc>
          <w:tcPr>
            <w:tcW w:w="8306" w:type="dxa"/>
            <w:gridSpan w:val="4"/>
          </w:tcPr>
          <w:p w14:paraId="27B27C96" w14:textId="4E2F858C" w:rsidR="00E80E70" w:rsidRPr="00E80E70" w:rsidRDefault="00E80E70" w:rsidP="00E80E70">
            <w:r w:rsidRPr="00E80E70">
              <w:t>LS on establishment of a new ITU-T Focus Group on Artificial Intelligence for Natural Disaster Management (FG-AI4NDM) and first meeting (</w:t>
            </w:r>
            <w:r>
              <w:t>V</w:t>
            </w:r>
            <w:r w:rsidRPr="00E80E70">
              <w:t xml:space="preserve">irtual, </w:t>
            </w:r>
            <w:r w:rsidR="00870AF9">
              <w:t>15-17 March</w:t>
            </w:r>
            <w:r w:rsidRPr="00E80E70">
              <w:t xml:space="preserve"> 2021)</w:t>
            </w:r>
          </w:p>
        </w:tc>
      </w:tr>
      <w:tr w:rsidR="00E80E70" w:rsidRPr="00E80E70" w14:paraId="782C1AC7" w14:textId="77777777" w:rsidTr="003F6975">
        <w:trPr>
          <w:cantSplit/>
        </w:trPr>
        <w:tc>
          <w:tcPr>
            <w:tcW w:w="1617" w:type="dxa"/>
            <w:gridSpan w:val="2"/>
            <w:tcBorders>
              <w:bottom w:val="single" w:sz="8" w:space="0" w:color="auto"/>
            </w:tcBorders>
          </w:tcPr>
          <w:p w14:paraId="28D1B42B" w14:textId="77777777" w:rsidR="00E80E70" w:rsidRPr="00E80E70" w:rsidRDefault="00E80E70" w:rsidP="00E80E70">
            <w:pPr>
              <w:rPr>
                <w:b/>
                <w:bCs/>
              </w:rPr>
            </w:pPr>
            <w:bookmarkStart w:id="11" w:name="dpurpose" w:colFirst="1" w:colLast="1"/>
            <w:bookmarkEnd w:id="10"/>
            <w:r w:rsidRPr="00E80E70">
              <w:rPr>
                <w:b/>
                <w:bCs/>
              </w:rPr>
              <w:t>Purpose:</w:t>
            </w:r>
          </w:p>
        </w:tc>
        <w:tc>
          <w:tcPr>
            <w:tcW w:w="8306" w:type="dxa"/>
            <w:gridSpan w:val="4"/>
            <w:tcBorders>
              <w:bottom w:val="single" w:sz="8" w:space="0" w:color="auto"/>
            </w:tcBorders>
          </w:tcPr>
          <w:p w14:paraId="0FF9AB44" w14:textId="7B881359" w:rsidR="00E80E70" w:rsidRPr="00E80E70" w:rsidRDefault="00E80E70" w:rsidP="00E80E70">
            <w:r w:rsidRPr="00E80E70">
              <w:t>Information</w:t>
            </w:r>
          </w:p>
        </w:tc>
      </w:tr>
      <w:bookmarkEnd w:id="1"/>
      <w:bookmarkEnd w:id="11"/>
      <w:tr w:rsidR="004835AB" w:rsidRPr="00E31842" w14:paraId="44017682" w14:textId="77777777" w:rsidTr="001A0797">
        <w:trPr>
          <w:cantSplit/>
          <w:trHeight w:val="357"/>
        </w:trPr>
        <w:tc>
          <w:tcPr>
            <w:tcW w:w="9923" w:type="dxa"/>
            <w:gridSpan w:val="6"/>
            <w:tcBorders>
              <w:top w:val="single" w:sz="12" w:space="0" w:color="auto"/>
            </w:tcBorders>
          </w:tcPr>
          <w:p w14:paraId="228ADB08" w14:textId="77777777" w:rsidR="004835AB" w:rsidRPr="004A426F" w:rsidRDefault="004835AB" w:rsidP="001A0797">
            <w:pPr>
              <w:jc w:val="center"/>
              <w:rPr>
                <w:b/>
                <w:bCs/>
              </w:rPr>
            </w:pPr>
            <w:r w:rsidRPr="004A426F">
              <w:rPr>
                <w:b/>
                <w:bCs/>
              </w:rPr>
              <w:t>LIAISON STATEMENT</w:t>
            </w:r>
          </w:p>
        </w:tc>
      </w:tr>
      <w:tr w:rsidR="004835AB" w:rsidRPr="00E31842" w14:paraId="5727C98E" w14:textId="77777777" w:rsidTr="001A0797">
        <w:trPr>
          <w:cantSplit/>
          <w:trHeight w:val="357"/>
        </w:trPr>
        <w:tc>
          <w:tcPr>
            <w:tcW w:w="2184" w:type="dxa"/>
            <w:gridSpan w:val="3"/>
          </w:tcPr>
          <w:p w14:paraId="072C2056" w14:textId="77777777" w:rsidR="004835AB" w:rsidRPr="00E31842" w:rsidRDefault="004835AB" w:rsidP="001A0797">
            <w:pPr>
              <w:rPr>
                <w:b/>
                <w:bCs/>
              </w:rPr>
            </w:pPr>
            <w:r w:rsidRPr="00E31842">
              <w:rPr>
                <w:b/>
                <w:bCs/>
              </w:rPr>
              <w:t>For action to:</w:t>
            </w:r>
          </w:p>
        </w:tc>
        <w:tc>
          <w:tcPr>
            <w:tcW w:w="7739" w:type="dxa"/>
            <w:gridSpan w:val="3"/>
          </w:tcPr>
          <w:p w14:paraId="42E1452E" w14:textId="4FAA7597" w:rsidR="004835AB" w:rsidRPr="004A426F" w:rsidRDefault="00FF3E18" w:rsidP="00FF3E18">
            <w:pPr>
              <w:pStyle w:val="LSForAction"/>
            </w:pPr>
            <w:r w:rsidRPr="004A426F">
              <w:t>All ITU-R, ITU-</w:t>
            </w:r>
            <w:proofErr w:type="gramStart"/>
            <w:r w:rsidRPr="004A426F">
              <w:t>T</w:t>
            </w:r>
            <w:proofErr w:type="gramEnd"/>
            <w:r w:rsidRPr="004A426F">
              <w:t xml:space="preserve"> and ITU-D SGs; JCA-AHF</w:t>
            </w:r>
            <w:r w:rsidR="00F1448D">
              <w:t>;</w:t>
            </w:r>
            <w:r w:rsidR="00B10054">
              <w:t xml:space="preserve"> WMO</w:t>
            </w:r>
            <w:r w:rsidR="00F1448D">
              <w:t>;</w:t>
            </w:r>
            <w:r w:rsidR="00B10054">
              <w:t xml:space="preserve"> UNEP</w:t>
            </w:r>
            <w:r w:rsidR="00F1448D">
              <w:t>;</w:t>
            </w:r>
            <w:r w:rsidR="00B10054">
              <w:t xml:space="preserve"> </w:t>
            </w:r>
            <w:r w:rsidR="00EE5FBA">
              <w:t>UNEP-MAP</w:t>
            </w:r>
            <w:r w:rsidR="00F1448D">
              <w:t>;</w:t>
            </w:r>
            <w:r w:rsidR="00EE5FBA">
              <w:t xml:space="preserve"> </w:t>
            </w:r>
            <w:r w:rsidR="00B10054">
              <w:t>UNESCO</w:t>
            </w:r>
            <w:r w:rsidR="00F1448D">
              <w:t>;</w:t>
            </w:r>
            <w:r w:rsidR="00B10054">
              <w:t xml:space="preserve"> </w:t>
            </w:r>
            <w:r w:rsidR="001B60A2">
              <w:t>UNDRR</w:t>
            </w:r>
            <w:r w:rsidR="00F1448D">
              <w:t>;</w:t>
            </w:r>
            <w:r w:rsidR="001B60A2">
              <w:t xml:space="preserve"> </w:t>
            </w:r>
            <w:r w:rsidR="00B10054">
              <w:t>WHO</w:t>
            </w:r>
            <w:r w:rsidR="00F1448D">
              <w:t>;</w:t>
            </w:r>
            <w:r w:rsidR="00A62EE2">
              <w:t xml:space="preserve"> </w:t>
            </w:r>
            <w:r w:rsidR="00FD6AB5">
              <w:t>GEO</w:t>
            </w:r>
            <w:r w:rsidR="00F1448D">
              <w:t>;</w:t>
            </w:r>
            <w:r w:rsidR="00FD6AB5">
              <w:t xml:space="preserve"> </w:t>
            </w:r>
            <w:r w:rsidR="00A62EE2">
              <w:t>PAHO</w:t>
            </w:r>
            <w:r w:rsidR="00F1448D">
              <w:t>;</w:t>
            </w:r>
            <w:r w:rsidR="00B10054">
              <w:t xml:space="preserve"> UNHCR</w:t>
            </w:r>
            <w:r w:rsidR="00F1448D">
              <w:t>;</w:t>
            </w:r>
            <w:r w:rsidR="00B10054">
              <w:t xml:space="preserve"> AMS</w:t>
            </w:r>
            <w:r w:rsidR="00F1448D">
              <w:t>;</w:t>
            </w:r>
            <w:r w:rsidR="00B10054">
              <w:t xml:space="preserve"> EMS</w:t>
            </w:r>
            <w:r w:rsidR="00F1448D">
              <w:t>;</w:t>
            </w:r>
            <w:r w:rsidR="00B10054">
              <w:t xml:space="preserve"> </w:t>
            </w:r>
            <w:r w:rsidR="001B60A2">
              <w:t>AGU</w:t>
            </w:r>
            <w:r w:rsidR="00F1448D">
              <w:t>;</w:t>
            </w:r>
            <w:r w:rsidR="001B60A2">
              <w:t xml:space="preserve"> EGU</w:t>
            </w:r>
            <w:r w:rsidR="00F1448D">
              <w:t>;</w:t>
            </w:r>
            <w:r w:rsidR="001B60A2">
              <w:t xml:space="preserve"> IUGG</w:t>
            </w:r>
            <w:r w:rsidR="00F1448D">
              <w:t>;</w:t>
            </w:r>
            <w:r w:rsidR="001B60A2">
              <w:t xml:space="preserve"> </w:t>
            </w:r>
            <w:r w:rsidR="00B10054">
              <w:t>AOGS</w:t>
            </w:r>
            <w:r w:rsidR="00F1448D">
              <w:t>;</w:t>
            </w:r>
            <w:r w:rsidR="00B10054">
              <w:t xml:space="preserve"> ESA</w:t>
            </w:r>
            <w:r w:rsidR="00F1448D">
              <w:t>;</w:t>
            </w:r>
            <w:r w:rsidR="00B10054">
              <w:t xml:space="preserve"> ISC</w:t>
            </w:r>
            <w:r w:rsidR="00F1448D">
              <w:t>;</w:t>
            </w:r>
            <w:r w:rsidR="006815A3">
              <w:t xml:space="preserve"> </w:t>
            </w:r>
            <w:proofErr w:type="spellStart"/>
            <w:r w:rsidR="006815A3">
              <w:t>U</w:t>
            </w:r>
            <w:r w:rsidR="0025601D">
              <w:t>f</w:t>
            </w:r>
            <w:r w:rsidR="006815A3">
              <w:t>M</w:t>
            </w:r>
            <w:proofErr w:type="spellEnd"/>
            <w:r w:rsidR="00F1448D">
              <w:t>;</w:t>
            </w:r>
            <w:r w:rsidR="006815A3">
              <w:t xml:space="preserve"> </w:t>
            </w:r>
            <w:r w:rsidR="00A62EE2">
              <w:t>World Bank</w:t>
            </w:r>
            <w:r w:rsidR="00F1448D">
              <w:t>;</w:t>
            </w:r>
            <w:r w:rsidR="00A62EE2">
              <w:t xml:space="preserve"> </w:t>
            </w:r>
            <w:r w:rsidR="006815A3">
              <w:t>ISO</w:t>
            </w:r>
            <w:r w:rsidR="00F1448D">
              <w:t>;</w:t>
            </w:r>
            <w:r w:rsidR="006815A3">
              <w:t xml:space="preserve"> IEEE</w:t>
            </w:r>
            <w:r w:rsidR="00F1448D">
              <w:t>;</w:t>
            </w:r>
            <w:r w:rsidR="006815A3">
              <w:t xml:space="preserve"> ACM</w:t>
            </w:r>
            <w:r w:rsidR="00FE05BC">
              <w:t xml:space="preserve"> </w:t>
            </w:r>
          </w:p>
        </w:tc>
      </w:tr>
      <w:tr w:rsidR="004835AB" w:rsidRPr="00E31842" w14:paraId="49786122" w14:textId="77777777" w:rsidTr="001A0797">
        <w:trPr>
          <w:cantSplit/>
          <w:trHeight w:val="357"/>
        </w:trPr>
        <w:tc>
          <w:tcPr>
            <w:tcW w:w="2184" w:type="dxa"/>
            <w:gridSpan w:val="3"/>
          </w:tcPr>
          <w:p w14:paraId="2C6C303E" w14:textId="77777777" w:rsidR="004835AB" w:rsidRPr="00E31842" w:rsidRDefault="004835AB" w:rsidP="001A0797">
            <w:pPr>
              <w:rPr>
                <w:b/>
                <w:bCs/>
              </w:rPr>
            </w:pPr>
            <w:r w:rsidRPr="00E31842">
              <w:rPr>
                <w:b/>
                <w:bCs/>
              </w:rPr>
              <w:t>For comment to:</w:t>
            </w:r>
          </w:p>
        </w:tc>
        <w:tc>
          <w:tcPr>
            <w:tcW w:w="7739" w:type="dxa"/>
            <w:gridSpan w:val="3"/>
          </w:tcPr>
          <w:p w14:paraId="4D838454" w14:textId="77777777" w:rsidR="004835AB" w:rsidRPr="004A426F" w:rsidRDefault="004835AB" w:rsidP="004D1239">
            <w:pPr>
              <w:pStyle w:val="LSForComment"/>
            </w:pPr>
            <w:r w:rsidRPr="004A426F">
              <w:t>-</w:t>
            </w:r>
          </w:p>
        </w:tc>
      </w:tr>
      <w:tr w:rsidR="004835AB" w:rsidRPr="00D17AEE" w14:paraId="411DD0A9" w14:textId="77777777" w:rsidTr="001A0797">
        <w:trPr>
          <w:cantSplit/>
          <w:trHeight w:val="357"/>
        </w:trPr>
        <w:tc>
          <w:tcPr>
            <w:tcW w:w="2184" w:type="dxa"/>
            <w:gridSpan w:val="3"/>
          </w:tcPr>
          <w:p w14:paraId="2A332E4B" w14:textId="77777777" w:rsidR="004835AB" w:rsidRPr="00E31842" w:rsidRDefault="004835AB" w:rsidP="004835AB">
            <w:pPr>
              <w:rPr>
                <w:b/>
                <w:bCs/>
              </w:rPr>
            </w:pPr>
            <w:r w:rsidRPr="00E31842">
              <w:rPr>
                <w:b/>
                <w:bCs/>
              </w:rPr>
              <w:t>For information to:</w:t>
            </w:r>
          </w:p>
        </w:tc>
        <w:tc>
          <w:tcPr>
            <w:tcW w:w="7739" w:type="dxa"/>
            <w:gridSpan w:val="3"/>
          </w:tcPr>
          <w:p w14:paraId="0883BE07" w14:textId="003B9EF0" w:rsidR="004835AB" w:rsidRPr="00D17AEE" w:rsidRDefault="00274F6C" w:rsidP="00784F5A">
            <w:pPr>
              <w:pStyle w:val="LSForInfo"/>
              <w:rPr>
                <w:lang w:val="fr-FR"/>
              </w:rPr>
            </w:pPr>
            <w:r w:rsidRPr="00D17AEE">
              <w:rPr>
                <w:lang w:val="fr-FR"/>
              </w:rPr>
              <w:t xml:space="preserve">ITU-T </w:t>
            </w:r>
            <w:proofErr w:type="gramStart"/>
            <w:r w:rsidRPr="00D17AEE">
              <w:rPr>
                <w:lang w:val="fr-FR"/>
              </w:rPr>
              <w:t>TSAG</w:t>
            </w:r>
            <w:r w:rsidR="00864931" w:rsidRPr="00D17AEE">
              <w:rPr>
                <w:lang w:val="fr-FR"/>
              </w:rPr>
              <w:t>;</w:t>
            </w:r>
            <w:proofErr w:type="gramEnd"/>
            <w:r w:rsidR="00864931" w:rsidRPr="00D17AEE">
              <w:rPr>
                <w:lang w:val="fr-FR"/>
              </w:rPr>
              <w:t xml:space="preserve"> FG-AI4NDM</w:t>
            </w:r>
          </w:p>
        </w:tc>
      </w:tr>
      <w:tr w:rsidR="004835AB" w:rsidRPr="00E31842" w14:paraId="24E97E7E" w14:textId="77777777" w:rsidTr="001A0797">
        <w:trPr>
          <w:cantSplit/>
          <w:trHeight w:val="357"/>
        </w:trPr>
        <w:tc>
          <w:tcPr>
            <w:tcW w:w="2184" w:type="dxa"/>
            <w:gridSpan w:val="3"/>
          </w:tcPr>
          <w:p w14:paraId="2FDAAD20" w14:textId="77777777" w:rsidR="004835AB" w:rsidRPr="00E31842" w:rsidRDefault="004835AB" w:rsidP="004835AB">
            <w:pPr>
              <w:rPr>
                <w:b/>
                <w:bCs/>
              </w:rPr>
            </w:pPr>
            <w:r w:rsidRPr="00E31842">
              <w:rPr>
                <w:b/>
                <w:bCs/>
              </w:rPr>
              <w:t>Approval:</w:t>
            </w:r>
          </w:p>
        </w:tc>
        <w:tc>
          <w:tcPr>
            <w:tcW w:w="7739" w:type="dxa"/>
            <w:gridSpan w:val="3"/>
          </w:tcPr>
          <w:p w14:paraId="73307445" w14:textId="3707E50B" w:rsidR="004835AB" w:rsidRPr="004A426F" w:rsidRDefault="00FF3E18" w:rsidP="00C319D5">
            <w:r w:rsidRPr="004A426F">
              <w:t xml:space="preserve">ITU-T Study Group 2 management </w:t>
            </w:r>
            <w:r w:rsidRPr="00E80E70">
              <w:t>(</w:t>
            </w:r>
            <w:r w:rsidR="00F1448D" w:rsidRPr="00E80E70">
              <w:t xml:space="preserve">8 </w:t>
            </w:r>
            <w:r w:rsidRPr="00E80E70">
              <w:t>January 2021</w:t>
            </w:r>
            <w:r w:rsidRPr="004A426F">
              <w:t>, by correspondence)</w:t>
            </w:r>
          </w:p>
        </w:tc>
      </w:tr>
      <w:tr w:rsidR="004835AB" w:rsidRPr="00E31842" w14:paraId="3747D873" w14:textId="77777777" w:rsidTr="001A0797">
        <w:trPr>
          <w:cantSplit/>
          <w:trHeight w:val="357"/>
        </w:trPr>
        <w:tc>
          <w:tcPr>
            <w:tcW w:w="2184" w:type="dxa"/>
            <w:gridSpan w:val="3"/>
          </w:tcPr>
          <w:p w14:paraId="2CA67254" w14:textId="77777777" w:rsidR="004835AB" w:rsidRPr="00E31842" w:rsidRDefault="004835AB" w:rsidP="004835AB">
            <w:pPr>
              <w:rPr>
                <w:b/>
                <w:bCs/>
              </w:rPr>
            </w:pPr>
            <w:r w:rsidRPr="00E31842">
              <w:rPr>
                <w:b/>
                <w:bCs/>
              </w:rPr>
              <w:t>Deadline:</w:t>
            </w:r>
          </w:p>
        </w:tc>
        <w:tc>
          <w:tcPr>
            <w:tcW w:w="7739" w:type="dxa"/>
            <w:gridSpan w:val="3"/>
          </w:tcPr>
          <w:p w14:paraId="087CD018" w14:textId="77777777" w:rsidR="004835AB" w:rsidRPr="004A426F" w:rsidRDefault="004835AB" w:rsidP="004D1239">
            <w:pPr>
              <w:pStyle w:val="LSDeadline"/>
            </w:pPr>
            <w:r w:rsidRPr="004A426F">
              <w:t>N/A</w:t>
            </w:r>
          </w:p>
        </w:tc>
      </w:tr>
      <w:tr w:rsidR="00552A24" w:rsidRPr="00D17AEE" w14:paraId="2F6D2112" w14:textId="77777777" w:rsidTr="00552A24">
        <w:trPr>
          <w:cantSplit/>
          <w:trHeight w:val="204"/>
        </w:trPr>
        <w:tc>
          <w:tcPr>
            <w:tcW w:w="1617" w:type="dxa"/>
            <w:gridSpan w:val="2"/>
            <w:tcBorders>
              <w:top w:val="single" w:sz="12" w:space="0" w:color="auto"/>
              <w:bottom w:val="single" w:sz="12" w:space="0" w:color="auto"/>
            </w:tcBorders>
          </w:tcPr>
          <w:p w14:paraId="5A47824D" w14:textId="77777777" w:rsidR="00552A24" w:rsidRPr="00E31842" w:rsidRDefault="00552A24" w:rsidP="00552A24">
            <w:pPr>
              <w:rPr>
                <w:b/>
                <w:bCs/>
              </w:rPr>
            </w:pPr>
            <w:r w:rsidRPr="00E31842">
              <w:rPr>
                <w:b/>
                <w:bCs/>
              </w:rPr>
              <w:t>Contact:</w:t>
            </w:r>
          </w:p>
        </w:tc>
        <w:tc>
          <w:tcPr>
            <w:tcW w:w="3543" w:type="dxa"/>
            <w:gridSpan w:val="2"/>
            <w:tcBorders>
              <w:top w:val="single" w:sz="12" w:space="0" w:color="auto"/>
              <w:bottom w:val="single" w:sz="12" w:space="0" w:color="auto"/>
            </w:tcBorders>
          </w:tcPr>
          <w:p w14:paraId="045EAB9A" w14:textId="1BAD8213" w:rsidR="00552A24" w:rsidRPr="00E31842" w:rsidRDefault="00552A24" w:rsidP="00552A24">
            <w:r>
              <w:t>Philip Rushton</w:t>
            </w:r>
            <w:r>
              <w:br/>
              <w:t>Chairman, ITU-T SG2</w:t>
            </w:r>
            <w:r w:rsidRPr="00552A24">
              <w:rPr>
                <w:rFonts w:eastAsia="SimSun"/>
              </w:rPr>
              <w:t xml:space="preserve"> </w:t>
            </w:r>
          </w:p>
        </w:tc>
        <w:tc>
          <w:tcPr>
            <w:tcW w:w="4763" w:type="dxa"/>
            <w:gridSpan w:val="2"/>
            <w:tcBorders>
              <w:top w:val="single" w:sz="12" w:space="0" w:color="auto"/>
              <w:bottom w:val="single" w:sz="12" w:space="0" w:color="auto"/>
            </w:tcBorders>
          </w:tcPr>
          <w:p w14:paraId="3EE9EE70" w14:textId="4A074CF1" w:rsidR="00552A24" w:rsidRPr="00B10054" w:rsidRDefault="00552A24" w:rsidP="00552A24">
            <w:pPr>
              <w:tabs>
                <w:tab w:val="left" w:pos="797"/>
              </w:tabs>
              <w:rPr>
                <w:lang w:val="de-DE"/>
              </w:rPr>
            </w:pPr>
            <w:r w:rsidRPr="00552A24">
              <w:rPr>
                <w:lang w:val="pt-BR"/>
              </w:rPr>
              <w:t xml:space="preserve">Tel: </w:t>
            </w:r>
            <w:r w:rsidRPr="00552A24">
              <w:rPr>
                <w:lang w:val="pt-BR"/>
              </w:rPr>
              <w:tab/>
              <w:t>+44 20 3286 3085</w:t>
            </w:r>
            <w:r w:rsidRPr="00552A24">
              <w:rPr>
                <w:lang w:val="pt-BR"/>
              </w:rPr>
              <w:br/>
              <w:t xml:space="preserve">E-mail: </w:t>
            </w:r>
            <w:r w:rsidR="009E636D">
              <w:fldChar w:fldCharType="begin"/>
            </w:r>
            <w:r w:rsidR="009E636D" w:rsidRPr="00D17AEE">
              <w:rPr>
                <w:lang w:val="fr-FR"/>
              </w:rPr>
              <w:instrText xml:space="preserve"> HYPERLINK "mailto:philrushton@rcc-uk.uk" </w:instrText>
            </w:r>
            <w:r w:rsidR="009E636D">
              <w:fldChar w:fldCharType="separate"/>
            </w:r>
            <w:r w:rsidR="00B73B37" w:rsidRPr="00C15B57">
              <w:rPr>
                <w:rStyle w:val="Hyperlink"/>
                <w:lang w:val="pt-BR"/>
              </w:rPr>
              <w:t>philrushton@rcc-uk.uk</w:t>
            </w:r>
            <w:r w:rsidR="009E636D">
              <w:rPr>
                <w:rStyle w:val="Hyperlink"/>
                <w:lang w:val="pt-BR"/>
              </w:rPr>
              <w:fldChar w:fldCharType="end"/>
            </w:r>
            <w:r w:rsidR="00B73B37">
              <w:rPr>
                <w:lang w:val="pt-BR"/>
              </w:rPr>
              <w:t xml:space="preserve"> </w:t>
            </w:r>
          </w:p>
        </w:tc>
      </w:tr>
      <w:tr w:rsidR="00552A24" w:rsidRPr="00D17AEE" w14:paraId="2D438DFB" w14:textId="77777777" w:rsidTr="00552A24">
        <w:trPr>
          <w:cantSplit/>
          <w:trHeight w:val="204"/>
        </w:trPr>
        <w:tc>
          <w:tcPr>
            <w:tcW w:w="1617" w:type="dxa"/>
            <w:gridSpan w:val="2"/>
            <w:tcBorders>
              <w:top w:val="single" w:sz="12" w:space="0" w:color="auto"/>
              <w:bottom w:val="single" w:sz="12" w:space="0" w:color="auto"/>
            </w:tcBorders>
          </w:tcPr>
          <w:p w14:paraId="089A75FA" w14:textId="77777777" w:rsidR="00552A24" w:rsidRPr="00E31842" w:rsidRDefault="00552A24" w:rsidP="00552A24">
            <w:pPr>
              <w:rPr>
                <w:b/>
                <w:bCs/>
              </w:rPr>
            </w:pPr>
            <w:r w:rsidRPr="00E31842">
              <w:rPr>
                <w:b/>
                <w:bCs/>
              </w:rPr>
              <w:t>Contact:</w:t>
            </w:r>
          </w:p>
        </w:tc>
        <w:tc>
          <w:tcPr>
            <w:tcW w:w="3543" w:type="dxa"/>
            <w:gridSpan w:val="2"/>
            <w:tcBorders>
              <w:top w:val="single" w:sz="12" w:space="0" w:color="auto"/>
              <w:bottom w:val="single" w:sz="12" w:space="0" w:color="auto"/>
            </w:tcBorders>
          </w:tcPr>
          <w:p w14:paraId="28ACA168" w14:textId="4B48C4DF" w:rsidR="00552A24" w:rsidRPr="00E31842" w:rsidRDefault="00552A24" w:rsidP="00552A24">
            <w:r w:rsidRPr="003539DD">
              <w:rPr>
                <w:lang w:val="de-DE"/>
              </w:rPr>
              <w:t>Monique Kuglitsch</w:t>
            </w:r>
            <w:r w:rsidRPr="003539DD">
              <w:rPr>
                <w:lang w:val="de-DE"/>
              </w:rPr>
              <w:br/>
            </w:r>
            <w:r>
              <w:rPr>
                <w:lang w:val="de-DE"/>
              </w:rPr>
              <w:t>Chairman, FG-AI4NDM</w:t>
            </w:r>
            <w:r w:rsidRPr="003539DD">
              <w:rPr>
                <w:lang w:val="de-DE"/>
              </w:rPr>
              <w:t xml:space="preserve"> </w:t>
            </w:r>
          </w:p>
        </w:tc>
        <w:tc>
          <w:tcPr>
            <w:tcW w:w="4763" w:type="dxa"/>
            <w:gridSpan w:val="2"/>
            <w:tcBorders>
              <w:top w:val="single" w:sz="12" w:space="0" w:color="auto"/>
              <w:bottom w:val="single" w:sz="12" w:space="0" w:color="auto"/>
            </w:tcBorders>
          </w:tcPr>
          <w:p w14:paraId="01B8E55B" w14:textId="276DDB4D" w:rsidR="00552A24" w:rsidRPr="00B10054" w:rsidRDefault="00552A24" w:rsidP="00552A24">
            <w:pPr>
              <w:tabs>
                <w:tab w:val="left" w:pos="797"/>
              </w:tabs>
              <w:rPr>
                <w:lang w:val="de-DE"/>
              </w:rPr>
            </w:pPr>
            <w:r w:rsidRPr="003539DD">
              <w:rPr>
                <w:lang w:val="de-DE"/>
              </w:rPr>
              <w:t xml:space="preserve">E-mail: </w:t>
            </w:r>
            <w:hyperlink r:id="rId17" w:history="1">
              <w:r w:rsidRPr="003539DD">
                <w:rPr>
                  <w:rStyle w:val="Hyperlink"/>
                  <w:lang w:val="de-DE"/>
                </w:rPr>
                <w:t>monique.kuglitsch@hhi.fraunhofer.de</w:t>
              </w:r>
            </w:hyperlink>
            <w:r w:rsidRPr="00D10667">
              <w:rPr>
                <w:lang w:val="de-DE"/>
              </w:rPr>
              <w:t xml:space="preserve">   </w:t>
            </w:r>
          </w:p>
        </w:tc>
      </w:tr>
    </w:tbl>
    <w:p w14:paraId="13AA9953" w14:textId="77777777" w:rsidR="004835AB" w:rsidRPr="00B10054" w:rsidRDefault="004835AB" w:rsidP="001A0797">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4835AB" w:rsidRPr="00E31842" w14:paraId="46176AB6" w14:textId="77777777" w:rsidTr="001A0797">
        <w:trPr>
          <w:cantSplit/>
        </w:trPr>
        <w:tc>
          <w:tcPr>
            <w:tcW w:w="1616" w:type="dxa"/>
          </w:tcPr>
          <w:p w14:paraId="12C8C60B" w14:textId="77777777" w:rsidR="004835AB" w:rsidRPr="00E31842" w:rsidRDefault="004835AB" w:rsidP="001A0797">
            <w:pPr>
              <w:rPr>
                <w:b/>
                <w:bCs/>
              </w:rPr>
            </w:pPr>
            <w:r w:rsidRPr="00E31842">
              <w:rPr>
                <w:b/>
                <w:bCs/>
              </w:rPr>
              <w:t>Keywords:</w:t>
            </w:r>
          </w:p>
        </w:tc>
        <w:tc>
          <w:tcPr>
            <w:tcW w:w="8363" w:type="dxa"/>
          </w:tcPr>
          <w:p w14:paraId="3B625303" w14:textId="240A2F27" w:rsidR="004835AB" w:rsidRPr="00E31842" w:rsidRDefault="00FF3E18" w:rsidP="004835AB">
            <w:r w:rsidRPr="00FF3E18">
              <w:t>Focus group, natural disaster management and risk reduction, artificial intelligence, digital technologies, real-time data monitoring</w:t>
            </w:r>
            <w:r>
              <w:t>.</w:t>
            </w:r>
          </w:p>
        </w:tc>
      </w:tr>
      <w:tr w:rsidR="004835AB" w:rsidRPr="00E31842" w14:paraId="26B3E64F" w14:textId="77777777" w:rsidTr="001A0797">
        <w:trPr>
          <w:cantSplit/>
        </w:trPr>
        <w:tc>
          <w:tcPr>
            <w:tcW w:w="1616" w:type="dxa"/>
          </w:tcPr>
          <w:p w14:paraId="0B65B30B" w14:textId="77777777" w:rsidR="004835AB" w:rsidRPr="00E31842" w:rsidRDefault="004835AB" w:rsidP="001A0797">
            <w:pPr>
              <w:rPr>
                <w:b/>
                <w:bCs/>
              </w:rPr>
            </w:pPr>
            <w:r w:rsidRPr="00E31842">
              <w:rPr>
                <w:b/>
                <w:bCs/>
              </w:rPr>
              <w:t>Abstract:</w:t>
            </w:r>
          </w:p>
        </w:tc>
        <w:tc>
          <w:tcPr>
            <w:tcW w:w="8363" w:type="dxa"/>
          </w:tcPr>
          <w:p w14:paraId="57926830" w14:textId="07C2FC41" w:rsidR="004835AB" w:rsidRPr="00E31842" w:rsidRDefault="004835AB" w:rsidP="004835AB">
            <w:r w:rsidRPr="00E31842">
              <w:t xml:space="preserve">This </w:t>
            </w:r>
            <w:r w:rsidR="00D01F43">
              <w:t>Liaison Statement</w:t>
            </w:r>
            <w:r w:rsidRPr="00E31842">
              <w:t xml:space="preserve"> </w:t>
            </w:r>
            <w:r w:rsidR="00D01F43">
              <w:t>announces</w:t>
            </w:r>
            <w:r w:rsidRPr="00E31842">
              <w:t xml:space="preserve"> of the </w:t>
            </w:r>
            <w:r w:rsidR="00D01F43">
              <w:t xml:space="preserve">establishment </w:t>
            </w:r>
            <w:r w:rsidRPr="00E31842">
              <w:t>by ITU-T SG</w:t>
            </w:r>
            <w:r w:rsidR="00FF3E18">
              <w:t>2</w:t>
            </w:r>
            <w:r w:rsidRPr="00E31842">
              <w:t xml:space="preserve"> of a new ITU</w:t>
            </w:r>
            <w:r w:rsidR="007754D4">
              <w:noBreakHyphen/>
            </w:r>
            <w:r w:rsidRPr="00E31842">
              <w:t xml:space="preserve">T Focus Group </w:t>
            </w:r>
            <w:r w:rsidR="00FF3E18">
              <w:t>on Artificial Intelligence for Natural Disaster Management (FG</w:t>
            </w:r>
            <w:r w:rsidR="00D01F43">
              <w:noBreakHyphen/>
            </w:r>
            <w:r w:rsidR="00FF3E18">
              <w:t>AI4NDM</w:t>
            </w:r>
            <w:proofErr w:type="gramStart"/>
            <w:r w:rsidR="00FF3E18">
              <w:t>), and</w:t>
            </w:r>
            <w:proofErr w:type="gramEnd"/>
            <w:r w:rsidR="00FF3E18">
              <w:t xml:space="preserve"> invites </w:t>
            </w:r>
            <w:r w:rsidR="00FF3E18" w:rsidRPr="00863342">
              <w:t>collaboration with experts working in complementary fields.</w:t>
            </w:r>
            <w:r w:rsidR="00D01F43" w:rsidRPr="00863342">
              <w:t xml:space="preserve"> Its first meeting</w:t>
            </w:r>
            <w:r w:rsidR="00863342" w:rsidRPr="00863342">
              <w:t>, which will be an e-meeting,</w:t>
            </w:r>
            <w:r w:rsidR="00D01F43" w:rsidRPr="00863342">
              <w:t xml:space="preserve"> will be held </w:t>
            </w:r>
            <w:r w:rsidR="00870AF9">
              <w:t>from 15 to 17 March 2021</w:t>
            </w:r>
            <w:r w:rsidR="00D01F43" w:rsidRPr="00863342">
              <w:t>.</w:t>
            </w:r>
          </w:p>
        </w:tc>
      </w:tr>
    </w:tbl>
    <w:p w14:paraId="14DBBFBC" w14:textId="77777777" w:rsidR="00863342" w:rsidRDefault="00863342" w:rsidP="00F84486"/>
    <w:p w14:paraId="67951705" w14:textId="32B640AB" w:rsidR="00CD0D0D" w:rsidRDefault="004835AB" w:rsidP="00F84486">
      <w:r w:rsidRPr="004817AF">
        <w:t xml:space="preserve">ITU-T </w:t>
      </w:r>
      <w:r w:rsidR="00EB5AE1" w:rsidRPr="004817AF">
        <w:t>S</w:t>
      </w:r>
      <w:r w:rsidRPr="004817AF">
        <w:t xml:space="preserve">tudy </w:t>
      </w:r>
      <w:r w:rsidR="00EB5AE1" w:rsidRPr="004817AF">
        <w:t>G</w:t>
      </w:r>
      <w:r w:rsidRPr="004817AF">
        <w:t xml:space="preserve">roup </w:t>
      </w:r>
      <w:r w:rsidR="00FF3E18">
        <w:t>2</w:t>
      </w:r>
      <w:r w:rsidR="002B5C27" w:rsidRPr="004817AF">
        <w:t xml:space="preserve"> would like to inform </w:t>
      </w:r>
      <w:r w:rsidRPr="004817AF">
        <w:t>you</w:t>
      </w:r>
      <w:r w:rsidR="002B5C27" w:rsidRPr="004817AF">
        <w:t xml:space="preserve"> that it has agreed to establish </w:t>
      </w:r>
      <w:r w:rsidR="00C00B89" w:rsidRPr="004817AF">
        <w:t xml:space="preserve">a new </w:t>
      </w:r>
      <w:r w:rsidR="00FF3E18" w:rsidRPr="00CD0D0D">
        <w:rPr>
          <w:b/>
          <w:bCs/>
        </w:rPr>
        <w:t>Focus Group on Artificial Intelligence for Natural Disaster Management (FG-AI4NDM</w:t>
      </w:r>
      <w:r w:rsidR="00F35D14" w:rsidRPr="00CD0D0D">
        <w:rPr>
          <w:b/>
          <w:bCs/>
        </w:rPr>
        <w:t>)</w:t>
      </w:r>
      <w:r w:rsidR="004817AF" w:rsidRPr="004817AF">
        <w:t>, in accordance with</w:t>
      </w:r>
      <w:r w:rsidR="00FF3E18">
        <w:t xml:space="preserve"> clause </w:t>
      </w:r>
      <w:r w:rsidR="00CD0D0D">
        <w:t>2.1.1 of</w:t>
      </w:r>
      <w:r w:rsidR="004817AF" w:rsidRPr="004817AF">
        <w:t xml:space="preserve"> </w:t>
      </w:r>
      <w:r w:rsidR="00CD0D0D">
        <w:t xml:space="preserve">Recommendation </w:t>
      </w:r>
      <w:r w:rsidR="004817AF" w:rsidRPr="004817AF">
        <w:t>ITU-T A.7</w:t>
      </w:r>
      <w:r w:rsidR="00F35D14" w:rsidRPr="004817AF">
        <w:t xml:space="preserve">. </w:t>
      </w:r>
      <w:r w:rsidR="00CD0D0D" w:rsidRPr="00552A24">
        <w:t>The focus group</w:t>
      </w:r>
      <w:r w:rsidR="00CD0D0D">
        <w:t>’s</w:t>
      </w:r>
      <w:r w:rsidR="00CD0D0D" w:rsidRPr="00552A24">
        <w:t xml:space="preserve"> lifetime is set for one year</w:t>
      </w:r>
      <w:r w:rsidR="00CD0D0D" w:rsidRPr="00FF3E18">
        <w:t xml:space="preserve"> </w:t>
      </w:r>
      <w:r w:rsidR="00CD0D0D" w:rsidRPr="00552A24">
        <w:t>from the first meeting, with the possibility for a further year subject to the agreement of the study group</w:t>
      </w:r>
      <w:r w:rsidR="00F84486">
        <w:t>.</w:t>
      </w:r>
    </w:p>
    <w:p w14:paraId="3A90BC0C" w14:textId="31F2A192" w:rsidR="00F84486" w:rsidRDefault="00F84486" w:rsidP="00F84486">
      <w:r w:rsidRPr="004817AF">
        <w:t xml:space="preserve">The </w:t>
      </w:r>
      <w:r w:rsidRPr="00F84486">
        <w:rPr>
          <w:b/>
          <w:bCs/>
        </w:rPr>
        <w:t>first meeting of FG-AI4NDM</w:t>
      </w:r>
      <w:r w:rsidRPr="004817AF">
        <w:t xml:space="preserve"> will be held</w:t>
      </w:r>
      <w:r w:rsidR="00870AF9">
        <w:t xml:space="preserve"> from 15 to 17 March 2021</w:t>
      </w:r>
      <w:r>
        <w:t>.</w:t>
      </w:r>
    </w:p>
    <w:p w14:paraId="5D8AEDB4" w14:textId="5C9082A2" w:rsidR="00F84486" w:rsidRPr="004817AF" w:rsidRDefault="00F7562D" w:rsidP="00F84486">
      <w:r>
        <w:rPr>
          <w:lang w:eastAsia="en-US"/>
        </w:rPr>
        <w:t xml:space="preserve">Background and practical information can be found </w:t>
      </w:r>
      <w:r w:rsidR="00870AF9">
        <w:t>via the group’s homepage</w:t>
      </w:r>
      <w:r w:rsidR="00F84486">
        <w:t xml:space="preserve">: </w:t>
      </w:r>
      <w:hyperlink r:id="rId18" w:history="1">
        <w:r w:rsidR="00863342" w:rsidRPr="00863342">
          <w:rPr>
            <w:rStyle w:val="Hyperlink"/>
          </w:rPr>
          <w:t>http://itu.int/go/fgai4ndm</w:t>
        </w:r>
      </w:hyperlink>
    </w:p>
    <w:p w14:paraId="31A08CA5" w14:textId="7B15F016" w:rsidR="00CD0D0D" w:rsidRDefault="00CD0D0D" w:rsidP="00F84486">
      <w:pPr>
        <w:rPr>
          <w:lang w:val="en-US"/>
        </w:rPr>
      </w:pPr>
      <w:r w:rsidRPr="00CD0D0D">
        <w:lastRenderedPageBreak/>
        <w:t>The group will produce a roadmap for AI activities</w:t>
      </w:r>
      <w:r w:rsidR="00F84486">
        <w:t xml:space="preserve"> for </w:t>
      </w:r>
      <w:r w:rsidR="00F84486" w:rsidRPr="00F84486">
        <w:t>Natural Disaster Management</w:t>
      </w:r>
      <w:r w:rsidRPr="00CD0D0D">
        <w:t xml:space="preserve">, </w:t>
      </w:r>
      <w:r>
        <w:t>identify</w:t>
      </w:r>
      <w:r w:rsidRPr="00CD0D0D">
        <w:t xml:space="preserve"> best</w:t>
      </w:r>
      <w:r w:rsidR="007754D4">
        <w:noBreakHyphen/>
      </w:r>
      <w:r w:rsidRPr="00CD0D0D">
        <w:t xml:space="preserve">practices, establish a roster of international stakeholders, host expert-led events, and prepare technical reports and educational material to set out possible future directions for this emerging area of study. The activities of this focus group are expected to be carried </w:t>
      </w:r>
      <w:r>
        <w:t>out</w:t>
      </w:r>
      <w:r w:rsidRPr="00CD0D0D">
        <w:t xml:space="preserve"> in close collaboration with the World Meteorological Organization (WMO)</w:t>
      </w:r>
      <w:r>
        <w:t xml:space="preserve">, </w:t>
      </w:r>
      <w:r w:rsidRPr="00CD0D0D">
        <w:t>the United Nations Environment Programme</w:t>
      </w:r>
      <w:r>
        <w:t xml:space="preserve"> (</w:t>
      </w:r>
      <w:r w:rsidR="00B10054">
        <w:t>UNEP</w:t>
      </w:r>
      <w:r>
        <w:t>), and other stakeholders</w:t>
      </w:r>
      <w:r w:rsidR="00F84486">
        <w:t>, to bring together a wide range of expertise in related fields</w:t>
      </w:r>
      <w:r w:rsidRPr="00CD0D0D">
        <w:t>.</w:t>
      </w:r>
      <w:r>
        <w:t xml:space="preserve"> </w:t>
      </w:r>
      <w:bookmarkStart w:id="12" w:name="_Hlk59370342"/>
      <w:r>
        <w:rPr>
          <w:lang w:val="en-US"/>
        </w:rPr>
        <w:t>Experts from all</w:t>
      </w:r>
      <w:r w:rsidRPr="00AC1FF9">
        <w:rPr>
          <w:lang w:val="en-US"/>
        </w:rPr>
        <w:t xml:space="preserve"> regions</w:t>
      </w:r>
      <w:r>
        <w:rPr>
          <w:lang w:val="en-US"/>
        </w:rPr>
        <w:t>, particularly</w:t>
      </w:r>
      <w:r w:rsidRPr="00AC1FF9">
        <w:rPr>
          <w:lang w:val="en-US"/>
        </w:rPr>
        <w:t xml:space="preserve"> Developing Countries</w:t>
      </w:r>
      <w:r>
        <w:rPr>
          <w:lang w:val="en-US"/>
        </w:rPr>
        <w:t>, are invited to contribute to this work.</w:t>
      </w:r>
    </w:p>
    <w:bookmarkEnd w:id="12"/>
    <w:p w14:paraId="51FC677D" w14:textId="1ADFF4F6" w:rsidR="00A34477" w:rsidRPr="004817AF" w:rsidRDefault="00A34477" w:rsidP="00F84486">
      <w:pPr>
        <w:keepNext/>
        <w:keepLines/>
      </w:pPr>
      <w:r w:rsidRPr="004817AF">
        <w:t xml:space="preserve">The </w:t>
      </w:r>
      <w:r w:rsidR="00E86378" w:rsidRPr="004817AF">
        <w:t>Focus Group</w:t>
      </w:r>
      <w:r w:rsidRPr="004817AF">
        <w:t xml:space="preserve"> management established at the SG</w:t>
      </w:r>
      <w:r w:rsidR="00F84486">
        <w:t>2 e-</w:t>
      </w:r>
      <w:r w:rsidRPr="004817AF">
        <w:t>plenary is as follows:</w:t>
      </w:r>
    </w:p>
    <w:p w14:paraId="045F4C81" w14:textId="77777777" w:rsidR="00B10054" w:rsidRDefault="00B10054" w:rsidP="00B10054">
      <w:pPr>
        <w:keepNext/>
        <w:keepLines/>
        <w:ind w:left="567" w:hanging="567"/>
      </w:pPr>
      <w:r>
        <w:t>•</w:t>
      </w:r>
      <w:r>
        <w:tab/>
        <w:t>Chairman: Dr Monique KUGLITSCH (Ms)</w:t>
      </w:r>
      <w:r>
        <w:br/>
        <w:t>(Fraunhofer HHI &amp; IIS).</w:t>
      </w:r>
    </w:p>
    <w:p w14:paraId="3514ECB1" w14:textId="3E19ED17" w:rsidR="00B10054" w:rsidRDefault="00B10054" w:rsidP="00B10054">
      <w:pPr>
        <w:keepNext/>
        <w:keepLines/>
        <w:ind w:left="567" w:hanging="567"/>
      </w:pPr>
      <w:r>
        <w:t>•</w:t>
      </w:r>
      <w:r>
        <w:tab/>
        <w:t xml:space="preserve">Vice-chairman: Prof Dr </w:t>
      </w:r>
      <w:proofErr w:type="spellStart"/>
      <w:r>
        <w:t>Jürg</w:t>
      </w:r>
      <w:proofErr w:type="spellEnd"/>
      <w:r>
        <w:t xml:space="preserve"> LUTERBACHER</w:t>
      </w:r>
      <w:r>
        <w:br/>
        <w:t>(WMO).</w:t>
      </w:r>
    </w:p>
    <w:p w14:paraId="0C2422E1" w14:textId="3CDB663C" w:rsidR="00B10054" w:rsidRDefault="00B10054" w:rsidP="00B10054">
      <w:pPr>
        <w:keepNext/>
        <w:keepLines/>
        <w:ind w:left="567" w:hanging="567"/>
      </w:pPr>
      <w:r w:rsidRPr="00A3544B">
        <w:t>•</w:t>
      </w:r>
      <w:r w:rsidRPr="00A3544B">
        <w:tab/>
        <w:t xml:space="preserve">Vice-chairman: </w:t>
      </w:r>
      <w:r>
        <w:t>Dr</w:t>
      </w:r>
      <w:r w:rsidRPr="00A3544B">
        <w:t xml:space="preserve"> </w:t>
      </w:r>
      <w:proofErr w:type="spellStart"/>
      <w:r w:rsidRPr="00A3544B">
        <w:t>Preeti</w:t>
      </w:r>
      <w:proofErr w:type="spellEnd"/>
      <w:r w:rsidRPr="00A3544B">
        <w:t xml:space="preserve"> BANZAL</w:t>
      </w:r>
      <w:r>
        <w:br/>
      </w:r>
      <w:r w:rsidRPr="00A3544B">
        <w:t>(Office of the Principal Scientific Adviser, Government of India).</w:t>
      </w:r>
    </w:p>
    <w:p w14:paraId="7EC915FE" w14:textId="77777777" w:rsidR="00B10054" w:rsidRDefault="00B10054" w:rsidP="00B10054">
      <w:pPr>
        <w:ind w:left="567" w:hanging="567"/>
      </w:pPr>
      <w:r>
        <w:t>•</w:t>
      </w:r>
      <w:r>
        <w:tab/>
        <w:t>Vice-chairman: Ms Yanchuan WANG</w:t>
      </w:r>
      <w:r>
        <w:br/>
        <w:t>(China Telecom).</w:t>
      </w:r>
    </w:p>
    <w:p w14:paraId="0FBD12B9" w14:textId="441279FB" w:rsidR="00F84486" w:rsidRDefault="00C96C44" w:rsidP="00CD0D0D">
      <w:r w:rsidRPr="004817AF">
        <w:t xml:space="preserve">The </w:t>
      </w:r>
      <w:r w:rsidR="00870AF9">
        <w:t xml:space="preserve">terms of reference </w:t>
      </w:r>
      <w:r w:rsidR="00F84486">
        <w:t>(</w:t>
      </w:r>
      <w:proofErr w:type="spellStart"/>
      <w:r w:rsidR="00F84486">
        <w:t>ToRs</w:t>
      </w:r>
      <w:proofErr w:type="spellEnd"/>
      <w:r w:rsidR="00F84486">
        <w:t>)</w:t>
      </w:r>
      <w:r w:rsidRPr="004817AF">
        <w:t xml:space="preserve"> of</w:t>
      </w:r>
      <w:r w:rsidR="00096080" w:rsidRPr="004817AF">
        <w:t xml:space="preserve"> the </w:t>
      </w:r>
      <w:r w:rsidR="00F84486" w:rsidRPr="004817AF">
        <w:t xml:space="preserve">focus group </w:t>
      </w:r>
      <w:r w:rsidR="00096080" w:rsidRPr="004817AF">
        <w:t xml:space="preserve">are </w:t>
      </w:r>
      <w:r w:rsidR="004817AF" w:rsidRPr="004817AF">
        <w:t xml:space="preserve">annexed to this </w:t>
      </w:r>
      <w:r w:rsidR="00F84486">
        <w:t xml:space="preserve">Liaison Statement, and also available on the focus group homepage at: </w:t>
      </w:r>
      <w:hyperlink r:id="rId19" w:history="1">
        <w:r w:rsidR="00863342" w:rsidRPr="00C15B57">
          <w:rPr>
            <w:rStyle w:val="Hyperlink"/>
          </w:rPr>
          <w:t>http://itu.int/go/fgai4ndm</w:t>
        </w:r>
      </w:hyperlink>
      <w:r w:rsidR="00863342">
        <w:t>.</w:t>
      </w:r>
    </w:p>
    <w:p w14:paraId="568D0CE9" w14:textId="65053AB6" w:rsidR="00C96C44" w:rsidRDefault="00F84486" w:rsidP="004817AF">
      <w:r>
        <w:t>ITU-T SG2</w:t>
      </w:r>
      <w:r w:rsidR="00C96C44" w:rsidRPr="004817AF">
        <w:t xml:space="preserve"> appreciate</w:t>
      </w:r>
      <w:r w:rsidR="00306C9F" w:rsidRPr="004817AF">
        <w:t>s</w:t>
      </w:r>
      <w:r w:rsidR="00C96C44" w:rsidRPr="004817AF">
        <w:t xml:space="preserve"> y</w:t>
      </w:r>
      <w:r w:rsidR="0053734B" w:rsidRPr="004817AF">
        <w:t>our interest</w:t>
      </w:r>
      <w:r w:rsidR="00306C9F" w:rsidRPr="004817AF">
        <w:t xml:space="preserve"> and collaboration</w:t>
      </w:r>
      <w:r w:rsidR="00C96C44" w:rsidRPr="004817AF">
        <w:t xml:space="preserve"> on this topic.</w:t>
      </w:r>
    </w:p>
    <w:p w14:paraId="7C3527D3" w14:textId="54316659" w:rsidR="005A7DEA" w:rsidRPr="005A7DEA" w:rsidRDefault="005A7DEA" w:rsidP="005A7DEA">
      <w:pPr>
        <w:rPr>
          <w:b/>
          <w:bCs/>
        </w:rPr>
      </w:pPr>
      <w:r w:rsidRPr="005A7DEA">
        <w:rPr>
          <w:b/>
          <w:bCs/>
        </w:rPr>
        <w:t>Annex</w:t>
      </w:r>
      <w:r w:rsidR="00FF3E18">
        <w:rPr>
          <w:b/>
          <w:bCs/>
        </w:rPr>
        <w:t>es</w:t>
      </w:r>
      <w:r w:rsidRPr="005A7DEA">
        <w:rPr>
          <w:b/>
          <w:bCs/>
        </w:rPr>
        <w:t>: 1</w:t>
      </w:r>
    </w:p>
    <w:p w14:paraId="56FC7AAE" w14:textId="77777777" w:rsidR="00552A24" w:rsidRPr="00552A24" w:rsidRDefault="009F3A61" w:rsidP="00552A24">
      <w:pPr>
        <w:spacing w:before="0" w:after="160" w:line="259" w:lineRule="auto"/>
        <w:jc w:val="center"/>
        <w:rPr>
          <w:rFonts w:eastAsia="MS Mincho"/>
          <w:b/>
          <w:lang w:val="en-US"/>
        </w:rPr>
      </w:pPr>
      <w:r>
        <w:br w:type="page"/>
      </w:r>
      <w:r w:rsidR="004835AB" w:rsidRPr="004817AF">
        <w:lastRenderedPageBreak/>
        <w:t>Annex A:</w:t>
      </w:r>
      <w:r w:rsidR="004835AB" w:rsidRPr="004817AF">
        <w:br/>
      </w:r>
      <w:r w:rsidR="004835AB" w:rsidRPr="004817AF">
        <w:br/>
      </w:r>
      <w:r w:rsidR="00552A24" w:rsidRPr="00552A24">
        <w:rPr>
          <w:rFonts w:eastAsia="MS Mincho"/>
          <w:b/>
        </w:rPr>
        <w:t xml:space="preserve">Terms of Reference for the ITU-T Focus Group on </w:t>
      </w:r>
      <w:r w:rsidR="00552A24" w:rsidRPr="00552A24">
        <w:rPr>
          <w:rFonts w:eastAsia="MS Mincho"/>
          <w:b/>
        </w:rPr>
        <w:br/>
        <w:t>“Artificial Intelligence for Natural Disaster Management” (FG-AI4NDM)</w:t>
      </w:r>
    </w:p>
    <w:p w14:paraId="2EFB3DDA"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360"/>
        <w:ind w:left="794" w:hanging="794"/>
        <w:jc w:val="both"/>
        <w:textAlignment w:val="baseline"/>
        <w:outlineLvl w:val="0"/>
        <w:rPr>
          <w:rFonts w:eastAsia="Times New Roman"/>
          <w:b/>
          <w:szCs w:val="20"/>
          <w:lang w:val="en-US" w:eastAsia="en-US"/>
        </w:rPr>
      </w:pPr>
      <w:r w:rsidRPr="00552A24">
        <w:rPr>
          <w:rFonts w:eastAsia="Times New Roman"/>
          <w:b/>
          <w:szCs w:val="20"/>
          <w:lang w:val="en-US" w:eastAsia="en-US"/>
        </w:rPr>
        <w:t xml:space="preserve">1. </w:t>
      </w:r>
      <w:r w:rsidRPr="00552A24">
        <w:rPr>
          <w:rFonts w:eastAsia="Times New Roman"/>
          <w:b/>
          <w:szCs w:val="20"/>
          <w:lang w:val="en-US" w:eastAsia="en-US"/>
        </w:rPr>
        <w:tab/>
        <w:t>Context and scope</w:t>
      </w:r>
    </w:p>
    <w:p w14:paraId="7780A976" w14:textId="77777777" w:rsidR="00552A24" w:rsidRPr="00552A24" w:rsidRDefault="00552A24" w:rsidP="00552A24">
      <w:pPr>
        <w:jc w:val="both"/>
        <w:rPr>
          <w:rFonts w:eastAsia="MS Mincho"/>
        </w:rPr>
      </w:pPr>
      <w:r w:rsidRPr="00552A24">
        <w:rPr>
          <w:rFonts w:eastAsia="MS Mincho"/>
        </w:rPr>
        <w:t>Natural disasters are generally defined as a “potentially damaging physical event”</w:t>
      </w:r>
      <w:r w:rsidRPr="00552A24">
        <w:rPr>
          <w:rFonts w:eastAsia="MS Mincho"/>
          <w:vertAlign w:val="superscript"/>
        </w:rPr>
        <w:footnoteReference w:id="1"/>
      </w:r>
      <w:r w:rsidRPr="00552A24">
        <w:rPr>
          <w:rFonts w:eastAsia="MS Mincho"/>
        </w:rPr>
        <w:t xml:space="preserve"> of a predominantly natural origin (e.g., atmospheric, hydrologic, geophysical, oceanographic, or biologic).</w:t>
      </w:r>
      <w:r w:rsidRPr="00552A24">
        <w:rPr>
          <w:rFonts w:eastAsia="MS Mincho"/>
          <w:vertAlign w:val="superscript"/>
        </w:rPr>
        <w:footnoteReference w:id="2"/>
      </w:r>
      <w:r w:rsidRPr="00552A24">
        <w:rPr>
          <w:rFonts w:eastAsia="MS Mincho"/>
        </w:rPr>
        <w:t xml:space="preserve"> Adverse effects of these events include injury, mortality, displacements, damage to property (including cultural heritage) and infrastructure, and disturbance to nature and natural resources. </w:t>
      </w:r>
    </w:p>
    <w:p w14:paraId="1DF208D5" w14:textId="77777777" w:rsidR="00552A24" w:rsidRPr="00552A24" w:rsidRDefault="00552A24" w:rsidP="00552A24">
      <w:pPr>
        <w:jc w:val="both"/>
        <w:rPr>
          <w:rFonts w:eastAsia="MS Mincho"/>
          <w:lang w:val="en-US"/>
        </w:rPr>
      </w:pPr>
      <w:r w:rsidRPr="00552A24">
        <w:rPr>
          <w:rFonts w:eastAsia="MS Mincho"/>
        </w:rPr>
        <w:t xml:space="preserve">Between </w:t>
      </w:r>
      <w:r w:rsidRPr="00552A24">
        <w:rPr>
          <w:rFonts w:eastAsia="MS Mincho"/>
          <w:lang w:val="en-US"/>
        </w:rPr>
        <w:t>2005 and 2015, natural disasters impacted 1.5 billion people in various ways (700,000 lives were lost, 1.4 million injuries were suffered, and 23 million were left homeless),</w:t>
      </w:r>
      <w:r w:rsidRPr="00552A24">
        <w:rPr>
          <w:rFonts w:eastAsia="MS Mincho"/>
          <w:vertAlign w:val="superscript"/>
          <w:lang w:val="en-US"/>
        </w:rPr>
        <w:footnoteReference w:id="3"/>
      </w:r>
      <w:r w:rsidRPr="00552A24">
        <w:rPr>
          <w:rFonts w:eastAsia="MS Mincho"/>
          <w:lang w:val="en-US"/>
        </w:rPr>
        <w:t xml:space="preserve"> and it has been shown that</w:t>
      </w:r>
      <w:r w:rsidRPr="00552A24">
        <w:rPr>
          <w:rFonts w:eastAsia="MS Mincho"/>
        </w:rPr>
        <w:t xml:space="preserve"> these natural disasters were predominantly hydrometeorological in origin. The situation is particularly acute in small island developing states (SIDS) and least developed countries (LDC).</w:t>
      </w:r>
      <w:r w:rsidRPr="00552A24">
        <w:rPr>
          <w:rFonts w:eastAsia="MS Mincho"/>
          <w:vertAlign w:val="superscript"/>
        </w:rPr>
        <w:footnoteReference w:id="4"/>
      </w:r>
      <w:r w:rsidRPr="00552A24">
        <w:rPr>
          <w:rFonts w:eastAsia="MS Mincho"/>
        </w:rPr>
        <w:t xml:space="preserve"> Furthermore, women, children, and individuals in vulnerable situations, in particular, are disproportionately affected.</w:t>
      </w:r>
      <w:r w:rsidRPr="00552A24">
        <w:rPr>
          <w:rFonts w:eastAsia="MS Mincho"/>
          <w:vertAlign w:val="superscript"/>
        </w:rPr>
        <w:footnoteReference w:id="5"/>
      </w:r>
    </w:p>
    <w:p w14:paraId="69499BAF" w14:textId="77777777" w:rsidR="00552A24" w:rsidRPr="00552A24" w:rsidRDefault="00552A24" w:rsidP="00552A24">
      <w:pPr>
        <w:jc w:val="both"/>
        <w:rPr>
          <w:rFonts w:eastAsia="MS Mincho"/>
          <w:lang w:eastAsia="en-GB"/>
        </w:rPr>
      </w:pPr>
      <w:r w:rsidRPr="00552A24">
        <w:rPr>
          <w:rFonts w:eastAsia="MS Mincho"/>
        </w:rPr>
        <w:t>Unfortunately, the effects of natural disasters are anticipated to grow through the combination of population growth, rapid urban development (often in otherwise vulnerable regions), and the growing frequency and intensity of certain types of natural disasters, in particular, those related to atmospheric, hydrologic, and oceanographic processes.</w:t>
      </w:r>
      <w:r w:rsidRPr="00552A24">
        <w:rPr>
          <w:rFonts w:eastAsia="MS Mincho"/>
          <w:vertAlign w:val="superscript"/>
        </w:rPr>
        <w:footnoteReference w:id="6"/>
      </w:r>
      <w:r w:rsidRPr="00552A24">
        <w:rPr>
          <w:rFonts w:eastAsia="MS Mincho"/>
        </w:rPr>
        <w:t xml:space="preserve"> </w:t>
      </w:r>
    </w:p>
    <w:p w14:paraId="47E66D47" w14:textId="77777777" w:rsidR="00552A24" w:rsidRPr="00552A24" w:rsidRDefault="00552A24" w:rsidP="00552A24">
      <w:pPr>
        <w:jc w:val="both"/>
        <w:rPr>
          <w:rFonts w:eastAsia="MS Mincho"/>
        </w:rPr>
      </w:pPr>
      <w:r w:rsidRPr="00552A24">
        <w:rPr>
          <w:rFonts w:eastAsia="MS Mincho"/>
        </w:rPr>
        <w:t xml:space="preserve">As a result of these widespread and diverse impacts, natural disasters are targeted in the activities of multiple United Nations offices (e.g., United Nations Office for Disaster Risk Reduction), programs (e.g., United Nations Environment Programme), and organizations (e.g., World Meteorological Organization; United Nations Educational, Scientific, and Cultural Organization). Furthermore, natural disasters feature prominently in reports including the </w:t>
      </w:r>
      <w:r w:rsidRPr="00552A24">
        <w:rPr>
          <w:rFonts w:eastAsia="MS Mincho"/>
          <w:i/>
        </w:rPr>
        <w:t>Hyogo Framework for Action 2005</w:t>
      </w:r>
      <w:r w:rsidRPr="00552A24">
        <w:rPr>
          <w:rFonts w:eastAsia="MS Mincho"/>
          <w:vertAlign w:val="superscript"/>
        </w:rPr>
        <w:footnoteReference w:id="7"/>
      </w:r>
      <w:r w:rsidRPr="00552A24">
        <w:rPr>
          <w:rFonts w:eastAsia="MS Mincho"/>
        </w:rPr>
        <w:t xml:space="preserve"> and </w:t>
      </w:r>
      <w:r w:rsidRPr="00552A24">
        <w:rPr>
          <w:rFonts w:eastAsia="MS Mincho"/>
          <w:i/>
        </w:rPr>
        <w:t>Sendai Framework for Disaster Risk Reduction 2015-2030</w:t>
      </w:r>
      <w:r w:rsidRPr="00552A24">
        <w:rPr>
          <w:rFonts w:eastAsia="MS Mincho"/>
        </w:rPr>
        <w:t>,</w:t>
      </w:r>
      <w:r w:rsidRPr="00552A24">
        <w:rPr>
          <w:rFonts w:eastAsia="MS Mincho"/>
          <w:vertAlign w:val="superscript"/>
        </w:rPr>
        <w:footnoteReference w:id="8"/>
      </w:r>
      <w:r w:rsidRPr="00552A24">
        <w:rPr>
          <w:rFonts w:eastAsia="MS Mincho"/>
        </w:rPr>
        <w:t xml:space="preserve"> are the subject of a previous Study Group 2 focus group,</w:t>
      </w:r>
      <w:r w:rsidRPr="00552A24">
        <w:rPr>
          <w:rFonts w:eastAsia="MS Mincho"/>
          <w:vertAlign w:val="superscript"/>
        </w:rPr>
        <w:footnoteReference w:id="9"/>
      </w:r>
      <w:r w:rsidRPr="00552A24">
        <w:rPr>
          <w:rFonts w:eastAsia="MS Mincho"/>
        </w:rPr>
        <w:t xml:space="preserve"> and are explored in a 2019 ITU-D report.</w:t>
      </w:r>
      <w:r w:rsidRPr="00552A24">
        <w:rPr>
          <w:rFonts w:eastAsia="MS Mincho"/>
          <w:vertAlign w:val="superscript"/>
        </w:rPr>
        <w:footnoteReference w:id="10"/>
      </w:r>
    </w:p>
    <w:p w14:paraId="6DFB1B6D" w14:textId="77777777" w:rsidR="00552A24" w:rsidRPr="00552A24" w:rsidRDefault="00552A24" w:rsidP="00552A24">
      <w:pPr>
        <w:jc w:val="both"/>
        <w:rPr>
          <w:rFonts w:eastAsia="MS Mincho"/>
          <w:lang w:val="en-US"/>
        </w:rPr>
      </w:pPr>
      <w:r w:rsidRPr="00552A24">
        <w:rPr>
          <w:rFonts w:eastAsia="MS Mincho"/>
        </w:rPr>
        <w:lastRenderedPageBreak/>
        <w:t>To minimize the costs (including the adverse effects listed above) and enhance the preparedness for (and response to) natural disasters,</w:t>
      </w:r>
      <w:r w:rsidRPr="00552A24">
        <w:rPr>
          <w:rFonts w:eastAsia="MS Mincho"/>
          <w:vertAlign w:val="superscript"/>
        </w:rPr>
        <w:footnoteReference w:id="11"/>
      </w:r>
      <w:r w:rsidRPr="00552A24">
        <w:rPr>
          <w:rFonts w:eastAsia="MS Mincho"/>
        </w:rPr>
        <w:t xml:space="preserve"> FG-AI4NDM explores the potential of AI</w:t>
      </w:r>
      <w:r w:rsidRPr="00552A24">
        <w:rPr>
          <w:rFonts w:eastAsia="MS Mincho"/>
          <w:lang w:val="en-US"/>
        </w:rPr>
        <w:t xml:space="preserve"> </w:t>
      </w:r>
      <w:r w:rsidRPr="00552A24">
        <w:rPr>
          <w:rFonts w:eastAsia="MS Mincho"/>
        </w:rPr>
        <w:t xml:space="preserve">to support data collection and handling, improve modelling across spatiotemporal scales through extracting complex patterns (and gaining insights) from a growing volume of geospatial data, and provide effective communication. To achieve these ambitious objectives, FG-AI4NDM will converge multiple stakeholders and experts from across the globe. Special effort will be made to support participation from low- and mid-income countries and those countries shown to be particularly impacted by these types of events (e.g., SIDS and LDC). Finally, FG-AI4NDM will advance the efforts of parent group Study Group 2 to provide disaster relief/early warning and recovery through </w:t>
      </w:r>
      <w:proofErr w:type="gramStart"/>
      <w:r w:rsidRPr="00552A24">
        <w:rPr>
          <w:rFonts w:eastAsia="MS Mincho"/>
        </w:rPr>
        <w:t>telecommunications technologies, and</w:t>
      </w:r>
      <w:proofErr w:type="gramEnd"/>
      <w:r w:rsidRPr="00552A24">
        <w:rPr>
          <w:rFonts w:eastAsia="MS Mincho"/>
        </w:rPr>
        <w:t xml:space="preserve"> build on the work of the previous ITU-T Study Group 2 Focus Group on Disaster Relief Systems, Network Resilience and Recovery (FG-DR&amp;NRR).</w:t>
      </w:r>
    </w:p>
    <w:p w14:paraId="55580E3F"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552A24">
        <w:rPr>
          <w:rFonts w:eastAsia="Times New Roman"/>
          <w:b/>
          <w:szCs w:val="20"/>
          <w:lang w:eastAsia="en-US"/>
        </w:rPr>
        <w:t xml:space="preserve">2. </w:t>
      </w:r>
      <w:r w:rsidRPr="00552A24">
        <w:rPr>
          <w:rFonts w:eastAsia="Times New Roman"/>
          <w:b/>
          <w:szCs w:val="20"/>
          <w:lang w:eastAsia="en-US"/>
        </w:rPr>
        <w:tab/>
        <w:t>Goals and objectives of FG-AI4NDM</w:t>
      </w:r>
    </w:p>
    <w:p w14:paraId="2E276539" w14:textId="77777777" w:rsidR="00552A24" w:rsidRPr="00552A24" w:rsidRDefault="00552A24" w:rsidP="00552A24">
      <w:pPr>
        <w:pBdr>
          <w:top w:val="nil"/>
          <w:left w:val="nil"/>
          <w:bottom w:val="nil"/>
          <w:right w:val="nil"/>
          <w:between w:val="nil"/>
        </w:pBdr>
        <w:spacing w:before="0"/>
        <w:ind w:left="90" w:hanging="90"/>
        <w:rPr>
          <w:rFonts w:eastAsia="MS Mincho"/>
        </w:rPr>
      </w:pPr>
    </w:p>
    <w:p w14:paraId="3863097C" w14:textId="77777777" w:rsidR="00552A24" w:rsidRPr="00552A24" w:rsidRDefault="00552A24" w:rsidP="00552A24">
      <w:pPr>
        <w:pBdr>
          <w:top w:val="nil"/>
          <w:left w:val="nil"/>
          <w:bottom w:val="nil"/>
          <w:right w:val="nil"/>
          <w:between w:val="nil"/>
        </w:pBdr>
        <w:spacing w:before="0"/>
        <w:ind w:left="90" w:hanging="90"/>
        <w:rPr>
          <w:rFonts w:eastAsia="MS Mincho"/>
        </w:rPr>
      </w:pPr>
      <w:r w:rsidRPr="00552A24">
        <w:rPr>
          <w:rFonts w:eastAsia="MS Mincho"/>
        </w:rPr>
        <w:t>FG-AI4NDM will pursue the following broad set of goals:</w:t>
      </w:r>
    </w:p>
    <w:p w14:paraId="4A6FA25A" w14:textId="77777777" w:rsidR="00552A24" w:rsidRPr="00552A24" w:rsidRDefault="00552A24" w:rsidP="00552A24">
      <w:pPr>
        <w:numPr>
          <w:ilvl w:val="0"/>
          <w:numId w:val="24"/>
        </w:numPr>
        <w:jc w:val="both"/>
        <w:rPr>
          <w:rFonts w:eastAsia="MS Mincho"/>
        </w:rPr>
      </w:pPr>
      <w:bookmarkStart w:id="13" w:name="_9002luq7o99m" w:colFirst="0" w:colLast="0"/>
      <w:bookmarkEnd w:id="13"/>
      <w:r w:rsidRPr="00552A24">
        <w:rPr>
          <w:rFonts w:eastAsia="MS Mincho"/>
        </w:rPr>
        <w:t>To build a community of stakeholders and experts</w:t>
      </w:r>
      <w:r w:rsidRPr="00552A24">
        <w:rPr>
          <w:rFonts w:eastAsia="MS Mincho"/>
          <w:vertAlign w:val="superscript"/>
        </w:rPr>
        <w:footnoteReference w:id="12"/>
      </w:r>
      <w:r w:rsidRPr="00552A24">
        <w:rPr>
          <w:rFonts w:eastAsia="MS Mincho"/>
        </w:rPr>
        <w:t xml:space="preserve"> from around the globe to explore the use of AI (in the context of data, modelling, and communication technologies)</w:t>
      </w:r>
      <w:r w:rsidRPr="00552A24">
        <w:rPr>
          <w:rFonts w:eastAsia="MS Mincho"/>
          <w:lang w:val="en-US"/>
        </w:rPr>
        <w:t xml:space="preserve"> </w:t>
      </w:r>
      <w:r w:rsidRPr="00552A24">
        <w:rPr>
          <w:rFonts w:eastAsia="MS Mincho"/>
        </w:rPr>
        <w:t>for natural disaster management.</w:t>
      </w:r>
      <w:r w:rsidRPr="00552A24">
        <w:rPr>
          <w:rFonts w:eastAsia="MS Mincho"/>
          <w:vertAlign w:val="superscript"/>
        </w:rPr>
        <w:footnoteReference w:id="13"/>
      </w:r>
      <w:r w:rsidRPr="00552A24">
        <w:rPr>
          <w:rFonts w:eastAsia="MS Mincho"/>
        </w:rPr>
        <w:t xml:space="preserve"> </w:t>
      </w:r>
    </w:p>
    <w:p w14:paraId="37B43B66" w14:textId="77777777" w:rsidR="00552A24" w:rsidRPr="00552A24" w:rsidRDefault="00552A24" w:rsidP="00552A24">
      <w:pPr>
        <w:numPr>
          <w:ilvl w:val="0"/>
          <w:numId w:val="24"/>
        </w:numPr>
        <w:jc w:val="both"/>
        <w:rPr>
          <w:rFonts w:eastAsia="MS Mincho"/>
        </w:rPr>
      </w:pPr>
      <w:r w:rsidRPr="00552A24">
        <w:rPr>
          <w:rFonts w:eastAsia="MS Mincho"/>
        </w:rPr>
        <w:t>To maximize synergies within this community to support the interlinked goals of the UN for a better and more sustainable future.</w:t>
      </w:r>
      <w:r w:rsidRPr="00552A24">
        <w:rPr>
          <w:rFonts w:eastAsia="MS Mincho"/>
          <w:vertAlign w:val="superscript"/>
        </w:rPr>
        <w:footnoteReference w:id="14"/>
      </w:r>
    </w:p>
    <w:p w14:paraId="185796B1" w14:textId="77777777" w:rsidR="00552A24" w:rsidRPr="00552A24" w:rsidRDefault="00552A24" w:rsidP="00552A24">
      <w:pPr>
        <w:numPr>
          <w:ilvl w:val="0"/>
          <w:numId w:val="24"/>
        </w:numPr>
        <w:jc w:val="both"/>
        <w:rPr>
          <w:rFonts w:eastAsia="MS Mincho"/>
        </w:rPr>
      </w:pPr>
      <w:r w:rsidRPr="00552A24">
        <w:rPr>
          <w:rFonts w:eastAsia="MS Mincho"/>
        </w:rPr>
        <w:t xml:space="preserve">To identify projects in the area of AI (in the context of data, modelling, and communication technologies) for natural disaster management and to find ways to optimally incorporate their outputs into the focus group activities. To identify areas where AI (in the context of data, modelling, and communication technologies) can (but does not yet) support natural disaster management with a particular focus on vulnerable and resource-constrained regions. </w:t>
      </w:r>
    </w:p>
    <w:p w14:paraId="733CC795" w14:textId="77777777" w:rsidR="00552A24" w:rsidRPr="00552A24" w:rsidRDefault="00552A24" w:rsidP="00552A24">
      <w:pPr>
        <w:numPr>
          <w:ilvl w:val="0"/>
          <w:numId w:val="24"/>
        </w:numPr>
        <w:jc w:val="both"/>
        <w:rPr>
          <w:rFonts w:eastAsia="MS Mincho"/>
        </w:rPr>
      </w:pPr>
      <w:r w:rsidRPr="00552A24">
        <w:rPr>
          <w:rFonts w:eastAsia="MS Mincho"/>
        </w:rPr>
        <w:t xml:space="preserve">To identify any activities related to the use of AI for data, modelling (reconstructing, forecasting, and projecting), and communication in natural disaster management. </w:t>
      </w:r>
    </w:p>
    <w:p w14:paraId="7DC1A3AC" w14:textId="77777777" w:rsidR="00552A24" w:rsidRPr="00552A24" w:rsidRDefault="00552A24" w:rsidP="00552A24">
      <w:pPr>
        <w:numPr>
          <w:ilvl w:val="0"/>
          <w:numId w:val="24"/>
        </w:numPr>
        <w:jc w:val="both"/>
        <w:rPr>
          <w:rFonts w:eastAsia="MS Mincho"/>
        </w:rPr>
      </w:pPr>
      <w:bookmarkStart w:id="14" w:name="_n47clybo6pa1" w:colFirst="0" w:colLast="0"/>
      <w:bookmarkEnd w:id="14"/>
      <w:r w:rsidRPr="00552A24">
        <w:rPr>
          <w:rFonts w:eastAsia="MS Mincho"/>
        </w:rPr>
        <w:lastRenderedPageBreak/>
        <w:t>To identify current best practices on the use of AI to support data, modelling (reconstructing, forecasting, and projecting), and effective communication</w:t>
      </w:r>
      <w:r w:rsidRPr="00552A24">
        <w:rPr>
          <w:rFonts w:eastAsia="MS Mincho"/>
          <w:vertAlign w:val="superscript"/>
        </w:rPr>
        <w:footnoteReference w:id="15"/>
      </w:r>
      <w:r w:rsidRPr="00552A24">
        <w:rPr>
          <w:rFonts w:eastAsia="MS Mincho"/>
        </w:rPr>
        <w:t xml:space="preserve"> in natural disaster management.</w:t>
      </w:r>
      <w:bookmarkStart w:id="15" w:name="_6uy0lgqwuqtj" w:colFirst="0" w:colLast="0"/>
      <w:bookmarkStart w:id="16" w:name="_l05ftd8hyffx" w:colFirst="0" w:colLast="0"/>
      <w:bookmarkEnd w:id="15"/>
      <w:bookmarkEnd w:id="16"/>
      <w:r w:rsidRPr="00552A24">
        <w:rPr>
          <w:rFonts w:eastAsia="MS Mincho"/>
        </w:rPr>
        <w:t xml:space="preserve"> </w:t>
      </w:r>
    </w:p>
    <w:p w14:paraId="08B10A21" w14:textId="77777777" w:rsidR="00552A24" w:rsidRPr="00552A24" w:rsidRDefault="00552A24" w:rsidP="00552A24">
      <w:pPr>
        <w:numPr>
          <w:ilvl w:val="0"/>
          <w:numId w:val="24"/>
        </w:numPr>
        <w:jc w:val="both"/>
        <w:rPr>
          <w:rFonts w:eastAsia="MS Mincho"/>
        </w:rPr>
      </w:pPr>
      <w:r w:rsidRPr="00552A24">
        <w:rPr>
          <w:rFonts w:eastAsia="MS Mincho"/>
        </w:rPr>
        <w:t>To support efforts being made to develop global data repositories (including cloud solutions) on relevant natural disaster data for use cases (i.e., specific natural disaster types).</w:t>
      </w:r>
    </w:p>
    <w:p w14:paraId="0ADE4538" w14:textId="77777777" w:rsidR="00552A24" w:rsidRPr="00552A24" w:rsidRDefault="00552A24" w:rsidP="00552A24">
      <w:pPr>
        <w:numPr>
          <w:ilvl w:val="0"/>
          <w:numId w:val="24"/>
        </w:numPr>
        <w:jc w:val="both"/>
        <w:rPr>
          <w:rFonts w:eastAsia="MS Mincho"/>
        </w:rPr>
      </w:pPr>
      <w:r w:rsidRPr="00552A24">
        <w:rPr>
          <w:rFonts w:eastAsia="MS Mincho"/>
        </w:rPr>
        <w:t xml:space="preserve">To support the implementation of the </w:t>
      </w:r>
      <w:r w:rsidRPr="00552A24">
        <w:rPr>
          <w:rFonts w:eastAsia="MS Mincho"/>
          <w:i/>
        </w:rPr>
        <w:t>Sendai Framework for Disaster Risk Reduction (2015-2030)</w:t>
      </w:r>
      <w:r w:rsidRPr="00552A24">
        <w:rPr>
          <w:rFonts w:eastAsia="MS Mincho"/>
        </w:rPr>
        <w:t>.</w:t>
      </w:r>
      <w:r w:rsidRPr="00552A24">
        <w:rPr>
          <w:rFonts w:eastAsia="MS Mincho"/>
          <w:vertAlign w:val="superscript"/>
        </w:rPr>
        <w:footnoteReference w:id="16"/>
      </w:r>
    </w:p>
    <w:p w14:paraId="0C1235C9" w14:textId="77777777" w:rsidR="00552A24" w:rsidRPr="00552A24" w:rsidRDefault="00552A24" w:rsidP="00552A24">
      <w:pPr>
        <w:numPr>
          <w:ilvl w:val="0"/>
          <w:numId w:val="24"/>
        </w:numPr>
        <w:jc w:val="both"/>
        <w:rPr>
          <w:rFonts w:eastAsia="MS Mincho"/>
        </w:rPr>
      </w:pPr>
      <w:r w:rsidRPr="00552A24">
        <w:rPr>
          <w:rFonts w:eastAsia="MS Mincho"/>
        </w:rPr>
        <w:t>To liaise and collaborate with other ITU-T study groups to ensure a harmony of complementary activities.</w:t>
      </w:r>
    </w:p>
    <w:p w14:paraId="31A61B97"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552A24">
        <w:rPr>
          <w:rFonts w:eastAsia="Times New Roman"/>
          <w:b/>
          <w:szCs w:val="20"/>
          <w:lang w:eastAsia="en-US"/>
        </w:rPr>
        <w:t xml:space="preserve">3. </w:t>
      </w:r>
      <w:r w:rsidRPr="00552A24">
        <w:rPr>
          <w:rFonts w:eastAsia="Times New Roman"/>
          <w:b/>
          <w:szCs w:val="20"/>
          <w:lang w:eastAsia="en-US"/>
        </w:rPr>
        <w:tab/>
        <w:t>Structure</w:t>
      </w:r>
    </w:p>
    <w:p w14:paraId="4C7D32D7" w14:textId="77777777" w:rsidR="00552A24" w:rsidRPr="00552A24" w:rsidRDefault="00552A24" w:rsidP="00552A24">
      <w:pPr>
        <w:jc w:val="both"/>
        <w:rPr>
          <w:rFonts w:eastAsia="MS Mincho"/>
          <w:b/>
        </w:rPr>
      </w:pPr>
      <w:r w:rsidRPr="00552A24">
        <w:rPr>
          <w:rFonts w:eastAsia="MS Mincho"/>
        </w:rPr>
        <w:t>FG-AI4NDM can create subgroups as needed. To coordinate operations and provide guidance to subgroups, there will be a chair and vice-chairs.</w:t>
      </w:r>
      <w:r w:rsidRPr="00552A24" w:rsidDel="00280EFA">
        <w:rPr>
          <w:rFonts w:eastAsia="MS Mincho"/>
        </w:rPr>
        <w:t xml:space="preserve"> </w:t>
      </w:r>
    </w:p>
    <w:p w14:paraId="7A144AC7"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4.</w:t>
      </w:r>
      <w:r w:rsidRPr="00552A24">
        <w:rPr>
          <w:rFonts w:eastAsia="Times New Roman"/>
          <w:b/>
          <w:szCs w:val="20"/>
          <w:lang w:eastAsia="en-US"/>
        </w:rPr>
        <w:tab/>
        <w:t>Specific tasks and deliverables</w:t>
      </w:r>
    </w:p>
    <w:p w14:paraId="7785AAFA" w14:textId="77777777" w:rsidR="00552A24" w:rsidRPr="00552A24" w:rsidRDefault="00552A24" w:rsidP="00552A24">
      <w:pPr>
        <w:rPr>
          <w:rFonts w:eastAsia="MS Mincho"/>
        </w:rPr>
      </w:pPr>
      <w:bookmarkStart w:id="17" w:name="_jmy002wqum49" w:colFirst="0" w:colLast="0"/>
      <w:bookmarkEnd w:id="17"/>
      <w:r w:rsidRPr="00552A24">
        <w:rPr>
          <w:rFonts w:eastAsia="MS Mincho"/>
        </w:rPr>
        <w:t>Tasks and deliverables developed by FG-AI4NDM may include the following:</w:t>
      </w:r>
    </w:p>
    <w:p w14:paraId="5DFD2E3B" w14:textId="77777777" w:rsidR="00552A24" w:rsidRPr="00552A24" w:rsidRDefault="00552A24" w:rsidP="00552A24">
      <w:pPr>
        <w:numPr>
          <w:ilvl w:val="0"/>
          <w:numId w:val="25"/>
        </w:numPr>
        <w:jc w:val="both"/>
        <w:rPr>
          <w:rFonts w:eastAsia="MS Mincho"/>
        </w:rPr>
      </w:pPr>
      <w:bookmarkStart w:id="18" w:name="_j997bo8rn32g" w:colFirst="0" w:colLast="0"/>
      <w:bookmarkEnd w:id="18"/>
      <w:r w:rsidRPr="00552A24">
        <w:rPr>
          <w:rFonts w:eastAsia="MS Mincho"/>
        </w:rPr>
        <w:t xml:space="preserve">Constructing a roadmap for AI activities (in the context of data, modelling, and communication technologies) in natural disaster management.  </w:t>
      </w:r>
    </w:p>
    <w:p w14:paraId="54E37F8C" w14:textId="77777777" w:rsidR="00552A24" w:rsidRPr="00552A24" w:rsidRDefault="00552A24" w:rsidP="00552A24">
      <w:pPr>
        <w:numPr>
          <w:ilvl w:val="0"/>
          <w:numId w:val="25"/>
        </w:numPr>
        <w:jc w:val="both"/>
        <w:rPr>
          <w:rFonts w:eastAsia="MS Mincho"/>
        </w:rPr>
      </w:pPr>
      <w:r w:rsidRPr="00552A24">
        <w:rPr>
          <w:rFonts w:eastAsia="MS Mincho"/>
        </w:rPr>
        <w:t xml:space="preserve">Establishing a roster of stakeholders and experts and making a concerted effort to engage them in focus group activities. </w:t>
      </w:r>
    </w:p>
    <w:p w14:paraId="36A11033" w14:textId="77777777" w:rsidR="00552A24" w:rsidRPr="00552A24" w:rsidRDefault="00552A24" w:rsidP="00552A24">
      <w:pPr>
        <w:numPr>
          <w:ilvl w:val="0"/>
          <w:numId w:val="25"/>
        </w:numPr>
        <w:spacing w:before="0"/>
        <w:jc w:val="both"/>
        <w:rPr>
          <w:rFonts w:eastAsia="MS Mincho"/>
        </w:rPr>
      </w:pPr>
      <w:bookmarkStart w:id="19" w:name="_t5pzvm7p3dpf" w:colFirst="0" w:colLast="0"/>
      <w:bookmarkEnd w:id="19"/>
      <w:r w:rsidRPr="00552A24">
        <w:rPr>
          <w:rFonts w:eastAsia="MS Mincho"/>
        </w:rPr>
        <w:t xml:space="preserve">Holding workshops that bring together stakeholders and experts, highlight ground-breaking activities in the area of AI (in the context of data, modelling, and communication technologies) for natural disaster management, and facilitate recruitment of new focus group members. In addition, evaluating proposals of new use cases. </w:t>
      </w:r>
    </w:p>
    <w:p w14:paraId="5BF75569" w14:textId="77777777" w:rsidR="00552A24" w:rsidRPr="00552A24" w:rsidRDefault="00552A24" w:rsidP="00552A24">
      <w:pPr>
        <w:numPr>
          <w:ilvl w:val="0"/>
          <w:numId w:val="25"/>
        </w:numPr>
        <w:spacing w:before="0"/>
        <w:jc w:val="both"/>
        <w:rPr>
          <w:rFonts w:eastAsia="MS Mincho"/>
        </w:rPr>
      </w:pPr>
      <w:bookmarkStart w:id="20" w:name="_ita941ywycq" w:colFirst="0" w:colLast="0"/>
      <w:bookmarkStart w:id="21" w:name="_tvk28c1ycdjm" w:colFirst="0" w:colLast="0"/>
      <w:bookmarkStart w:id="22" w:name="_6uxhg0uwv531" w:colFirst="0" w:colLast="0"/>
      <w:bookmarkStart w:id="23" w:name="_hne94aegszsv" w:colFirst="0" w:colLast="0"/>
      <w:bookmarkEnd w:id="20"/>
      <w:bookmarkEnd w:id="21"/>
      <w:bookmarkEnd w:id="22"/>
      <w:bookmarkEnd w:id="23"/>
      <w:r w:rsidRPr="00552A24">
        <w:rPr>
          <w:rFonts w:eastAsia="MS Mincho"/>
        </w:rPr>
        <w:t>Working towards drafting non-normative deliverables (e.g., technical reports) on the use of AI to support data</w:t>
      </w:r>
      <w:bookmarkStart w:id="24" w:name="_id514t1sm7kv" w:colFirst="0" w:colLast="0"/>
      <w:bookmarkEnd w:id="24"/>
      <w:r w:rsidRPr="00552A24">
        <w:rPr>
          <w:rFonts w:eastAsia="MS Mincho"/>
        </w:rPr>
        <w:t>, modelling (reconstructing, forecasting, and projecting), and effective communication</w:t>
      </w:r>
      <w:r w:rsidRPr="00552A24">
        <w:rPr>
          <w:rFonts w:eastAsia="MS Mincho"/>
          <w:vertAlign w:val="superscript"/>
        </w:rPr>
        <w:footnoteReference w:id="17"/>
      </w:r>
      <w:r w:rsidRPr="00552A24">
        <w:rPr>
          <w:rFonts w:eastAsia="MS Mincho"/>
        </w:rPr>
        <w:t xml:space="preserve"> of natural disasters, based on input from the use cases. </w:t>
      </w:r>
    </w:p>
    <w:p w14:paraId="3A9471AA" w14:textId="0297FD3F" w:rsidR="00552A24" w:rsidRPr="00552A24" w:rsidRDefault="00552A24" w:rsidP="00552A24">
      <w:pPr>
        <w:numPr>
          <w:ilvl w:val="0"/>
          <w:numId w:val="25"/>
        </w:numPr>
        <w:spacing w:before="0"/>
        <w:jc w:val="both"/>
        <w:rPr>
          <w:rFonts w:eastAsia="MS Mincho"/>
        </w:rPr>
      </w:pPr>
      <w:bookmarkStart w:id="25" w:name="_pb79j7jmn4j0" w:colFirst="0" w:colLast="0"/>
      <w:bookmarkStart w:id="26" w:name="_jy1bn26hpwrp" w:colFirst="0" w:colLast="0"/>
      <w:bookmarkEnd w:id="25"/>
      <w:bookmarkEnd w:id="26"/>
      <w:r w:rsidRPr="00552A24">
        <w:rPr>
          <w:rFonts w:eastAsia="MS Mincho"/>
        </w:rPr>
        <w:t>Working towards development of educational materials (e.g., online courses and pamphlets) in conjunction with WMO (and other partners), which make the content of (4) accessible to all stakeholders and experts, in particular, those in SIDS and LDC.</w:t>
      </w:r>
    </w:p>
    <w:p w14:paraId="6BD95C66" w14:textId="77777777" w:rsidR="00552A24" w:rsidRPr="00552A24" w:rsidRDefault="00552A24" w:rsidP="00552A24">
      <w:pPr>
        <w:numPr>
          <w:ilvl w:val="0"/>
          <w:numId w:val="25"/>
        </w:numPr>
        <w:spacing w:before="0"/>
        <w:jc w:val="both"/>
        <w:rPr>
          <w:rFonts w:eastAsia="MS Mincho"/>
        </w:rPr>
      </w:pPr>
      <w:bookmarkStart w:id="27" w:name="_m5jptyvkagrs" w:colFirst="0" w:colLast="0"/>
      <w:bookmarkStart w:id="28" w:name="_5p8ue2xy0lb9" w:colFirst="0" w:colLast="0"/>
      <w:bookmarkEnd w:id="27"/>
      <w:bookmarkEnd w:id="28"/>
      <w:r w:rsidRPr="00552A24">
        <w:rPr>
          <w:rFonts w:eastAsia="MS Mincho"/>
        </w:rPr>
        <w:t>Creating a comprehensive report, once FG-AI4NDM has achieved the aforementioned tasks, which summarizes these accomplishments and provides suggestions for future directions.</w:t>
      </w:r>
    </w:p>
    <w:p w14:paraId="0CBAA680"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lastRenderedPageBreak/>
        <w:t>5.</w:t>
      </w:r>
      <w:r w:rsidRPr="00552A24">
        <w:rPr>
          <w:rFonts w:eastAsia="Times New Roman"/>
          <w:b/>
          <w:szCs w:val="20"/>
          <w:lang w:eastAsia="en-US"/>
        </w:rPr>
        <w:tab/>
        <w:t>Relationships</w:t>
      </w:r>
    </w:p>
    <w:p w14:paraId="6F923046" w14:textId="77777777" w:rsidR="00552A24" w:rsidRPr="00552A24" w:rsidRDefault="00552A24" w:rsidP="00552A24">
      <w:pPr>
        <w:jc w:val="both"/>
        <w:rPr>
          <w:rFonts w:eastAsia="MS Mincho"/>
        </w:rPr>
      </w:pPr>
      <w:r w:rsidRPr="00552A24">
        <w:rPr>
          <w:rFonts w:eastAsia="MS Mincho"/>
        </w:rPr>
        <w:t>FG-AI4NDM will work closely with relevant study groups in ITU (-R, -T and -D) including co-located meetings when possible. It will also establish and maintain task-appropriated collaboration arrangements with other groups in ITU and with WMO as well as other UN bodies (e.g., UNEP, UNESCO).</w:t>
      </w:r>
    </w:p>
    <w:p w14:paraId="5652DAF9" w14:textId="77777777" w:rsidR="00552A24" w:rsidRPr="00552A24" w:rsidRDefault="00552A24" w:rsidP="00552A24">
      <w:pPr>
        <w:jc w:val="both"/>
        <w:rPr>
          <w:rFonts w:eastAsia="MS Mincho"/>
        </w:rPr>
      </w:pPr>
      <w:r w:rsidRPr="00552A24">
        <w:rPr>
          <w:rFonts w:eastAsia="MS Mincho"/>
        </w:rPr>
        <w:t xml:space="preserve">Furthermore, FG-AI4NDM will collaborate (as required) with other relevant groups and entities, in accordance with the Recommendation ITU-T A.7. These include governments (i.e., ITU member states), non-governmental organizations (NGOs), </w:t>
      </w:r>
      <w:proofErr w:type="gramStart"/>
      <w:r w:rsidRPr="00552A24">
        <w:rPr>
          <w:rFonts w:eastAsia="MS Mincho"/>
        </w:rPr>
        <w:t>policy-makers</w:t>
      </w:r>
      <w:proofErr w:type="gramEnd"/>
      <w:r w:rsidRPr="00552A24">
        <w:rPr>
          <w:rFonts w:eastAsia="MS Mincho"/>
        </w:rPr>
        <w:t xml:space="preserve">, standard developing organizations, industry forums and consortia, companies, academic institutions, research institutions, and other relevant organizations. </w:t>
      </w:r>
    </w:p>
    <w:p w14:paraId="43A771E0"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6.</w:t>
      </w:r>
      <w:r w:rsidRPr="00552A24">
        <w:rPr>
          <w:rFonts w:eastAsia="Times New Roman"/>
          <w:b/>
          <w:szCs w:val="20"/>
          <w:lang w:eastAsia="en-US"/>
        </w:rPr>
        <w:tab/>
        <w:t xml:space="preserve">Parent group </w:t>
      </w:r>
    </w:p>
    <w:p w14:paraId="09C87C0A" w14:textId="77777777" w:rsidR="00552A24" w:rsidRPr="00552A24" w:rsidRDefault="00552A24" w:rsidP="00552A24">
      <w:pPr>
        <w:jc w:val="both"/>
        <w:rPr>
          <w:rFonts w:eastAsia="MS Mincho"/>
        </w:rPr>
      </w:pPr>
      <w:r w:rsidRPr="00552A24">
        <w:rPr>
          <w:rFonts w:eastAsia="MS Mincho"/>
        </w:rPr>
        <w:t>The parent group of the FG-AI4NDM is ITU-T Study Group 2 “Operational Aspects.”</w:t>
      </w:r>
    </w:p>
    <w:p w14:paraId="6B4B410E" w14:textId="77777777" w:rsidR="00552A24" w:rsidRPr="00552A24" w:rsidRDefault="00552A24" w:rsidP="00552A24">
      <w:pPr>
        <w:jc w:val="both"/>
        <w:rPr>
          <w:rFonts w:eastAsia="MS Mincho"/>
          <w:color w:val="FF0000"/>
        </w:rPr>
      </w:pPr>
      <w:r w:rsidRPr="00552A24">
        <w:rPr>
          <w:rFonts w:eastAsia="MS Mincho"/>
        </w:rPr>
        <w:t>Study Group 2 leads ITU’s work on telecommunications for disaster relief/early warning, network resilience and recovery, including the coordination of related studies across the various ITU-T study groups. Accordingly, it would be appropriate to have Study Group 2 as the parent for FG-AI4NDM.</w:t>
      </w:r>
    </w:p>
    <w:p w14:paraId="410BA37B"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7.</w:t>
      </w:r>
      <w:r w:rsidRPr="00552A24">
        <w:rPr>
          <w:rFonts w:eastAsia="Times New Roman"/>
          <w:b/>
          <w:szCs w:val="20"/>
          <w:lang w:eastAsia="en-US"/>
        </w:rPr>
        <w:tab/>
        <w:t xml:space="preserve">Leadership </w:t>
      </w:r>
    </w:p>
    <w:p w14:paraId="768B8703" w14:textId="77777777" w:rsidR="00552A24" w:rsidRPr="00552A24" w:rsidRDefault="00552A24" w:rsidP="00552A24">
      <w:pPr>
        <w:jc w:val="both"/>
        <w:rPr>
          <w:rFonts w:eastAsia="MS Mincho"/>
        </w:rPr>
      </w:pPr>
      <w:r w:rsidRPr="00552A24">
        <w:rPr>
          <w:rFonts w:eastAsia="MS Mincho"/>
        </w:rPr>
        <w:t xml:space="preserve">The stipulations in clause 2.3 of Recommendation ITU-T A.7 apply. </w:t>
      </w:r>
    </w:p>
    <w:p w14:paraId="61C77C6B"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8.</w:t>
      </w:r>
      <w:r w:rsidRPr="00552A24">
        <w:rPr>
          <w:rFonts w:eastAsia="Times New Roman"/>
          <w:b/>
          <w:szCs w:val="20"/>
          <w:lang w:eastAsia="en-US"/>
        </w:rPr>
        <w:tab/>
        <w:t xml:space="preserve">Participation </w:t>
      </w:r>
    </w:p>
    <w:p w14:paraId="3CFCF84D" w14:textId="77777777" w:rsidR="00552A24" w:rsidRPr="00552A24" w:rsidRDefault="00552A24" w:rsidP="00552A24">
      <w:pPr>
        <w:jc w:val="both"/>
        <w:rPr>
          <w:rFonts w:eastAsia="MS Mincho"/>
        </w:rPr>
      </w:pPr>
      <w:r w:rsidRPr="00552A24">
        <w:rPr>
          <w:rFonts w:eastAsia="MS Mincho"/>
        </w:rPr>
        <w:t xml:space="preserve">See clause 3.1 of Recommendation ITU-T A.7. </w:t>
      </w:r>
    </w:p>
    <w:p w14:paraId="4FCE7D3C" w14:textId="77777777" w:rsidR="00552A24" w:rsidRPr="00552A24" w:rsidRDefault="00552A24" w:rsidP="00552A24">
      <w:pPr>
        <w:jc w:val="both"/>
        <w:rPr>
          <w:rFonts w:eastAsia="MS Mincho"/>
        </w:rPr>
      </w:pPr>
      <w:r w:rsidRPr="00552A24">
        <w:rPr>
          <w:rFonts w:eastAsia="MS Mincho"/>
        </w:rPr>
        <w:t xml:space="preserve">Any individual from a country that is a member of ITU and who is willing to contribute actively to the work may participate in the focus group. This includes individuals who are also members of international, regional, and national organizations. </w:t>
      </w:r>
    </w:p>
    <w:p w14:paraId="3FA749C7" w14:textId="77777777" w:rsidR="00552A24" w:rsidRPr="00552A24" w:rsidRDefault="00552A24" w:rsidP="00552A24">
      <w:pPr>
        <w:jc w:val="both"/>
        <w:rPr>
          <w:rFonts w:eastAsia="MS Mincho"/>
        </w:rPr>
      </w:pPr>
      <w:r w:rsidRPr="00552A24">
        <w:rPr>
          <w:rFonts w:eastAsia="MS Mincho"/>
        </w:rPr>
        <w:t>In addition, a list of participants will be maintained for reference purposes and reported to the parent group.</w:t>
      </w:r>
    </w:p>
    <w:p w14:paraId="0FC62F1D"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9.</w:t>
      </w:r>
      <w:r w:rsidRPr="00552A24">
        <w:rPr>
          <w:rFonts w:eastAsia="Times New Roman"/>
          <w:b/>
          <w:szCs w:val="20"/>
          <w:lang w:eastAsia="en-US"/>
        </w:rPr>
        <w:tab/>
        <w:t xml:space="preserve">Administrative support </w:t>
      </w:r>
    </w:p>
    <w:p w14:paraId="410A1A84" w14:textId="77777777" w:rsidR="00552A24" w:rsidRPr="00552A24" w:rsidRDefault="00552A24" w:rsidP="00552A24">
      <w:pPr>
        <w:jc w:val="both"/>
        <w:rPr>
          <w:rFonts w:eastAsia="MS Mincho"/>
        </w:rPr>
      </w:pPr>
      <w:r w:rsidRPr="00552A24">
        <w:rPr>
          <w:rFonts w:eastAsia="MS Mincho"/>
        </w:rPr>
        <w:t xml:space="preserve">The stipulations in clause 5 of Recommendation ITU-T A.7 apply. </w:t>
      </w:r>
    </w:p>
    <w:p w14:paraId="3BA80F86"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10.</w:t>
      </w:r>
      <w:r w:rsidRPr="00552A24">
        <w:rPr>
          <w:rFonts w:eastAsia="Times New Roman"/>
          <w:b/>
          <w:szCs w:val="20"/>
          <w:lang w:eastAsia="en-US"/>
        </w:rPr>
        <w:tab/>
        <w:t xml:space="preserve">General financing </w:t>
      </w:r>
    </w:p>
    <w:p w14:paraId="39684BCA" w14:textId="77777777" w:rsidR="00552A24" w:rsidRPr="00552A24" w:rsidRDefault="00552A24" w:rsidP="00552A24">
      <w:pPr>
        <w:jc w:val="both"/>
        <w:rPr>
          <w:rFonts w:eastAsia="MS Mincho"/>
        </w:rPr>
      </w:pPr>
      <w:r w:rsidRPr="00552A24">
        <w:rPr>
          <w:rFonts w:eastAsia="MS Mincho"/>
        </w:rPr>
        <w:t xml:space="preserve">FG-AI4NDM will follow the guidance in clause 4 of Recommendation ITU-T A.7 with regard to financing of focus groups and their meetings and clause 10.2 of Recommendation ITU-T A.7 with regard to printing and distribution of deliverables. </w:t>
      </w:r>
    </w:p>
    <w:p w14:paraId="7130627D"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11.</w:t>
      </w:r>
      <w:r w:rsidRPr="00552A24">
        <w:rPr>
          <w:rFonts w:eastAsia="Times New Roman"/>
          <w:b/>
          <w:szCs w:val="20"/>
          <w:lang w:eastAsia="en-US"/>
        </w:rPr>
        <w:tab/>
        <w:t xml:space="preserve">Meetings </w:t>
      </w:r>
    </w:p>
    <w:p w14:paraId="683F5B01" w14:textId="77777777" w:rsidR="00552A24" w:rsidRPr="00552A24" w:rsidRDefault="00552A24" w:rsidP="00552A24">
      <w:pPr>
        <w:jc w:val="both"/>
        <w:rPr>
          <w:rFonts w:eastAsia="MS Mincho"/>
        </w:rPr>
      </w:pPr>
      <w:r w:rsidRPr="00552A24">
        <w:rPr>
          <w:rFonts w:eastAsia="MS Mincho"/>
        </w:rPr>
        <w:t xml:space="preserve">FG-AI4NDM will conduct regular meetings. The frequency and locations of meetings will be determined by the focus group management. The overall meetings plan will be announced after the approval of the terms of reference. </w:t>
      </w:r>
    </w:p>
    <w:p w14:paraId="61933078" w14:textId="77777777" w:rsidR="00552A24" w:rsidRPr="00552A24" w:rsidRDefault="00552A24" w:rsidP="00552A24">
      <w:pPr>
        <w:jc w:val="both"/>
        <w:rPr>
          <w:rFonts w:eastAsia="MS Mincho"/>
        </w:rPr>
      </w:pPr>
      <w:r w:rsidRPr="00552A24">
        <w:rPr>
          <w:rFonts w:eastAsia="MS Mincho"/>
        </w:rPr>
        <w:t xml:space="preserve">The focus group will use remote collaboration tools to the maximum extent, and collocation with existing ITU study group(s) meetings is encouraged. </w:t>
      </w:r>
    </w:p>
    <w:p w14:paraId="66B75624" w14:textId="77777777" w:rsidR="00552A24" w:rsidRPr="00552A24" w:rsidRDefault="00552A24" w:rsidP="00552A24">
      <w:pPr>
        <w:jc w:val="both"/>
        <w:rPr>
          <w:rFonts w:eastAsia="MS Mincho"/>
        </w:rPr>
      </w:pPr>
      <w:r w:rsidRPr="00552A24">
        <w:rPr>
          <w:rFonts w:eastAsia="MS Mincho"/>
        </w:rPr>
        <w:t>The meeting dates will be announced by electronic means (e.g., e-mail and website, etc.) at least four weeks in advance.</w:t>
      </w:r>
    </w:p>
    <w:p w14:paraId="22708829"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lastRenderedPageBreak/>
        <w:t>12.</w:t>
      </w:r>
      <w:r w:rsidRPr="00552A24">
        <w:rPr>
          <w:rFonts w:eastAsia="Times New Roman"/>
          <w:b/>
          <w:szCs w:val="20"/>
          <w:lang w:eastAsia="en-US"/>
        </w:rPr>
        <w:tab/>
        <w:t xml:space="preserve">Technical contributions </w:t>
      </w:r>
    </w:p>
    <w:p w14:paraId="522441A5" w14:textId="77777777" w:rsidR="00552A24" w:rsidRPr="00552A24" w:rsidRDefault="00552A24" w:rsidP="00552A24">
      <w:pPr>
        <w:jc w:val="both"/>
        <w:rPr>
          <w:rFonts w:eastAsia="MS Mincho"/>
        </w:rPr>
      </w:pPr>
      <w:r w:rsidRPr="00552A24">
        <w:rPr>
          <w:rFonts w:eastAsia="MS Mincho"/>
        </w:rPr>
        <w:t xml:space="preserve">See clause 8 of Recommendation ITU-T A.7. </w:t>
      </w:r>
    </w:p>
    <w:p w14:paraId="53F72BFC" w14:textId="77777777" w:rsidR="00552A24" w:rsidRPr="00552A24" w:rsidRDefault="00552A24" w:rsidP="00552A24">
      <w:pPr>
        <w:jc w:val="both"/>
        <w:rPr>
          <w:rFonts w:eastAsia="MS Mincho"/>
          <w:color w:val="FF0000"/>
        </w:rPr>
      </w:pPr>
      <w:r w:rsidRPr="00552A24">
        <w:rPr>
          <w:rFonts w:eastAsia="MS Mincho"/>
        </w:rPr>
        <w:t>Any participant may submit a technical contribution directly to FG-AI4NDM, in accordance with the time schedule adopted. A template for contributions can be found on the ITU-T website. Electronic document transfer methods should be used whenever possible.</w:t>
      </w:r>
    </w:p>
    <w:p w14:paraId="4C5F429B"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13.</w:t>
      </w:r>
      <w:r w:rsidRPr="00552A24">
        <w:rPr>
          <w:rFonts w:eastAsia="Times New Roman"/>
          <w:b/>
          <w:szCs w:val="20"/>
          <w:lang w:eastAsia="en-US"/>
        </w:rPr>
        <w:tab/>
        <w:t xml:space="preserve">Working language </w:t>
      </w:r>
    </w:p>
    <w:p w14:paraId="7D8B08E6" w14:textId="77777777" w:rsidR="00552A24" w:rsidRPr="00552A24" w:rsidRDefault="00552A24" w:rsidP="00552A24">
      <w:pPr>
        <w:rPr>
          <w:rFonts w:eastAsia="MS Mincho"/>
        </w:rPr>
      </w:pPr>
      <w:r w:rsidRPr="00552A24">
        <w:rPr>
          <w:rFonts w:eastAsia="MS Mincho"/>
        </w:rPr>
        <w:t xml:space="preserve">The working language is English. </w:t>
      </w:r>
    </w:p>
    <w:p w14:paraId="59E16287"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14.</w:t>
      </w:r>
      <w:r w:rsidRPr="00552A24">
        <w:rPr>
          <w:rFonts w:eastAsia="Times New Roman"/>
          <w:b/>
          <w:szCs w:val="20"/>
          <w:lang w:eastAsia="en-US"/>
        </w:rPr>
        <w:tab/>
        <w:t xml:space="preserve">Approval of deliverables </w:t>
      </w:r>
    </w:p>
    <w:p w14:paraId="368DC25D" w14:textId="77777777" w:rsidR="00552A24" w:rsidRPr="00552A24" w:rsidRDefault="00552A24" w:rsidP="00552A24">
      <w:pPr>
        <w:rPr>
          <w:rFonts w:eastAsia="MS Mincho"/>
        </w:rPr>
      </w:pPr>
      <w:r w:rsidRPr="00552A24">
        <w:rPr>
          <w:rFonts w:eastAsia="MS Mincho"/>
        </w:rPr>
        <w:t xml:space="preserve">Approval of deliverables shall be taken by consensus. </w:t>
      </w:r>
    </w:p>
    <w:p w14:paraId="77664425"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15.</w:t>
      </w:r>
      <w:r w:rsidRPr="00552A24">
        <w:rPr>
          <w:rFonts w:eastAsia="Times New Roman"/>
          <w:b/>
          <w:szCs w:val="20"/>
          <w:lang w:eastAsia="en-US"/>
        </w:rPr>
        <w:tab/>
        <w:t xml:space="preserve">Working guidelines </w:t>
      </w:r>
    </w:p>
    <w:p w14:paraId="295141E5" w14:textId="77777777" w:rsidR="00552A24" w:rsidRPr="00552A24" w:rsidRDefault="00552A24" w:rsidP="00552A24">
      <w:pPr>
        <w:rPr>
          <w:rFonts w:eastAsia="MS Mincho"/>
        </w:rPr>
      </w:pPr>
      <w:r w:rsidRPr="00552A24">
        <w:rPr>
          <w:rFonts w:eastAsia="MS Mincho"/>
        </w:rPr>
        <w:t xml:space="preserve">Working procedures shall follow the procedures of Rapporteur group meetings. </w:t>
      </w:r>
    </w:p>
    <w:p w14:paraId="2D59AACF" w14:textId="77777777" w:rsidR="00552A24" w:rsidRPr="00552A24" w:rsidRDefault="00552A24" w:rsidP="00552A24">
      <w:pPr>
        <w:jc w:val="both"/>
        <w:rPr>
          <w:rFonts w:eastAsia="MS Mincho"/>
        </w:rPr>
      </w:pPr>
      <w:r w:rsidRPr="00552A24">
        <w:rPr>
          <w:rFonts w:eastAsia="MS Mincho"/>
        </w:rPr>
        <w:t>FG-AI4NDM will exchange draft deliverables and other outcomes on a regular basis with its parent group, to ensure efficient transfer of deliverables to streamline future activities (see ITU-T A.7 Appendix I).</w:t>
      </w:r>
    </w:p>
    <w:p w14:paraId="63FA9F03" w14:textId="77777777" w:rsidR="00552A24" w:rsidRPr="00552A24" w:rsidRDefault="00552A24" w:rsidP="00552A24">
      <w:pPr>
        <w:jc w:val="both"/>
        <w:rPr>
          <w:rFonts w:eastAsia="MS Mincho"/>
          <w:color w:val="FF0000"/>
        </w:rPr>
      </w:pPr>
      <w:r w:rsidRPr="00552A24">
        <w:rPr>
          <w:rFonts w:eastAsia="MS Mincho"/>
        </w:rPr>
        <w:t>No additional working guidelines are defined.</w:t>
      </w:r>
    </w:p>
    <w:p w14:paraId="20B331CC"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16.</w:t>
      </w:r>
      <w:r w:rsidRPr="00552A24">
        <w:rPr>
          <w:rFonts w:eastAsia="Times New Roman"/>
          <w:b/>
          <w:szCs w:val="20"/>
          <w:lang w:eastAsia="en-US"/>
        </w:rPr>
        <w:tab/>
        <w:t xml:space="preserve">Progress reports </w:t>
      </w:r>
    </w:p>
    <w:p w14:paraId="158A34AE" w14:textId="77777777" w:rsidR="00552A24" w:rsidRPr="00552A24" w:rsidRDefault="00552A24" w:rsidP="00552A24">
      <w:pPr>
        <w:jc w:val="both"/>
        <w:rPr>
          <w:rFonts w:eastAsia="MS Mincho"/>
        </w:rPr>
      </w:pPr>
      <w:r w:rsidRPr="00552A24">
        <w:rPr>
          <w:rFonts w:eastAsia="MS Mincho"/>
        </w:rPr>
        <w:t xml:space="preserve">Regular progress reports will be provided at each meeting of the parent group, as per the guidance in clause 11 of Recommendation ITU-T A.7. </w:t>
      </w:r>
    </w:p>
    <w:p w14:paraId="7213BB51"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552A24">
        <w:rPr>
          <w:rFonts w:eastAsia="Times New Roman"/>
          <w:b/>
          <w:szCs w:val="20"/>
          <w:lang w:eastAsia="en-US"/>
        </w:rPr>
        <w:t>17.</w:t>
      </w:r>
      <w:r w:rsidRPr="00552A24">
        <w:rPr>
          <w:rFonts w:eastAsia="Times New Roman"/>
          <w:b/>
          <w:szCs w:val="20"/>
          <w:lang w:eastAsia="en-US"/>
        </w:rPr>
        <w:tab/>
        <w:t xml:space="preserve">Announcement of focus group formation </w:t>
      </w:r>
    </w:p>
    <w:p w14:paraId="7A0616E5" w14:textId="77777777" w:rsidR="00552A24" w:rsidRPr="00552A24" w:rsidRDefault="00552A24" w:rsidP="00552A24">
      <w:pPr>
        <w:jc w:val="both"/>
        <w:rPr>
          <w:rFonts w:eastAsia="MS Mincho"/>
          <w:color w:val="FF0000"/>
        </w:rPr>
      </w:pPr>
      <w:r w:rsidRPr="00552A24">
        <w:rPr>
          <w:rFonts w:eastAsia="MS Mincho"/>
        </w:rPr>
        <w:t xml:space="preserve">The creation of FG-AI4NDM will be announced through a TSB Circular to all ITU membership. ITU-T </w:t>
      </w:r>
      <w:proofErr w:type="spellStart"/>
      <w:r w:rsidRPr="00552A24">
        <w:rPr>
          <w:rFonts w:eastAsia="MS Mincho"/>
        </w:rPr>
        <w:t>Newslog</w:t>
      </w:r>
      <w:proofErr w:type="spellEnd"/>
      <w:r w:rsidRPr="00552A24">
        <w:rPr>
          <w:rFonts w:eastAsia="MS Mincho"/>
        </w:rPr>
        <w:t xml:space="preserve"> post, press releases, and other means could be utilized.</w:t>
      </w:r>
    </w:p>
    <w:p w14:paraId="56A954CA"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18.</w:t>
      </w:r>
      <w:r w:rsidRPr="00552A24">
        <w:rPr>
          <w:rFonts w:eastAsia="Times New Roman"/>
          <w:b/>
          <w:szCs w:val="20"/>
          <w:lang w:eastAsia="en-US"/>
        </w:rPr>
        <w:tab/>
        <w:t xml:space="preserve">Milestones and duration of the focus group </w:t>
      </w:r>
    </w:p>
    <w:p w14:paraId="39269E21" w14:textId="1E8E87AE" w:rsidR="00552A24" w:rsidRPr="00552A24" w:rsidRDefault="00552A24" w:rsidP="00552A24">
      <w:pPr>
        <w:jc w:val="both"/>
        <w:rPr>
          <w:rFonts w:eastAsia="MS Mincho"/>
        </w:rPr>
      </w:pPr>
      <w:r w:rsidRPr="00552A24">
        <w:rPr>
          <w:rFonts w:eastAsia="MS Mincho"/>
          <w:sz w:val="23"/>
          <w:szCs w:val="23"/>
        </w:rPr>
        <w:t>The Focus Group lifetime is set for one year</w:t>
      </w:r>
      <w:r w:rsidR="00FF3E18" w:rsidRPr="00FF3E18">
        <w:rPr>
          <w:rFonts w:eastAsia="MS Mincho"/>
          <w:sz w:val="23"/>
          <w:szCs w:val="23"/>
        </w:rPr>
        <w:t xml:space="preserve"> </w:t>
      </w:r>
      <w:r w:rsidR="00FF3E18" w:rsidRPr="00552A24">
        <w:rPr>
          <w:rFonts w:eastAsia="MS Mincho"/>
          <w:sz w:val="23"/>
          <w:szCs w:val="23"/>
        </w:rPr>
        <w:t>from the first meeting</w:t>
      </w:r>
      <w:r w:rsidRPr="00552A24">
        <w:rPr>
          <w:rFonts w:eastAsia="MS Mincho"/>
          <w:sz w:val="23"/>
          <w:szCs w:val="23"/>
        </w:rPr>
        <w:t>, with the possibility for a further year subject to the agreement of the study group</w:t>
      </w:r>
      <w:r w:rsidR="00FF3E18">
        <w:rPr>
          <w:rFonts w:eastAsia="MS Mincho"/>
          <w:sz w:val="23"/>
          <w:szCs w:val="23"/>
        </w:rPr>
        <w:t xml:space="preserve"> </w:t>
      </w:r>
      <w:r w:rsidRPr="00552A24">
        <w:rPr>
          <w:rFonts w:eastAsia="MS Mincho"/>
          <w:sz w:val="23"/>
          <w:szCs w:val="23"/>
        </w:rPr>
        <w:t xml:space="preserve">(see ITU-T A7, clause 2.2). </w:t>
      </w:r>
    </w:p>
    <w:p w14:paraId="198D1C2D" w14:textId="77777777" w:rsidR="00552A24" w:rsidRPr="00552A24" w:rsidRDefault="00552A24" w:rsidP="00552A24">
      <w:pPr>
        <w:keepNext/>
        <w:keepLines/>
        <w:tabs>
          <w:tab w:val="left" w:pos="794"/>
          <w:tab w:val="left" w:pos="1191"/>
          <w:tab w:val="left" w:pos="1588"/>
          <w:tab w:val="left" w:pos="1985"/>
        </w:tabs>
        <w:overflowPunct w:val="0"/>
        <w:autoSpaceDE w:val="0"/>
        <w:autoSpaceDN w:val="0"/>
        <w:adjustRightInd w:val="0"/>
        <w:spacing w:before="240"/>
        <w:ind w:left="794" w:hanging="794"/>
        <w:jc w:val="both"/>
        <w:textAlignment w:val="baseline"/>
        <w:outlineLvl w:val="1"/>
        <w:rPr>
          <w:rFonts w:eastAsia="Times New Roman"/>
          <w:b/>
          <w:szCs w:val="20"/>
          <w:lang w:eastAsia="en-US"/>
        </w:rPr>
      </w:pPr>
      <w:r w:rsidRPr="00552A24">
        <w:rPr>
          <w:rFonts w:eastAsia="Times New Roman"/>
          <w:b/>
          <w:szCs w:val="20"/>
          <w:lang w:eastAsia="en-US"/>
        </w:rPr>
        <w:t>19.</w:t>
      </w:r>
      <w:r w:rsidRPr="00552A24">
        <w:rPr>
          <w:rFonts w:eastAsia="Times New Roman"/>
          <w:b/>
          <w:szCs w:val="20"/>
          <w:lang w:eastAsia="en-US"/>
        </w:rPr>
        <w:tab/>
        <w:t xml:space="preserve">Patent policy </w:t>
      </w:r>
    </w:p>
    <w:p w14:paraId="557EA910" w14:textId="77777777" w:rsidR="00552A24" w:rsidRPr="00552A24" w:rsidRDefault="00552A24" w:rsidP="00552A24">
      <w:pPr>
        <w:jc w:val="both"/>
        <w:rPr>
          <w:rFonts w:eastAsia="MS Mincho"/>
        </w:rPr>
      </w:pPr>
      <w:r w:rsidRPr="00552A24">
        <w:rPr>
          <w:rFonts w:eastAsia="MS Mincho"/>
        </w:rPr>
        <w:t>See clause 9 of Recommendation ITU-T A.7.</w:t>
      </w:r>
    </w:p>
    <w:p w14:paraId="7728A5EC" w14:textId="77777777" w:rsidR="00552A24" w:rsidRPr="00552A24" w:rsidRDefault="00552A24" w:rsidP="00552A24">
      <w:pPr>
        <w:spacing w:before="240" w:after="120"/>
        <w:jc w:val="center"/>
        <w:rPr>
          <w:rFonts w:eastAsia="MS Mincho"/>
        </w:rPr>
      </w:pPr>
      <w:r w:rsidRPr="00552A24">
        <w:rPr>
          <w:rFonts w:eastAsia="MS Mincho"/>
        </w:rPr>
        <w:t>___________________</w:t>
      </w:r>
    </w:p>
    <w:p w14:paraId="1FF289DB" w14:textId="6D724A24" w:rsidR="004835AB" w:rsidRPr="004817AF" w:rsidRDefault="004835AB" w:rsidP="00552A24">
      <w:pPr>
        <w:pStyle w:val="AnnexNotitle"/>
      </w:pPr>
    </w:p>
    <w:sectPr w:rsidR="004835AB" w:rsidRPr="004817AF" w:rsidSect="00C771AE">
      <w:headerReference w:type="default" r:id="rId20"/>
      <w:footerReference w:type="first" r:id="rId2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80546" w14:textId="77777777" w:rsidR="00AF092C" w:rsidRDefault="00AF092C" w:rsidP="009F5CAB">
      <w:r>
        <w:separator/>
      </w:r>
    </w:p>
  </w:endnote>
  <w:endnote w:type="continuationSeparator" w:id="0">
    <w:p w14:paraId="2506EABC" w14:textId="77777777" w:rsidR="00AF092C" w:rsidRDefault="00AF092C"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4598" w14:textId="77777777" w:rsidR="00306C9F" w:rsidRPr="00306C9F" w:rsidRDefault="00306C9F" w:rsidP="00306C9F">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5A9A" w14:textId="77777777" w:rsidR="00AF092C" w:rsidRDefault="00AF092C" w:rsidP="009F5CAB">
      <w:r>
        <w:separator/>
      </w:r>
    </w:p>
  </w:footnote>
  <w:footnote w:type="continuationSeparator" w:id="0">
    <w:p w14:paraId="0F9A84F8" w14:textId="77777777" w:rsidR="00AF092C" w:rsidRDefault="00AF092C" w:rsidP="009F5CAB">
      <w:r>
        <w:continuationSeparator/>
      </w:r>
    </w:p>
  </w:footnote>
  <w:footnote w:id="1">
    <w:p w14:paraId="54932736" w14:textId="77777777" w:rsidR="00552A24" w:rsidRPr="00C54191" w:rsidRDefault="00552A24" w:rsidP="00552A24">
      <w:pPr>
        <w:spacing w:before="0"/>
        <w:rPr>
          <w:color w:val="000000"/>
          <w:sz w:val="20"/>
          <w:szCs w:val="20"/>
          <w:lang w:val="en-US"/>
        </w:rPr>
      </w:pPr>
      <w:r>
        <w:rPr>
          <w:vertAlign w:val="superscript"/>
        </w:rPr>
        <w:footnoteRef/>
      </w:r>
      <w:r w:rsidRPr="00C54191">
        <w:rPr>
          <w:color w:val="000000"/>
          <w:sz w:val="20"/>
          <w:szCs w:val="20"/>
          <w:lang w:val="en-US"/>
        </w:rPr>
        <w:t xml:space="preserve"> </w:t>
      </w:r>
      <w:hyperlink r:id="rId1" w:history="1">
        <w:r w:rsidRPr="00C54191">
          <w:rPr>
            <w:rStyle w:val="Hyperlink"/>
            <w:sz w:val="20"/>
            <w:szCs w:val="20"/>
            <w:lang w:val="en-US"/>
          </w:rPr>
          <w:t>https://www.unisdr.org/files/1037_hyogoframeworkforactionenglish.pdf</w:t>
        </w:r>
      </w:hyperlink>
      <w:r w:rsidRPr="00C54191">
        <w:rPr>
          <w:color w:val="000000"/>
          <w:sz w:val="20"/>
          <w:szCs w:val="20"/>
          <w:lang w:val="en-US"/>
        </w:rPr>
        <w:t xml:space="preserve"> </w:t>
      </w:r>
    </w:p>
  </w:footnote>
  <w:footnote w:id="2">
    <w:p w14:paraId="2C541E42" w14:textId="77777777" w:rsidR="00552A24" w:rsidRPr="007862CC" w:rsidRDefault="00552A24" w:rsidP="00552A24">
      <w:pPr>
        <w:rPr>
          <w:sz w:val="20"/>
          <w:szCs w:val="20"/>
        </w:rPr>
      </w:pPr>
      <w:r>
        <w:rPr>
          <w:rStyle w:val="FootnoteReference"/>
        </w:rPr>
        <w:footnoteRef/>
      </w:r>
      <w:r>
        <w:t xml:space="preserve"> </w:t>
      </w:r>
      <w:r>
        <w:rPr>
          <w:sz w:val="20"/>
          <w:szCs w:val="20"/>
        </w:rPr>
        <w:t>We acknowledge that there</w:t>
      </w:r>
      <w:r w:rsidRPr="007862CC">
        <w:rPr>
          <w:sz w:val="20"/>
          <w:szCs w:val="20"/>
        </w:rPr>
        <w:t xml:space="preserve"> is some controversy surrounding the use of the expression “natural disasters” to describe such events</w:t>
      </w:r>
      <w:r>
        <w:rPr>
          <w:sz w:val="20"/>
          <w:szCs w:val="20"/>
        </w:rPr>
        <w:t xml:space="preserve"> (</w:t>
      </w:r>
      <w:hyperlink r:id="rId2" w:history="1">
        <w:r w:rsidRPr="00A75363">
          <w:rPr>
            <w:rStyle w:val="Hyperlink"/>
            <w:sz w:val="20"/>
            <w:szCs w:val="20"/>
          </w:rPr>
          <w:t>https://link.springer.com/article/10.1007/s11069-016-2726-x</w:t>
        </w:r>
      </w:hyperlink>
      <w:r>
        <w:rPr>
          <w:sz w:val="20"/>
          <w:szCs w:val="20"/>
        </w:rPr>
        <w:t xml:space="preserve"> a</w:t>
      </w:r>
      <w:r w:rsidRPr="007862CC">
        <w:rPr>
          <w:sz w:val="20"/>
          <w:szCs w:val="20"/>
        </w:rPr>
        <w:t>nd</w:t>
      </w:r>
      <w:r>
        <w:rPr>
          <w:sz w:val="20"/>
          <w:szCs w:val="20"/>
        </w:rPr>
        <w:t xml:space="preserve"> </w:t>
      </w:r>
      <w:hyperlink r:id="rId3" w:history="1">
        <w:r w:rsidRPr="00A75363">
          <w:rPr>
            <w:rStyle w:val="Hyperlink"/>
            <w:sz w:val="20"/>
            <w:szCs w:val="20"/>
          </w:rPr>
          <w:t>https://www.preventionweb.net/experts/oped/view/72768</w:t>
        </w:r>
      </w:hyperlink>
      <w:r>
        <w:rPr>
          <w:sz w:val="20"/>
          <w:szCs w:val="20"/>
        </w:rPr>
        <w:t>)</w:t>
      </w:r>
      <w:r w:rsidRPr="007862CC">
        <w:rPr>
          <w:sz w:val="20"/>
          <w:szCs w:val="20"/>
        </w:rPr>
        <w:t xml:space="preserve">. However, many natural scientists (and other stakeholders) still recognize and utilize the term. </w:t>
      </w:r>
    </w:p>
  </w:footnote>
  <w:footnote w:id="3">
    <w:p w14:paraId="32198313" w14:textId="77777777" w:rsidR="00552A24" w:rsidRPr="00FF0EEB" w:rsidRDefault="00552A24" w:rsidP="00552A24">
      <w:pPr>
        <w:spacing w:before="0"/>
        <w:rPr>
          <w:color w:val="000000"/>
          <w:sz w:val="20"/>
          <w:szCs w:val="20"/>
        </w:rPr>
      </w:pPr>
      <w:r>
        <w:rPr>
          <w:rStyle w:val="FootnoteReference"/>
        </w:rPr>
        <w:footnoteRef/>
      </w:r>
      <w:r>
        <w:t xml:space="preserve"> </w:t>
      </w:r>
      <w:hyperlink r:id="rId4" w:history="1">
        <w:r w:rsidRPr="00A75363">
          <w:rPr>
            <w:rStyle w:val="Hyperlink"/>
            <w:sz w:val="20"/>
            <w:szCs w:val="20"/>
          </w:rPr>
          <w:t>https://www.undrr.org/publication/sendai-framework-disaster-risk-reduction-2015-2030</w:t>
        </w:r>
      </w:hyperlink>
      <w:r>
        <w:rPr>
          <w:color w:val="000000"/>
          <w:sz w:val="20"/>
          <w:szCs w:val="20"/>
        </w:rPr>
        <w:t xml:space="preserve"> </w:t>
      </w:r>
    </w:p>
  </w:footnote>
  <w:footnote w:id="4">
    <w:p w14:paraId="17C6331E" w14:textId="77777777" w:rsidR="00552A24" w:rsidRPr="005D5551" w:rsidRDefault="00552A24" w:rsidP="00552A24">
      <w:r w:rsidRPr="00FF0EEB">
        <w:rPr>
          <w:rStyle w:val="FootnoteReference"/>
          <w:sz w:val="20"/>
          <w:szCs w:val="20"/>
        </w:rPr>
        <w:footnoteRef/>
      </w:r>
      <w:r w:rsidRPr="00FF0EEB">
        <w:rPr>
          <w:sz w:val="20"/>
          <w:szCs w:val="20"/>
        </w:rPr>
        <w:t xml:space="preserve"> </w:t>
      </w:r>
      <w:hyperlink r:id="rId5" w:history="1">
        <w:r w:rsidRPr="00A75363">
          <w:rPr>
            <w:rStyle w:val="Hyperlink"/>
            <w:sz w:val="20"/>
            <w:szCs w:val="20"/>
          </w:rPr>
          <w:t>https://library.wmo.int/doc_num.php?explnum_id=10385</w:t>
        </w:r>
      </w:hyperlink>
      <w:r w:rsidRPr="00552A24">
        <w:rPr>
          <w:sz w:val="20"/>
          <w:szCs w:val="20"/>
        </w:rPr>
        <w:t xml:space="preserve"> </w:t>
      </w:r>
    </w:p>
  </w:footnote>
  <w:footnote w:id="5">
    <w:p w14:paraId="29A3B6C1" w14:textId="77777777" w:rsidR="00552A24" w:rsidRDefault="00552A24" w:rsidP="00552A24">
      <w:pPr>
        <w:spacing w:before="0"/>
        <w:rPr>
          <w:color w:val="000000"/>
          <w:sz w:val="20"/>
          <w:szCs w:val="20"/>
        </w:rPr>
      </w:pPr>
      <w:r>
        <w:rPr>
          <w:vertAlign w:val="superscript"/>
        </w:rPr>
        <w:footnoteRef/>
      </w:r>
      <w:r>
        <w:rPr>
          <w:color w:val="000000"/>
          <w:sz w:val="20"/>
          <w:szCs w:val="20"/>
        </w:rPr>
        <w:t xml:space="preserve"> </w:t>
      </w:r>
      <w:hyperlink r:id="rId6" w:history="1">
        <w:r w:rsidRPr="00A75363">
          <w:rPr>
            <w:rStyle w:val="Hyperlink"/>
            <w:sz w:val="20"/>
            <w:szCs w:val="20"/>
          </w:rPr>
          <w:t>https://www.undrr.org/publication/sendai-framework-disaster-risk-reduction-2015-2030</w:t>
        </w:r>
      </w:hyperlink>
      <w:r>
        <w:rPr>
          <w:color w:val="000000"/>
          <w:sz w:val="20"/>
          <w:szCs w:val="20"/>
        </w:rPr>
        <w:t xml:space="preserve"> </w:t>
      </w:r>
    </w:p>
  </w:footnote>
  <w:footnote w:id="6">
    <w:p w14:paraId="08A6CE14" w14:textId="77777777" w:rsidR="00552A24" w:rsidRDefault="00552A24" w:rsidP="00552A24">
      <w:pPr>
        <w:spacing w:before="0"/>
        <w:rPr>
          <w:color w:val="000000"/>
          <w:sz w:val="20"/>
          <w:szCs w:val="20"/>
        </w:rPr>
      </w:pPr>
      <w:r>
        <w:rPr>
          <w:vertAlign w:val="superscript"/>
        </w:rPr>
        <w:footnoteRef/>
      </w:r>
      <w:r>
        <w:rPr>
          <w:color w:val="000000"/>
          <w:sz w:val="20"/>
          <w:szCs w:val="20"/>
        </w:rPr>
        <w:t xml:space="preserve"> </w:t>
      </w:r>
      <w:hyperlink r:id="rId7" w:history="1">
        <w:r w:rsidRPr="00A75363">
          <w:rPr>
            <w:rStyle w:val="Hyperlink"/>
            <w:sz w:val="20"/>
            <w:szCs w:val="20"/>
          </w:rPr>
          <w:t>https://www.ipcc.ch/site/assets/uploads/2018/03/SREX_Full_Report-1.pdf</w:t>
        </w:r>
      </w:hyperlink>
      <w:r>
        <w:rPr>
          <w:color w:val="000000"/>
          <w:sz w:val="20"/>
          <w:szCs w:val="20"/>
        </w:rPr>
        <w:t xml:space="preserve"> </w:t>
      </w:r>
    </w:p>
  </w:footnote>
  <w:footnote w:id="7">
    <w:p w14:paraId="023C7F14" w14:textId="77777777" w:rsidR="00552A24" w:rsidRDefault="00552A24" w:rsidP="00552A24">
      <w:pPr>
        <w:spacing w:before="0"/>
        <w:rPr>
          <w:color w:val="000000"/>
          <w:sz w:val="20"/>
          <w:szCs w:val="20"/>
        </w:rPr>
      </w:pPr>
      <w:r>
        <w:rPr>
          <w:vertAlign w:val="superscript"/>
        </w:rPr>
        <w:footnoteRef/>
      </w:r>
      <w:r>
        <w:rPr>
          <w:color w:val="000000"/>
          <w:sz w:val="20"/>
          <w:szCs w:val="20"/>
        </w:rPr>
        <w:t xml:space="preserve"> </w:t>
      </w:r>
      <w:hyperlink r:id="rId8" w:history="1">
        <w:r w:rsidRPr="00A75363">
          <w:rPr>
            <w:rStyle w:val="Hyperlink"/>
            <w:sz w:val="20"/>
            <w:szCs w:val="20"/>
          </w:rPr>
          <w:t>https://www.unisdr.org/files/1037_hyogoframeworkforactionenglish.pdf</w:t>
        </w:r>
      </w:hyperlink>
      <w:r>
        <w:rPr>
          <w:color w:val="000000"/>
          <w:sz w:val="20"/>
          <w:szCs w:val="20"/>
        </w:rPr>
        <w:t xml:space="preserve"> </w:t>
      </w:r>
    </w:p>
  </w:footnote>
  <w:footnote w:id="8">
    <w:p w14:paraId="65E3E360" w14:textId="77777777" w:rsidR="00552A24" w:rsidRDefault="00552A24" w:rsidP="00552A24">
      <w:pPr>
        <w:spacing w:before="0"/>
        <w:rPr>
          <w:color w:val="000000"/>
          <w:sz w:val="20"/>
          <w:szCs w:val="20"/>
        </w:rPr>
      </w:pPr>
      <w:r>
        <w:rPr>
          <w:vertAlign w:val="superscript"/>
        </w:rPr>
        <w:footnoteRef/>
      </w:r>
      <w:r>
        <w:rPr>
          <w:color w:val="000000"/>
          <w:sz w:val="20"/>
          <w:szCs w:val="20"/>
        </w:rPr>
        <w:t xml:space="preserve"> </w:t>
      </w:r>
      <w:hyperlink r:id="rId9" w:history="1">
        <w:r w:rsidRPr="00A75363">
          <w:rPr>
            <w:rStyle w:val="Hyperlink"/>
            <w:sz w:val="20"/>
            <w:szCs w:val="20"/>
          </w:rPr>
          <w:t>https://www.undrr.org/publication/sendai-framework-disaster-risk-reduction-2015-2030</w:t>
        </w:r>
      </w:hyperlink>
      <w:r>
        <w:rPr>
          <w:color w:val="000000"/>
          <w:sz w:val="20"/>
          <w:szCs w:val="20"/>
        </w:rPr>
        <w:t xml:space="preserve"> </w:t>
      </w:r>
    </w:p>
  </w:footnote>
  <w:footnote w:id="9">
    <w:p w14:paraId="7296D428" w14:textId="77777777" w:rsidR="00552A24" w:rsidRDefault="00552A24" w:rsidP="00552A24">
      <w:pPr>
        <w:spacing w:before="0"/>
        <w:rPr>
          <w:color w:val="000000"/>
          <w:sz w:val="20"/>
          <w:szCs w:val="20"/>
        </w:rPr>
      </w:pPr>
      <w:r>
        <w:rPr>
          <w:vertAlign w:val="superscript"/>
        </w:rPr>
        <w:footnoteRef/>
      </w:r>
      <w:r>
        <w:rPr>
          <w:color w:val="000000"/>
          <w:sz w:val="20"/>
          <w:szCs w:val="20"/>
        </w:rPr>
        <w:t xml:space="preserve"> </w:t>
      </w:r>
      <w:hyperlink r:id="rId10" w:history="1">
        <w:r w:rsidRPr="00A75363">
          <w:rPr>
            <w:rStyle w:val="Hyperlink"/>
            <w:sz w:val="20"/>
            <w:szCs w:val="20"/>
          </w:rPr>
          <w:t>https://www.itu.int/en/ITU-T/focusgroups/drnrr/Pages/default.aspx</w:t>
        </w:r>
      </w:hyperlink>
      <w:r>
        <w:rPr>
          <w:color w:val="000000"/>
          <w:sz w:val="20"/>
          <w:szCs w:val="20"/>
        </w:rPr>
        <w:t xml:space="preserve"> </w:t>
      </w:r>
    </w:p>
  </w:footnote>
  <w:footnote w:id="10">
    <w:p w14:paraId="1F560429" w14:textId="77777777" w:rsidR="00552A24" w:rsidRDefault="00552A24" w:rsidP="00552A24">
      <w:pPr>
        <w:spacing w:before="0"/>
        <w:rPr>
          <w:color w:val="000000"/>
          <w:sz w:val="20"/>
          <w:szCs w:val="20"/>
        </w:rPr>
      </w:pPr>
      <w:r>
        <w:rPr>
          <w:vertAlign w:val="superscript"/>
        </w:rPr>
        <w:footnoteRef/>
      </w:r>
      <w:hyperlink r:id="rId11" w:history="1">
        <w:r w:rsidRPr="00A75363">
          <w:rPr>
            <w:rStyle w:val="Hyperlink"/>
            <w:sz w:val="20"/>
            <w:szCs w:val="20"/>
          </w:rPr>
          <w:t>https://www.itu.int/en/ITU-D/Emergency-Telecommunications/Documents/2019/GET_2019/Disruptive-Technologies.pdf</w:t>
        </w:r>
      </w:hyperlink>
      <w:r>
        <w:rPr>
          <w:color w:val="000000"/>
          <w:sz w:val="20"/>
          <w:szCs w:val="20"/>
        </w:rPr>
        <w:t xml:space="preserve"> </w:t>
      </w:r>
    </w:p>
  </w:footnote>
  <w:footnote w:id="11">
    <w:p w14:paraId="41EA55A9" w14:textId="77777777" w:rsidR="00552A24" w:rsidRPr="00244A39" w:rsidRDefault="00552A24" w:rsidP="00552A24">
      <w:pPr>
        <w:pStyle w:val="FootnoteText"/>
        <w:rPr>
          <w:lang w:val="en-US"/>
        </w:rPr>
      </w:pPr>
      <w:r>
        <w:rPr>
          <w:rStyle w:val="FootnoteReference"/>
        </w:rPr>
        <w:footnoteRef/>
      </w:r>
      <w:r>
        <w:t xml:space="preserve"> </w:t>
      </w:r>
      <w:r>
        <w:rPr>
          <w:lang w:val="en-US"/>
        </w:rPr>
        <w:t>FG-AI4NDM</w:t>
      </w:r>
      <w:r w:rsidRPr="00244A39">
        <w:rPr>
          <w:lang w:val="en-US"/>
        </w:rPr>
        <w:t xml:space="preserve"> </w:t>
      </w:r>
      <w:r>
        <w:rPr>
          <w:lang w:val="en-US"/>
        </w:rPr>
        <w:t xml:space="preserve">will also consider inclusion of events of non-natural origins, provided that they are deemed to be clearly influenced by (or of influence </w:t>
      </w:r>
      <w:proofErr w:type="gramStart"/>
      <w:r>
        <w:rPr>
          <w:lang w:val="en-US"/>
        </w:rPr>
        <w:t>to</w:t>
      </w:r>
      <w:proofErr w:type="gramEnd"/>
      <w:r>
        <w:rPr>
          <w:lang w:val="en-US"/>
        </w:rPr>
        <w:t xml:space="preserve">) </w:t>
      </w:r>
      <w:r>
        <w:t xml:space="preserve">atmospheric, hydrologic, geophysical, oceanographic, or biologic processes. </w:t>
      </w:r>
    </w:p>
  </w:footnote>
  <w:footnote w:id="12">
    <w:p w14:paraId="55E51A25" w14:textId="77777777" w:rsidR="00552A24" w:rsidRPr="003A1180" w:rsidRDefault="00552A24" w:rsidP="00552A24">
      <w:pPr>
        <w:pStyle w:val="FootnoteText"/>
        <w:jc w:val="both"/>
        <w:rPr>
          <w:lang w:val="en-US"/>
        </w:rPr>
      </w:pPr>
      <w:r>
        <w:rPr>
          <w:rStyle w:val="FootnoteReference"/>
        </w:rPr>
        <w:footnoteRef/>
      </w:r>
      <w:r>
        <w:t xml:space="preserve"> This includes representatives of the UN, government agencies and </w:t>
      </w:r>
      <w:proofErr w:type="gramStart"/>
      <w:r>
        <w:t>policy-makers</w:t>
      </w:r>
      <w:proofErr w:type="gramEnd"/>
      <w:r>
        <w:t>, standard developing organizations (SDO), scientific unions and professional societies, academies, researchers in multiple disciplines including geosciences and AI/machine learning [and other areas of information and communication technology (ICT)], and industry members (including areas of ICT).</w:t>
      </w:r>
    </w:p>
  </w:footnote>
  <w:footnote w:id="13">
    <w:p w14:paraId="5128F0E8" w14:textId="77777777" w:rsidR="00552A24" w:rsidRPr="00BE4EB6" w:rsidRDefault="00552A24" w:rsidP="00552A24">
      <w:pPr>
        <w:pStyle w:val="FootnoteText"/>
        <w:jc w:val="both"/>
      </w:pPr>
      <w:r>
        <w:rPr>
          <w:rStyle w:val="FootnoteReference"/>
        </w:rPr>
        <w:footnoteRef/>
      </w:r>
      <w:r>
        <w:t xml:space="preserve"> In particular, to encourage SDO to participate in the activities of the focus group, to facilitate the exchange of perspectives of ICT users (in the context of AI), and to explore relevant socio-economic and policy implications. Special effort will be made to support participation (e.g., through identifying potential sources of financial support) from low- and mid-income countries and those countries shown to be particularly impacted by these types of events (e.g., SIDS and LDC).</w:t>
      </w:r>
    </w:p>
  </w:footnote>
  <w:footnote w:id="14">
    <w:p w14:paraId="2AAECA9A" w14:textId="77777777" w:rsidR="00552A24" w:rsidRPr="007E6722" w:rsidRDefault="00552A24" w:rsidP="00552A24">
      <w:pPr>
        <w:pStyle w:val="FootnoteText"/>
        <w:jc w:val="both"/>
      </w:pPr>
      <w:r>
        <w:rPr>
          <w:rStyle w:val="FootnoteReference"/>
        </w:rPr>
        <w:footnoteRef/>
      </w:r>
      <w:r>
        <w:t xml:space="preserve"> </w:t>
      </w:r>
      <w:hyperlink r:id="rId12" w:history="1">
        <w:r w:rsidRPr="00A75363">
          <w:rPr>
            <w:rStyle w:val="Hyperlink"/>
          </w:rPr>
          <w:t>https://sdgs.un.org/goals</w:t>
        </w:r>
      </w:hyperlink>
      <w:r>
        <w:t xml:space="preserve"> </w:t>
      </w:r>
    </w:p>
  </w:footnote>
  <w:footnote w:id="15">
    <w:p w14:paraId="0E9F3304" w14:textId="77777777" w:rsidR="00552A24" w:rsidRPr="00BE4EB6" w:rsidRDefault="00552A24" w:rsidP="00552A24">
      <w:pPr>
        <w:pStyle w:val="FootnoteText"/>
        <w:jc w:val="both"/>
      </w:pPr>
      <w:r>
        <w:rPr>
          <w:rStyle w:val="FootnoteReference"/>
        </w:rPr>
        <w:footnoteRef/>
      </w:r>
      <w:r>
        <w:t xml:space="preserve"> This includes technical aspects (e.g., how AI and other digital technologies can be used to transmit communication; what opportunities exist for communication infrastructure) and sociological/demographical aspects (e.g., how individuals of different backgrounds and abilities respond to different forms of communication; and inclusiveness, for instance, the needs of</w:t>
      </w:r>
      <w:r w:rsidRPr="008F08AC">
        <w:t xml:space="preserve"> </w:t>
      </w:r>
      <w:r>
        <w:t>vulnerable populations).</w:t>
      </w:r>
    </w:p>
  </w:footnote>
  <w:footnote w:id="16">
    <w:p w14:paraId="0C74D55B" w14:textId="77777777" w:rsidR="00552A24" w:rsidRPr="004A4A2D" w:rsidRDefault="00552A24" w:rsidP="00552A24">
      <w:pPr>
        <w:pStyle w:val="FootnoteText"/>
        <w:rPr>
          <w:lang w:val="en-US"/>
        </w:rPr>
      </w:pPr>
      <w:r>
        <w:rPr>
          <w:rStyle w:val="FootnoteReference"/>
        </w:rPr>
        <w:footnoteRef/>
      </w:r>
      <w:r>
        <w:t xml:space="preserve"> </w:t>
      </w:r>
      <w:hyperlink r:id="rId13" w:history="1">
        <w:r w:rsidRPr="00A75363">
          <w:rPr>
            <w:rStyle w:val="Hyperlink"/>
          </w:rPr>
          <w:t>https://www.undrr.org/publication/sendai-framework-disaster-risk-reduction-2015-2030</w:t>
        </w:r>
      </w:hyperlink>
    </w:p>
  </w:footnote>
  <w:footnote w:id="17">
    <w:p w14:paraId="7929C0AC" w14:textId="77777777" w:rsidR="00552A24" w:rsidRPr="00C518E4" w:rsidRDefault="00552A24" w:rsidP="00552A24">
      <w:pPr>
        <w:pStyle w:val="FootnoteText"/>
        <w:rPr>
          <w:lang w:val="en-US"/>
        </w:rPr>
      </w:pPr>
      <w:r>
        <w:rPr>
          <w:rStyle w:val="FootnoteReference"/>
        </w:rPr>
        <w:footnoteRef/>
      </w:r>
      <w:r>
        <w:t xml:space="preserve"> This includes technical aspects (e.g., how AI and other digital technologies can be used to transmit communication; what opportunities exist for communication infrastructure) and sociological/demographical aspects (e.g., how individuals of different backgrounds and abilities respond to different forms of communication; and inclusiveness, for instance, the needs of</w:t>
      </w:r>
      <w:r w:rsidRPr="008F08AC">
        <w:t xml:space="preserve"> </w:t>
      </w:r>
      <w:r>
        <w:t>vulnerable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F505" w14:textId="28A5FB6D" w:rsidR="00581592" w:rsidRPr="00E80E70" w:rsidRDefault="00E80E70" w:rsidP="00E80E70">
    <w:pPr>
      <w:pStyle w:val="Header"/>
    </w:pPr>
    <w:r w:rsidRPr="00E80E70">
      <w:t xml:space="preserve">- </w:t>
    </w:r>
    <w:r w:rsidRPr="00E80E70">
      <w:fldChar w:fldCharType="begin"/>
    </w:r>
    <w:r w:rsidRPr="00E80E70">
      <w:instrText xml:space="preserve"> PAGE  \* MERGEFORMAT </w:instrText>
    </w:r>
    <w:r w:rsidRPr="00E80E70">
      <w:fldChar w:fldCharType="separate"/>
    </w:r>
    <w:r w:rsidRPr="00E80E70">
      <w:rPr>
        <w:noProof/>
      </w:rPr>
      <w:t>1</w:t>
    </w:r>
    <w:r w:rsidRPr="00E80E70">
      <w:fldChar w:fldCharType="end"/>
    </w:r>
    <w:r w:rsidRPr="00E80E70">
      <w:t xml:space="preserve"> -</w:t>
    </w:r>
  </w:p>
  <w:p w14:paraId="02AB43CE" w14:textId="4C265410" w:rsidR="00E80E70" w:rsidRPr="00E80E70" w:rsidRDefault="009E636D" w:rsidP="00E80E70">
    <w:pPr>
      <w:pStyle w:val="Header"/>
      <w:spacing w:after="240"/>
    </w:pPr>
    <w:r>
      <w:fldChar w:fldCharType="begin"/>
    </w:r>
    <w:r>
      <w:instrText xml:space="preserve"> STYLEREF  Docnumber  </w:instrText>
    </w:r>
    <w:r>
      <w:fldChar w:fldCharType="separate"/>
    </w:r>
    <w:r>
      <w:rPr>
        <w:noProof/>
      </w:rPr>
      <w:t>TSAG-TD947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E24F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4CE7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54A2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6436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D016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4A6F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F89D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C2E4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CD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823A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4398C"/>
    <w:multiLevelType w:val="hybridMultilevel"/>
    <w:tmpl w:val="EA5EC82C"/>
    <w:lvl w:ilvl="0" w:tplc="BB4609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173B59ED"/>
    <w:multiLevelType w:val="multilevel"/>
    <w:tmpl w:val="2D4AE71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7B9508D"/>
    <w:multiLevelType w:val="multilevel"/>
    <w:tmpl w:val="EB3E505A"/>
    <w:lvl w:ilvl="0">
      <w:start w:val="1"/>
      <w:numFmt w:val="decimal"/>
      <w:lvlText w:val="%1."/>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5"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A0709BE"/>
    <w:multiLevelType w:val="hybridMultilevel"/>
    <w:tmpl w:val="BCB62C9E"/>
    <w:lvl w:ilvl="0" w:tplc="BB4609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37521B"/>
    <w:multiLevelType w:val="hybridMultilevel"/>
    <w:tmpl w:val="537C3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8379FA"/>
    <w:multiLevelType w:val="hybridMultilevel"/>
    <w:tmpl w:val="7044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8"/>
  </w:num>
  <w:num w:numId="7">
    <w:abstractNumId w:val="11"/>
  </w:num>
  <w:num w:numId="8">
    <w:abstractNumId w:val="19"/>
  </w:num>
  <w:num w:numId="9">
    <w:abstractNumId w:val="17"/>
  </w:num>
  <w:num w:numId="10">
    <w:abstractNumId w:val="15"/>
  </w:num>
  <w:num w:numId="11">
    <w:abstractNumId w:val="16"/>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32341"/>
    <w:rsid w:val="0003505A"/>
    <w:rsid w:val="000902DE"/>
    <w:rsid w:val="00096080"/>
    <w:rsid w:val="000D7449"/>
    <w:rsid w:val="000F01BD"/>
    <w:rsid w:val="000F242B"/>
    <w:rsid w:val="000F29CF"/>
    <w:rsid w:val="000F42CD"/>
    <w:rsid w:val="000F7AE5"/>
    <w:rsid w:val="00144A9D"/>
    <w:rsid w:val="00145180"/>
    <w:rsid w:val="001A0797"/>
    <w:rsid w:val="001B60A2"/>
    <w:rsid w:val="001C1298"/>
    <w:rsid w:val="001C1E73"/>
    <w:rsid w:val="00202BF6"/>
    <w:rsid w:val="002035EB"/>
    <w:rsid w:val="00222C44"/>
    <w:rsid w:val="00226033"/>
    <w:rsid w:val="0025560C"/>
    <w:rsid w:val="002559D8"/>
    <w:rsid w:val="0025601D"/>
    <w:rsid w:val="00274F6C"/>
    <w:rsid w:val="00275F7B"/>
    <w:rsid w:val="0028389D"/>
    <w:rsid w:val="002B5C27"/>
    <w:rsid w:val="002C711A"/>
    <w:rsid w:val="002D48E1"/>
    <w:rsid w:val="002D6BA4"/>
    <w:rsid w:val="002E1A39"/>
    <w:rsid w:val="002E2466"/>
    <w:rsid w:val="003001C4"/>
    <w:rsid w:val="00306C9F"/>
    <w:rsid w:val="0032200E"/>
    <w:rsid w:val="00326A95"/>
    <w:rsid w:val="00331C1B"/>
    <w:rsid w:val="003677E1"/>
    <w:rsid w:val="00382CF0"/>
    <w:rsid w:val="003869CD"/>
    <w:rsid w:val="003B4EAB"/>
    <w:rsid w:val="003F3E41"/>
    <w:rsid w:val="003F7C30"/>
    <w:rsid w:val="004340AF"/>
    <w:rsid w:val="00455C80"/>
    <w:rsid w:val="0046327F"/>
    <w:rsid w:val="004817AF"/>
    <w:rsid w:val="004835AB"/>
    <w:rsid w:val="004A426F"/>
    <w:rsid w:val="004C4194"/>
    <w:rsid w:val="004D054B"/>
    <w:rsid w:val="004D1239"/>
    <w:rsid w:val="00513777"/>
    <w:rsid w:val="0051700D"/>
    <w:rsid w:val="005312E9"/>
    <w:rsid w:val="0053734B"/>
    <w:rsid w:val="00552A24"/>
    <w:rsid w:val="00560A42"/>
    <w:rsid w:val="00581592"/>
    <w:rsid w:val="005A7DEA"/>
    <w:rsid w:val="005D2A13"/>
    <w:rsid w:val="005D542B"/>
    <w:rsid w:val="00647B34"/>
    <w:rsid w:val="006815A3"/>
    <w:rsid w:val="00693E7C"/>
    <w:rsid w:val="00697682"/>
    <w:rsid w:val="00705BE9"/>
    <w:rsid w:val="00712FE4"/>
    <w:rsid w:val="00737332"/>
    <w:rsid w:val="007404B5"/>
    <w:rsid w:val="00766F91"/>
    <w:rsid w:val="00766FC7"/>
    <w:rsid w:val="007754D4"/>
    <w:rsid w:val="00784F5A"/>
    <w:rsid w:val="007B2982"/>
    <w:rsid w:val="007D3C20"/>
    <w:rsid w:val="007F184F"/>
    <w:rsid w:val="007F6F11"/>
    <w:rsid w:val="008067A5"/>
    <w:rsid w:val="008603DB"/>
    <w:rsid w:val="00863342"/>
    <w:rsid w:val="00864931"/>
    <w:rsid w:val="00870AF9"/>
    <w:rsid w:val="00880078"/>
    <w:rsid w:val="008A67E7"/>
    <w:rsid w:val="008B21B1"/>
    <w:rsid w:val="008C4C0A"/>
    <w:rsid w:val="0099424A"/>
    <w:rsid w:val="009C4700"/>
    <w:rsid w:val="009E636D"/>
    <w:rsid w:val="009F3A61"/>
    <w:rsid w:val="009F5CAB"/>
    <w:rsid w:val="00A16CFC"/>
    <w:rsid w:val="00A171AC"/>
    <w:rsid w:val="00A21C1E"/>
    <w:rsid w:val="00A34477"/>
    <w:rsid w:val="00A3544B"/>
    <w:rsid w:val="00A62EE2"/>
    <w:rsid w:val="00A655E9"/>
    <w:rsid w:val="00A76F22"/>
    <w:rsid w:val="00A801D4"/>
    <w:rsid w:val="00AA7746"/>
    <w:rsid w:val="00AB5DCA"/>
    <w:rsid w:val="00AF092C"/>
    <w:rsid w:val="00B030E1"/>
    <w:rsid w:val="00B10054"/>
    <w:rsid w:val="00B659CF"/>
    <w:rsid w:val="00B73B37"/>
    <w:rsid w:val="00B7525E"/>
    <w:rsid w:val="00B77E65"/>
    <w:rsid w:val="00BB0547"/>
    <w:rsid w:val="00BB480F"/>
    <w:rsid w:val="00BE1AFE"/>
    <w:rsid w:val="00BF288B"/>
    <w:rsid w:val="00C00B89"/>
    <w:rsid w:val="00C319D5"/>
    <w:rsid w:val="00C3336A"/>
    <w:rsid w:val="00C3727B"/>
    <w:rsid w:val="00C53B5B"/>
    <w:rsid w:val="00C653B6"/>
    <w:rsid w:val="00C719CB"/>
    <w:rsid w:val="00C771AE"/>
    <w:rsid w:val="00C860EE"/>
    <w:rsid w:val="00C94EEE"/>
    <w:rsid w:val="00C955F2"/>
    <w:rsid w:val="00C96C44"/>
    <w:rsid w:val="00CA111A"/>
    <w:rsid w:val="00CA326F"/>
    <w:rsid w:val="00CA5327"/>
    <w:rsid w:val="00CB1BB4"/>
    <w:rsid w:val="00CC5757"/>
    <w:rsid w:val="00CD079E"/>
    <w:rsid w:val="00CD0D0D"/>
    <w:rsid w:val="00CE5B29"/>
    <w:rsid w:val="00CF6DF7"/>
    <w:rsid w:val="00D01F43"/>
    <w:rsid w:val="00D0483C"/>
    <w:rsid w:val="00D1161D"/>
    <w:rsid w:val="00D17AEE"/>
    <w:rsid w:val="00D25BE2"/>
    <w:rsid w:val="00D73557"/>
    <w:rsid w:val="00D955D2"/>
    <w:rsid w:val="00D95800"/>
    <w:rsid w:val="00D95DF3"/>
    <w:rsid w:val="00DB297E"/>
    <w:rsid w:val="00DC04EA"/>
    <w:rsid w:val="00DC7496"/>
    <w:rsid w:val="00E31842"/>
    <w:rsid w:val="00E36616"/>
    <w:rsid w:val="00E639C0"/>
    <w:rsid w:val="00E64BE9"/>
    <w:rsid w:val="00E6626C"/>
    <w:rsid w:val="00E80E70"/>
    <w:rsid w:val="00E8119B"/>
    <w:rsid w:val="00E86378"/>
    <w:rsid w:val="00EB2965"/>
    <w:rsid w:val="00EB5AE1"/>
    <w:rsid w:val="00EE5FBA"/>
    <w:rsid w:val="00EF1202"/>
    <w:rsid w:val="00F1448D"/>
    <w:rsid w:val="00F349E8"/>
    <w:rsid w:val="00F35D14"/>
    <w:rsid w:val="00F44927"/>
    <w:rsid w:val="00F54DD5"/>
    <w:rsid w:val="00F7562D"/>
    <w:rsid w:val="00F80DE0"/>
    <w:rsid w:val="00F84486"/>
    <w:rsid w:val="00FA0373"/>
    <w:rsid w:val="00FC2CD0"/>
    <w:rsid w:val="00FD338F"/>
    <w:rsid w:val="00FD6AB5"/>
    <w:rsid w:val="00FE05BC"/>
    <w:rsid w:val="00FF3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4E9DCE"/>
  <w15:chartTrackingRefBased/>
  <w15:docId w15:val="{93D3895B-47DA-4031-8A3B-FAAD6D5A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4" w:qFormat="1"/>
    <w:lsdException w:name="heading 5" w:qFormat="1"/>
    <w:lsdException w:name="toc 1" w:uiPriority="39"/>
    <w:lsdException w:name="toc 2" w:uiPriority="39"/>
    <w:lsdException w:name="caption" w:semiHidden="1" w:unhideWhenUsed="1"/>
    <w:lsdException w:name="table of figures" w:uiPriority="99"/>
    <w:lsdException w:name="Hyperlink"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3336A"/>
    <w:pPr>
      <w:spacing w:before="120"/>
    </w:pPr>
    <w:rPr>
      <w:rFonts w:eastAsia="Calibri"/>
      <w:sz w:val="24"/>
      <w:szCs w:val="24"/>
      <w:lang w:eastAsia="ja-JP"/>
    </w:rPr>
  </w:style>
  <w:style w:type="paragraph" w:styleId="Heading1">
    <w:name w:val="heading 1"/>
    <w:basedOn w:val="Normal"/>
    <w:next w:val="Normal"/>
    <w:pPr>
      <w:keepNext/>
      <w:keepLines/>
      <w:spacing w:before="360"/>
      <w:ind w:left="794" w:hanging="794"/>
      <w:outlineLvl w:val="0"/>
    </w:pPr>
    <w:rPr>
      <w:b/>
    </w:rPr>
  </w:style>
  <w:style w:type="paragraph" w:styleId="Heading2">
    <w:name w:val="heading 2"/>
    <w:basedOn w:val="Heading1"/>
    <w:next w:val="Normal"/>
    <w:link w:val="Heading2Char"/>
    <w:pPr>
      <w:spacing w:before="240"/>
      <w:outlineLvl w:val="1"/>
    </w:pPr>
    <w:rPr>
      <w:rFonts w:eastAsia="Times New Roman"/>
      <w:szCs w:val="20"/>
      <w:lang w:eastAsia="en-US"/>
    </w:rPr>
  </w:style>
  <w:style w:type="paragraph" w:styleId="Heading3">
    <w:name w:val="heading 3"/>
    <w:basedOn w:val="Heading1"/>
    <w:next w:val="Normal"/>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035EB"/>
    <w:rPr>
      <w:b/>
      <w:sz w:val="24"/>
      <w:lang w:val="en-GB" w:eastAsia="en-US"/>
    </w:rPr>
  </w:style>
  <w:style w:type="paragraph" w:customStyle="1" w:styleId="AnnexNotitle">
    <w:name w:val="Annex_No &amp; title"/>
    <w:basedOn w:val="Normal"/>
    <w:next w:val="Normal"/>
    <w:rsid w:val="00C3336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3336A"/>
  </w:style>
  <w:style w:type="paragraph" w:customStyle="1" w:styleId="CorrectionSeparatorBegin">
    <w:name w:val="Correction Separator Begin"/>
    <w:basedOn w:val="Normal"/>
    <w:rsid w:val="00C3336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3336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C333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C3336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3336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C3336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3336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3336A"/>
    <w:rPr>
      <w:b/>
      <w:bCs/>
    </w:rPr>
  </w:style>
  <w:style w:type="paragraph" w:customStyle="1" w:styleId="Normalbeforetable">
    <w:name w:val="Normal before table"/>
    <w:basedOn w:val="Normal"/>
    <w:rsid w:val="00C3336A"/>
    <w:pPr>
      <w:keepNext/>
      <w:spacing w:after="120"/>
    </w:pPr>
    <w:rPr>
      <w:rFonts w:eastAsia="????"/>
      <w:lang w:eastAsia="en-US"/>
    </w:rPr>
  </w:style>
  <w:style w:type="paragraph" w:customStyle="1" w:styleId="RecNo">
    <w:name w:val="Rec_No"/>
    <w:basedOn w:val="Normal"/>
    <w:next w:val="Normal"/>
    <w:rsid w:val="00C3336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3336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styleId="EndnoteReference">
    <w:name w:val="endnote reference"/>
    <w:semiHidden/>
    <w:rPr>
      <w:vertAlign w:val="superscript"/>
    </w:rPr>
  </w:style>
  <w:style w:type="paragraph" w:customStyle="1" w:styleId="Reftext">
    <w:name w:val="Ref_text"/>
    <w:basedOn w:val="Normal"/>
    <w:rsid w:val="00C3336A"/>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C3336A"/>
    <w:rPr>
      <w:rFonts w:ascii="Arial" w:hAnsi="Arial" w:cs="Arial"/>
      <w:sz w:val="18"/>
      <w:szCs w:val="18"/>
    </w:rPr>
  </w:style>
  <w:style w:type="paragraph" w:customStyle="1" w:styleId="Tablehead">
    <w:name w:val="Table_head"/>
    <w:basedOn w:val="Normal"/>
    <w:next w:val="Normal"/>
    <w:rsid w:val="00C3336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33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3336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C33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Note">
    <w:name w:val="Note"/>
    <w:basedOn w:val="Normal"/>
    <w:rsid w:val="00C3336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qFormat/>
    <w:rsid w:val="00C3336A"/>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3336A"/>
    <w:rPr>
      <w:rFonts w:eastAsia="SimSun"/>
      <w:b/>
      <w:sz w:val="32"/>
      <w:lang w:val="en-GB"/>
    </w:rPr>
  </w:style>
  <w:style w:type="paragraph" w:styleId="Footer">
    <w:name w:val="footer"/>
    <w:basedOn w:val="Normal"/>
    <w:pPr>
      <w:tabs>
        <w:tab w:val="left" w:pos="5954"/>
        <w:tab w:val="right" w:pos="9639"/>
      </w:tabs>
      <w:spacing w:before="0"/>
    </w:pPr>
    <w:rPr>
      <w:caps/>
      <w:noProof/>
      <w:sz w:val="16"/>
    </w:rPr>
  </w:style>
  <w:style w:type="character" w:styleId="FootnoteReference">
    <w:name w:val="footnote reference"/>
    <w:semiHidden/>
    <w:rPr>
      <w:position w:val="6"/>
      <w:sz w:val="18"/>
    </w:rPr>
  </w:style>
  <w:style w:type="paragraph" w:styleId="FootnoteText">
    <w:name w:val="footnote text"/>
    <w:basedOn w:val="Normal"/>
    <w:semiHidden/>
    <w:rsid w:val="00C3336A"/>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paragraph" w:styleId="Header">
    <w:name w:val="header"/>
    <w:basedOn w:val="Normal"/>
    <w:link w:val="HeaderChar"/>
    <w:rsid w:val="00C3336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C3336A"/>
    <w:rPr>
      <w:sz w:val="18"/>
      <w:lang w:val="en-G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character" w:styleId="PageNumber">
    <w:name w:val="page number"/>
    <w:basedOn w:val="DefaultParagraphFont"/>
  </w:style>
  <w:style w:type="paragraph" w:styleId="TOC1">
    <w:name w:val="toc 1"/>
    <w:basedOn w:val="Normal"/>
    <w:uiPriority w:val="39"/>
    <w:rsid w:val="00C3336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3336A"/>
    <w:pPr>
      <w:tabs>
        <w:tab w:val="clear" w:pos="964"/>
      </w:tabs>
      <w:spacing w:before="80"/>
      <w:ind w:left="1531" w:hanging="851"/>
    </w:pPr>
  </w:style>
  <w:style w:type="paragraph" w:styleId="TOC3">
    <w:name w:val="toc 3"/>
    <w:basedOn w:val="TOC2"/>
    <w:rsid w:val="00C3336A"/>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LSForAction"/>
    <w:next w:val="Normal"/>
    <w:rsid w:val="004D1239"/>
    <w:rPr>
      <w:bCs w:val="0"/>
    </w:rPr>
  </w:style>
  <w:style w:type="paragraph" w:customStyle="1" w:styleId="LSForAction">
    <w:name w:val="LSForAction"/>
    <w:basedOn w:val="Normal"/>
    <w:rsid w:val="004D1239"/>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4D1239"/>
    <w:rPr>
      <w:rFonts w:eastAsia="Calibri"/>
      <w:bCs w:val="0"/>
    </w:rPr>
  </w:style>
  <w:style w:type="paragraph" w:customStyle="1" w:styleId="LSTitle">
    <w:name w:val="LSTitle"/>
    <w:basedOn w:val="LSForAction"/>
    <w:next w:val="Normal"/>
    <w:rsid w:val="004D1239"/>
    <w:rPr>
      <w:rFonts w:eastAsia="Calibri"/>
      <w:bCs w:val="0"/>
    </w:rPr>
  </w:style>
  <w:style w:type="paragraph" w:customStyle="1" w:styleId="LSForInfo">
    <w:name w:val="LSForInfo"/>
    <w:basedOn w:val="LSForAction"/>
    <w:next w:val="Normal"/>
    <w:rsid w:val="004D1239"/>
  </w:style>
  <w:style w:type="paragraph" w:customStyle="1" w:styleId="LSForComment">
    <w:name w:val="LSForComment"/>
    <w:basedOn w:val="LSForAction"/>
    <w:next w:val="Normal"/>
    <w:rsid w:val="004D1239"/>
  </w:style>
  <w:style w:type="character" w:styleId="Hyperlink">
    <w:name w:val="Hyperlink"/>
    <w:aliases w:val="超级链接"/>
    <w:qFormat/>
    <w:rsid w:val="00C3336A"/>
    <w:rPr>
      <w:color w:val="0000FF"/>
      <w:u w:val="single"/>
    </w:rPr>
  </w:style>
  <w:style w:type="paragraph" w:styleId="ListParagraph">
    <w:name w:val="List Paragraph"/>
    <w:basedOn w:val="Normal"/>
    <w:uiPriority w:val="34"/>
    <w:rsid w:val="002035EB"/>
    <w:pPr>
      <w:ind w:leftChars="400" w:left="800"/>
    </w:pPr>
    <w:rPr>
      <w:rFonts w:eastAsia="SimSun"/>
    </w:rPr>
  </w:style>
  <w:style w:type="character" w:styleId="PlaceholderText">
    <w:name w:val="Placeholder Text"/>
    <w:uiPriority w:val="99"/>
    <w:semiHidden/>
    <w:rsid w:val="004835AB"/>
    <w:rPr>
      <w:rFonts w:ascii="Times New Roman" w:hAnsi="Times New Roman"/>
      <w:color w:val="808080"/>
    </w:rPr>
  </w:style>
  <w:style w:type="character" w:styleId="FollowedHyperlink">
    <w:name w:val="FollowedHyperlink"/>
    <w:rsid w:val="00A34477"/>
    <w:rPr>
      <w:color w:val="954F72"/>
      <w:u w:val="single"/>
    </w:rPr>
  </w:style>
  <w:style w:type="paragraph" w:styleId="TableofFigures">
    <w:name w:val="table of figures"/>
    <w:basedOn w:val="Normal"/>
    <w:next w:val="Normal"/>
    <w:uiPriority w:val="99"/>
    <w:rsid w:val="00C3336A"/>
    <w:pPr>
      <w:tabs>
        <w:tab w:val="right" w:leader="dot" w:pos="9639"/>
      </w:tabs>
    </w:pPr>
    <w:rPr>
      <w:rFonts w:eastAsia="MS Mincho"/>
    </w:rPr>
  </w:style>
  <w:style w:type="paragraph" w:styleId="Caption">
    <w:name w:val="caption"/>
    <w:basedOn w:val="Normal"/>
    <w:next w:val="Normal"/>
    <w:semiHidden/>
    <w:unhideWhenUsed/>
    <w:rsid w:val="004D1239"/>
    <w:rPr>
      <w:b/>
      <w:bCs/>
      <w:sz w:val="20"/>
      <w:szCs w:val="20"/>
    </w:rPr>
  </w:style>
  <w:style w:type="paragraph" w:styleId="BalloonText">
    <w:name w:val="Balloon Text"/>
    <w:basedOn w:val="Normal"/>
    <w:link w:val="BalloonTextChar"/>
    <w:rsid w:val="004D1239"/>
    <w:pPr>
      <w:spacing w:before="0"/>
    </w:pPr>
    <w:rPr>
      <w:rFonts w:ascii="Segoe UI" w:hAnsi="Segoe UI" w:cs="Segoe UI"/>
      <w:sz w:val="18"/>
      <w:szCs w:val="18"/>
    </w:rPr>
  </w:style>
  <w:style w:type="character" w:customStyle="1" w:styleId="BalloonTextChar">
    <w:name w:val="Balloon Text Char"/>
    <w:link w:val="BalloonText"/>
    <w:rsid w:val="004D1239"/>
    <w:rPr>
      <w:rFonts w:ascii="Segoe UI" w:eastAsia="Calibri" w:hAnsi="Segoe UI" w:cs="Segoe UI"/>
      <w:sz w:val="18"/>
      <w:szCs w:val="18"/>
      <w:lang w:val="en-GB" w:eastAsia="ja-JP"/>
    </w:rPr>
  </w:style>
  <w:style w:type="paragraph" w:styleId="Bibliography">
    <w:name w:val="Bibliography"/>
    <w:basedOn w:val="Normal"/>
    <w:next w:val="Normal"/>
    <w:uiPriority w:val="37"/>
    <w:semiHidden/>
    <w:unhideWhenUsed/>
    <w:rsid w:val="004D1239"/>
  </w:style>
  <w:style w:type="character" w:styleId="BookTitle">
    <w:name w:val="Book Title"/>
    <w:uiPriority w:val="33"/>
    <w:rsid w:val="004D1239"/>
    <w:rPr>
      <w:b/>
      <w:bCs/>
      <w:i/>
      <w:iCs/>
      <w:spacing w:val="5"/>
    </w:rPr>
  </w:style>
  <w:style w:type="paragraph" w:styleId="Closing">
    <w:name w:val="Closing"/>
    <w:basedOn w:val="Normal"/>
    <w:link w:val="ClosingChar"/>
    <w:rsid w:val="004D1239"/>
    <w:pPr>
      <w:ind w:left="4252"/>
    </w:pPr>
  </w:style>
  <w:style w:type="character" w:customStyle="1" w:styleId="ClosingChar">
    <w:name w:val="Closing Char"/>
    <w:link w:val="Closing"/>
    <w:rsid w:val="004D1239"/>
    <w:rPr>
      <w:rFonts w:eastAsia="Calibri"/>
      <w:sz w:val="24"/>
      <w:szCs w:val="24"/>
      <w:lang w:val="en-GB" w:eastAsia="ja-JP"/>
    </w:rPr>
  </w:style>
  <w:style w:type="character" w:styleId="CommentReference">
    <w:name w:val="annotation reference"/>
    <w:rsid w:val="004D1239"/>
    <w:rPr>
      <w:sz w:val="16"/>
      <w:szCs w:val="16"/>
    </w:rPr>
  </w:style>
  <w:style w:type="paragraph" w:styleId="CommentText">
    <w:name w:val="annotation text"/>
    <w:basedOn w:val="Normal"/>
    <w:link w:val="CommentTextChar"/>
    <w:rsid w:val="004D1239"/>
    <w:rPr>
      <w:sz w:val="20"/>
      <w:szCs w:val="20"/>
    </w:rPr>
  </w:style>
  <w:style w:type="character" w:customStyle="1" w:styleId="CommentTextChar">
    <w:name w:val="Comment Text Char"/>
    <w:link w:val="CommentText"/>
    <w:rsid w:val="004D1239"/>
    <w:rPr>
      <w:rFonts w:eastAsia="Calibri"/>
      <w:lang w:val="en-GB" w:eastAsia="ja-JP"/>
    </w:rPr>
  </w:style>
  <w:style w:type="paragraph" w:styleId="CommentSubject">
    <w:name w:val="annotation subject"/>
    <w:basedOn w:val="CommentText"/>
    <w:next w:val="CommentText"/>
    <w:link w:val="CommentSubjectChar"/>
    <w:rsid w:val="004D1239"/>
    <w:rPr>
      <w:b/>
      <w:bCs/>
    </w:rPr>
  </w:style>
  <w:style w:type="character" w:customStyle="1" w:styleId="CommentSubjectChar">
    <w:name w:val="Comment Subject Char"/>
    <w:link w:val="CommentSubject"/>
    <w:rsid w:val="004D1239"/>
    <w:rPr>
      <w:rFonts w:eastAsia="Calibri"/>
      <w:b/>
      <w:bCs/>
      <w:lang w:val="en-GB" w:eastAsia="ja-JP"/>
    </w:rPr>
  </w:style>
  <w:style w:type="paragraph" w:styleId="Date">
    <w:name w:val="Date"/>
    <w:basedOn w:val="Normal"/>
    <w:next w:val="Normal"/>
    <w:link w:val="DateChar"/>
    <w:rsid w:val="004D1239"/>
  </w:style>
  <w:style w:type="character" w:customStyle="1" w:styleId="DateChar">
    <w:name w:val="Date Char"/>
    <w:link w:val="Date"/>
    <w:rsid w:val="004D1239"/>
    <w:rPr>
      <w:rFonts w:eastAsia="Calibri"/>
      <w:sz w:val="24"/>
      <w:szCs w:val="24"/>
      <w:lang w:val="en-GB" w:eastAsia="ja-JP"/>
    </w:rPr>
  </w:style>
  <w:style w:type="paragraph" w:styleId="DocumentMap">
    <w:name w:val="Document Map"/>
    <w:basedOn w:val="Normal"/>
    <w:link w:val="DocumentMapChar"/>
    <w:rsid w:val="004D1239"/>
    <w:rPr>
      <w:rFonts w:ascii="Segoe UI" w:hAnsi="Segoe UI" w:cs="Segoe UI"/>
      <w:sz w:val="16"/>
      <w:szCs w:val="16"/>
    </w:rPr>
  </w:style>
  <w:style w:type="character" w:customStyle="1" w:styleId="DocumentMapChar">
    <w:name w:val="Document Map Char"/>
    <w:link w:val="DocumentMap"/>
    <w:rsid w:val="004D1239"/>
    <w:rPr>
      <w:rFonts w:ascii="Segoe UI" w:eastAsia="Calibri" w:hAnsi="Segoe UI" w:cs="Segoe UI"/>
      <w:sz w:val="16"/>
      <w:szCs w:val="16"/>
      <w:lang w:val="en-GB" w:eastAsia="ja-JP"/>
    </w:rPr>
  </w:style>
  <w:style w:type="paragraph" w:styleId="E-mailSignature">
    <w:name w:val="E-mail Signature"/>
    <w:basedOn w:val="Normal"/>
    <w:link w:val="E-mailSignatureChar"/>
    <w:rsid w:val="004D1239"/>
  </w:style>
  <w:style w:type="character" w:customStyle="1" w:styleId="E-mailSignatureChar">
    <w:name w:val="E-mail Signature Char"/>
    <w:link w:val="E-mailSignature"/>
    <w:rsid w:val="004D1239"/>
    <w:rPr>
      <w:rFonts w:eastAsia="Calibri"/>
      <w:sz w:val="24"/>
      <w:szCs w:val="24"/>
      <w:lang w:val="en-GB" w:eastAsia="ja-JP"/>
    </w:rPr>
  </w:style>
  <w:style w:type="character" w:styleId="Emphasis">
    <w:name w:val="Emphasis"/>
    <w:rsid w:val="004D1239"/>
    <w:rPr>
      <w:i/>
      <w:iCs/>
    </w:rPr>
  </w:style>
  <w:style w:type="paragraph" w:styleId="EndnoteText">
    <w:name w:val="endnote text"/>
    <w:basedOn w:val="Normal"/>
    <w:link w:val="EndnoteTextChar"/>
    <w:rsid w:val="004D1239"/>
    <w:rPr>
      <w:sz w:val="20"/>
      <w:szCs w:val="20"/>
    </w:rPr>
  </w:style>
  <w:style w:type="character" w:customStyle="1" w:styleId="EndnoteTextChar">
    <w:name w:val="Endnote Text Char"/>
    <w:link w:val="EndnoteText"/>
    <w:rsid w:val="004D1239"/>
    <w:rPr>
      <w:rFonts w:eastAsia="Calibri"/>
      <w:lang w:val="en-GB" w:eastAsia="ja-JP"/>
    </w:rPr>
  </w:style>
  <w:style w:type="paragraph" w:styleId="EnvelopeAddress">
    <w:name w:val="envelope address"/>
    <w:basedOn w:val="Normal"/>
    <w:rsid w:val="004D1239"/>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rsid w:val="004D1239"/>
    <w:rPr>
      <w:rFonts w:ascii="Calibri Light" w:eastAsia="Times New Roman" w:hAnsi="Calibri Light"/>
      <w:sz w:val="20"/>
      <w:szCs w:val="20"/>
    </w:rPr>
  </w:style>
  <w:style w:type="character" w:styleId="HTMLAcronym">
    <w:name w:val="HTML Acronym"/>
    <w:rsid w:val="004D1239"/>
  </w:style>
  <w:style w:type="paragraph" w:styleId="HTMLAddress">
    <w:name w:val="HTML Address"/>
    <w:basedOn w:val="Normal"/>
    <w:link w:val="HTMLAddressChar"/>
    <w:rsid w:val="004D1239"/>
    <w:rPr>
      <w:i/>
      <w:iCs/>
    </w:rPr>
  </w:style>
  <w:style w:type="character" w:customStyle="1" w:styleId="HTMLAddressChar">
    <w:name w:val="HTML Address Char"/>
    <w:link w:val="HTMLAddress"/>
    <w:rsid w:val="004D1239"/>
    <w:rPr>
      <w:rFonts w:eastAsia="Calibri"/>
      <w:i/>
      <w:iCs/>
      <w:sz w:val="24"/>
      <w:szCs w:val="24"/>
      <w:lang w:val="en-GB" w:eastAsia="ja-JP"/>
    </w:rPr>
  </w:style>
  <w:style w:type="character" w:styleId="HTMLCite">
    <w:name w:val="HTML Cite"/>
    <w:rsid w:val="004D1239"/>
    <w:rPr>
      <w:i/>
      <w:iCs/>
    </w:rPr>
  </w:style>
  <w:style w:type="character" w:styleId="HTMLCode">
    <w:name w:val="HTML Code"/>
    <w:rsid w:val="004D1239"/>
    <w:rPr>
      <w:rFonts w:ascii="Courier New" w:hAnsi="Courier New" w:cs="Courier New"/>
      <w:sz w:val="20"/>
      <w:szCs w:val="20"/>
    </w:rPr>
  </w:style>
  <w:style w:type="character" w:styleId="HTMLDefinition">
    <w:name w:val="HTML Definition"/>
    <w:rsid w:val="004D1239"/>
    <w:rPr>
      <w:i/>
      <w:iCs/>
    </w:rPr>
  </w:style>
  <w:style w:type="character" w:styleId="HTMLKeyboard">
    <w:name w:val="HTML Keyboard"/>
    <w:rsid w:val="004D1239"/>
    <w:rPr>
      <w:rFonts w:ascii="Courier New" w:hAnsi="Courier New" w:cs="Courier New"/>
      <w:sz w:val="20"/>
      <w:szCs w:val="20"/>
    </w:rPr>
  </w:style>
  <w:style w:type="paragraph" w:styleId="HTMLPreformatted">
    <w:name w:val="HTML Preformatted"/>
    <w:basedOn w:val="Normal"/>
    <w:link w:val="HTMLPreformattedChar"/>
    <w:rsid w:val="004D1239"/>
    <w:rPr>
      <w:rFonts w:ascii="Courier New" w:hAnsi="Courier New" w:cs="Courier New"/>
      <w:sz w:val="20"/>
      <w:szCs w:val="20"/>
    </w:rPr>
  </w:style>
  <w:style w:type="character" w:customStyle="1" w:styleId="HTMLPreformattedChar">
    <w:name w:val="HTML Preformatted Char"/>
    <w:link w:val="HTMLPreformatted"/>
    <w:rsid w:val="004D1239"/>
    <w:rPr>
      <w:rFonts w:ascii="Courier New" w:eastAsia="Calibri" w:hAnsi="Courier New" w:cs="Courier New"/>
      <w:lang w:val="en-GB" w:eastAsia="ja-JP"/>
    </w:rPr>
  </w:style>
  <w:style w:type="character" w:styleId="HTMLSample">
    <w:name w:val="HTML Sample"/>
    <w:rsid w:val="004D1239"/>
    <w:rPr>
      <w:rFonts w:ascii="Courier New" w:hAnsi="Courier New" w:cs="Courier New"/>
    </w:rPr>
  </w:style>
  <w:style w:type="character" w:styleId="HTMLTypewriter">
    <w:name w:val="HTML Typewriter"/>
    <w:rsid w:val="004D1239"/>
    <w:rPr>
      <w:rFonts w:ascii="Courier New" w:hAnsi="Courier New" w:cs="Courier New"/>
      <w:sz w:val="20"/>
      <w:szCs w:val="20"/>
    </w:rPr>
  </w:style>
  <w:style w:type="character" w:styleId="HTMLVariable">
    <w:name w:val="HTML Variable"/>
    <w:rsid w:val="004D1239"/>
    <w:rPr>
      <w:i/>
      <w:iCs/>
    </w:rPr>
  </w:style>
  <w:style w:type="paragraph" w:styleId="Index4">
    <w:name w:val="index 4"/>
    <w:basedOn w:val="Normal"/>
    <w:next w:val="Normal"/>
    <w:autoRedefine/>
    <w:rsid w:val="004D1239"/>
    <w:pPr>
      <w:ind w:left="960" w:hanging="240"/>
    </w:pPr>
  </w:style>
  <w:style w:type="paragraph" w:styleId="Index5">
    <w:name w:val="index 5"/>
    <w:basedOn w:val="Normal"/>
    <w:next w:val="Normal"/>
    <w:autoRedefine/>
    <w:rsid w:val="004D1239"/>
    <w:pPr>
      <w:ind w:left="1200" w:hanging="240"/>
    </w:pPr>
  </w:style>
  <w:style w:type="paragraph" w:styleId="Index6">
    <w:name w:val="index 6"/>
    <w:basedOn w:val="Normal"/>
    <w:next w:val="Normal"/>
    <w:autoRedefine/>
    <w:rsid w:val="004D1239"/>
    <w:pPr>
      <w:ind w:left="1440" w:hanging="240"/>
    </w:pPr>
  </w:style>
  <w:style w:type="paragraph" w:styleId="Index7">
    <w:name w:val="index 7"/>
    <w:basedOn w:val="Normal"/>
    <w:next w:val="Normal"/>
    <w:autoRedefine/>
    <w:rsid w:val="004D1239"/>
    <w:pPr>
      <w:ind w:left="1680" w:hanging="240"/>
    </w:pPr>
  </w:style>
  <w:style w:type="paragraph" w:styleId="Index8">
    <w:name w:val="index 8"/>
    <w:basedOn w:val="Normal"/>
    <w:next w:val="Normal"/>
    <w:autoRedefine/>
    <w:rsid w:val="004D1239"/>
    <w:pPr>
      <w:ind w:left="1920" w:hanging="240"/>
    </w:pPr>
  </w:style>
  <w:style w:type="paragraph" w:styleId="Index9">
    <w:name w:val="index 9"/>
    <w:basedOn w:val="Normal"/>
    <w:next w:val="Normal"/>
    <w:autoRedefine/>
    <w:rsid w:val="004D1239"/>
    <w:pPr>
      <w:ind w:left="2160" w:hanging="240"/>
    </w:pPr>
  </w:style>
  <w:style w:type="character" w:styleId="LineNumber">
    <w:name w:val="line number"/>
    <w:rsid w:val="004D1239"/>
  </w:style>
  <w:style w:type="paragraph" w:styleId="List">
    <w:name w:val="List"/>
    <w:basedOn w:val="Normal"/>
    <w:rsid w:val="004D1239"/>
    <w:pPr>
      <w:ind w:left="283" w:hanging="283"/>
      <w:contextualSpacing/>
    </w:pPr>
  </w:style>
  <w:style w:type="paragraph" w:styleId="List2">
    <w:name w:val="List 2"/>
    <w:basedOn w:val="Normal"/>
    <w:rsid w:val="004D1239"/>
    <w:pPr>
      <w:ind w:left="566" w:hanging="283"/>
      <w:contextualSpacing/>
    </w:pPr>
  </w:style>
  <w:style w:type="paragraph" w:styleId="List3">
    <w:name w:val="List 3"/>
    <w:basedOn w:val="Normal"/>
    <w:rsid w:val="004D1239"/>
    <w:pPr>
      <w:ind w:left="849" w:hanging="283"/>
      <w:contextualSpacing/>
    </w:pPr>
  </w:style>
  <w:style w:type="paragraph" w:styleId="List4">
    <w:name w:val="List 4"/>
    <w:basedOn w:val="Normal"/>
    <w:rsid w:val="004D1239"/>
    <w:pPr>
      <w:ind w:left="1132" w:hanging="283"/>
      <w:contextualSpacing/>
    </w:pPr>
  </w:style>
  <w:style w:type="paragraph" w:styleId="List5">
    <w:name w:val="List 5"/>
    <w:basedOn w:val="Normal"/>
    <w:rsid w:val="004D1239"/>
    <w:pPr>
      <w:ind w:left="1415" w:hanging="283"/>
      <w:contextualSpacing/>
    </w:pPr>
  </w:style>
  <w:style w:type="paragraph" w:styleId="ListBullet">
    <w:name w:val="List Bullet"/>
    <w:basedOn w:val="Normal"/>
    <w:rsid w:val="004D1239"/>
    <w:pPr>
      <w:numPr>
        <w:numId w:val="13"/>
      </w:numPr>
      <w:contextualSpacing/>
    </w:pPr>
  </w:style>
  <w:style w:type="paragraph" w:styleId="ListBullet2">
    <w:name w:val="List Bullet 2"/>
    <w:basedOn w:val="Normal"/>
    <w:rsid w:val="004D1239"/>
    <w:pPr>
      <w:numPr>
        <w:numId w:val="14"/>
      </w:numPr>
      <w:contextualSpacing/>
    </w:pPr>
  </w:style>
  <w:style w:type="paragraph" w:styleId="ListBullet3">
    <w:name w:val="List Bullet 3"/>
    <w:basedOn w:val="Normal"/>
    <w:rsid w:val="004D1239"/>
    <w:pPr>
      <w:numPr>
        <w:numId w:val="15"/>
      </w:numPr>
      <w:contextualSpacing/>
    </w:pPr>
  </w:style>
  <w:style w:type="paragraph" w:styleId="ListBullet4">
    <w:name w:val="List Bullet 4"/>
    <w:basedOn w:val="Normal"/>
    <w:rsid w:val="004D1239"/>
    <w:pPr>
      <w:numPr>
        <w:numId w:val="16"/>
      </w:numPr>
      <w:contextualSpacing/>
    </w:pPr>
  </w:style>
  <w:style w:type="paragraph" w:styleId="ListBullet5">
    <w:name w:val="List Bullet 5"/>
    <w:basedOn w:val="Normal"/>
    <w:rsid w:val="004D1239"/>
    <w:pPr>
      <w:numPr>
        <w:numId w:val="17"/>
      </w:numPr>
      <w:contextualSpacing/>
    </w:pPr>
  </w:style>
  <w:style w:type="paragraph" w:styleId="ListContinue">
    <w:name w:val="List Continue"/>
    <w:basedOn w:val="Normal"/>
    <w:rsid w:val="004D1239"/>
    <w:pPr>
      <w:spacing w:after="120"/>
      <w:ind w:left="283"/>
      <w:contextualSpacing/>
    </w:pPr>
  </w:style>
  <w:style w:type="paragraph" w:styleId="ListContinue2">
    <w:name w:val="List Continue 2"/>
    <w:basedOn w:val="Normal"/>
    <w:rsid w:val="004D1239"/>
    <w:pPr>
      <w:spacing w:after="120"/>
      <w:ind w:left="566"/>
      <w:contextualSpacing/>
    </w:pPr>
  </w:style>
  <w:style w:type="paragraph" w:styleId="ListContinue3">
    <w:name w:val="List Continue 3"/>
    <w:basedOn w:val="Normal"/>
    <w:rsid w:val="004D1239"/>
    <w:pPr>
      <w:spacing w:after="120"/>
      <w:ind w:left="849"/>
      <w:contextualSpacing/>
    </w:pPr>
  </w:style>
  <w:style w:type="paragraph" w:styleId="ListContinue4">
    <w:name w:val="List Continue 4"/>
    <w:basedOn w:val="Normal"/>
    <w:rsid w:val="004D1239"/>
    <w:pPr>
      <w:spacing w:after="120"/>
      <w:ind w:left="1132"/>
      <w:contextualSpacing/>
    </w:pPr>
  </w:style>
  <w:style w:type="paragraph" w:styleId="ListContinue5">
    <w:name w:val="List Continue 5"/>
    <w:basedOn w:val="Normal"/>
    <w:rsid w:val="004D1239"/>
    <w:pPr>
      <w:spacing w:after="120"/>
      <w:ind w:left="1415"/>
      <w:contextualSpacing/>
    </w:pPr>
  </w:style>
  <w:style w:type="paragraph" w:styleId="ListNumber">
    <w:name w:val="List Number"/>
    <w:basedOn w:val="Normal"/>
    <w:rsid w:val="004D1239"/>
    <w:pPr>
      <w:numPr>
        <w:numId w:val="18"/>
      </w:numPr>
      <w:contextualSpacing/>
    </w:pPr>
  </w:style>
  <w:style w:type="paragraph" w:styleId="ListNumber2">
    <w:name w:val="List Number 2"/>
    <w:basedOn w:val="Normal"/>
    <w:rsid w:val="004D1239"/>
    <w:pPr>
      <w:numPr>
        <w:numId w:val="19"/>
      </w:numPr>
      <w:contextualSpacing/>
    </w:pPr>
  </w:style>
  <w:style w:type="paragraph" w:styleId="ListNumber3">
    <w:name w:val="List Number 3"/>
    <w:basedOn w:val="Normal"/>
    <w:rsid w:val="004D1239"/>
    <w:pPr>
      <w:numPr>
        <w:numId w:val="20"/>
      </w:numPr>
      <w:contextualSpacing/>
    </w:pPr>
  </w:style>
  <w:style w:type="paragraph" w:styleId="ListNumber4">
    <w:name w:val="List Number 4"/>
    <w:basedOn w:val="Normal"/>
    <w:rsid w:val="004D1239"/>
    <w:pPr>
      <w:numPr>
        <w:numId w:val="21"/>
      </w:numPr>
      <w:contextualSpacing/>
    </w:pPr>
  </w:style>
  <w:style w:type="paragraph" w:styleId="ListNumber5">
    <w:name w:val="List Number 5"/>
    <w:basedOn w:val="Normal"/>
    <w:rsid w:val="004D1239"/>
    <w:pPr>
      <w:numPr>
        <w:numId w:val="22"/>
      </w:numPr>
      <w:contextualSpacing/>
    </w:pPr>
  </w:style>
  <w:style w:type="paragraph" w:styleId="MacroText">
    <w:name w:val="macro"/>
    <w:link w:val="MacroTextChar"/>
    <w:rsid w:val="004D1239"/>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Calibri" w:hAnsi="Courier New" w:cs="Courier New"/>
      <w:lang w:eastAsia="ja-JP"/>
    </w:rPr>
  </w:style>
  <w:style w:type="character" w:customStyle="1" w:styleId="MacroTextChar">
    <w:name w:val="Macro Text Char"/>
    <w:link w:val="MacroText"/>
    <w:rsid w:val="004D1239"/>
    <w:rPr>
      <w:rFonts w:ascii="Courier New" w:eastAsia="Calibri" w:hAnsi="Courier New" w:cs="Courier New"/>
      <w:lang w:val="en-GB" w:eastAsia="ja-JP"/>
    </w:rPr>
  </w:style>
  <w:style w:type="paragraph" w:styleId="MessageHeader">
    <w:name w:val="Message Header"/>
    <w:basedOn w:val="Normal"/>
    <w:link w:val="MessageHeaderChar"/>
    <w:rsid w:val="004D123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MessageHeaderChar">
    <w:name w:val="Message Header Char"/>
    <w:link w:val="MessageHeader"/>
    <w:rsid w:val="004D1239"/>
    <w:rPr>
      <w:rFonts w:ascii="Calibri Light" w:eastAsia="Times New Roman" w:hAnsi="Calibri Light" w:cs="Times New Roman"/>
      <w:sz w:val="24"/>
      <w:szCs w:val="24"/>
      <w:shd w:val="pct20" w:color="auto" w:fill="auto"/>
      <w:lang w:val="en-GB" w:eastAsia="ja-JP"/>
    </w:rPr>
  </w:style>
  <w:style w:type="paragraph" w:styleId="NoSpacing">
    <w:name w:val="No Spacing"/>
    <w:uiPriority w:val="1"/>
    <w:rsid w:val="004D1239"/>
    <w:rPr>
      <w:rFonts w:eastAsia="Calibri"/>
      <w:sz w:val="24"/>
      <w:szCs w:val="24"/>
      <w:lang w:eastAsia="ja-JP"/>
    </w:rPr>
  </w:style>
  <w:style w:type="paragraph" w:styleId="NormalWeb">
    <w:name w:val="Normal (Web)"/>
    <w:basedOn w:val="Normal"/>
    <w:rsid w:val="004D1239"/>
  </w:style>
  <w:style w:type="paragraph" w:styleId="NormalIndent">
    <w:name w:val="Normal Indent"/>
    <w:basedOn w:val="Normal"/>
    <w:rsid w:val="004D1239"/>
    <w:pPr>
      <w:ind w:left="720"/>
    </w:pPr>
  </w:style>
  <w:style w:type="paragraph" w:styleId="NoteHeading">
    <w:name w:val="Note Heading"/>
    <w:basedOn w:val="Normal"/>
    <w:next w:val="Normal"/>
    <w:link w:val="NoteHeadingChar"/>
    <w:rsid w:val="004D1239"/>
  </w:style>
  <w:style w:type="character" w:customStyle="1" w:styleId="NoteHeadingChar">
    <w:name w:val="Note Heading Char"/>
    <w:link w:val="NoteHeading"/>
    <w:rsid w:val="004D1239"/>
    <w:rPr>
      <w:rFonts w:eastAsia="Calibri"/>
      <w:sz w:val="24"/>
      <w:szCs w:val="24"/>
      <w:lang w:val="en-GB" w:eastAsia="ja-JP"/>
    </w:rPr>
  </w:style>
  <w:style w:type="paragraph" w:styleId="PlainText">
    <w:name w:val="Plain Text"/>
    <w:basedOn w:val="Normal"/>
    <w:link w:val="PlainTextChar"/>
    <w:rsid w:val="004D1239"/>
    <w:rPr>
      <w:rFonts w:ascii="Courier New" w:hAnsi="Courier New" w:cs="Courier New"/>
      <w:sz w:val="20"/>
      <w:szCs w:val="20"/>
    </w:rPr>
  </w:style>
  <w:style w:type="character" w:customStyle="1" w:styleId="PlainTextChar">
    <w:name w:val="Plain Text Char"/>
    <w:link w:val="PlainText"/>
    <w:rsid w:val="004D1239"/>
    <w:rPr>
      <w:rFonts w:ascii="Courier New" w:eastAsia="Calibri" w:hAnsi="Courier New" w:cs="Courier New"/>
      <w:lang w:val="en-GB" w:eastAsia="ja-JP"/>
    </w:rPr>
  </w:style>
  <w:style w:type="paragraph" w:styleId="Quote">
    <w:name w:val="Quote"/>
    <w:basedOn w:val="Normal"/>
    <w:next w:val="Normal"/>
    <w:link w:val="QuoteChar"/>
    <w:uiPriority w:val="29"/>
    <w:rsid w:val="004D1239"/>
    <w:pPr>
      <w:spacing w:before="200" w:after="160"/>
      <w:ind w:left="864" w:right="864"/>
      <w:jc w:val="center"/>
    </w:pPr>
    <w:rPr>
      <w:i/>
      <w:iCs/>
      <w:color w:val="404040"/>
    </w:rPr>
  </w:style>
  <w:style w:type="character" w:customStyle="1" w:styleId="QuoteChar">
    <w:name w:val="Quote Char"/>
    <w:link w:val="Quote"/>
    <w:uiPriority w:val="29"/>
    <w:rsid w:val="004D1239"/>
    <w:rPr>
      <w:rFonts w:eastAsia="Calibri"/>
      <w:i/>
      <w:iCs/>
      <w:color w:val="404040"/>
      <w:sz w:val="24"/>
      <w:szCs w:val="24"/>
      <w:lang w:val="en-GB" w:eastAsia="ja-JP"/>
    </w:rPr>
  </w:style>
  <w:style w:type="paragraph" w:styleId="Salutation">
    <w:name w:val="Salutation"/>
    <w:basedOn w:val="Normal"/>
    <w:next w:val="Normal"/>
    <w:link w:val="SalutationChar"/>
    <w:rsid w:val="004D1239"/>
  </w:style>
  <w:style w:type="character" w:customStyle="1" w:styleId="SalutationChar">
    <w:name w:val="Salutation Char"/>
    <w:link w:val="Salutation"/>
    <w:rsid w:val="004D1239"/>
    <w:rPr>
      <w:rFonts w:eastAsia="Calibri"/>
      <w:sz w:val="24"/>
      <w:szCs w:val="24"/>
      <w:lang w:val="en-GB" w:eastAsia="ja-JP"/>
    </w:rPr>
  </w:style>
  <w:style w:type="paragraph" w:styleId="Signature">
    <w:name w:val="Signature"/>
    <w:basedOn w:val="Normal"/>
    <w:link w:val="SignatureChar"/>
    <w:rsid w:val="004D1239"/>
    <w:pPr>
      <w:ind w:left="4252"/>
    </w:pPr>
  </w:style>
  <w:style w:type="character" w:customStyle="1" w:styleId="SignatureChar">
    <w:name w:val="Signature Char"/>
    <w:link w:val="Signature"/>
    <w:rsid w:val="004D1239"/>
    <w:rPr>
      <w:rFonts w:eastAsia="Calibri"/>
      <w:sz w:val="24"/>
      <w:szCs w:val="24"/>
      <w:lang w:val="en-GB" w:eastAsia="ja-JP"/>
    </w:rPr>
  </w:style>
  <w:style w:type="character" w:styleId="Strong">
    <w:name w:val="Strong"/>
    <w:rsid w:val="004D1239"/>
    <w:rPr>
      <w:b/>
      <w:bCs/>
    </w:rPr>
  </w:style>
  <w:style w:type="paragraph" w:styleId="Subtitle">
    <w:name w:val="Subtitle"/>
    <w:basedOn w:val="Normal"/>
    <w:next w:val="Normal"/>
    <w:link w:val="SubtitleChar"/>
    <w:rsid w:val="004D1239"/>
    <w:pPr>
      <w:spacing w:after="60"/>
      <w:jc w:val="center"/>
      <w:outlineLvl w:val="1"/>
    </w:pPr>
    <w:rPr>
      <w:rFonts w:ascii="Calibri Light" w:eastAsia="Times New Roman" w:hAnsi="Calibri Light"/>
    </w:rPr>
  </w:style>
  <w:style w:type="character" w:customStyle="1" w:styleId="SubtitleChar">
    <w:name w:val="Subtitle Char"/>
    <w:link w:val="Subtitle"/>
    <w:rsid w:val="004D1239"/>
    <w:rPr>
      <w:rFonts w:ascii="Calibri Light" w:eastAsia="Times New Roman" w:hAnsi="Calibri Light" w:cs="Times New Roman"/>
      <w:sz w:val="24"/>
      <w:szCs w:val="24"/>
      <w:lang w:val="en-GB" w:eastAsia="ja-JP"/>
    </w:rPr>
  </w:style>
  <w:style w:type="character" w:styleId="SubtleEmphasis">
    <w:name w:val="Subtle Emphasis"/>
    <w:uiPriority w:val="19"/>
    <w:rsid w:val="004D1239"/>
    <w:rPr>
      <w:i/>
      <w:iCs/>
      <w:color w:val="404040"/>
    </w:rPr>
  </w:style>
  <w:style w:type="character" w:styleId="SubtleReference">
    <w:name w:val="Subtle Reference"/>
    <w:uiPriority w:val="31"/>
    <w:rsid w:val="004D1239"/>
    <w:rPr>
      <w:smallCaps/>
      <w:color w:val="5A5A5A"/>
    </w:rPr>
  </w:style>
  <w:style w:type="paragraph" w:styleId="TableofAuthorities">
    <w:name w:val="table of authorities"/>
    <w:basedOn w:val="Normal"/>
    <w:next w:val="Normal"/>
    <w:rsid w:val="004D1239"/>
    <w:pPr>
      <w:ind w:left="240" w:hanging="240"/>
    </w:pPr>
  </w:style>
  <w:style w:type="paragraph" w:styleId="Title">
    <w:name w:val="Title"/>
    <w:basedOn w:val="Normal"/>
    <w:next w:val="Normal"/>
    <w:link w:val="TitleChar"/>
    <w:rsid w:val="004D123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4D1239"/>
    <w:rPr>
      <w:rFonts w:ascii="Calibri Light" w:eastAsia="Times New Roman" w:hAnsi="Calibri Light" w:cs="Times New Roman"/>
      <w:b/>
      <w:bCs/>
      <w:kern w:val="28"/>
      <w:sz w:val="32"/>
      <w:szCs w:val="32"/>
      <w:lang w:val="en-GB" w:eastAsia="ja-JP"/>
    </w:rPr>
  </w:style>
  <w:style w:type="paragraph" w:styleId="TOAHeading">
    <w:name w:val="toa heading"/>
    <w:basedOn w:val="Normal"/>
    <w:next w:val="Normal"/>
    <w:rsid w:val="004D1239"/>
    <w:rPr>
      <w:rFonts w:ascii="Calibri Light" w:eastAsia="Times New Roman" w:hAnsi="Calibri Light"/>
      <w:b/>
      <w:bCs/>
    </w:rPr>
  </w:style>
  <w:style w:type="paragraph" w:styleId="TOC9">
    <w:name w:val="toc 9"/>
    <w:basedOn w:val="Normal"/>
    <w:next w:val="Normal"/>
    <w:autoRedefine/>
    <w:rsid w:val="004D1239"/>
    <w:pPr>
      <w:ind w:left="1920"/>
    </w:pPr>
  </w:style>
  <w:style w:type="paragraph" w:styleId="TOCHeading">
    <w:name w:val="TOC Heading"/>
    <w:basedOn w:val="Heading1"/>
    <w:next w:val="Normal"/>
    <w:uiPriority w:val="39"/>
    <w:semiHidden/>
    <w:unhideWhenUsed/>
    <w:rsid w:val="004D1239"/>
    <w:pPr>
      <w:keepLines w:val="0"/>
      <w:spacing w:before="240" w:after="60"/>
      <w:ind w:left="0" w:firstLine="0"/>
      <w:outlineLvl w:val="9"/>
    </w:pPr>
    <w:rPr>
      <w:rFonts w:ascii="Calibri Light" w:eastAsia="Times New Roman" w:hAnsi="Calibri Light"/>
      <w:bCs/>
      <w:kern w:val="32"/>
      <w:sz w:val="32"/>
      <w:szCs w:val="32"/>
    </w:rPr>
  </w:style>
  <w:style w:type="character" w:styleId="UnresolvedMention">
    <w:name w:val="Unresolved Mention"/>
    <w:basedOn w:val="DefaultParagraphFont"/>
    <w:uiPriority w:val="99"/>
    <w:semiHidden/>
    <w:unhideWhenUsed/>
    <w:rsid w:val="00F84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84388">
      <w:bodyDiv w:val="1"/>
      <w:marLeft w:val="0"/>
      <w:marRight w:val="0"/>
      <w:marTop w:val="0"/>
      <w:marBottom w:val="0"/>
      <w:divBdr>
        <w:top w:val="none" w:sz="0" w:space="0" w:color="auto"/>
        <w:left w:val="none" w:sz="0" w:space="0" w:color="auto"/>
        <w:bottom w:val="none" w:sz="0" w:space="0" w:color="auto"/>
        <w:right w:val="none" w:sz="0" w:space="0" w:color="auto"/>
      </w:divBdr>
    </w:div>
    <w:div w:id="788285261">
      <w:bodyDiv w:val="1"/>
      <w:marLeft w:val="0"/>
      <w:marRight w:val="0"/>
      <w:marTop w:val="0"/>
      <w:marBottom w:val="0"/>
      <w:divBdr>
        <w:top w:val="none" w:sz="0" w:space="0" w:color="auto"/>
        <w:left w:val="none" w:sz="0" w:space="0" w:color="auto"/>
        <w:bottom w:val="none" w:sz="0" w:space="0" w:color="auto"/>
        <w:right w:val="none" w:sz="0" w:space="0" w:color="auto"/>
      </w:divBdr>
    </w:div>
    <w:div w:id="927352523">
      <w:bodyDiv w:val="1"/>
      <w:marLeft w:val="0"/>
      <w:marRight w:val="0"/>
      <w:marTop w:val="0"/>
      <w:marBottom w:val="0"/>
      <w:divBdr>
        <w:top w:val="none" w:sz="0" w:space="0" w:color="auto"/>
        <w:left w:val="none" w:sz="0" w:space="0" w:color="auto"/>
        <w:bottom w:val="none" w:sz="0" w:space="0" w:color="auto"/>
        <w:right w:val="none" w:sz="0" w:space="0" w:color="auto"/>
      </w:divBdr>
    </w:div>
    <w:div w:id="1156265827">
      <w:bodyDiv w:val="1"/>
      <w:marLeft w:val="0"/>
      <w:marRight w:val="0"/>
      <w:marTop w:val="0"/>
      <w:marBottom w:val="0"/>
      <w:divBdr>
        <w:top w:val="none" w:sz="0" w:space="0" w:color="auto"/>
        <w:left w:val="none" w:sz="0" w:space="0" w:color="auto"/>
        <w:bottom w:val="none" w:sz="0" w:space="0" w:color="auto"/>
        <w:right w:val="none" w:sz="0" w:space="0" w:color="auto"/>
      </w:divBdr>
    </w:div>
    <w:div w:id="1710494990">
      <w:bodyDiv w:val="1"/>
      <w:marLeft w:val="0"/>
      <w:marRight w:val="0"/>
      <w:marTop w:val="0"/>
      <w:marBottom w:val="0"/>
      <w:divBdr>
        <w:top w:val="none" w:sz="0" w:space="0" w:color="auto"/>
        <w:left w:val="none" w:sz="0" w:space="0" w:color="auto"/>
        <w:bottom w:val="none" w:sz="0" w:space="0" w:color="auto"/>
        <w:right w:val="none" w:sz="0" w:space="0" w:color="auto"/>
      </w:divBdr>
    </w:div>
    <w:div w:id="1890874573">
      <w:bodyDiv w:val="1"/>
      <w:marLeft w:val="0"/>
      <w:marRight w:val="0"/>
      <w:marTop w:val="0"/>
      <w:marBottom w:val="0"/>
      <w:divBdr>
        <w:top w:val="none" w:sz="0" w:space="0" w:color="auto"/>
        <w:left w:val="none" w:sz="0" w:space="0" w:color="auto"/>
        <w:bottom w:val="none" w:sz="0" w:space="0" w:color="auto"/>
        <w:right w:val="none" w:sz="0" w:space="0" w:color="auto"/>
      </w:divBdr>
    </w:div>
    <w:div w:id="1897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rushton@rcc-uk.uk" TargetMode="External"/><Relationship Id="rId18" Type="http://schemas.openxmlformats.org/officeDocument/2006/relationships/hyperlink" Target="http://itu.int/go/fgai4nd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andle.itu.int/11.1002/ls/sp16-sg2-oLS-00177.docx" TargetMode="External"/><Relationship Id="rId17" Type="http://schemas.openxmlformats.org/officeDocument/2006/relationships/hyperlink" Target="mailto:monique.kuglitsch@hhi.fraunhofer.de" TargetMode="External"/><Relationship Id="rId2" Type="http://schemas.openxmlformats.org/officeDocument/2006/relationships/customXml" Target="../customXml/item2.xml"/><Relationship Id="rId16" Type="http://schemas.openxmlformats.org/officeDocument/2006/relationships/hyperlink" Target="https://www.itu.int/md/T17-SG02-210531-TD-GEN-129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handle.itu.int/11.1002/ls/sp16-sg2-oLS-00177.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tu.int/go/fgai4nd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que.kuglitsch@hhi.fraunhofer.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files/1037_hyogoframeworkforactionenglish.pdf" TargetMode="External"/><Relationship Id="rId13" Type="http://schemas.openxmlformats.org/officeDocument/2006/relationships/hyperlink" Target="https://www.undrr.org/publication/sendai-framework-disaster-risk-reduction-2015-2030" TargetMode="External"/><Relationship Id="rId3" Type="http://schemas.openxmlformats.org/officeDocument/2006/relationships/hyperlink" Target="https://www.preventionweb.net/experts/oped/view/72768" TargetMode="External"/><Relationship Id="rId7" Type="http://schemas.openxmlformats.org/officeDocument/2006/relationships/hyperlink" Target="https://www.ipcc.ch/site/assets/uploads/2018/03/SREX_Full_Report-1.pdf" TargetMode="External"/><Relationship Id="rId12" Type="http://schemas.openxmlformats.org/officeDocument/2006/relationships/hyperlink" Target="https://sdgs.un.org/goals" TargetMode="External"/><Relationship Id="rId2" Type="http://schemas.openxmlformats.org/officeDocument/2006/relationships/hyperlink" Target="https://link.springer.com/article/10.1007/s11069-016-2726-x" TargetMode="External"/><Relationship Id="rId1" Type="http://schemas.openxmlformats.org/officeDocument/2006/relationships/hyperlink" Target="https://www.unisdr.org/files/1037_hyogoframeworkforactionenglish.pdf" TargetMode="External"/><Relationship Id="rId6" Type="http://schemas.openxmlformats.org/officeDocument/2006/relationships/hyperlink" Target="https://www.undrr.org/publication/sendai-framework-disaster-risk-reduction-2015-2030" TargetMode="External"/><Relationship Id="rId11" Type="http://schemas.openxmlformats.org/officeDocument/2006/relationships/hyperlink" Target="https://www.itu.int/en/ITU-D/Emergency-Telecommunications/Documents/2019/GET_2019/Disruptive-Technologies.pdf" TargetMode="External"/><Relationship Id="rId5" Type="http://schemas.openxmlformats.org/officeDocument/2006/relationships/hyperlink" Target="https://library.wmo.int/doc_num.php?explnum_id=10385" TargetMode="External"/><Relationship Id="rId10" Type="http://schemas.openxmlformats.org/officeDocument/2006/relationships/hyperlink" Target="https://www.itu.int/en/ITU-T/focusgroups/drnrr/Pages/default.aspx" TargetMode="External"/><Relationship Id="rId4" Type="http://schemas.openxmlformats.org/officeDocument/2006/relationships/hyperlink" Target="https://www.undrr.org/publication/sendai-framework-disaster-risk-reduction-2015-2030" TargetMode="External"/><Relationship Id="rId9" Type="http://schemas.openxmlformats.org/officeDocument/2006/relationships/hyperlink" Target="https://www.undrr.org/publication/sendai-framework-disaster-risk-reduction-2015-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FF94725FE7654C9826AC245D2442FF" ma:contentTypeVersion="12" ma:contentTypeDescription="Create a new document." ma:contentTypeScope="" ma:versionID="d6f17c235da881e758d1ab1593915a03">
  <xsd:schema xmlns:xsd="http://www.w3.org/2001/XMLSchema" xmlns:xs="http://www.w3.org/2001/XMLSchema" xmlns:p="http://schemas.microsoft.com/office/2006/metadata/properties" xmlns:ns3="9a7fb8f8-2e27-4840-86ca-66de109d406b" xmlns:ns4="9f1bbe43-0ec8-4891-8790-c5e96611a67f" targetNamespace="http://schemas.microsoft.com/office/2006/metadata/properties" ma:root="true" ma:fieldsID="42d092067bbde5b517ea2df4abe5d4ef" ns3:_="" ns4:_="">
    <xsd:import namespace="9a7fb8f8-2e27-4840-86ca-66de109d406b"/>
    <xsd:import namespace="9f1bbe43-0ec8-4891-8790-c5e96611a6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b8f8-2e27-4840-86ca-66de109d4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bbe43-0ec8-4891-8790-c5e96611a6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A9BF3-6CE2-46EA-944F-0F9FF93BBBEB}">
  <ds:schemaRefs>
    <ds:schemaRef ds:uri="http://schemas.microsoft.com/sharepoint/v3/contenttype/forms"/>
  </ds:schemaRefs>
</ds:datastoreItem>
</file>

<file path=customXml/itemProps2.xml><?xml version="1.0" encoding="utf-8"?>
<ds:datastoreItem xmlns:ds="http://schemas.openxmlformats.org/officeDocument/2006/customXml" ds:itemID="{1A14A3C0-10B2-4AB3-8459-9D7AF15CF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6A186-4FF2-4BAE-9E1A-FC96ACA1984E}">
  <ds:schemaRefs>
    <ds:schemaRef ds:uri="http://schemas.openxmlformats.org/officeDocument/2006/bibliography"/>
  </ds:schemaRefs>
</ds:datastoreItem>
</file>

<file path=customXml/itemProps4.xml><?xml version="1.0" encoding="utf-8"?>
<ds:datastoreItem xmlns:ds="http://schemas.openxmlformats.org/officeDocument/2006/customXml" ds:itemID="{D9A55886-FB1B-4123-9B02-5EFC55F0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b8f8-2e27-4840-86ca-66de109d406b"/>
    <ds:schemaRef ds:uri="9f1bbe43-0ec8-4891-8790-c5e96611a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5</TotalTime>
  <Pages>8</Pages>
  <Words>2135</Words>
  <Characters>13349</Characters>
  <Application>Microsoft Office Word</Application>
  <DocSecurity>0</DocSecurity>
  <Lines>111</Lines>
  <Paragraphs>30</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LS on Establishment of new ITU-T Focus Group on artificial intelligence for health (FG AI4H) [to TSAG, all ITU-T SGs; PCHA; JTC1/SC42]</vt:lpstr>
      <vt:lpstr>Establishment of new Focus Group on “IMT-2020”</vt:lpstr>
      <vt:lpstr>Establishment of new Focus Group on “IMT-2020”</vt:lpstr>
    </vt:vector>
  </TitlesOfParts>
  <Manager>ITU-T</Manager>
  <Company>International Telecommunication Union (ITU)</Company>
  <LinksUpToDate>false</LinksUpToDate>
  <CharactersWithSpaces>15454</CharactersWithSpaces>
  <SharedDoc>false</SharedDoc>
  <HLinks>
    <vt:vector size="108" baseType="variant">
      <vt:variant>
        <vt:i4>5636103</vt:i4>
      </vt:variant>
      <vt:variant>
        <vt:i4>12</vt:i4>
      </vt:variant>
      <vt:variant>
        <vt:i4>0</vt:i4>
      </vt:variant>
      <vt:variant>
        <vt:i4>5</vt:i4>
      </vt:variant>
      <vt:variant>
        <vt:lpwstr>https://itu.int/go/fgai4h</vt:lpwstr>
      </vt:variant>
      <vt:variant>
        <vt:lpwstr/>
      </vt:variant>
      <vt:variant>
        <vt:i4>6946938</vt:i4>
      </vt:variant>
      <vt:variant>
        <vt:i4>9</vt:i4>
      </vt:variant>
      <vt:variant>
        <vt:i4>0</vt:i4>
      </vt:variant>
      <vt:variant>
        <vt:i4>5</vt:i4>
      </vt:variant>
      <vt:variant>
        <vt:lpwstr>https://itu.int/en/ITU-T/focusgroups/ai4h/Documents/FG-AI4H-ToR.pdf</vt:lpwstr>
      </vt:variant>
      <vt:variant>
        <vt:lpwstr/>
      </vt:variant>
      <vt:variant>
        <vt:i4>2228224</vt:i4>
      </vt:variant>
      <vt:variant>
        <vt:i4>6</vt:i4>
      </vt:variant>
      <vt:variant>
        <vt:i4>0</vt:i4>
      </vt:variant>
      <vt:variant>
        <vt:i4>5</vt:i4>
      </vt:variant>
      <vt:variant>
        <vt:lpwstr>mailto:monique.kuglitsch@hhi.fraunhofer.de</vt:lpwstr>
      </vt:variant>
      <vt:variant>
        <vt:lpwstr/>
      </vt:variant>
      <vt:variant>
        <vt:i4>4259884</vt:i4>
      </vt:variant>
      <vt:variant>
        <vt:i4>3</vt:i4>
      </vt:variant>
      <vt:variant>
        <vt:i4>0</vt:i4>
      </vt:variant>
      <vt:variant>
        <vt:i4>5</vt:i4>
      </vt:variant>
      <vt:variant>
        <vt:lpwstr>mailto:philrushton@rcc-uk.uk</vt:lpwstr>
      </vt:variant>
      <vt:variant>
        <vt:lpwstr/>
      </vt:variant>
      <vt:variant>
        <vt:i4>4980757</vt:i4>
      </vt:variant>
      <vt:variant>
        <vt:i4>0</vt:i4>
      </vt:variant>
      <vt:variant>
        <vt:i4>0</vt:i4>
      </vt:variant>
      <vt:variant>
        <vt:i4>5</vt:i4>
      </vt:variant>
      <vt:variant>
        <vt:lpwstr>http://ifa.itu.int/t/2017/ls/sg16/sp16-sg16-oLS-00112.doc</vt:lpwstr>
      </vt:variant>
      <vt:variant>
        <vt:lpwstr/>
      </vt:variant>
      <vt:variant>
        <vt:i4>1376336</vt:i4>
      </vt:variant>
      <vt:variant>
        <vt:i4>36</vt:i4>
      </vt:variant>
      <vt:variant>
        <vt:i4>0</vt:i4>
      </vt:variant>
      <vt:variant>
        <vt:i4>5</vt:i4>
      </vt:variant>
      <vt:variant>
        <vt:lpwstr>https://www.undrr.org/publication/sendai-framework-disaster-risk-reduction-2015-2030</vt:lpwstr>
      </vt:variant>
      <vt:variant>
        <vt:lpwstr/>
      </vt:variant>
      <vt:variant>
        <vt:i4>196634</vt:i4>
      </vt:variant>
      <vt:variant>
        <vt:i4>33</vt:i4>
      </vt:variant>
      <vt:variant>
        <vt:i4>0</vt:i4>
      </vt:variant>
      <vt:variant>
        <vt:i4>5</vt:i4>
      </vt:variant>
      <vt:variant>
        <vt:lpwstr>https://sdgs.un.org/goals</vt:lpwstr>
      </vt:variant>
      <vt:variant>
        <vt:lpwstr/>
      </vt:variant>
      <vt:variant>
        <vt:i4>6160492</vt:i4>
      </vt:variant>
      <vt:variant>
        <vt:i4>30</vt:i4>
      </vt:variant>
      <vt:variant>
        <vt:i4>0</vt:i4>
      </vt:variant>
      <vt:variant>
        <vt:i4>5</vt:i4>
      </vt:variant>
      <vt:variant>
        <vt:lpwstr>https://www.itu.int/en/ITU-D/Emergency-Telecommunications/Documents/2019/GET_2019/Disruptive-Technologies.pdf</vt:lpwstr>
      </vt:variant>
      <vt:variant>
        <vt:lpwstr/>
      </vt:variant>
      <vt:variant>
        <vt:i4>5832705</vt:i4>
      </vt:variant>
      <vt:variant>
        <vt:i4>27</vt:i4>
      </vt:variant>
      <vt:variant>
        <vt:i4>0</vt:i4>
      </vt:variant>
      <vt:variant>
        <vt:i4>5</vt:i4>
      </vt:variant>
      <vt:variant>
        <vt:lpwstr>https://www.itu.int/en/ITU-T/focusgroups/drnrr/Pages/default.aspx</vt:lpwstr>
      </vt:variant>
      <vt:variant>
        <vt:lpwstr/>
      </vt:variant>
      <vt:variant>
        <vt:i4>1376336</vt:i4>
      </vt:variant>
      <vt:variant>
        <vt:i4>24</vt:i4>
      </vt:variant>
      <vt:variant>
        <vt:i4>0</vt:i4>
      </vt:variant>
      <vt:variant>
        <vt:i4>5</vt:i4>
      </vt:variant>
      <vt:variant>
        <vt:lpwstr>https://www.undrr.org/publication/sendai-framework-disaster-risk-reduction-2015-2030</vt:lpwstr>
      </vt:variant>
      <vt:variant>
        <vt:lpwstr/>
      </vt:variant>
      <vt:variant>
        <vt:i4>7536726</vt:i4>
      </vt:variant>
      <vt:variant>
        <vt:i4>21</vt:i4>
      </vt:variant>
      <vt:variant>
        <vt:i4>0</vt:i4>
      </vt:variant>
      <vt:variant>
        <vt:i4>5</vt:i4>
      </vt:variant>
      <vt:variant>
        <vt:lpwstr>https://www.unisdr.org/files/1037_hyogoframeworkforactionenglish.pdf</vt:lpwstr>
      </vt:variant>
      <vt:variant>
        <vt:lpwstr/>
      </vt:variant>
      <vt:variant>
        <vt:i4>1507346</vt:i4>
      </vt:variant>
      <vt:variant>
        <vt:i4>18</vt:i4>
      </vt:variant>
      <vt:variant>
        <vt:i4>0</vt:i4>
      </vt:variant>
      <vt:variant>
        <vt:i4>5</vt:i4>
      </vt:variant>
      <vt:variant>
        <vt:lpwstr>https://www.ipcc.ch/site/assets/uploads/2018/03/SREX_Full_Report-1.pdf</vt:lpwstr>
      </vt:variant>
      <vt:variant>
        <vt:lpwstr/>
      </vt:variant>
      <vt:variant>
        <vt:i4>1376336</vt:i4>
      </vt:variant>
      <vt:variant>
        <vt:i4>15</vt:i4>
      </vt:variant>
      <vt:variant>
        <vt:i4>0</vt:i4>
      </vt:variant>
      <vt:variant>
        <vt:i4>5</vt:i4>
      </vt:variant>
      <vt:variant>
        <vt:lpwstr>https://www.undrr.org/publication/sendai-framework-disaster-risk-reduction-2015-2030</vt:lpwstr>
      </vt:variant>
      <vt:variant>
        <vt:lpwstr/>
      </vt:variant>
      <vt:variant>
        <vt:i4>327709</vt:i4>
      </vt:variant>
      <vt:variant>
        <vt:i4>12</vt:i4>
      </vt:variant>
      <vt:variant>
        <vt:i4>0</vt:i4>
      </vt:variant>
      <vt:variant>
        <vt:i4>5</vt:i4>
      </vt:variant>
      <vt:variant>
        <vt:lpwstr>https://library.wmo.int/doc_num.php?explnum_id=10385</vt:lpwstr>
      </vt:variant>
      <vt:variant>
        <vt:lpwstr/>
      </vt:variant>
      <vt:variant>
        <vt:i4>1376336</vt:i4>
      </vt:variant>
      <vt:variant>
        <vt:i4>9</vt:i4>
      </vt:variant>
      <vt:variant>
        <vt:i4>0</vt:i4>
      </vt:variant>
      <vt:variant>
        <vt:i4>5</vt:i4>
      </vt:variant>
      <vt:variant>
        <vt:lpwstr>https://www.undrr.org/publication/sendai-framework-disaster-risk-reduction-2015-2030</vt:lpwstr>
      </vt:variant>
      <vt:variant>
        <vt:lpwstr/>
      </vt:variant>
      <vt:variant>
        <vt:i4>5111819</vt:i4>
      </vt:variant>
      <vt:variant>
        <vt:i4>6</vt:i4>
      </vt:variant>
      <vt:variant>
        <vt:i4>0</vt:i4>
      </vt:variant>
      <vt:variant>
        <vt:i4>5</vt:i4>
      </vt:variant>
      <vt:variant>
        <vt:lpwstr>https://www.preventionweb.net/experts/oped/view/72768</vt:lpwstr>
      </vt:variant>
      <vt:variant>
        <vt:lpwstr/>
      </vt:variant>
      <vt:variant>
        <vt:i4>2228257</vt:i4>
      </vt:variant>
      <vt:variant>
        <vt:i4>3</vt:i4>
      </vt:variant>
      <vt:variant>
        <vt:i4>0</vt:i4>
      </vt:variant>
      <vt:variant>
        <vt:i4>5</vt:i4>
      </vt:variant>
      <vt:variant>
        <vt:lpwstr>https://link.springer.com/article/10.1007/s11069-016-2726-x</vt:lpwstr>
      </vt:variant>
      <vt:variant>
        <vt:lpwstr/>
      </vt:variant>
      <vt:variant>
        <vt:i4>7536726</vt:i4>
      </vt:variant>
      <vt:variant>
        <vt:i4>0</vt:i4>
      </vt:variant>
      <vt:variant>
        <vt:i4>0</vt:i4>
      </vt:variant>
      <vt:variant>
        <vt:i4>5</vt:i4>
      </vt:variant>
      <vt:variant>
        <vt:lpwstr>https://www.unisdr.org/files/1037_hyogoframeworkforactionenglish.pdf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establishment of a new ITU-T Focus Group on Artificial Intelligence for Natural Disaster Management (FG-AI4NDM) and first meeting (virtual, [dates TBC] 2021) [to ITU groups and other stakeholders]</dc:title>
  <dc:subject/>
  <dc:creator>ITU-T Study Group 2</dc:creator>
  <cp:keywords>all</cp:keywords>
  <dc:description>SG2-LS177  For: Virtual, 18 December 2020_x000d_Document date: _x000d_Saved by ITU51014924 at 17:21:44 on 04.01.21</dc:description>
  <cp:lastModifiedBy>Al-Mnini, Lara</cp:lastModifiedBy>
  <cp:revision>3</cp:revision>
  <cp:lastPrinted>2002-08-01T06:30:00Z</cp:lastPrinted>
  <dcterms:created xsi:type="dcterms:W3CDTF">2021-01-11T09:09:00Z</dcterms:created>
  <dcterms:modified xsi:type="dcterms:W3CDTF">2021-01-11T09:13:00Z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SG2-LS177</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Virtual, 18 December 2020</vt:lpwstr>
  </property>
  <property fmtid="{D5CDD505-2E9C-101B-9397-08002B2CF9AE}" pid="7" name="Docauthor">
    <vt:lpwstr>ITU-T Study Group 2</vt:lpwstr>
  </property>
  <property fmtid="{D5CDD505-2E9C-101B-9397-08002B2CF9AE}" pid="8" name="ContentTypeId">
    <vt:lpwstr>0x01010069FF94725FE7654C9826AC245D2442FF</vt:lpwstr>
  </property>
</Properties>
</file>