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en-GB"/>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50C3DCEA" w:rsidR="00924749" w:rsidRPr="00924749" w:rsidRDefault="00924749" w:rsidP="00A44632">
            <w:pPr>
              <w:pStyle w:val="Docnumber"/>
              <w:rPr>
                <w:sz w:val="32"/>
              </w:rPr>
            </w:pPr>
            <w:r>
              <w:rPr>
                <w:sz w:val="32"/>
              </w:rPr>
              <w:t>T</w:t>
            </w:r>
            <w:r w:rsidR="00D65081">
              <w:rPr>
                <w:sz w:val="32"/>
              </w:rPr>
              <w:t>SAG-T</w:t>
            </w:r>
            <w:r>
              <w:rPr>
                <w:sz w:val="32"/>
              </w:rPr>
              <w:t>D</w:t>
            </w:r>
            <w:r w:rsidR="00851B9F">
              <w:rPr>
                <w:sz w:val="32"/>
              </w:rPr>
              <w:t>939</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4" w:name="dbluepink" w:colFirst="1" w:colLast="1"/>
            <w:bookmarkStart w:id="5" w:name="dmeeting" w:colFirst="2" w:colLast="2"/>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1C852FE6" w:rsidR="00924749" w:rsidRPr="00856429" w:rsidRDefault="00851B9F" w:rsidP="00A44632">
            <w:pPr>
              <w:jc w:val="right"/>
              <w:rPr>
                <w:rFonts w:asciiTheme="majorBidi" w:hAnsiTheme="majorBidi" w:cstheme="majorBidi"/>
                <w:szCs w:val="24"/>
              </w:rPr>
            </w:pPr>
            <w:r w:rsidRPr="002E7F40">
              <w:rPr>
                <w:rFonts w:asciiTheme="majorBidi" w:hAnsiTheme="majorBidi" w:cstheme="majorBidi"/>
                <w:szCs w:val="24"/>
              </w:rPr>
              <w:t xml:space="preserve">Virtual, </w:t>
            </w:r>
            <w:r>
              <w:rPr>
                <w:rFonts w:asciiTheme="majorBidi" w:hAnsiTheme="majorBidi" w:cstheme="majorBidi"/>
                <w:szCs w:val="24"/>
              </w:rPr>
              <w:t>11-</w:t>
            </w:r>
            <w:r w:rsidRPr="002E7F40">
              <w:rPr>
                <w:rFonts w:asciiTheme="majorBidi" w:hAnsiTheme="majorBidi" w:cstheme="majorBidi"/>
                <w:szCs w:val="24"/>
              </w:rPr>
              <w:t>1</w:t>
            </w:r>
            <w:r>
              <w:rPr>
                <w:rFonts w:asciiTheme="majorBidi" w:hAnsiTheme="majorBidi" w:cstheme="majorBidi"/>
                <w:szCs w:val="24"/>
              </w:rPr>
              <w:t>8</w:t>
            </w:r>
            <w:r w:rsidRPr="002E7F40">
              <w:rPr>
                <w:rFonts w:asciiTheme="majorBidi" w:hAnsiTheme="majorBidi" w:cstheme="majorBidi"/>
                <w:szCs w:val="24"/>
              </w:rPr>
              <w:t xml:space="preserve"> </w:t>
            </w:r>
            <w:r>
              <w:rPr>
                <w:rFonts w:asciiTheme="majorBidi" w:hAnsiTheme="majorBidi" w:cstheme="majorBidi"/>
                <w:szCs w:val="24"/>
              </w:rPr>
              <w:t>January</w:t>
            </w:r>
            <w:r w:rsidRPr="002E7F40">
              <w:rPr>
                <w:rFonts w:asciiTheme="majorBidi" w:hAnsiTheme="majorBidi" w:cstheme="majorBidi"/>
                <w:szCs w:val="24"/>
              </w:rPr>
              <w:t xml:space="preserve"> 202</w:t>
            </w:r>
            <w:r>
              <w:rPr>
                <w:rFonts w:asciiTheme="majorBidi" w:hAnsiTheme="majorBidi" w:cstheme="majorBidi"/>
                <w:szCs w:val="24"/>
              </w:rPr>
              <w:t>1</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6" w:name="ddoctype" w:colFirst="0" w:colLast="0"/>
            <w:bookmarkEnd w:id="4"/>
            <w:bookmarkEnd w:id="5"/>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7" w:name="dsource" w:colFirst="1" w:colLast="1"/>
            <w:bookmarkEnd w:id="6"/>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Director,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8" w:name="dtitle1" w:colFirst="1" w:colLast="1"/>
            <w:bookmarkEnd w:id="7"/>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9" w:name="dpurpose" w:colFirst="1" w:colLast="1"/>
            <w:bookmarkEnd w:id="8"/>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856429" w:rsidRDefault="00851B9F" w:rsidP="000D1BFE">
            <w:pPr>
              <w:rPr>
                <w:rFonts w:asciiTheme="majorBidi" w:hAnsiTheme="majorBidi" w:cstheme="majorBidi"/>
                <w:szCs w:val="24"/>
                <w:lang w:val="en-US"/>
              </w:rPr>
            </w:pPr>
            <w:r>
              <w:rPr>
                <w:rFonts w:asciiTheme="majorBidi" w:hAnsiTheme="majorBidi" w:cstheme="majorBidi"/>
                <w:szCs w:val="24"/>
                <w:lang w:val="en-US"/>
              </w:rPr>
              <w:t>Jérôme Belleman</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68FFFF49"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 xml:space="preserve">+41 22 730 </w:t>
            </w:r>
            <w:r w:rsidR="00851B9F">
              <w:rPr>
                <w:rFonts w:asciiTheme="majorBidi" w:hAnsiTheme="majorBidi" w:cstheme="majorBidi"/>
                <w:szCs w:val="24"/>
              </w:rPr>
              <w:t>6440</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9"/>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proofErr w:type="spellStart"/>
            <w:r w:rsidRPr="00856429">
              <w:rPr>
                <w:rFonts w:asciiTheme="majorBidi" w:eastAsiaTheme="minorEastAsia" w:hAnsiTheme="majorBidi" w:cstheme="majorBidi"/>
                <w:szCs w:val="24"/>
                <w:lang w:eastAsia="ja-JP"/>
              </w:rPr>
              <w:t>E-meetings</w:t>
            </w:r>
            <w:proofErr w:type="spellEnd"/>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1E1AA97D"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This document describes actions taken in the past year to improve electronic work</w:t>
            </w:r>
            <w:r w:rsidR="00C10845">
              <w:rPr>
                <w:rFonts w:asciiTheme="majorBidi" w:hAnsiTheme="majorBidi" w:cstheme="majorBidi"/>
                <w:bCs/>
                <w:szCs w:val="24"/>
              </w:rPr>
              <w:t>ing</w:t>
            </w:r>
            <w:r w:rsidRPr="00856429">
              <w:rPr>
                <w:rFonts w:asciiTheme="majorBidi" w:hAnsiTheme="majorBidi" w:cstheme="majorBidi"/>
                <w:bCs/>
                <w:szCs w:val="24"/>
              </w:rPr>
              <w:t xml:space="preserve"> methods and tools for the membership.</w:t>
            </w:r>
          </w:p>
        </w:tc>
      </w:tr>
    </w:tbl>
    <w:p w14:paraId="5CCECE99" w14:textId="498248A6" w:rsidR="00503912" w:rsidRPr="00856429" w:rsidRDefault="00503912" w:rsidP="004A7DA8">
      <w:pPr>
        <w:pStyle w:val="Heading1"/>
        <w:rPr>
          <w:rFonts w:asciiTheme="majorBidi" w:hAnsiTheme="majorBidi" w:cstheme="majorBidi"/>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CCECE9A" w14:textId="77777777" w:rsidR="006A408F" w:rsidRPr="00856429" w:rsidRDefault="007C6E64" w:rsidP="00955722">
      <w:pPr>
        <w:pStyle w:val="Heading1"/>
        <w:rPr>
          <w:rFonts w:asciiTheme="majorBidi" w:hAnsiTheme="majorBidi" w:cstheme="majorBidi"/>
          <w:szCs w:val="24"/>
        </w:rPr>
      </w:pPr>
      <w:r w:rsidRPr="00856429">
        <w:rPr>
          <w:rFonts w:asciiTheme="majorBidi" w:hAnsiTheme="majorBidi" w:cstheme="majorBidi"/>
          <w:szCs w:val="24"/>
        </w:rPr>
        <w:t>1</w:t>
      </w:r>
      <w:r w:rsidRPr="00856429">
        <w:rPr>
          <w:rFonts w:asciiTheme="majorBidi" w:hAnsiTheme="majorBidi" w:cstheme="majorBidi"/>
          <w:szCs w:val="24"/>
        </w:rPr>
        <w:tab/>
      </w:r>
      <w:r w:rsidR="00955722" w:rsidRPr="00856429">
        <w:rPr>
          <w:rFonts w:asciiTheme="majorBidi" w:hAnsiTheme="majorBidi" w:cstheme="majorBidi"/>
          <w:szCs w:val="24"/>
        </w:rPr>
        <w:t>Developments on the ITU-T website</w:t>
      </w:r>
    </w:p>
    <w:p w14:paraId="5CCECE9B" w14:textId="0D44A7BB"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5CCECE9D" w14:textId="77777777" w:rsidR="00955722" w:rsidRPr="00856429" w:rsidRDefault="00955722" w:rsidP="004B4DE1">
      <w:pPr>
        <w:pStyle w:val="Heading2"/>
        <w:rPr>
          <w:rFonts w:asciiTheme="majorBidi" w:hAnsiTheme="majorBidi" w:cstheme="majorBidi"/>
          <w:szCs w:val="24"/>
        </w:rPr>
      </w:pPr>
      <w:r w:rsidRPr="00856429">
        <w:rPr>
          <w:rFonts w:asciiTheme="majorBidi" w:hAnsiTheme="majorBidi" w:cstheme="majorBidi"/>
          <w:szCs w:val="24"/>
        </w:rPr>
        <w:t>1.1</w:t>
      </w:r>
      <w:r w:rsidRPr="00856429">
        <w:rPr>
          <w:rFonts w:asciiTheme="majorBidi" w:hAnsiTheme="majorBidi" w:cstheme="majorBidi"/>
          <w:szCs w:val="24"/>
        </w:rPr>
        <w:tab/>
        <w:t xml:space="preserve">New ITU-T </w:t>
      </w:r>
      <w:r w:rsidR="004B4DE1" w:rsidRPr="00856429">
        <w:rPr>
          <w:rFonts w:asciiTheme="majorBidi" w:hAnsiTheme="majorBidi" w:cstheme="majorBidi"/>
          <w:szCs w:val="24"/>
        </w:rPr>
        <w:t>web areas</w:t>
      </w:r>
    </w:p>
    <w:p w14:paraId="5CCECE9E" w14:textId="71077D4E" w:rsidR="004B4DE1" w:rsidRPr="00856429" w:rsidRDefault="004B4DE1" w:rsidP="00BA7AE7">
      <w:pPr>
        <w:rPr>
          <w:rFonts w:asciiTheme="majorBidi" w:hAnsiTheme="majorBidi" w:cstheme="majorBidi"/>
          <w:szCs w:val="24"/>
        </w:rPr>
      </w:pPr>
      <w:r w:rsidRPr="00856429">
        <w:rPr>
          <w:rFonts w:asciiTheme="majorBidi" w:eastAsia="SimSun" w:hAnsiTheme="majorBidi" w:cstheme="majorBidi"/>
          <w:szCs w:val="24"/>
        </w:rPr>
        <w:t xml:space="preserve">Several new web areas have been created since TSAG </w:t>
      </w:r>
      <w:r w:rsidR="00E672B6">
        <w:rPr>
          <w:rFonts w:asciiTheme="majorBidi" w:eastAsia="SimSun" w:hAnsiTheme="majorBidi" w:cstheme="majorBidi"/>
          <w:szCs w:val="24"/>
        </w:rPr>
        <w:t>February 2020</w:t>
      </w:r>
      <w:r w:rsidR="006971C1" w:rsidRPr="00856429">
        <w:rPr>
          <w:rFonts w:asciiTheme="majorBidi" w:eastAsia="SimSun" w:hAnsiTheme="majorBidi" w:cstheme="majorBidi"/>
          <w:szCs w:val="24"/>
        </w:rPr>
        <w:t xml:space="preserve"> </w:t>
      </w:r>
      <w:r w:rsidRPr="00856429">
        <w:rPr>
          <w:rFonts w:asciiTheme="majorBidi" w:eastAsia="SimSun" w:hAnsiTheme="majorBidi" w:cstheme="majorBidi"/>
          <w:szCs w:val="24"/>
        </w:rPr>
        <w:t>including new web pages for focus group</w:t>
      </w:r>
      <w:r w:rsidR="00C10845">
        <w:rPr>
          <w:rFonts w:asciiTheme="majorBidi" w:eastAsia="SimSun" w:hAnsiTheme="majorBidi" w:cstheme="majorBidi"/>
          <w:szCs w:val="24"/>
        </w:rPr>
        <w:t>s</w:t>
      </w:r>
      <w:r w:rsidRPr="00856429">
        <w:rPr>
          <w:rFonts w:asciiTheme="majorBidi" w:eastAsia="SimSun" w:hAnsiTheme="majorBidi" w:cstheme="majorBidi"/>
          <w:szCs w:val="24"/>
        </w:rPr>
        <w:t xml:space="preserve">, special projects, </w:t>
      </w:r>
      <w:r w:rsidRPr="00856429">
        <w:rPr>
          <w:rFonts w:asciiTheme="majorBidi" w:hAnsiTheme="majorBidi" w:cstheme="majorBidi"/>
          <w:szCs w:val="24"/>
        </w:rPr>
        <w:t xml:space="preserve">workshops, </w:t>
      </w:r>
      <w:r w:rsidR="00CE2747" w:rsidRPr="00856429">
        <w:rPr>
          <w:rFonts w:asciiTheme="majorBidi" w:hAnsiTheme="majorBidi" w:cstheme="majorBidi"/>
          <w:szCs w:val="24"/>
        </w:rPr>
        <w:t>seminars,</w:t>
      </w:r>
      <w:r w:rsidRPr="00856429">
        <w:rPr>
          <w:rFonts w:asciiTheme="majorBidi" w:hAnsiTheme="majorBidi" w:cstheme="majorBidi"/>
          <w:szCs w:val="24"/>
        </w:rPr>
        <w:t xml:space="preserve"> and other events held by ITU-T. </w:t>
      </w:r>
    </w:p>
    <w:p w14:paraId="5CCECE9F" w14:textId="77777777" w:rsidR="008C4944" w:rsidRPr="00856429" w:rsidRDefault="008C4944" w:rsidP="004B4DE1">
      <w:pPr>
        <w:rPr>
          <w:rFonts w:asciiTheme="majorBidi" w:hAnsiTheme="majorBidi" w:cstheme="majorBidi"/>
          <w:szCs w:val="24"/>
        </w:rPr>
      </w:pPr>
      <w:r w:rsidRPr="00856429">
        <w:rPr>
          <w:rFonts w:asciiTheme="majorBidi" w:hAnsiTheme="majorBidi" w:cstheme="majorBidi"/>
          <w:szCs w:val="24"/>
        </w:rPr>
        <w:t>Some of the notable sites that have been created since the last TSAG meeting are:</w:t>
      </w:r>
    </w:p>
    <w:p w14:paraId="5CCECEA0" w14:textId="77777777" w:rsidR="00322B32" w:rsidRPr="00856429" w:rsidRDefault="00322B32" w:rsidP="004B4DE1">
      <w:pPr>
        <w:rPr>
          <w:rFonts w:asciiTheme="majorBidi" w:hAnsiTheme="majorBidi" w:cstheme="majorBidi"/>
          <w:bCs/>
          <w:szCs w:val="24"/>
          <w:lang w:val="en-US"/>
        </w:rPr>
      </w:pPr>
    </w:p>
    <w:p w14:paraId="347F666A" w14:textId="73B878BF" w:rsidR="00851B9F" w:rsidRPr="00851B9F" w:rsidRDefault="00851B9F" w:rsidP="004A6B17">
      <w:pPr>
        <w:pStyle w:val="ListParagraph"/>
        <w:numPr>
          <w:ilvl w:val="0"/>
          <w:numId w:val="30"/>
        </w:numPr>
        <w:rPr>
          <w:rFonts w:asciiTheme="majorBidi" w:hAnsiTheme="majorBidi" w:cstheme="majorBidi"/>
          <w:bCs/>
          <w:szCs w:val="24"/>
          <w:lang w:val="en-US"/>
        </w:rPr>
      </w:pPr>
      <w:r w:rsidRPr="00851B9F">
        <w:rPr>
          <w:rFonts w:asciiTheme="majorBidi" w:hAnsiTheme="majorBidi" w:cstheme="majorBidi"/>
          <w:bCs/>
          <w:szCs w:val="24"/>
          <w:lang w:val="en-US"/>
        </w:rPr>
        <w:t>ITU-T Focus Group on AI for Natural Disaster Management (FG-AI4NDM)</w:t>
      </w:r>
      <w:r w:rsidRPr="00851B9F">
        <w:rPr>
          <w:rFonts w:asciiTheme="majorBidi" w:hAnsiTheme="majorBidi" w:cstheme="majorBidi"/>
          <w:bCs/>
          <w:szCs w:val="24"/>
          <w:lang w:val="en-US"/>
        </w:rPr>
        <w:br/>
      </w:r>
      <w:r>
        <w:rPr>
          <w:rFonts w:asciiTheme="majorBidi" w:hAnsiTheme="majorBidi" w:cstheme="majorBidi"/>
          <w:bCs/>
          <w:szCs w:val="24"/>
          <w:lang w:val="en-US"/>
        </w:rPr>
        <w:t>(</w:t>
      </w:r>
      <w:hyperlink r:id="rId13" w:history="1">
        <w:r w:rsidRPr="003C2521">
          <w:rPr>
            <w:rStyle w:val="Hyperlink"/>
            <w:rFonts w:asciiTheme="majorBidi" w:hAnsiTheme="majorBidi" w:cstheme="majorBidi"/>
            <w:bCs/>
            <w:szCs w:val="24"/>
            <w:lang w:val="en-US"/>
          </w:rPr>
          <w:t>https://www.itu.int/en/ITU-T/focusgroups/ai4ndm/</w:t>
        </w:r>
      </w:hyperlink>
      <w:r>
        <w:rPr>
          <w:rFonts w:asciiTheme="majorBidi" w:hAnsiTheme="majorBidi" w:cstheme="majorBidi"/>
          <w:bCs/>
          <w:szCs w:val="24"/>
          <w:lang w:val="en-US"/>
        </w:rPr>
        <w:t>)</w:t>
      </w:r>
    </w:p>
    <w:p w14:paraId="14639C93" w14:textId="2E964B8B" w:rsidR="00851B9F" w:rsidRPr="00851B9F" w:rsidRDefault="00851B9F" w:rsidP="00C14FF2">
      <w:pPr>
        <w:pStyle w:val="ListParagraph"/>
        <w:numPr>
          <w:ilvl w:val="0"/>
          <w:numId w:val="30"/>
        </w:numPr>
        <w:rPr>
          <w:rFonts w:asciiTheme="majorBidi" w:hAnsiTheme="majorBidi" w:cstheme="majorBidi"/>
          <w:bCs/>
          <w:szCs w:val="24"/>
          <w:lang w:val="en-US"/>
        </w:rPr>
      </w:pPr>
      <w:r w:rsidRPr="00851B9F">
        <w:rPr>
          <w:rFonts w:asciiTheme="majorBidi" w:hAnsiTheme="majorBidi" w:cstheme="majorBidi"/>
          <w:bCs/>
          <w:szCs w:val="24"/>
          <w:lang w:val="en-US"/>
        </w:rPr>
        <w:t>ITU-T Focus Group on Autonomous Networks (FG-AN)</w:t>
      </w:r>
      <w:r w:rsidRPr="00851B9F">
        <w:rPr>
          <w:rFonts w:asciiTheme="majorBidi" w:hAnsiTheme="majorBidi" w:cstheme="majorBidi"/>
          <w:bCs/>
          <w:szCs w:val="24"/>
          <w:lang w:val="en-US"/>
        </w:rPr>
        <w:br/>
        <w:t>(</w:t>
      </w:r>
      <w:hyperlink r:id="rId14" w:history="1">
        <w:r w:rsidRPr="003C2521">
          <w:rPr>
            <w:rStyle w:val="Hyperlink"/>
            <w:rFonts w:asciiTheme="majorBidi" w:hAnsiTheme="majorBidi" w:cstheme="majorBidi"/>
            <w:bCs/>
            <w:szCs w:val="24"/>
            <w:lang w:val="en-US"/>
          </w:rPr>
          <w:t>https://www.itu.int/en/ITU-T/focusgroups/an/</w:t>
        </w:r>
      </w:hyperlink>
      <w:r>
        <w:rPr>
          <w:rFonts w:asciiTheme="majorBidi" w:hAnsiTheme="majorBidi" w:cstheme="majorBidi"/>
          <w:bCs/>
          <w:szCs w:val="24"/>
          <w:lang w:val="en-US"/>
        </w:rPr>
        <w:t>)</w:t>
      </w:r>
    </w:p>
    <w:p w14:paraId="0EBB380F" w14:textId="106FF5DB" w:rsidR="00851B9F" w:rsidRPr="00FD2ED5" w:rsidRDefault="00851B9F" w:rsidP="00D10B56">
      <w:pPr>
        <w:pStyle w:val="ListParagraph"/>
        <w:numPr>
          <w:ilvl w:val="0"/>
          <w:numId w:val="30"/>
        </w:numPr>
        <w:rPr>
          <w:rFonts w:asciiTheme="majorBidi" w:hAnsiTheme="majorBidi" w:cstheme="majorBidi"/>
          <w:bCs/>
          <w:szCs w:val="24"/>
          <w:lang w:val="fr-FR"/>
        </w:rPr>
      </w:pPr>
      <w:r w:rsidRPr="00FD2ED5">
        <w:rPr>
          <w:rFonts w:asciiTheme="majorBidi" w:hAnsiTheme="majorBidi" w:cstheme="majorBidi"/>
          <w:bCs/>
          <w:szCs w:val="24"/>
          <w:lang w:val="fr-FR"/>
        </w:rPr>
        <w:t>FNC-2021</w:t>
      </w:r>
      <w:r w:rsidR="0065748A" w:rsidRPr="00FD2ED5">
        <w:rPr>
          <w:rFonts w:asciiTheme="majorBidi" w:hAnsiTheme="majorBidi" w:cstheme="majorBidi"/>
          <w:bCs/>
          <w:szCs w:val="24"/>
          <w:lang w:val="fr-FR"/>
        </w:rPr>
        <w:t xml:space="preserve"> </w:t>
      </w:r>
      <w:r w:rsidRPr="00FD2ED5">
        <w:rPr>
          <w:rFonts w:asciiTheme="majorBidi" w:hAnsiTheme="majorBidi" w:cstheme="majorBidi"/>
          <w:bCs/>
          <w:szCs w:val="24"/>
          <w:lang w:val="fr-FR"/>
        </w:rPr>
        <w:br/>
        <w:t>(</w:t>
      </w:r>
      <w:r w:rsidR="00393F98">
        <w:fldChar w:fldCharType="begin"/>
      </w:r>
      <w:r w:rsidR="00393F98" w:rsidRPr="00393F98">
        <w:rPr>
          <w:lang w:val="fr-FR"/>
          <w:rPrChange w:id="10" w:author="Al-Mnini, Lara" w:date="2021-01-12T10:40:00Z">
            <w:rPr/>
          </w:rPrChange>
        </w:rPr>
        <w:instrText xml:space="preserve"> HYPERLINK "https://www.itu.int/en/fnc/2021/" </w:instrText>
      </w:r>
      <w:r w:rsidR="00393F98">
        <w:fldChar w:fldCharType="separate"/>
      </w:r>
      <w:r w:rsidRPr="00FD2ED5">
        <w:rPr>
          <w:rStyle w:val="Hyperlink"/>
          <w:rFonts w:asciiTheme="majorBidi" w:hAnsiTheme="majorBidi" w:cstheme="majorBidi"/>
          <w:bCs/>
          <w:szCs w:val="24"/>
          <w:lang w:val="fr-FR"/>
        </w:rPr>
        <w:t>https://www.itu.int/en/fnc/2021/</w:t>
      </w:r>
      <w:r w:rsidR="00393F98">
        <w:rPr>
          <w:rStyle w:val="Hyperlink"/>
          <w:rFonts w:asciiTheme="majorBidi" w:hAnsiTheme="majorBidi" w:cstheme="majorBidi"/>
          <w:bCs/>
          <w:szCs w:val="24"/>
          <w:lang w:val="fr-FR"/>
        </w:rPr>
        <w:fldChar w:fldCharType="end"/>
      </w:r>
      <w:r w:rsidRPr="00FD2ED5">
        <w:rPr>
          <w:rFonts w:asciiTheme="majorBidi" w:hAnsiTheme="majorBidi" w:cstheme="majorBidi"/>
          <w:bCs/>
          <w:szCs w:val="24"/>
          <w:lang w:val="fr-FR"/>
        </w:rPr>
        <w:t>)</w:t>
      </w:r>
    </w:p>
    <w:p w14:paraId="3BE674FB" w14:textId="2D043618" w:rsidR="00851B9F" w:rsidRPr="00851B9F" w:rsidRDefault="00851B9F" w:rsidP="0073591A">
      <w:pPr>
        <w:pStyle w:val="ListParagraph"/>
        <w:numPr>
          <w:ilvl w:val="0"/>
          <w:numId w:val="30"/>
        </w:numPr>
        <w:rPr>
          <w:rFonts w:asciiTheme="majorBidi" w:hAnsiTheme="majorBidi" w:cstheme="majorBidi"/>
          <w:bCs/>
          <w:szCs w:val="24"/>
          <w:lang w:val="en-US"/>
        </w:rPr>
      </w:pPr>
      <w:r w:rsidRPr="00851B9F">
        <w:rPr>
          <w:rFonts w:asciiTheme="majorBidi" w:hAnsiTheme="majorBidi" w:cstheme="majorBidi"/>
          <w:bCs/>
          <w:szCs w:val="24"/>
          <w:lang w:val="en-US"/>
        </w:rPr>
        <w:t>Internet of Bio-</w:t>
      </w:r>
      <w:proofErr w:type="spellStart"/>
      <w:r w:rsidRPr="00851B9F">
        <w:rPr>
          <w:rFonts w:asciiTheme="majorBidi" w:hAnsiTheme="majorBidi" w:cstheme="majorBidi"/>
          <w:bCs/>
          <w:szCs w:val="24"/>
          <w:lang w:val="en-US"/>
        </w:rPr>
        <w:t>NanoThings</w:t>
      </w:r>
      <w:proofErr w:type="spellEnd"/>
      <w:r w:rsidRPr="00851B9F">
        <w:rPr>
          <w:rFonts w:asciiTheme="majorBidi" w:hAnsiTheme="majorBidi" w:cstheme="majorBidi"/>
          <w:bCs/>
          <w:szCs w:val="24"/>
          <w:lang w:val="en-US"/>
        </w:rPr>
        <w:t xml:space="preserve"> for health applications</w:t>
      </w:r>
      <w:r w:rsidRPr="00851B9F">
        <w:rPr>
          <w:rFonts w:asciiTheme="majorBidi" w:hAnsiTheme="majorBidi" w:cstheme="majorBidi"/>
          <w:bCs/>
          <w:szCs w:val="24"/>
          <w:lang w:val="en-US"/>
        </w:rPr>
        <w:br/>
      </w:r>
      <w:r>
        <w:rPr>
          <w:rFonts w:asciiTheme="majorBidi" w:hAnsiTheme="majorBidi" w:cstheme="majorBidi"/>
          <w:bCs/>
          <w:szCs w:val="24"/>
          <w:lang w:val="en-US"/>
        </w:rPr>
        <w:t>(</w:t>
      </w:r>
      <w:hyperlink r:id="rId15" w:history="1">
        <w:r w:rsidRPr="003C2521">
          <w:rPr>
            <w:rStyle w:val="Hyperlink"/>
            <w:rFonts w:asciiTheme="majorBidi" w:hAnsiTheme="majorBidi" w:cstheme="majorBidi"/>
            <w:bCs/>
            <w:szCs w:val="24"/>
            <w:lang w:val="en-US"/>
          </w:rPr>
          <w:t>https://www.itu.int/en/journal/j-fet/2021/001/</w:t>
        </w:r>
      </w:hyperlink>
      <w:r>
        <w:rPr>
          <w:rFonts w:asciiTheme="majorBidi" w:hAnsiTheme="majorBidi" w:cstheme="majorBidi"/>
          <w:bCs/>
          <w:szCs w:val="24"/>
          <w:lang w:val="en-US"/>
        </w:rPr>
        <w:t>)</w:t>
      </w:r>
    </w:p>
    <w:p w14:paraId="322920C6" w14:textId="2279201A" w:rsidR="00851B9F" w:rsidRPr="00E10AB4" w:rsidRDefault="00851B9F" w:rsidP="005F1769">
      <w:pPr>
        <w:pStyle w:val="ListParagraph"/>
        <w:numPr>
          <w:ilvl w:val="0"/>
          <w:numId w:val="30"/>
        </w:numPr>
        <w:rPr>
          <w:rFonts w:asciiTheme="majorBidi" w:hAnsiTheme="majorBidi" w:cstheme="majorBidi"/>
          <w:bCs/>
          <w:szCs w:val="24"/>
          <w:lang w:val="en-US"/>
        </w:rPr>
      </w:pPr>
      <w:r w:rsidRPr="00E10AB4">
        <w:rPr>
          <w:rFonts w:asciiTheme="majorBidi" w:hAnsiTheme="majorBidi" w:cstheme="majorBidi"/>
          <w:bCs/>
          <w:szCs w:val="24"/>
          <w:lang w:val="en-US"/>
        </w:rPr>
        <w:t>Internet of Everything</w:t>
      </w:r>
      <w:r w:rsidR="00E10AB4" w:rsidRPr="00E10AB4">
        <w:rPr>
          <w:rFonts w:asciiTheme="majorBidi" w:hAnsiTheme="majorBidi" w:cstheme="majorBidi"/>
          <w:bCs/>
          <w:szCs w:val="24"/>
          <w:lang w:val="en-US"/>
        </w:rPr>
        <w:br/>
      </w:r>
      <w:r w:rsidR="00E10AB4">
        <w:rPr>
          <w:rFonts w:asciiTheme="majorBidi" w:hAnsiTheme="majorBidi" w:cstheme="majorBidi"/>
          <w:bCs/>
          <w:szCs w:val="24"/>
          <w:lang w:val="en-US"/>
        </w:rPr>
        <w:t>(</w:t>
      </w:r>
      <w:hyperlink r:id="rId16" w:history="1">
        <w:r w:rsidR="00E10AB4" w:rsidRPr="003C2521">
          <w:rPr>
            <w:rStyle w:val="Hyperlink"/>
            <w:rFonts w:asciiTheme="majorBidi" w:hAnsiTheme="majorBidi" w:cstheme="majorBidi"/>
            <w:bCs/>
            <w:szCs w:val="24"/>
            <w:lang w:val="en-US"/>
          </w:rPr>
          <w:t>https://www.itu.int/en/journal/j-fet/2021/002/</w:t>
        </w:r>
      </w:hyperlink>
      <w:r w:rsidR="00E10AB4" w:rsidRPr="00E10AB4">
        <w:rPr>
          <w:rFonts w:asciiTheme="majorBidi" w:hAnsiTheme="majorBidi" w:cstheme="majorBidi"/>
          <w:bCs/>
          <w:szCs w:val="24"/>
          <w:lang w:val="en-US"/>
        </w:rPr>
        <w:t>)</w:t>
      </w:r>
    </w:p>
    <w:p w14:paraId="67EBAC3F" w14:textId="3E420164" w:rsidR="00851B9F" w:rsidRPr="00FD2ED5" w:rsidRDefault="00851B9F" w:rsidP="00701E6D">
      <w:pPr>
        <w:pStyle w:val="ListParagraph"/>
        <w:numPr>
          <w:ilvl w:val="0"/>
          <w:numId w:val="30"/>
        </w:numPr>
        <w:rPr>
          <w:rFonts w:asciiTheme="majorBidi" w:hAnsiTheme="majorBidi" w:cstheme="majorBidi"/>
          <w:bCs/>
          <w:szCs w:val="24"/>
          <w:lang w:val="fr-FR"/>
        </w:rPr>
      </w:pPr>
      <w:proofErr w:type="spellStart"/>
      <w:r w:rsidRPr="00FD2ED5">
        <w:rPr>
          <w:rFonts w:asciiTheme="majorBidi" w:hAnsiTheme="majorBidi" w:cstheme="majorBidi"/>
          <w:bCs/>
          <w:szCs w:val="24"/>
          <w:lang w:val="fr-FR"/>
        </w:rPr>
        <w:t>Terahertz</w:t>
      </w:r>
      <w:proofErr w:type="spellEnd"/>
      <w:r w:rsidRPr="00FD2ED5">
        <w:rPr>
          <w:rFonts w:asciiTheme="majorBidi" w:hAnsiTheme="majorBidi" w:cstheme="majorBidi"/>
          <w:bCs/>
          <w:szCs w:val="24"/>
          <w:lang w:val="fr-FR"/>
        </w:rPr>
        <w:t xml:space="preserve"> communications</w:t>
      </w:r>
      <w:r w:rsidR="00E10AB4" w:rsidRPr="00FD2ED5">
        <w:rPr>
          <w:rFonts w:asciiTheme="majorBidi" w:hAnsiTheme="majorBidi" w:cstheme="majorBidi"/>
          <w:bCs/>
          <w:szCs w:val="24"/>
          <w:lang w:val="fr-FR"/>
        </w:rPr>
        <w:br/>
        <w:t>(</w:t>
      </w:r>
      <w:r w:rsidR="00393F98">
        <w:fldChar w:fldCharType="begin"/>
      </w:r>
      <w:r w:rsidR="00393F98" w:rsidRPr="00393F98">
        <w:rPr>
          <w:lang w:val="fr-FR"/>
          <w:rPrChange w:id="11" w:author="Al-Mnini, Lara" w:date="2021-01-12T10:40:00Z">
            <w:rPr/>
          </w:rPrChange>
        </w:rPr>
        <w:instrText xml:space="preserve"> HYPERLINK "https://www.itu.int/en/journal/j-fet/2021/003/" </w:instrText>
      </w:r>
      <w:r w:rsidR="00393F98">
        <w:fldChar w:fldCharType="separate"/>
      </w:r>
      <w:r w:rsidR="00E10AB4" w:rsidRPr="00FD2ED5">
        <w:rPr>
          <w:rStyle w:val="Hyperlink"/>
          <w:rFonts w:asciiTheme="majorBidi" w:hAnsiTheme="majorBidi" w:cstheme="majorBidi"/>
          <w:bCs/>
          <w:szCs w:val="24"/>
          <w:lang w:val="fr-FR"/>
        </w:rPr>
        <w:t>https://www.itu.int/en/journal/j-fet/2021/003/</w:t>
      </w:r>
      <w:r w:rsidR="00393F98">
        <w:rPr>
          <w:rStyle w:val="Hyperlink"/>
          <w:rFonts w:asciiTheme="majorBidi" w:hAnsiTheme="majorBidi" w:cstheme="majorBidi"/>
          <w:bCs/>
          <w:szCs w:val="24"/>
          <w:lang w:val="fr-FR"/>
        </w:rPr>
        <w:fldChar w:fldCharType="end"/>
      </w:r>
      <w:r w:rsidR="00E10AB4" w:rsidRPr="00FD2ED5">
        <w:rPr>
          <w:rFonts w:asciiTheme="majorBidi" w:hAnsiTheme="majorBidi" w:cstheme="majorBidi"/>
          <w:bCs/>
          <w:szCs w:val="24"/>
          <w:lang w:val="fr-FR"/>
        </w:rPr>
        <w:t>)</w:t>
      </w:r>
    </w:p>
    <w:p w14:paraId="2D1B0A09" w14:textId="18988B23" w:rsidR="00851B9F" w:rsidRPr="00E10AB4" w:rsidRDefault="00851B9F" w:rsidP="00F65FF4">
      <w:pPr>
        <w:pStyle w:val="ListParagraph"/>
        <w:numPr>
          <w:ilvl w:val="0"/>
          <w:numId w:val="30"/>
        </w:numPr>
        <w:rPr>
          <w:rFonts w:asciiTheme="majorBidi" w:hAnsiTheme="majorBidi" w:cstheme="majorBidi"/>
          <w:bCs/>
          <w:szCs w:val="24"/>
          <w:lang w:val="en-US"/>
        </w:rPr>
      </w:pPr>
      <w:r w:rsidRPr="00E10AB4">
        <w:rPr>
          <w:rFonts w:asciiTheme="majorBidi" w:hAnsiTheme="majorBidi" w:cstheme="majorBidi"/>
          <w:bCs/>
          <w:szCs w:val="24"/>
          <w:lang w:val="en-US"/>
        </w:rPr>
        <w:lastRenderedPageBreak/>
        <w:t>Wireless communication systems in beyond 5G era</w:t>
      </w:r>
      <w:r w:rsidR="00E10AB4" w:rsidRPr="00E10AB4">
        <w:rPr>
          <w:rFonts w:asciiTheme="majorBidi" w:hAnsiTheme="majorBidi" w:cstheme="majorBidi"/>
          <w:bCs/>
          <w:szCs w:val="24"/>
          <w:lang w:val="en-US"/>
        </w:rPr>
        <w:br/>
      </w:r>
      <w:r w:rsidR="00E10AB4">
        <w:rPr>
          <w:rFonts w:asciiTheme="majorBidi" w:hAnsiTheme="majorBidi" w:cstheme="majorBidi"/>
          <w:bCs/>
          <w:szCs w:val="24"/>
          <w:lang w:val="en-US"/>
        </w:rPr>
        <w:t>(</w:t>
      </w:r>
      <w:hyperlink r:id="rId17" w:history="1">
        <w:r w:rsidR="00E10AB4" w:rsidRPr="003C2521">
          <w:rPr>
            <w:rStyle w:val="Hyperlink"/>
            <w:rFonts w:asciiTheme="majorBidi" w:hAnsiTheme="majorBidi" w:cstheme="majorBidi"/>
            <w:bCs/>
            <w:szCs w:val="24"/>
            <w:lang w:val="en-US"/>
          </w:rPr>
          <w:t>https://www.itu.int/en/journal/j-fet/2021/004/</w:t>
        </w:r>
      </w:hyperlink>
      <w:r w:rsidR="00E10AB4">
        <w:rPr>
          <w:rFonts w:asciiTheme="majorBidi" w:hAnsiTheme="majorBidi" w:cstheme="majorBidi"/>
          <w:bCs/>
          <w:szCs w:val="24"/>
          <w:lang w:val="en-US"/>
        </w:rPr>
        <w:t>)</w:t>
      </w:r>
    </w:p>
    <w:p w14:paraId="10322C24" w14:textId="39DA10D0" w:rsidR="00851B9F" w:rsidRPr="00E10AB4" w:rsidRDefault="00851B9F" w:rsidP="002008B4">
      <w:pPr>
        <w:pStyle w:val="ListParagraph"/>
        <w:numPr>
          <w:ilvl w:val="0"/>
          <w:numId w:val="30"/>
        </w:numPr>
        <w:rPr>
          <w:rFonts w:asciiTheme="majorBidi" w:hAnsiTheme="majorBidi" w:cstheme="majorBidi"/>
          <w:bCs/>
          <w:szCs w:val="24"/>
          <w:lang w:val="en-US"/>
        </w:rPr>
      </w:pPr>
      <w:r w:rsidRPr="00E10AB4">
        <w:rPr>
          <w:rFonts w:asciiTheme="majorBidi" w:hAnsiTheme="majorBidi" w:cstheme="majorBidi"/>
          <w:bCs/>
          <w:szCs w:val="24"/>
          <w:lang w:val="en-US"/>
        </w:rPr>
        <w:t>AI and machine learning solutions in 5G and future networks</w:t>
      </w:r>
      <w:r w:rsidR="00E10AB4" w:rsidRPr="00E10AB4">
        <w:rPr>
          <w:rFonts w:asciiTheme="majorBidi" w:hAnsiTheme="majorBidi" w:cstheme="majorBidi"/>
          <w:bCs/>
          <w:szCs w:val="24"/>
          <w:lang w:val="en-US"/>
        </w:rPr>
        <w:br/>
        <w:t>(</w:t>
      </w:r>
      <w:hyperlink r:id="rId18" w:history="1">
        <w:r w:rsidR="00E10AB4" w:rsidRPr="003C2521">
          <w:rPr>
            <w:rStyle w:val="Hyperlink"/>
            <w:rFonts w:asciiTheme="majorBidi" w:hAnsiTheme="majorBidi" w:cstheme="majorBidi"/>
            <w:bCs/>
            <w:szCs w:val="24"/>
            <w:lang w:val="en-US"/>
          </w:rPr>
          <w:t>https://www.itu.int/en/journal/j-fet/2021/005/</w:t>
        </w:r>
      </w:hyperlink>
      <w:r w:rsidR="00E10AB4">
        <w:rPr>
          <w:rFonts w:asciiTheme="majorBidi" w:hAnsiTheme="majorBidi" w:cstheme="majorBidi"/>
          <w:bCs/>
          <w:szCs w:val="24"/>
          <w:lang w:val="en-US"/>
        </w:rPr>
        <w:t>)</w:t>
      </w:r>
    </w:p>
    <w:p w14:paraId="5CCECEA9" w14:textId="77777777" w:rsidR="00BA71B4" w:rsidRPr="00856429" w:rsidRDefault="00BA71B4" w:rsidP="00BA71B4">
      <w:pPr>
        <w:pStyle w:val="Heading1"/>
        <w:rPr>
          <w:rFonts w:asciiTheme="majorBidi" w:hAnsiTheme="majorBidi" w:cstheme="majorBidi"/>
          <w:szCs w:val="24"/>
        </w:rPr>
      </w:pPr>
      <w:r w:rsidRPr="00856429">
        <w:rPr>
          <w:rFonts w:asciiTheme="majorBidi" w:hAnsiTheme="majorBidi" w:cstheme="majorBidi"/>
          <w:szCs w:val="24"/>
        </w:rPr>
        <w:t>2</w:t>
      </w:r>
      <w:r w:rsidRPr="00856429">
        <w:rPr>
          <w:rFonts w:asciiTheme="majorBidi" w:hAnsiTheme="majorBidi" w:cstheme="majorBidi"/>
          <w:szCs w:val="24"/>
        </w:rPr>
        <w:tab/>
        <w:t>Tools and Applications</w:t>
      </w:r>
    </w:p>
    <w:p w14:paraId="5CCECEAA" w14:textId="70B427A2" w:rsidR="00DA6736" w:rsidRPr="00856429"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w:t>
      </w:r>
      <w:r w:rsidR="00C10845">
        <w:rPr>
          <w:rFonts w:asciiTheme="majorBidi" w:hAnsiTheme="majorBidi" w:cstheme="majorBidi"/>
          <w:szCs w:val="24"/>
          <w:lang w:val="en-US"/>
        </w:rPr>
        <w:t>,</w:t>
      </w:r>
      <w:r w:rsidR="00F40731" w:rsidRPr="00856429">
        <w:rPr>
          <w:rFonts w:asciiTheme="majorBidi" w:hAnsiTheme="majorBidi" w:cstheme="majorBidi"/>
          <w:szCs w:val="24"/>
          <w:lang w:val="en-US"/>
        </w:rPr>
        <w:t xml:space="preserve"> ITU IS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5CCECEAB" w14:textId="77777777" w:rsidR="0013032F" w:rsidRPr="00856429" w:rsidRDefault="0013032F" w:rsidP="00DD0C6B">
      <w:pPr>
        <w:pStyle w:val="Heading2"/>
        <w:rPr>
          <w:rFonts w:asciiTheme="majorBidi" w:hAnsiTheme="majorBidi" w:cstheme="majorBidi"/>
          <w:szCs w:val="24"/>
        </w:rPr>
      </w:pPr>
      <w:r w:rsidRPr="00856429">
        <w:rPr>
          <w:rFonts w:asciiTheme="majorBidi" w:hAnsiTheme="majorBidi" w:cstheme="majorBidi"/>
          <w:szCs w:val="24"/>
        </w:rPr>
        <w:t>2.</w:t>
      </w:r>
      <w:r w:rsidR="00DD0C6B" w:rsidRPr="00856429">
        <w:rPr>
          <w:rFonts w:asciiTheme="majorBidi" w:hAnsiTheme="majorBidi" w:cstheme="majorBidi"/>
          <w:szCs w:val="24"/>
        </w:rPr>
        <w:t>1</w:t>
      </w:r>
      <w:r w:rsidRPr="00856429">
        <w:rPr>
          <w:rFonts w:asciiTheme="majorBidi" w:hAnsiTheme="majorBidi" w:cstheme="majorBidi"/>
          <w:szCs w:val="24"/>
        </w:rPr>
        <w:tab/>
      </w:r>
      <w:r w:rsidR="00124213" w:rsidRPr="00856429">
        <w:rPr>
          <w:rFonts w:asciiTheme="majorBidi" w:hAnsiTheme="majorBidi" w:cstheme="majorBidi"/>
          <w:szCs w:val="24"/>
        </w:rPr>
        <w:t>D</w:t>
      </w:r>
      <w:r w:rsidRPr="00856429">
        <w:rPr>
          <w:rFonts w:asciiTheme="majorBidi" w:hAnsiTheme="majorBidi" w:cstheme="majorBidi"/>
          <w:szCs w:val="24"/>
        </w:rPr>
        <w:t xml:space="preserve">ocument </w:t>
      </w:r>
      <w:r w:rsidR="00124213" w:rsidRPr="00856429">
        <w:rPr>
          <w:rFonts w:asciiTheme="majorBidi" w:hAnsiTheme="majorBidi" w:cstheme="majorBidi"/>
          <w:szCs w:val="24"/>
        </w:rPr>
        <w:t>M</w:t>
      </w:r>
      <w:r w:rsidRPr="00856429">
        <w:rPr>
          <w:rFonts w:asciiTheme="majorBidi" w:hAnsiTheme="majorBidi" w:cstheme="majorBidi"/>
          <w:szCs w:val="24"/>
        </w:rPr>
        <w:t>anagem</w:t>
      </w:r>
      <w:r w:rsidR="00124213" w:rsidRPr="00856429">
        <w:rPr>
          <w:rFonts w:asciiTheme="majorBidi" w:hAnsiTheme="majorBidi" w:cstheme="majorBidi"/>
          <w:szCs w:val="24"/>
        </w:rPr>
        <w:t>ent System for Rapporteur Group Meetings</w:t>
      </w:r>
    </w:p>
    <w:p w14:paraId="789F948A" w14:textId="4A616637"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w:t>
      </w:r>
      <w:r w:rsidR="00147E6D">
        <w:rPr>
          <w:rFonts w:asciiTheme="majorBidi" w:hAnsiTheme="majorBidi" w:cstheme="majorBidi"/>
          <w:szCs w:val="24"/>
        </w:rPr>
        <w:t>es</w:t>
      </w:r>
      <w:r w:rsidRPr="00856429">
        <w:rPr>
          <w:rFonts w:asciiTheme="majorBidi" w:hAnsiTheme="majorBidi" w:cstheme="majorBidi"/>
          <w:szCs w:val="24"/>
        </w:rPr>
        <w:t xml:space="preserve"> to be used extensively by a majority of the ITU-T Study Groups </w:t>
      </w:r>
      <w:proofErr w:type="gramStart"/>
      <w:r w:rsidRPr="00856429">
        <w:rPr>
          <w:rFonts w:asciiTheme="majorBidi" w:hAnsiTheme="majorBidi" w:cstheme="majorBidi"/>
          <w:szCs w:val="24"/>
        </w:rPr>
        <w:t>notably</w:t>
      </w:r>
      <w:proofErr w:type="gramEnd"/>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19"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20"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1" w:history="1">
        <w:r w:rsidR="003D0806" w:rsidRPr="00856429">
          <w:rPr>
            <w:rStyle w:val="Hyperlink"/>
            <w:rFonts w:asciiTheme="majorBidi" w:hAnsiTheme="majorBidi" w:cstheme="majorBidi"/>
            <w:szCs w:val="24"/>
          </w:rPr>
          <w:t>http://itu.int/go/itu-t/rgm-guide</w:t>
        </w:r>
      </w:hyperlink>
    </w:p>
    <w:p w14:paraId="5CCECEB7" w14:textId="159B2945" w:rsidR="00483D42" w:rsidRPr="00856429"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BB7AEA">
        <w:rPr>
          <w:rFonts w:asciiTheme="majorBidi" w:hAnsiTheme="majorBidi" w:cstheme="majorBidi"/>
          <w:szCs w:val="24"/>
        </w:rPr>
        <w:t>.</w:t>
      </w:r>
      <w:r w:rsidR="00A3287C" w:rsidRPr="00856429">
        <w:rPr>
          <w:rFonts w:asciiTheme="majorBidi" w:hAnsiTheme="majorBidi" w:cstheme="majorBidi"/>
          <w:szCs w:val="24"/>
        </w:rPr>
        <w:t xml:space="preserve"> </w:t>
      </w:r>
      <w:r w:rsidR="00BB7AEA">
        <w:rPr>
          <w:rFonts w:asciiTheme="majorBidi" w:hAnsiTheme="majorBidi" w:cstheme="majorBidi"/>
          <w:szCs w:val="24"/>
        </w:rPr>
        <w:t>It</w:t>
      </w:r>
      <w:r w:rsidR="00BB7AEA" w:rsidRPr="00856429">
        <w:rPr>
          <w:rFonts w:asciiTheme="majorBidi" w:hAnsiTheme="majorBidi" w:cstheme="majorBidi"/>
          <w:szCs w:val="24"/>
        </w:rPr>
        <w:t xml:space="preserve"> </w:t>
      </w:r>
      <w:r w:rsidR="00A3287C" w:rsidRPr="00856429">
        <w:rPr>
          <w:rFonts w:asciiTheme="majorBidi" w:hAnsiTheme="majorBidi" w:cstheme="majorBidi"/>
          <w:szCs w:val="24"/>
        </w:rPr>
        <w:t xml:space="preserve">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5CCECEB8" w14:textId="77777777" w:rsidR="00212DC5" w:rsidRPr="00856429" w:rsidRDefault="00212DC5" w:rsidP="00212DC5">
      <w:pPr>
        <w:pStyle w:val="Heading2"/>
        <w:rPr>
          <w:rFonts w:asciiTheme="majorBidi" w:hAnsiTheme="majorBidi" w:cstheme="majorBidi"/>
          <w:szCs w:val="24"/>
        </w:rPr>
      </w:pPr>
      <w:r w:rsidRPr="00856429">
        <w:rPr>
          <w:rFonts w:asciiTheme="majorBidi" w:hAnsiTheme="majorBidi" w:cstheme="majorBidi"/>
          <w:szCs w:val="24"/>
        </w:rPr>
        <w:t>2.2</w:t>
      </w:r>
      <w:r w:rsidRPr="00856429">
        <w:rPr>
          <w:rFonts w:asciiTheme="majorBidi" w:hAnsiTheme="majorBidi" w:cstheme="majorBidi"/>
          <w:szCs w:val="24"/>
        </w:rPr>
        <w:tab/>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The ITU-T SharePoint Collaboration sites have been developed to further improve the electronic working methods of ITU-T Study Groups, Focus </w:t>
      </w:r>
      <w:proofErr w:type="gramStart"/>
      <w:r w:rsidRPr="00856429">
        <w:rPr>
          <w:rFonts w:asciiTheme="majorBidi" w:hAnsiTheme="majorBidi" w:cstheme="majorBidi"/>
          <w:szCs w:val="24"/>
        </w:rPr>
        <w:t>Groups</w:t>
      </w:r>
      <w:proofErr w:type="gramEnd"/>
      <w:r w:rsidRPr="00856429">
        <w:rPr>
          <w:rFonts w:asciiTheme="majorBidi" w:hAnsiTheme="majorBidi" w:cstheme="majorBidi"/>
          <w:szCs w:val="24"/>
        </w:rPr>
        <w:t xml:space="preserve"> and other groups. The collaboration sites allow participants to conduct online discussions, work on projects, make meeting plans or schedules, manage and store documents in a secure and shared environment.</w:t>
      </w:r>
    </w:p>
    <w:p w14:paraId="36FC398A" w14:textId="77777777" w:rsidR="00F66EAF" w:rsidRPr="00856429"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2"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3236CF5A" w14:textId="4A842711" w:rsidR="00F66EAF" w:rsidRPr="00856429" w:rsidRDefault="00F66EAF" w:rsidP="005732A9">
      <w:pPr>
        <w:pStyle w:val="NormalWeb"/>
        <w:spacing w:before="120" w:after="120"/>
        <w:rPr>
          <w:rFonts w:asciiTheme="majorBidi" w:hAnsiTheme="majorBidi" w:cstheme="majorBidi"/>
          <w:sz w:val="24"/>
          <w:szCs w:val="24"/>
          <w:lang w:val="en-GB"/>
        </w:rPr>
      </w:pPr>
      <w:r w:rsidRPr="00856429">
        <w:rPr>
          <w:rFonts w:asciiTheme="majorBidi" w:hAnsiTheme="majorBidi" w:cstheme="majorBidi"/>
          <w:sz w:val="24"/>
          <w:szCs w:val="24"/>
          <w:lang w:val="en-GB"/>
        </w:rPr>
        <w:t xml:space="preserve">Some notable ITU-T Collaboration sites </w:t>
      </w:r>
      <w:r w:rsidR="005732A9" w:rsidRPr="00856429">
        <w:rPr>
          <w:rFonts w:asciiTheme="majorBidi" w:hAnsiTheme="majorBidi" w:cstheme="majorBidi"/>
          <w:sz w:val="24"/>
          <w:szCs w:val="24"/>
          <w:lang w:val="en-GB"/>
        </w:rPr>
        <w:t>created since the last TSAG meeting</w:t>
      </w:r>
      <w:r w:rsidRPr="00856429">
        <w:rPr>
          <w:rFonts w:asciiTheme="majorBidi" w:hAnsiTheme="majorBidi" w:cstheme="majorBidi"/>
          <w:sz w:val="24"/>
          <w:szCs w:val="24"/>
          <w:lang w:val="en-GB"/>
        </w:rPr>
        <w:t xml:space="preserve"> are:</w:t>
      </w:r>
    </w:p>
    <w:p w14:paraId="7E78A7FA" w14:textId="2F39DD2C" w:rsidR="005732A9" w:rsidRPr="008F593F" w:rsidRDefault="0065748A" w:rsidP="005732A9">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65748A">
        <w:rPr>
          <w:rFonts w:asciiTheme="majorBidi" w:eastAsia="SimSun" w:hAnsiTheme="majorBidi" w:cstheme="majorBidi"/>
          <w:szCs w:val="24"/>
          <w:lang w:eastAsia="zh-CN"/>
        </w:rPr>
        <w:t>Joint IEC-ISO-ITU Smart Cities Task Force (J-SCTF)</w:t>
      </w:r>
      <w:r>
        <w:rPr>
          <w:rFonts w:asciiTheme="majorBidi" w:eastAsia="SimSun" w:hAnsiTheme="majorBidi" w:cstheme="majorBidi"/>
          <w:szCs w:val="24"/>
          <w:lang w:eastAsia="zh-CN"/>
        </w:rPr>
        <w:br/>
        <w:t>(</w:t>
      </w:r>
      <w:hyperlink r:id="rId23" w:history="1">
        <w:r w:rsidRPr="003C2521">
          <w:rPr>
            <w:rStyle w:val="Hyperlink"/>
            <w:rFonts w:asciiTheme="majorBidi" w:eastAsia="SimSun" w:hAnsiTheme="majorBidi" w:cstheme="majorBidi"/>
            <w:szCs w:val="24"/>
            <w:lang w:eastAsia="zh-CN"/>
          </w:rPr>
          <w:t>https://extranet.itu.int/sites/itu-t/initiatives/J-SCTF/</w:t>
        </w:r>
      </w:hyperlink>
      <w:r>
        <w:rPr>
          <w:rFonts w:asciiTheme="majorBidi" w:eastAsia="SimSun" w:hAnsiTheme="majorBidi" w:cstheme="majorBidi"/>
          <w:szCs w:val="24"/>
          <w:lang w:eastAsia="zh-CN"/>
        </w:rPr>
        <w:t>)</w:t>
      </w:r>
    </w:p>
    <w:p w14:paraId="71B92059" w14:textId="4BCC9301" w:rsidR="00AD49DD" w:rsidRDefault="0065748A" w:rsidP="00AD49DD">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65748A">
        <w:rPr>
          <w:rStyle w:val="Hyperlink"/>
          <w:rFonts w:asciiTheme="majorBidi" w:eastAsia="SimSun" w:hAnsiTheme="majorBidi" w:cstheme="majorBidi"/>
          <w:color w:val="auto"/>
          <w:szCs w:val="24"/>
          <w:u w:val="none"/>
          <w:lang w:eastAsia="zh-CN"/>
        </w:rPr>
        <w:t>Focus Group on AI for Natural Disaster Management (FG-AI4NDM)</w:t>
      </w:r>
      <w:r>
        <w:rPr>
          <w:rStyle w:val="Hyperlink"/>
          <w:rFonts w:asciiTheme="majorBidi" w:eastAsia="SimSun" w:hAnsiTheme="majorBidi" w:cstheme="majorBidi"/>
          <w:color w:val="auto"/>
          <w:szCs w:val="24"/>
          <w:u w:val="none"/>
          <w:lang w:eastAsia="zh-CN"/>
        </w:rPr>
        <w:br/>
        <w:t>(</w:t>
      </w:r>
      <w:hyperlink r:id="rId24" w:history="1">
        <w:r w:rsidRPr="003C2521">
          <w:rPr>
            <w:rStyle w:val="Hyperlink"/>
            <w:rFonts w:asciiTheme="majorBidi" w:eastAsia="SimSun" w:hAnsiTheme="majorBidi" w:cstheme="majorBidi"/>
            <w:szCs w:val="24"/>
            <w:lang w:eastAsia="zh-CN"/>
          </w:rPr>
          <w:t>https://extranet.itu.int/sites/itu-t/focusgroups/ai4ndm/</w:t>
        </w:r>
      </w:hyperlink>
      <w:r>
        <w:rPr>
          <w:rStyle w:val="Hyperlink"/>
          <w:rFonts w:asciiTheme="majorBidi" w:eastAsia="SimSun" w:hAnsiTheme="majorBidi" w:cstheme="majorBidi"/>
          <w:color w:val="auto"/>
          <w:szCs w:val="24"/>
          <w:u w:val="none"/>
          <w:lang w:eastAsia="zh-CN"/>
        </w:rPr>
        <w:t>)</w:t>
      </w:r>
    </w:p>
    <w:p w14:paraId="082905F5" w14:textId="2A2FBDB1" w:rsidR="00AD49DD" w:rsidRPr="004C4060" w:rsidRDefault="00AF5F4A" w:rsidP="00AD49DD">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AF5F4A">
        <w:rPr>
          <w:rStyle w:val="Hyperlink"/>
          <w:rFonts w:asciiTheme="majorBidi" w:eastAsia="SimSun" w:hAnsiTheme="majorBidi" w:cstheme="majorBidi"/>
          <w:color w:val="auto"/>
          <w:szCs w:val="24"/>
          <w:u w:val="none"/>
          <w:lang w:eastAsia="zh-CN"/>
        </w:rPr>
        <w:t>Focus Group on Autonomous Networks (FG-AN)</w:t>
      </w:r>
      <w:r>
        <w:rPr>
          <w:rStyle w:val="Hyperlink"/>
          <w:rFonts w:asciiTheme="majorBidi" w:eastAsia="SimSun" w:hAnsiTheme="majorBidi" w:cstheme="majorBidi"/>
          <w:color w:val="auto"/>
          <w:szCs w:val="24"/>
          <w:u w:val="none"/>
          <w:lang w:eastAsia="zh-CN"/>
        </w:rPr>
        <w:br/>
        <w:t>(</w:t>
      </w:r>
      <w:hyperlink r:id="rId25" w:history="1">
        <w:r w:rsidRPr="003C2521">
          <w:rPr>
            <w:rStyle w:val="Hyperlink"/>
            <w:rFonts w:asciiTheme="majorBidi" w:eastAsia="SimSun" w:hAnsiTheme="majorBidi" w:cstheme="majorBidi"/>
            <w:szCs w:val="24"/>
            <w:lang w:eastAsia="zh-CN"/>
          </w:rPr>
          <w:t>https://extranet.itu.int/sites/itu-t/focusgroups/an/</w:t>
        </w:r>
      </w:hyperlink>
      <w:r>
        <w:rPr>
          <w:rStyle w:val="Hyperlink"/>
          <w:rFonts w:asciiTheme="majorBidi" w:eastAsia="SimSun" w:hAnsiTheme="majorBidi" w:cstheme="majorBidi"/>
          <w:color w:val="auto"/>
          <w:szCs w:val="24"/>
          <w:u w:val="none"/>
          <w:lang w:eastAsia="zh-CN"/>
        </w:rPr>
        <w:t>)</w:t>
      </w:r>
    </w:p>
    <w:p w14:paraId="03BE5689" w14:textId="70A913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A support site which contains a knowledge base of FAQs and user guides on the various SharePoint services is also available at: </w:t>
      </w:r>
      <w:hyperlink r:id="rId26"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16388F91" w14:textId="36C3FFAD" w:rsidR="00304100" w:rsidRPr="00856429" w:rsidRDefault="00304100" w:rsidP="00304100">
      <w:pPr>
        <w:pStyle w:val="Heading2"/>
        <w:rPr>
          <w:rFonts w:asciiTheme="majorBidi" w:hAnsiTheme="majorBidi" w:cstheme="majorBidi"/>
          <w:bCs/>
          <w:szCs w:val="24"/>
        </w:rPr>
      </w:pPr>
      <w:bookmarkStart w:id="12" w:name="_Toc531592354"/>
      <w:bookmarkStart w:id="13" w:name="_Hlk49861831"/>
      <w:r w:rsidRPr="00856429">
        <w:rPr>
          <w:rFonts w:asciiTheme="majorBidi" w:hAnsiTheme="majorBidi" w:cstheme="majorBidi"/>
          <w:bCs/>
          <w:szCs w:val="24"/>
        </w:rPr>
        <w:lastRenderedPageBreak/>
        <w:t>2.3</w:t>
      </w:r>
      <w:r w:rsidRPr="00856429">
        <w:rPr>
          <w:rFonts w:asciiTheme="majorBidi" w:hAnsiTheme="majorBidi" w:cstheme="majorBidi"/>
          <w:bCs/>
          <w:szCs w:val="24"/>
        </w:rPr>
        <w:tab/>
      </w:r>
      <w:proofErr w:type="spellStart"/>
      <w:r w:rsidRPr="00856429">
        <w:rPr>
          <w:rFonts w:asciiTheme="majorBidi" w:hAnsiTheme="majorBidi" w:cstheme="majorBidi"/>
          <w:bCs/>
          <w:szCs w:val="24"/>
        </w:rPr>
        <w:t>MyWorkspace</w:t>
      </w:r>
      <w:bookmarkEnd w:id="12"/>
      <w:proofErr w:type="spellEnd"/>
    </w:p>
    <w:p w14:paraId="4FA6D02D" w14:textId="77777777" w:rsidR="00666B69" w:rsidRPr="00666B69" w:rsidRDefault="00393F98" w:rsidP="00666B69">
      <w:pPr>
        <w:pStyle w:val="paragraph"/>
        <w:spacing w:before="120" w:beforeAutospacing="0" w:after="0" w:afterAutospacing="0"/>
        <w:textAlignment w:val="baseline"/>
        <w:rPr>
          <w:rStyle w:val="normaltextrun"/>
          <w:rFonts w:ascii="Times New Roman" w:hAnsi="Times New Roman" w:cs="Times New Roman"/>
          <w:sz w:val="24"/>
          <w:szCs w:val="24"/>
        </w:rPr>
      </w:pPr>
      <w:hyperlink r:id="rId27" w:history="1">
        <w:proofErr w:type="spellStart"/>
        <w:r w:rsidR="00666B69" w:rsidRPr="00666B69">
          <w:rPr>
            <w:rStyle w:val="Hyperlink"/>
            <w:rFonts w:ascii="Times New Roman" w:hAnsi="Times New Roman" w:cs="Times New Roman"/>
            <w:sz w:val="24"/>
            <w:szCs w:val="24"/>
          </w:rPr>
          <w:t>MyWorkspace</w:t>
        </w:r>
        <w:proofErr w:type="spellEnd"/>
      </w:hyperlink>
      <w:r w:rsidR="00666B69" w:rsidRPr="00666B69">
        <w:rPr>
          <w:rFonts w:ascii="Times New Roman" w:hAnsi="Times New Roman" w:cs="Times New Roman"/>
          <w:sz w:val="24"/>
          <w:szCs w:val="24"/>
        </w:rPr>
        <w:t xml:space="preserve"> </w:t>
      </w:r>
      <w:r w:rsidR="00666B69" w:rsidRPr="00666B69">
        <w:rPr>
          <w:rStyle w:val="normaltextrun"/>
          <w:rFonts w:ascii="Times New Roman" w:hAnsi="Times New Roman" w:cs="Times New Roman"/>
          <w:sz w:val="24"/>
          <w:szCs w:val="24"/>
        </w:rPr>
        <w:t xml:space="preserve">is a user-friendly </w:t>
      </w:r>
      <w:r w:rsidR="00666B69" w:rsidRPr="00666B69">
        <w:rPr>
          <w:rStyle w:val="normaltextrun"/>
          <w:rFonts w:ascii="Times New Roman" w:hAnsi="Times New Roman" w:cs="Times New Roman"/>
          <w:color w:val="000000"/>
          <w:sz w:val="24"/>
          <w:szCs w:val="24"/>
        </w:rPr>
        <w:t>mobile</w:t>
      </w:r>
      <w:r w:rsidR="00666B69" w:rsidRPr="00666B69">
        <w:rPr>
          <w:rStyle w:val="normaltextrun"/>
          <w:rFonts w:ascii="Times New Roman" w:hAnsi="Times New Roman" w:cs="Times New Roman"/>
          <w:sz w:val="24"/>
          <w:szCs w:val="24"/>
        </w:rPr>
        <w:t xml:space="preserve"> platform that centralizes a set of applications and services developed to </w:t>
      </w:r>
      <w:r w:rsidR="00666B69" w:rsidRPr="00666B69">
        <w:rPr>
          <w:rStyle w:val="normaltextrun"/>
          <w:rFonts w:ascii="Times New Roman" w:hAnsi="Times New Roman" w:cs="Times New Roman"/>
          <w:i/>
          <w:iCs/>
          <w:sz w:val="24"/>
          <w:szCs w:val="24"/>
        </w:rPr>
        <w:t>strengthen electronic working methods for the work of ITU-T</w:t>
      </w:r>
      <w:r w:rsidR="00666B69" w:rsidRPr="00666B69">
        <w:rPr>
          <w:rStyle w:val="normaltextrun"/>
          <w:rFonts w:ascii="Times New Roman" w:hAnsi="Times New Roman" w:cs="Times New Roman"/>
          <w:sz w:val="24"/>
          <w:szCs w:val="24"/>
        </w:rPr>
        <w:t>, as stated in WTSA Resolution 32.</w:t>
      </w:r>
    </w:p>
    <w:p w14:paraId="4D8D38E5" w14:textId="77777777" w:rsidR="00666B69" w:rsidRPr="00666B69" w:rsidRDefault="00666B69" w:rsidP="00666B69">
      <w:pPr>
        <w:pStyle w:val="paragraph"/>
        <w:spacing w:before="120" w:beforeAutospacing="0" w:after="0" w:afterAutospacing="0"/>
        <w:textAlignment w:val="baseline"/>
        <w:rPr>
          <w:rStyle w:val="normaltextrun"/>
          <w:rFonts w:ascii="Times New Roman" w:hAnsi="Times New Roman" w:cs="Times New Roman"/>
          <w:sz w:val="24"/>
          <w:szCs w:val="24"/>
        </w:rPr>
      </w:pPr>
      <w:r w:rsidRPr="00666B69">
        <w:rPr>
          <w:rStyle w:val="normaltextrun"/>
          <w:rFonts w:ascii="Times New Roman" w:hAnsi="Times New Roman" w:cs="Times New Roman"/>
          <w:sz w:val="24"/>
          <w:szCs w:val="24"/>
        </w:rPr>
        <w:t xml:space="preserve">Since November 2020, </w:t>
      </w:r>
      <w:proofErr w:type="spellStart"/>
      <w:r w:rsidRPr="00666B69">
        <w:rPr>
          <w:rStyle w:val="normaltextrun"/>
          <w:rFonts w:ascii="Times New Roman" w:hAnsi="Times New Roman" w:cs="Times New Roman"/>
          <w:sz w:val="24"/>
          <w:szCs w:val="24"/>
        </w:rPr>
        <w:t>MyWorkspace</w:t>
      </w:r>
      <w:proofErr w:type="spellEnd"/>
      <w:r w:rsidRPr="00666B69">
        <w:rPr>
          <w:rStyle w:val="normaltextrun"/>
          <w:rFonts w:ascii="Times New Roman" w:hAnsi="Times New Roman" w:cs="Times New Roman"/>
          <w:sz w:val="24"/>
          <w:szCs w:val="24"/>
        </w:rPr>
        <w:t xml:space="preserve"> has been updated with a simple and modern design, and improved performance. </w:t>
      </w:r>
      <w:proofErr w:type="spellStart"/>
      <w:r w:rsidRPr="00666B69">
        <w:rPr>
          <w:rStyle w:val="normaltextrun"/>
          <w:rFonts w:ascii="Times New Roman" w:hAnsi="Times New Roman" w:cs="Times New Roman"/>
          <w:sz w:val="24"/>
          <w:szCs w:val="24"/>
        </w:rPr>
        <w:t>MyWorkspace</w:t>
      </w:r>
      <w:proofErr w:type="spellEnd"/>
      <w:r w:rsidRPr="00666B69">
        <w:rPr>
          <w:rStyle w:val="normaltextrun"/>
          <w:rFonts w:ascii="Times New Roman" w:hAnsi="Times New Roman" w:cs="Times New Roman"/>
          <w:sz w:val="24"/>
          <w:szCs w:val="24"/>
        </w:rPr>
        <w:t xml:space="preserve"> is available as a progressive web application (PWA) allowing users to use the platform on their various devices with the best possible experience without any additional installation.</w:t>
      </w:r>
    </w:p>
    <w:p w14:paraId="3DCC8E45" w14:textId="79E64FB9" w:rsidR="00666B69" w:rsidRPr="00666B69" w:rsidRDefault="00666B69" w:rsidP="00666B69">
      <w:pPr>
        <w:pStyle w:val="paragraph"/>
        <w:spacing w:before="120" w:beforeAutospacing="0" w:after="0" w:afterAutospacing="0"/>
        <w:textAlignment w:val="baseline"/>
        <w:rPr>
          <w:rStyle w:val="normaltextrun"/>
          <w:rFonts w:ascii="Times New Roman" w:hAnsi="Times New Roman" w:cs="Times New Roman"/>
          <w:sz w:val="24"/>
          <w:szCs w:val="24"/>
        </w:rPr>
      </w:pPr>
      <w:r w:rsidRPr="00666B69">
        <w:rPr>
          <w:rStyle w:val="normaltextrun"/>
          <w:rFonts w:ascii="Times New Roman" w:hAnsi="Times New Roman" w:cs="Times New Roman"/>
          <w:sz w:val="24"/>
          <w:szCs w:val="24"/>
        </w:rPr>
        <w:t xml:space="preserve">Secure access to </w:t>
      </w:r>
      <w:r w:rsidR="00FD2ED5">
        <w:rPr>
          <w:rStyle w:val="normaltextrun"/>
          <w:rFonts w:ascii="Times New Roman" w:hAnsi="Times New Roman" w:cs="Times New Roman"/>
          <w:sz w:val="24"/>
          <w:szCs w:val="24"/>
        </w:rPr>
        <w:t xml:space="preserve">this platform </w:t>
      </w:r>
      <w:r w:rsidRPr="00666B69">
        <w:rPr>
          <w:rStyle w:val="normaltextrun"/>
          <w:rFonts w:ascii="Times New Roman" w:hAnsi="Times New Roman" w:cs="Times New Roman"/>
          <w:sz w:val="24"/>
          <w:szCs w:val="24"/>
        </w:rPr>
        <w:t xml:space="preserve">is </w:t>
      </w:r>
      <w:r w:rsidR="00FD2ED5">
        <w:rPr>
          <w:rStyle w:val="normaltextrun"/>
          <w:rFonts w:ascii="Times New Roman" w:hAnsi="Times New Roman" w:cs="Times New Roman"/>
          <w:sz w:val="24"/>
          <w:szCs w:val="24"/>
        </w:rPr>
        <w:t>provided</w:t>
      </w:r>
      <w:r w:rsidR="00FD2ED5" w:rsidRPr="00666B69">
        <w:rPr>
          <w:rStyle w:val="normaltextrun"/>
          <w:rFonts w:ascii="Times New Roman" w:hAnsi="Times New Roman" w:cs="Times New Roman"/>
          <w:sz w:val="24"/>
          <w:szCs w:val="24"/>
        </w:rPr>
        <w:t xml:space="preserve"> </w:t>
      </w:r>
      <w:r w:rsidRPr="00666B69">
        <w:rPr>
          <w:rStyle w:val="normaltextrun"/>
          <w:rFonts w:ascii="Times New Roman" w:hAnsi="Times New Roman" w:cs="Times New Roman"/>
          <w:sz w:val="24"/>
          <w:szCs w:val="24"/>
        </w:rPr>
        <w:t>through ITU User Account (TIES) credentials.</w:t>
      </w:r>
    </w:p>
    <w:p w14:paraId="6B7AC82D" w14:textId="138D721B" w:rsidR="00666B69" w:rsidRPr="00666B69" w:rsidRDefault="00762277" w:rsidP="00666B69">
      <w:pPr>
        <w:pStyle w:val="paragraph"/>
        <w:spacing w:before="120" w:beforeAutospacing="0" w:after="0" w:afterAutospacing="0"/>
        <w:textAlignment w:val="baseline"/>
        <w:rPr>
          <w:sz w:val="24"/>
          <w:szCs w:val="24"/>
        </w:rPr>
      </w:pPr>
      <w:r>
        <w:rPr>
          <w:rStyle w:val="normaltextrun"/>
          <w:rFonts w:ascii="Times New Roman" w:hAnsi="Times New Roman" w:cs="Times New Roman"/>
          <w:sz w:val="24"/>
          <w:szCs w:val="24"/>
        </w:rPr>
        <w:t>The f</w:t>
      </w:r>
      <w:r w:rsidR="00666B69" w:rsidRPr="00666B69">
        <w:rPr>
          <w:rStyle w:val="normaltextrun"/>
          <w:rFonts w:ascii="Times New Roman" w:hAnsi="Times New Roman" w:cs="Times New Roman"/>
          <w:sz w:val="24"/>
          <w:szCs w:val="24"/>
        </w:rPr>
        <w:t xml:space="preserve">ollowing applications and services are available from </w:t>
      </w:r>
      <w:proofErr w:type="spellStart"/>
      <w:r w:rsidR="00666B69" w:rsidRPr="00666B69">
        <w:rPr>
          <w:rStyle w:val="normaltextrun"/>
          <w:rFonts w:ascii="Times New Roman" w:hAnsi="Times New Roman" w:cs="Times New Roman"/>
          <w:sz w:val="24"/>
          <w:szCs w:val="24"/>
        </w:rPr>
        <w:t>MyWorkspace</w:t>
      </w:r>
      <w:proofErr w:type="spellEnd"/>
      <w:r w:rsidR="00666B69" w:rsidRPr="00666B69">
        <w:rPr>
          <w:rStyle w:val="normaltextrun"/>
          <w:rFonts w:ascii="Times New Roman" w:hAnsi="Times New Roman" w:cs="Times New Roman"/>
          <w:sz w:val="24"/>
          <w:szCs w:val="24"/>
        </w:rPr>
        <w:t>:</w:t>
      </w:r>
    </w:p>
    <w:p w14:paraId="605E61C1" w14:textId="77777777" w:rsidR="00666B69" w:rsidRPr="00666B69" w:rsidRDefault="00393F98" w:rsidP="00666B69">
      <w:pPr>
        <w:pStyle w:val="paragraph"/>
        <w:numPr>
          <w:ilvl w:val="0"/>
          <w:numId w:val="33"/>
        </w:numPr>
        <w:spacing w:before="120" w:beforeAutospacing="0" w:after="0" w:afterAutospacing="0"/>
        <w:textAlignment w:val="baseline"/>
        <w:rPr>
          <w:rFonts w:ascii="Times New Roman" w:eastAsia="Times New Roman" w:hAnsi="Times New Roman" w:cs="Times New Roman"/>
          <w:sz w:val="24"/>
          <w:szCs w:val="24"/>
        </w:rPr>
      </w:pPr>
      <w:hyperlink r:id="rId28" w:anchor="/MyMeetings" w:tgtFrame="_blank" w:history="1">
        <w:r w:rsidR="00666B69" w:rsidRPr="00666B69">
          <w:rPr>
            <w:rStyle w:val="normaltextrun"/>
            <w:rFonts w:ascii="Times New Roman" w:eastAsia="Times New Roman" w:hAnsi="Times New Roman" w:cs="Times New Roman"/>
            <w:color w:val="0000FF"/>
            <w:sz w:val="24"/>
            <w:szCs w:val="24"/>
            <w:u w:val="single"/>
            <w:lang w:val="en-US"/>
          </w:rPr>
          <w:t>MyMeetings</w:t>
        </w:r>
      </w:hyperlink>
      <w:r w:rsidR="00666B69" w:rsidRPr="00666B69">
        <w:rPr>
          <w:rStyle w:val="normaltextrun"/>
          <w:rFonts w:ascii="Times New Roman" w:eastAsia="Times New Roman" w:hAnsi="Times New Roman" w:cs="Times New Roman"/>
          <w:sz w:val="24"/>
          <w:szCs w:val="24"/>
          <w:lang w:val="en-US"/>
        </w:rPr>
        <w:t xml:space="preserve">: </w:t>
      </w:r>
      <w:r w:rsidR="00666B69" w:rsidRPr="00666B69">
        <w:rPr>
          <w:rStyle w:val="normaltextrun"/>
          <w:rFonts w:ascii="Times New Roman" w:eastAsia="Times New Roman" w:hAnsi="Times New Roman" w:cs="Times New Roman"/>
          <w:color w:val="000000"/>
          <w:sz w:val="24"/>
          <w:szCs w:val="24"/>
          <w:lang w:val="en-US"/>
        </w:rPr>
        <w:t>R</w:t>
      </w:r>
      <w:r w:rsidR="00666B69" w:rsidRPr="00666B69">
        <w:rPr>
          <w:rStyle w:val="normaltextrun"/>
          <w:rFonts w:ascii="Times New Roman" w:eastAsia="Times New Roman" w:hAnsi="Times New Roman" w:cs="Times New Roman"/>
          <w:color w:val="000000"/>
          <w:sz w:val="24"/>
          <w:szCs w:val="24"/>
        </w:rPr>
        <w:t>emote participation service based on an open-source solution customized in-house to support requirements of both statutory and non-statutory ITU-T meetings</w:t>
      </w:r>
      <w:r w:rsidR="00666B69" w:rsidRPr="00666B69">
        <w:rPr>
          <w:rStyle w:val="normaltextrun"/>
          <w:rFonts w:ascii="Times New Roman" w:eastAsia="Times New Roman" w:hAnsi="Times New Roman" w:cs="Times New Roman"/>
          <w:color w:val="000000"/>
          <w:sz w:val="24"/>
          <w:szCs w:val="24"/>
          <w:lang w:val="en-US"/>
        </w:rPr>
        <w:t>.</w:t>
      </w:r>
    </w:p>
    <w:p w14:paraId="1FD90940" w14:textId="77777777" w:rsidR="00666B69" w:rsidRPr="00666B69" w:rsidRDefault="00393F98" w:rsidP="00666B69">
      <w:pPr>
        <w:pStyle w:val="paragraph"/>
        <w:numPr>
          <w:ilvl w:val="0"/>
          <w:numId w:val="33"/>
        </w:numPr>
        <w:spacing w:before="120" w:beforeAutospacing="0" w:after="0" w:afterAutospacing="0"/>
        <w:textAlignment w:val="baseline"/>
        <w:rPr>
          <w:rFonts w:ascii="Times New Roman" w:eastAsia="Times New Roman" w:hAnsi="Times New Roman" w:cs="Times New Roman"/>
          <w:sz w:val="24"/>
          <w:szCs w:val="24"/>
          <w:lang w:val="en-US"/>
        </w:rPr>
      </w:pPr>
      <w:hyperlink r:id="rId29" w:anchor="/Myevents" w:tgtFrame="_blank" w:history="1">
        <w:proofErr w:type="spellStart"/>
        <w:r w:rsidR="00666B69" w:rsidRPr="00666B69">
          <w:rPr>
            <w:rStyle w:val="normaltextrun"/>
            <w:rFonts w:ascii="Times New Roman" w:eastAsia="Times New Roman" w:hAnsi="Times New Roman" w:cs="Times New Roman"/>
            <w:color w:val="0000FF"/>
            <w:sz w:val="24"/>
            <w:szCs w:val="24"/>
            <w:u w:val="single"/>
          </w:rPr>
          <w:t>MyEvents</w:t>
        </w:r>
        <w:proofErr w:type="spellEnd"/>
      </w:hyperlink>
      <w:r w:rsidR="00666B69" w:rsidRPr="00666B69">
        <w:rPr>
          <w:rStyle w:val="normaltextrun"/>
          <w:rFonts w:ascii="Times New Roman" w:eastAsia="Times New Roman" w:hAnsi="Times New Roman" w:cs="Times New Roman"/>
          <w:color w:val="000000"/>
          <w:sz w:val="24"/>
          <w:szCs w:val="24"/>
        </w:rPr>
        <w:t>: Events management platform, which provides real time ITU-T events agenda, list of registered participants, speakers, and exhibitors, as well as a ‘matchmaking’ function to enable networking among participants.</w:t>
      </w:r>
    </w:p>
    <w:p w14:paraId="64449172" w14:textId="77777777" w:rsidR="00666B69" w:rsidRPr="00666B69" w:rsidRDefault="00393F98" w:rsidP="00666B69">
      <w:pPr>
        <w:pStyle w:val="paragraph"/>
        <w:numPr>
          <w:ilvl w:val="0"/>
          <w:numId w:val="33"/>
        </w:numPr>
        <w:spacing w:before="120" w:beforeAutospacing="0" w:after="0" w:afterAutospacing="0"/>
        <w:textAlignment w:val="baseline"/>
        <w:rPr>
          <w:rFonts w:ascii="Times New Roman" w:eastAsia="Times New Roman" w:hAnsi="Times New Roman" w:cs="Times New Roman"/>
          <w:sz w:val="24"/>
          <w:szCs w:val="24"/>
        </w:rPr>
      </w:pPr>
      <w:hyperlink r:id="rId30" w:anchor="/Translate" w:tgtFrame="_blank" w:history="1">
        <w:r w:rsidR="00666B69" w:rsidRPr="00666B69">
          <w:rPr>
            <w:rStyle w:val="normaltextrun"/>
            <w:rFonts w:ascii="Times New Roman" w:eastAsia="Times New Roman" w:hAnsi="Times New Roman" w:cs="Times New Roman"/>
            <w:color w:val="0000FF"/>
            <w:sz w:val="24"/>
            <w:szCs w:val="24"/>
            <w:u w:val="single"/>
          </w:rPr>
          <w:t>ITU Translate</w:t>
        </w:r>
      </w:hyperlink>
      <w:r w:rsidR="00666B69" w:rsidRPr="00666B69">
        <w:rPr>
          <w:rStyle w:val="normaltextrun"/>
          <w:rFonts w:ascii="Times New Roman" w:eastAsia="Times New Roman" w:hAnsi="Times New Roman" w:cs="Times New Roman"/>
          <w:color w:val="000000"/>
          <w:sz w:val="24"/>
          <w:szCs w:val="24"/>
        </w:rPr>
        <w:t>: Machine translation tool based on neural network trained in-house on ITU documents official translations, supporting the six (6) ITU official languages.</w:t>
      </w:r>
    </w:p>
    <w:p w14:paraId="358CC145" w14:textId="77777777" w:rsidR="00666B69" w:rsidRPr="00666B69" w:rsidRDefault="00393F98" w:rsidP="00666B69">
      <w:pPr>
        <w:pStyle w:val="paragraph"/>
        <w:numPr>
          <w:ilvl w:val="0"/>
          <w:numId w:val="33"/>
        </w:numPr>
        <w:spacing w:before="120" w:beforeAutospacing="0" w:after="0" w:afterAutospacing="0"/>
        <w:textAlignment w:val="baseline"/>
        <w:rPr>
          <w:rStyle w:val="normaltextrun"/>
          <w:sz w:val="24"/>
          <w:szCs w:val="24"/>
        </w:rPr>
      </w:pPr>
      <w:hyperlink r:id="rId31" w:tgtFrame="_blank" w:history="1">
        <w:r w:rsidR="00666B69" w:rsidRPr="00666B69">
          <w:rPr>
            <w:rStyle w:val="Hyperlink"/>
            <w:rFonts w:ascii="Times New Roman" w:eastAsia="Times New Roman" w:hAnsi="Times New Roman" w:cs="Times New Roman"/>
            <w:sz w:val="24"/>
            <w:szCs w:val="24"/>
          </w:rPr>
          <w:t>ITU-T Cloud</w:t>
        </w:r>
      </w:hyperlink>
      <w:r w:rsidR="00666B69" w:rsidRPr="00666B69">
        <w:rPr>
          <w:rStyle w:val="normaltextrun"/>
          <w:rFonts w:ascii="Times New Roman" w:eastAsia="Times New Roman" w:hAnsi="Times New Roman" w:cs="Times New Roman"/>
          <w:color w:val="000000"/>
          <w:sz w:val="24"/>
          <w:szCs w:val="24"/>
        </w:rPr>
        <w:t>: ITU premises storage service allowing users to share and exchange files up to 10 GB per user.</w:t>
      </w:r>
    </w:p>
    <w:p w14:paraId="73DF3B65" w14:textId="77777777" w:rsidR="00666B69" w:rsidRPr="00666B69" w:rsidRDefault="00393F98" w:rsidP="00666B69">
      <w:pPr>
        <w:numPr>
          <w:ilvl w:val="0"/>
          <w:numId w:val="33"/>
        </w:numPr>
        <w:tabs>
          <w:tab w:val="clear" w:pos="794"/>
          <w:tab w:val="clear" w:pos="1191"/>
          <w:tab w:val="clear" w:pos="1588"/>
          <w:tab w:val="clear" w:pos="1985"/>
        </w:tabs>
        <w:adjustRightInd/>
        <w:spacing w:line="252" w:lineRule="auto"/>
        <w:rPr>
          <w:szCs w:val="24"/>
        </w:rPr>
      </w:pPr>
      <w:hyperlink r:id="rId32" w:anchor="/Calendar" w:history="1">
        <w:r w:rsidR="00666B69" w:rsidRPr="00666B69">
          <w:rPr>
            <w:rStyle w:val="Hyperlink"/>
            <w:szCs w:val="24"/>
          </w:rPr>
          <w:t>Calendar</w:t>
        </w:r>
      </w:hyperlink>
      <w:r w:rsidR="00666B69" w:rsidRPr="00666B69">
        <w:rPr>
          <w:szCs w:val="24"/>
        </w:rPr>
        <w:t>: Monthly calendar view of all ITU events with filters on ITU sectors and ITU-T working groups.</w:t>
      </w:r>
    </w:p>
    <w:p w14:paraId="55F68EE5" w14:textId="77777777" w:rsidR="00666B69" w:rsidRPr="00666B69" w:rsidRDefault="00393F98" w:rsidP="00666B69">
      <w:pPr>
        <w:pStyle w:val="paragraph"/>
        <w:numPr>
          <w:ilvl w:val="0"/>
          <w:numId w:val="33"/>
        </w:numPr>
        <w:spacing w:before="120" w:beforeAutospacing="0" w:after="0" w:afterAutospacing="0"/>
        <w:textAlignment w:val="baseline"/>
        <w:rPr>
          <w:rFonts w:ascii="Times New Roman" w:eastAsia="Times New Roman" w:hAnsi="Times New Roman" w:cs="Times New Roman"/>
          <w:sz w:val="24"/>
          <w:szCs w:val="24"/>
        </w:rPr>
      </w:pPr>
      <w:hyperlink r:id="rId33" w:anchor="/Documents/MyDocuments" w:history="1">
        <w:r w:rsidR="00666B69" w:rsidRPr="00666B69">
          <w:rPr>
            <w:rStyle w:val="Hyperlink"/>
            <w:rFonts w:ascii="Times New Roman" w:eastAsia="Times New Roman" w:hAnsi="Times New Roman" w:cs="Times New Roman"/>
            <w:sz w:val="24"/>
            <w:szCs w:val="24"/>
          </w:rPr>
          <w:t>Documents</w:t>
        </w:r>
      </w:hyperlink>
      <w:r w:rsidR="00666B69" w:rsidRPr="00666B69">
        <w:rPr>
          <w:rStyle w:val="normaltextrun"/>
          <w:rFonts w:ascii="Times New Roman" w:eastAsia="Times New Roman" w:hAnsi="Times New Roman" w:cs="Times New Roman"/>
          <w:color w:val="000000"/>
          <w:sz w:val="24"/>
          <w:szCs w:val="24"/>
        </w:rPr>
        <w:t xml:space="preserve">: Quick access to SG meeting documents with full-text search, extensive filtering and sorting capabilities, and the ability to get machine translation of documents that are not covered by human translation (e.g. </w:t>
      </w:r>
      <w:hyperlink r:id="rId34" w:anchor="/Documents/MyDocuments/meeting=T17-SG02-201218&amp;search=&amp;type=&amp;sources=&amp;questions=" w:history="1">
        <w:r w:rsidR="00666B69" w:rsidRPr="00666B69">
          <w:rPr>
            <w:rStyle w:val="Hyperlink"/>
            <w:rFonts w:ascii="Times New Roman" w:eastAsia="Times New Roman" w:hAnsi="Times New Roman" w:cs="Times New Roman"/>
            <w:sz w:val="24"/>
            <w:szCs w:val="24"/>
          </w:rPr>
          <w:t>SG2 E-Meeting, 18 December 2020</w:t>
        </w:r>
      </w:hyperlink>
      <w:r w:rsidR="00666B69" w:rsidRPr="00666B69">
        <w:rPr>
          <w:rStyle w:val="normaltextrun"/>
          <w:rFonts w:ascii="Times New Roman" w:eastAsia="Times New Roman" w:hAnsi="Times New Roman" w:cs="Times New Roman"/>
          <w:color w:val="000000"/>
          <w:sz w:val="24"/>
          <w:szCs w:val="24"/>
        </w:rPr>
        <w:t>).</w:t>
      </w:r>
    </w:p>
    <w:p w14:paraId="6ED4D51C" w14:textId="77777777" w:rsidR="00666B69" w:rsidRPr="00666B69" w:rsidRDefault="00393F98" w:rsidP="00666B69">
      <w:pPr>
        <w:pStyle w:val="paragraph"/>
        <w:numPr>
          <w:ilvl w:val="0"/>
          <w:numId w:val="33"/>
        </w:numPr>
        <w:spacing w:before="120" w:beforeAutospacing="0" w:after="0" w:afterAutospacing="0"/>
        <w:textAlignment w:val="baseline"/>
        <w:rPr>
          <w:rFonts w:ascii="Times New Roman" w:eastAsia="Times New Roman" w:hAnsi="Times New Roman" w:cs="Times New Roman"/>
          <w:sz w:val="24"/>
          <w:szCs w:val="24"/>
        </w:rPr>
      </w:pPr>
      <w:hyperlink r:id="rId35" w:anchor="/Mailing" w:tgtFrame="_blank" w:history="1">
        <w:r w:rsidR="00666B69" w:rsidRPr="00666B69">
          <w:rPr>
            <w:rStyle w:val="normaltextrun"/>
            <w:rFonts w:ascii="Times New Roman" w:eastAsia="Times New Roman" w:hAnsi="Times New Roman" w:cs="Times New Roman"/>
            <w:color w:val="0000FF"/>
            <w:sz w:val="24"/>
            <w:szCs w:val="24"/>
            <w:u w:val="single"/>
          </w:rPr>
          <w:t>Mailing</w:t>
        </w:r>
      </w:hyperlink>
      <w:r w:rsidR="00666B69" w:rsidRPr="00666B69">
        <w:rPr>
          <w:rStyle w:val="normaltextrun"/>
          <w:rFonts w:ascii="Times New Roman" w:eastAsia="Times New Roman" w:hAnsi="Times New Roman" w:cs="Times New Roman"/>
          <w:color w:val="000000"/>
          <w:sz w:val="24"/>
          <w:szCs w:val="24"/>
        </w:rPr>
        <w:t>: Subscription management with search function.</w:t>
      </w:r>
    </w:p>
    <w:p w14:paraId="76007EEA" w14:textId="77777777" w:rsidR="00666B69" w:rsidRPr="00666B69" w:rsidRDefault="00393F98" w:rsidP="00666B69">
      <w:pPr>
        <w:pStyle w:val="paragraph"/>
        <w:numPr>
          <w:ilvl w:val="0"/>
          <w:numId w:val="33"/>
        </w:numPr>
        <w:spacing w:before="120" w:beforeAutospacing="0" w:after="0" w:afterAutospacing="0"/>
        <w:textAlignment w:val="baseline"/>
        <w:rPr>
          <w:rStyle w:val="normaltextrun"/>
          <w:sz w:val="24"/>
          <w:szCs w:val="24"/>
        </w:rPr>
      </w:pPr>
      <w:hyperlink r:id="rId36" w:anchor="/Community" w:tgtFrame="_blank" w:history="1">
        <w:r w:rsidR="00666B69" w:rsidRPr="00666B69">
          <w:rPr>
            <w:rStyle w:val="normaltextrun"/>
            <w:rFonts w:ascii="Times New Roman" w:eastAsia="Times New Roman" w:hAnsi="Times New Roman" w:cs="Times New Roman"/>
            <w:color w:val="0000FF"/>
            <w:sz w:val="24"/>
            <w:szCs w:val="24"/>
            <w:u w:val="single"/>
          </w:rPr>
          <w:t>Community</w:t>
        </w:r>
      </w:hyperlink>
      <w:r w:rsidR="00666B69" w:rsidRPr="00666B69">
        <w:rPr>
          <w:rStyle w:val="normaltextrun"/>
          <w:rFonts w:ascii="Times New Roman" w:eastAsia="Times New Roman" w:hAnsi="Times New Roman" w:cs="Times New Roman"/>
          <w:color w:val="000000"/>
          <w:sz w:val="24"/>
          <w:szCs w:val="24"/>
        </w:rPr>
        <w:t xml:space="preserve">: </w:t>
      </w:r>
      <w:proofErr w:type="spellStart"/>
      <w:r w:rsidR="00666B69" w:rsidRPr="00666B69">
        <w:rPr>
          <w:rStyle w:val="normaltextrun"/>
          <w:rFonts w:ascii="Times New Roman" w:eastAsia="Times New Roman" w:hAnsi="Times New Roman" w:cs="Times New Roman"/>
          <w:color w:val="000000"/>
          <w:sz w:val="24"/>
          <w:szCs w:val="24"/>
        </w:rPr>
        <w:t>MyWorkspace</w:t>
      </w:r>
      <w:proofErr w:type="spellEnd"/>
      <w:r w:rsidR="00666B69" w:rsidRPr="00666B69">
        <w:rPr>
          <w:rStyle w:val="normaltextrun"/>
          <w:rFonts w:ascii="Times New Roman" w:eastAsia="Times New Roman" w:hAnsi="Times New Roman" w:cs="Times New Roman"/>
          <w:color w:val="000000"/>
          <w:sz w:val="24"/>
          <w:szCs w:val="24"/>
        </w:rPr>
        <w:t xml:space="preserve"> user’s directory.</w:t>
      </w:r>
    </w:p>
    <w:p w14:paraId="55159D4E" w14:textId="35C1DE82" w:rsidR="00304100" w:rsidRPr="00666B69" w:rsidRDefault="00393F98" w:rsidP="00666B69">
      <w:pPr>
        <w:pStyle w:val="ListParagraph"/>
        <w:numPr>
          <w:ilvl w:val="0"/>
          <w:numId w:val="33"/>
        </w:numPr>
        <w:tabs>
          <w:tab w:val="clear" w:pos="794"/>
          <w:tab w:val="clear" w:pos="1191"/>
          <w:tab w:val="clear" w:pos="1588"/>
          <w:tab w:val="clear" w:pos="1985"/>
        </w:tabs>
        <w:adjustRightInd/>
        <w:textAlignment w:val="auto"/>
        <w:rPr>
          <w:szCs w:val="24"/>
        </w:rPr>
      </w:pPr>
      <w:hyperlink r:id="rId37" w:anchor="/profile" w:tgtFrame="_blank" w:history="1">
        <w:r w:rsidR="00666B69" w:rsidRPr="00666B69">
          <w:rPr>
            <w:rStyle w:val="Hyperlink"/>
            <w:szCs w:val="24"/>
          </w:rPr>
          <w:t>Profile and preferences</w:t>
        </w:r>
      </w:hyperlink>
      <w:r w:rsidR="00666B69" w:rsidRPr="00666B69">
        <w:rPr>
          <w:rStyle w:val="normaltextrun"/>
          <w:color w:val="000000"/>
          <w:szCs w:val="24"/>
        </w:rPr>
        <w:t>: User personal information and interests</w:t>
      </w:r>
      <w:r w:rsidR="00762277">
        <w:rPr>
          <w:rStyle w:val="normaltextrun"/>
          <w:color w:val="000000"/>
          <w:szCs w:val="24"/>
        </w:rPr>
        <w:t>.</w:t>
      </w:r>
    </w:p>
    <w:p w14:paraId="290E3BF1" w14:textId="22925ECF" w:rsidR="00304100" w:rsidRPr="00856429" w:rsidRDefault="00304100" w:rsidP="00304100">
      <w:pPr>
        <w:pStyle w:val="Heading2"/>
        <w:rPr>
          <w:rFonts w:asciiTheme="majorBidi" w:hAnsiTheme="majorBidi" w:cstheme="majorBidi"/>
          <w:bCs/>
          <w:szCs w:val="24"/>
        </w:rPr>
      </w:pPr>
      <w:bookmarkStart w:id="14" w:name="_Toc531592356"/>
      <w:bookmarkStart w:id="15" w:name="_Toc531592355"/>
      <w:r w:rsidRPr="00856429">
        <w:rPr>
          <w:rFonts w:asciiTheme="majorBidi" w:hAnsiTheme="majorBidi" w:cstheme="majorBidi"/>
          <w:bCs/>
          <w:szCs w:val="24"/>
        </w:rPr>
        <w:t>2.</w:t>
      </w:r>
      <w:r w:rsidR="007B37AA">
        <w:rPr>
          <w:rFonts w:asciiTheme="majorBidi" w:hAnsiTheme="majorBidi" w:cstheme="majorBidi"/>
          <w:bCs/>
          <w:color w:val="000000"/>
          <w:szCs w:val="24"/>
        </w:rPr>
        <w:t>4</w:t>
      </w:r>
      <w:r w:rsidRPr="00856429">
        <w:rPr>
          <w:rFonts w:asciiTheme="majorBidi" w:hAnsiTheme="majorBidi" w:cstheme="majorBidi"/>
          <w:bCs/>
          <w:szCs w:val="24"/>
        </w:rPr>
        <w:tab/>
      </w:r>
      <w:proofErr w:type="spellStart"/>
      <w:r w:rsidRPr="00856429">
        <w:rPr>
          <w:rFonts w:asciiTheme="majorBidi" w:hAnsiTheme="majorBidi" w:cstheme="majorBidi"/>
          <w:bCs/>
          <w:szCs w:val="24"/>
        </w:rPr>
        <w:t>ITUSearch</w:t>
      </w:r>
      <w:bookmarkEnd w:id="14"/>
      <w:proofErr w:type="spellEnd"/>
    </w:p>
    <w:p w14:paraId="4EDAD6AB" w14:textId="77777777" w:rsidR="00666B69" w:rsidRPr="00666B69" w:rsidRDefault="00393F98" w:rsidP="00666B69">
      <w:pPr>
        <w:pStyle w:val="paragraph"/>
        <w:spacing w:before="120" w:beforeAutospacing="0" w:after="0" w:afterAutospacing="0"/>
        <w:textAlignment w:val="baseline"/>
        <w:rPr>
          <w:rStyle w:val="normaltextrun"/>
          <w:rFonts w:ascii="Times New Roman" w:hAnsi="Times New Roman" w:cs="Times New Roman"/>
          <w:color w:val="000000"/>
          <w:sz w:val="24"/>
          <w:szCs w:val="24"/>
        </w:rPr>
      </w:pPr>
      <w:hyperlink r:id="rId38" w:history="1">
        <w:proofErr w:type="spellStart"/>
        <w:r w:rsidR="00666B69" w:rsidRPr="00666B69">
          <w:rPr>
            <w:rStyle w:val="Hyperlink"/>
            <w:rFonts w:ascii="Times New Roman" w:hAnsi="Times New Roman" w:cs="Times New Roman"/>
            <w:sz w:val="24"/>
            <w:szCs w:val="24"/>
          </w:rPr>
          <w:t>ITUSearch</w:t>
        </w:r>
        <w:proofErr w:type="spellEnd"/>
      </w:hyperlink>
      <w:r w:rsidR="00666B69" w:rsidRPr="00666B69">
        <w:rPr>
          <w:rStyle w:val="normaltextrun"/>
          <w:rFonts w:ascii="Times New Roman" w:hAnsi="Times New Roman" w:cs="Times New Roman"/>
          <w:color w:val="000000"/>
          <w:sz w:val="24"/>
          <w:szCs w:val="24"/>
          <w:lang w:val="en-US"/>
        </w:rPr>
        <w:t xml:space="preserve"> is a mobile-friendly search engine</w:t>
      </w:r>
      <w:r w:rsidR="00666B69" w:rsidRPr="00666B69">
        <w:rPr>
          <w:rStyle w:val="normaltextrun"/>
          <w:rFonts w:ascii="Times New Roman" w:hAnsi="Times New Roman" w:cs="Times New Roman"/>
          <w:color w:val="000000"/>
          <w:sz w:val="24"/>
          <w:szCs w:val="24"/>
        </w:rPr>
        <w:t xml:space="preserve"> covering all ITU documents, websites, publications, and other type of resources.</w:t>
      </w:r>
    </w:p>
    <w:p w14:paraId="3C6A46F2" w14:textId="363A3AE4" w:rsidR="00666B69" w:rsidRPr="00666B69" w:rsidRDefault="00666B69" w:rsidP="00666B69">
      <w:pPr>
        <w:pStyle w:val="paragraph"/>
        <w:spacing w:before="120" w:beforeAutospacing="0" w:after="0" w:afterAutospacing="0"/>
        <w:textAlignment w:val="baseline"/>
        <w:rPr>
          <w:rFonts w:ascii="Times New Roman" w:hAnsi="Times New Roman" w:cs="Times New Roman"/>
          <w:sz w:val="24"/>
          <w:szCs w:val="24"/>
        </w:rPr>
      </w:pPr>
      <w:r w:rsidRPr="00666B69">
        <w:rPr>
          <w:rStyle w:val="normaltextrun"/>
          <w:rFonts w:ascii="Times New Roman" w:hAnsi="Times New Roman" w:cs="Times New Roman"/>
          <w:color w:val="000000"/>
          <w:sz w:val="24"/>
          <w:szCs w:val="24"/>
        </w:rPr>
        <w:t xml:space="preserve">On average, 70,000 search requests are performed each month using </w:t>
      </w:r>
      <w:proofErr w:type="spellStart"/>
      <w:r w:rsidRPr="00666B69">
        <w:rPr>
          <w:rStyle w:val="normaltextrun"/>
          <w:rFonts w:ascii="Times New Roman" w:hAnsi="Times New Roman" w:cs="Times New Roman"/>
          <w:color w:val="000000"/>
          <w:sz w:val="24"/>
          <w:szCs w:val="24"/>
        </w:rPr>
        <w:t>ITUSearch</w:t>
      </w:r>
      <w:proofErr w:type="spellEnd"/>
      <w:r w:rsidRPr="00666B69">
        <w:rPr>
          <w:rStyle w:val="normaltextrun"/>
          <w:rFonts w:ascii="Times New Roman" w:hAnsi="Times New Roman" w:cs="Times New Roman"/>
          <w:color w:val="000000"/>
          <w:sz w:val="24"/>
          <w:szCs w:val="24"/>
        </w:rPr>
        <w:t>.</w:t>
      </w:r>
      <w:r w:rsidRPr="00666B69">
        <w:rPr>
          <w:rStyle w:val="normaltextrun"/>
          <w:rFonts w:ascii="Times New Roman" w:hAnsi="Times New Roman" w:cs="Times New Roman"/>
          <w:color w:val="000000"/>
          <w:sz w:val="24"/>
          <w:szCs w:val="24"/>
          <w:lang w:val="en-US"/>
        </w:rPr>
        <w:t> </w:t>
      </w:r>
      <w:r w:rsidRPr="00666B69">
        <w:rPr>
          <w:rStyle w:val="normaltextrun"/>
          <w:rFonts w:ascii="Times New Roman" w:hAnsi="Times New Roman" w:cs="Times New Roman"/>
          <w:color w:val="000000"/>
          <w:sz w:val="24"/>
          <w:szCs w:val="24"/>
        </w:rPr>
        <w:t>The latest version of the search engine released last year includes</w:t>
      </w:r>
      <w:r w:rsidR="00107748">
        <w:rPr>
          <w:rStyle w:val="normaltextrun"/>
          <w:rFonts w:ascii="Times New Roman" w:hAnsi="Times New Roman" w:cs="Times New Roman"/>
          <w:color w:val="000000"/>
          <w:sz w:val="24"/>
          <w:szCs w:val="24"/>
        </w:rPr>
        <w:t xml:space="preserve"> the</w:t>
      </w:r>
      <w:r w:rsidRPr="00666B69">
        <w:rPr>
          <w:rStyle w:val="normaltextrun"/>
          <w:rFonts w:ascii="Times New Roman" w:hAnsi="Times New Roman" w:cs="Times New Roman"/>
          <w:color w:val="000000"/>
          <w:sz w:val="24"/>
          <w:szCs w:val="24"/>
        </w:rPr>
        <w:t xml:space="preserve"> following menus:</w:t>
      </w:r>
    </w:p>
    <w:p w14:paraId="5430902C" w14:textId="77777777" w:rsidR="00666B69" w:rsidRPr="00666B69" w:rsidRDefault="00393F98" w:rsidP="00666B69">
      <w:pPr>
        <w:pStyle w:val="paragraph"/>
        <w:numPr>
          <w:ilvl w:val="0"/>
          <w:numId w:val="37"/>
        </w:numPr>
        <w:spacing w:before="120" w:beforeAutospacing="0" w:after="0" w:afterAutospacing="0"/>
        <w:textAlignment w:val="baseline"/>
        <w:rPr>
          <w:rFonts w:ascii="Times New Roman" w:eastAsia="Times New Roman" w:hAnsi="Times New Roman" w:cs="Times New Roman"/>
          <w:sz w:val="24"/>
          <w:szCs w:val="24"/>
        </w:rPr>
      </w:pPr>
      <w:hyperlink r:id="rId39" w:anchor="?target=All&amp;ex=false&amp;q=TSAG&amp;fl=0" w:tgtFrame="_blank" w:history="1">
        <w:r w:rsidR="00666B69" w:rsidRPr="00666B69">
          <w:rPr>
            <w:rStyle w:val="normaltextrun"/>
            <w:rFonts w:ascii="Times New Roman" w:eastAsia="Times New Roman" w:hAnsi="Times New Roman" w:cs="Times New Roman"/>
            <w:color w:val="0000FF"/>
            <w:sz w:val="24"/>
            <w:szCs w:val="24"/>
            <w:u w:val="single"/>
          </w:rPr>
          <w:t>All</w:t>
        </w:r>
      </w:hyperlink>
      <w:r w:rsidR="00666B69" w:rsidRPr="00666B69">
        <w:rPr>
          <w:rStyle w:val="normaltextrun"/>
          <w:rFonts w:ascii="Times New Roman" w:eastAsia="Times New Roman" w:hAnsi="Times New Roman" w:cs="Times New Roman"/>
          <w:color w:val="000000"/>
          <w:sz w:val="24"/>
          <w:szCs w:val="24"/>
        </w:rPr>
        <w:t>: Search on all ITU resources with Sector, type of document and language</w:t>
      </w:r>
      <w:r w:rsidR="00666B69" w:rsidRPr="00666B69">
        <w:rPr>
          <w:rStyle w:val="normaltextrun"/>
          <w:rFonts w:ascii="Times New Roman" w:eastAsia="Times New Roman" w:hAnsi="Times New Roman" w:cs="Times New Roman"/>
          <w:color w:val="000000"/>
          <w:sz w:val="24"/>
          <w:szCs w:val="24"/>
          <w:lang w:val="en-US"/>
        </w:rPr>
        <w:t> filtering.</w:t>
      </w:r>
    </w:p>
    <w:p w14:paraId="6617D527" w14:textId="77777777" w:rsidR="00666B69" w:rsidRPr="00666B69" w:rsidRDefault="00393F98" w:rsidP="00666B69">
      <w:pPr>
        <w:pStyle w:val="paragraph"/>
        <w:numPr>
          <w:ilvl w:val="0"/>
          <w:numId w:val="37"/>
        </w:numPr>
        <w:spacing w:before="120" w:beforeAutospacing="0" w:after="0" w:afterAutospacing="0"/>
        <w:textAlignment w:val="baseline"/>
        <w:rPr>
          <w:rFonts w:ascii="Times New Roman" w:eastAsia="Times New Roman" w:hAnsi="Times New Roman" w:cs="Times New Roman"/>
          <w:sz w:val="24"/>
          <w:szCs w:val="24"/>
        </w:rPr>
      </w:pPr>
      <w:hyperlink r:id="rId40" w:anchor="?target=Media&amp;ex=false&amp;q=TSAG&amp;fl=0" w:tgtFrame="_blank" w:history="1">
        <w:r w:rsidR="00666B69" w:rsidRPr="00666B69">
          <w:rPr>
            <w:rStyle w:val="normaltextrun"/>
            <w:rFonts w:ascii="Times New Roman" w:eastAsia="Times New Roman" w:hAnsi="Times New Roman" w:cs="Times New Roman"/>
            <w:color w:val="0000FF"/>
            <w:sz w:val="24"/>
            <w:szCs w:val="24"/>
            <w:u w:val="single"/>
          </w:rPr>
          <w:t>Multimedia</w:t>
        </w:r>
      </w:hyperlink>
      <w:r w:rsidR="00666B69" w:rsidRPr="00666B69">
        <w:rPr>
          <w:rStyle w:val="normaltextrun"/>
          <w:rFonts w:ascii="Times New Roman" w:eastAsia="Times New Roman" w:hAnsi="Times New Roman" w:cs="Times New Roman"/>
          <w:color w:val="000000"/>
          <w:sz w:val="24"/>
          <w:szCs w:val="24"/>
        </w:rPr>
        <w:t xml:space="preserve">: </w:t>
      </w:r>
      <w:r w:rsidR="00666B69" w:rsidRPr="00666B69">
        <w:rPr>
          <w:rStyle w:val="normaltextrun"/>
          <w:rFonts w:ascii="Times New Roman" w:eastAsia="Times New Roman" w:hAnsi="Times New Roman" w:cs="Times New Roman"/>
          <w:color w:val="000000"/>
          <w:sz w:val="24"/>
          <w:szCs w:val="24"/>
          <w:lang w:val="en-US"/>
        </w:rPr>
        <w:t xml:space="preserve">Search on </w:t>
      </w:r>
      <w:r w:rsidR="00666B69" w:rsidRPr="00666B69">
        <w:rPr>
          <w:rStyle w:val="normaltextrun"/>
          <w:rFonts w:ascii="Times New Roman" w:eastAsia="Times New Roman" w:hAnsi="Times New Roman" w:cs="Times New Roman"/>
          <w:color w:val="000000"/>
          <w:sz w:val="24"/>
          <w:szCs w:val="24"/>
        </w:rPr>
        <w:t>ITU Flickr and YouTube accounts resources.</w:t>
      </w:r>
    </w:p>
    <w:p w14:paraId="3B592BF5" w14:textId="77777777" w:rsidR="00666B69" w:rsidRPr="00666B69" w:rsidRDefault="00393F98" w:rsidP="00666B69">
      <w:pPr>
        <w:pStyle w:val="paragraph"/>
        <w:numPr>
          <w:ilvl w:val="0"/>
          <w:numId w:val="37"/>
        </w:numPr>
        <w:spacing w:before="120" w:beforeAutospacing="0" w:after="0" w:afterAutospacing="0"/>
        <w:textAlignment w:val="baseline"/>
        <w:rPr>
          <w:rFonts w:ascii="Times New Roman" w:eastAsia="Times New Roman" w:hAnsi="Times New Roman" w:cs="Times New Roman"/>
          <w:sz w:val="24"/>
          <w:szCs w:val="24"/>
        </w:rPr>
      </w:pPr>
      <w:hyperlink r:id="rId41" w:anchor="?target=Social%20media&amp;ex=false&amp;q=5G&amp;fl=0" w:tgtFrame="_blank" w:history="1">
        <w:r w:rsidR="00666B69" w:rsidRPr="00666B69">
          <w:rPr>
            <w:rStyle w:val="normaltextrun"/>
            <w:rFonts w:ascii="Times New Roman" w:eastAsia="Times New Roman" w:hAnsi="Times New Roman" w:cs="Times New Roman"/>
            <w:color w:val="0000FF"/>
            <w:sz w:val="24"/>
            <w:szCs w:val="24"/>
            <w:u w:val="single"/>
            <w:lang w:val="en-US"/>
          </w:rPr>
          <w:t>Social media</w:t>
        </w:r>
      </w:hyperlink>
      <w:r w:rsidR="00666B69" w:rsidRPr="00666B69">
        <w:rPr>
          <w:rStyle w:val="normaltextrun"/>
          <w:rFonts w:ascii="Times New Roman" w:eastAsia="Times New Roman" w:hAnsi="Times New Roman" w:cs="Times New Roman"/>
          <w:color w:val="000000"/>
          <w:sz w:val="24"/>
          <w:szCs w:val="24"/>
          <w:lang w:val="en-US"/>
        </w:rPr>
        <w:t xml:space="preserve">: </w:t>
      </w:r>
      <w:r w:rsidR="00666B69" w:rsidRPr="00666B69">
        <w:rPr>
          <w:rStyle w:val="normaltextrun"/>
          <w:rFonts w:ascii="Times New Roman" w:eastAsia="Times New Roman" w:hAnsi="Times New Roman" w:cs="Times New Roman"/>
          <w:color w:val="000000"/>
          <w:sz w:val="24"/>
          <w:szCs w:val="24"/>
        </w:rPr>
        <w:t>Search on ITU Facebook and Twitter accounts posts.</w:t>
      </w:r>
    </w:p>
    <w:p w14:paraId="66F83A55" w14:textId="77777777" w:rsidR="00666B69" w:rsidRPr="00666B69" w:rsidRDefault="00393F98" w:rsidP="00666B69">
      <w:pPr>
        <w:pStyle w:val="paragraph"/>
        <w:numPr>
          <w:ilvl w:val="0"/>
          <w:numId w:val="37"/>
        </w:numPr>
        <w:spacing w:before="120" w:beforeAutospacing="0" w:after="0" w:afterAutospacing="0"/>
        <w:textAlignment w:val="baseline"/>
        <w:rPr>
          <w:rStyle w:val="normaltextrun"/>
          <w:rFonts w:ascii="Times New Roman" w:hAnsi="Times New Roman" w:cs="Times New Roman"/>
          <w:sz w:val="24"/>
          <w:szCs w:val="24"/>
        </w:rPr>
      </w:pPr>
      <w:hyperlink r:id="rId42" w:anchor="?target=Base%20text&amp;ex=false&amp;q=Resolution%2032&amp;fl=0&amp;sector=t&amp;group=all&amp;collection=General" w:tgtFrame="_blank" w:history="1">
        <w:r w:rsidR="00666B69" w:rsidRPr="00666B69">
          <w:rPr>
            <w:rStyle w:val="normaltextrun"/>
            <w:rFonts w:ascii="Times New Roman" w:eastAsia="Times New Roman" w:hAnsi="Times New Roman" w:cs="Times New Roman"/>
            <w:color w:val="0000FF"/>
            <w:sz w:val="24"/>
            <w:szCs w:val="24"/>
            <w:u w:val="single"/>
            <w:lang w:val="en-US"/>
          </w:rPr>
          <w:t>Regulatory text</w:t>
        </w:r>
      </w:hyperlink>
      <w:r w:rsidR="00666B69" w:rsidRPr="00666B69">
        <w:rPr>
          <w:rStyle w:val="normaltextrun"/>
          <w:rFonts w:ascii="Times New Roman" w:eastAsia="Times New Roman" w:hAnsi="Times New Roman" w:cs="Times New Roman"/>
          <w:color w:val="000000"/>
          <w:sz w:val="24"/>
          <w:szCs w:val="24"/>
          <w:lang w:val="en-US"/>
        </w:rPr>
        <w:t xml:space="preserve">: </w:t>
      </w:r>
      <w:r w:rsidR="00666B69" w:rsidRPr="00666B69">
        <w:rPr>
          <w:rStyle w:val="normaltextrun"/>
          <w:rFonts w:ascii="Times New Roman" w:eastAsia="Times New Roman" w:hAnsi="Times New Roman" w:cs="Times New Roman"/>
          <w:color w:val="000000"/>
          <w:sz w:val="24"/>
          <w:szCs w:val="24"/>
        </w:rPr>
        <w:t>Specialized full text search on latest ITU and Sectors Assemblies and Conferences in force regulatory texts in the six (6) ITU official languages.</w:t>
      </w:r>
    </w:p>
    <w:p w14:paraId="63672AE2" w14:textId="531E9E31" w:rsidR="00475940" w:rsidRDefault="00475940">
      <w:pPr>
        <w:tabs>
          <w:tab w:val="clear" w:pos="794"/>
          <w:tab w:val="clear" w:pos="1191"/>
          <w:tab w:val="clear" w:pos="1588"/>
          <w:tab w:val="clear" w:pos="1985"/>
        </w:tabs>
        <w:overflowPunct/>
        <w:autoSpaceDE/>
        <w:autoSpaceDN/>
        <w:adjustRightInd/>
        <w:spacing w:before="0"/>
        <w:textAlignment w:val="auto"/>
        <w:rPr>
          <w:rStyle w:val="normaltextrun"/>
          <w:rFonts w:eastAsiaTheme="minorHAnsi"/>
          <w:color w:val="000000"/>
          <w:szCs w:val="24"/>
          <w:lang w:eastAsia="en-GB"/>
        </w:rPr>
      </w:pPr>
      <w:r>
        <w:rPr>
          <w:rStyle w:val="normaltextrun"/>
          <w:color w:val="000000"/>
          <w:szCs w:val="24"/>
        </w:rPr>
        <w:br w:type="page"/>
      </w:r>
    </w:p>
    <w:p w14:paraId="5BA76344" w14:textId="00E21CB5" w:rsidR="007A7C56" w:rsidRPr="00E0566B" w:rsidRDefault="007A7C56" w:rsidP="00EF1811">
      <w:pPr>
        <w:pStyle w:val="Heading2"/>
      </w:pPr>
      <w:bookmarkStart w:id="16" w:name="_Hlk49862224"/>
      <w:bookmarkEnd w:id="13"/>
      <w:bookmarkEnd w:id="15"/>
      <w:r w:rsidRPr="00E0566B">
        <w:lastRenderedPageBreak/>
        <w:t>2.</w:t>
      </w:r>
      <w:r w:rsidR="00475940" w:rsidRPr="00E0566B">
        <w:t>5</w:t>
      </w:r>
      <w:r w:rsidRPr="00E0566B">
        <w:tab/>
        <w:t>ITU-T Mailing lists</w:t>
      </w:r>
    </w:p>
    <w:p w14:paraId="764845AD" w14:textId="7540E64A" w:rsidR="007A7C56" w:rsidRPr="00E0566B" w:rsidRDefault="007A7C56" w:rsidP="005B2F71">
      <w:r w:rsidRPr="00E0566B">
        <w:t xml:space="preserve">The mailing lists continue to be very useful tools in the work of the study groups and other groups. There are </w:t>
      </w:r>
      <w:r w:rsidR="00E0566B">
        <w:rPr>
          <w:b/>
          <w:bCs/>
        </w:rPr>
        <w:t>402</w:t>
      </w:r>
      <w:r w:rsidRPr="00E0566B">
        <w:rPr>
          <w:b/>
          <w:bCs/>
        </w:rPr>
        <w:t xml:space="preserve"> active ITU-T mailing lists</w:t>
      </w:r>
      <w:r w:rsidRPr="00E0566B">
        <w:t xml:space="preserve"> with a total of </w:t>
      </w:r>
      <w:r w:rsidR="003C0603" w:rsidRPr="00E0566B">
        <w:rPr>
          <w:b/>
          <w:bCs/>
        </w:rPr>
        <w:t>4</w:t>
      </w:r>
      <w:r w:rsidR="00E0566B">
        <w:rPr>
          <w:b/>
          <w:bCs/>
        </w:rPr>
        <w:t>9323</w:t>
      </w:r>
      <w:r w:rsidRPr="00E0566B">
        <w:rPr>
          <w:b/>
          <w:bCs/>
        </w:rPr>
        <w:t xml:space="preserve"> subscribers</w:t>
      </w:r>
      <w:r w:rsidRPr="00E0566B">
        <w:t xml:space="preserve"> currently being used as shown in the table below.</w:t>
      </w:r>
    </w:p>
    <w:p w14:paraId="5CCECEBE" w14:textId="77777777" w:rsidR="004D6941" w:rsidRPr="00E0566B"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E0566B" w14:paraId="4CA50540" w14:textId="77777777" w:rsidTr="00E0566B">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DC8A728" w14:textId="77777777" w:rsidR="00E0566B" w:rsidRDefault="00E0566B">
            <w:pPr>
              <w:spacing w:line="252" w:lineRule="auto"/>
              <w:jc w:val="center"/>
              <w:rPr>
                <w:sz w:val="22"/>
                <w:szCs w:val="22"/>
              </w:rPr>
            </w:pPr>
            <w:r>
              <w:rPr>
                <w:b/>
                <w:bCs/>
                <w:color w:val="000000"/>
                <w:lang w:val="en-US"/>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5C16C37" w14:textId="77777777" w:rsidR="00E0566B" w:rsidRDefault="00E0566B">
            <w:pPr>
              <w:spacing w:line="252" w:lineRule="auto"/>
              <w:jc w:val="center"/>
              <w:rPr>
                <w:szCs w:val="24"/>
              </w:rPr>
            </w:pPr>
            <w:r>
              <w:rPr>
                <w:b/>
                <w:bCs/>
                <w:color w:val="000000"/>
                <w:lang w:val="en-US"/>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78616D24" w14:textId="77777777" w:rsidR="00E0566B" w:rsidRDefault="00E0566B">
            <w:pPr>
              <w:spacing w:line="252" w:lineRule="auto"/>
              <w:jc w:val="center"/>
            </w:pPr>
            <w:r>
              <w:rPr>
                <w:b/>
                <w:bCs/>
                <w:color w:val="000000"/>
                <w:lang w:val="en-US"/>
              </w:rPr>
              <w:t>Subscribers</w:t>
            </w:r>
          </w:p>
        </w:tc>
      </w:tr>
      <w:tr w:rsidR="00E0566B" w14:paraId="2ACADC8A"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C735CC" w14:textId="77777777" w:rsidR="00E0566B" w:rsidRDefault="00E0566B">
            <w:pPr>
              <w:spacing w:line="252" w:lineRule="auto"/>
            </w:pPr>
            <w:r>
              <w:rPr>
                <w:b/>
                <w:bCs/>
                <w:color w:val="000000"/>
                <w:lang w:val="en-US"/>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7D33E" w14:textId="77777777" w:rsidR="00E0566B" w:rsidRDefault="00E0566B">
            <w:pPr>
              <w:spacing w:line="252" w:lineRule="auto"/>
              <w:jc w:val="center"/>
            </w:pPr>
            <w:r>
              <w:rPr>
                <w:color w:val="000000"/>
                <w:lang w:val="en-US"/>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41F9603" w14:textId="77777777" w:rsidR="00E0566B" w:rsidRDefault="00E0566B">
            <w:pPr>
              <w:spacing w:line="252" w:lineRule="auto"/>
              <w:jc w:val="center"/>
            </w:pPr>
            <w:r>
              <w:rPr>
                <w:color w:val="000000"/>
                <w:lang w:val="en-US"/>
              </w:rPr>
              <w:t>1365</w:t>
            </w:r>
          </w:p>
        </w:tc>
      </w:tr>
      <w:tr w:rsidR="00E0566B" w14:paraId="56739F1D"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7B76BF" w14:textId="77777777" w:rsidR="00E0566B" w:rsidRDefault="00E0566B">
            <w:pPr>
              <w:spacing w:line="252" w:lineRule="auto"/>
            </w:pPr>
            <w:r>
              <w:rPr>
                <w:b/>
                <w:bCs/>
                <w:color w:val="000000"/>
                <w:lang w:val="en-US"/>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74457" w14:textId="77777777" w:rsidR="00E0566B" w:rsidRDefault="00E0566B">
            <w:pPr>
              <w:spacing w:line="252" w:lineRule="auto"/>
              <w:jc w:val="center"/>
            </w:pPr>
            <w:r>
              <w:rPr>
                <w:color w:val="000000"/>
                <w:lang w:val="en-US"/>
              </w:rPr>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A55BE55" w14:textId="77777777" w:rsidR="00E0566B" w:rsidRDefault="00E0566B">
            <w:pPr>
              <w:spacing w:line="252" w:lineRule="auto"/>
              <w:jc w:val="center"/>
            </w:pPr>
            <w:r>
              <w:rPr>
                <w:color w:val="000000"/>
                <w:lang w:val="en-US"/>
              </w:rPr>
              <w:t>2227</w:t>
            </w:r>
          </w:p>
        </w:tc>
      </w:tr>
      <w:tr w:rsidR="00E0566B" w14:paraId="3FE034BA"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CAC0C61" w14:textId="77777777" w:rsidR="00E0566B" w:rsidRDefault="00E0566B">
            <w:pPr>
              <w:spacing w:line="252" w:lineRule="auto"/>
            </w:pPr>
            <w:r>
              <w:rPr>
                <w:b/>
                <w:bCs/>
                <w:color w:val="000000"/>
                <w:lang w:val="en-US"/>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3ADD8" w14:textId="77777777" w:rsidR="00E0566B" w:rsidRDefault="00E0566B">
            <w:pPr>
              <w:spacing w:line="252" w:lineRule="auto"/>
              <w:jc w:val="center"/>
            </w:pPr>
            <w:r>
              <w:t>34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E1111B0" w14:textId="77777777" w:rsidR="00E0566B" w:rsidRDefault="00E0566B">
            <w:pPr>
              <w:spacing w:line="252" w:lineRule="auto"/>
              <w:jc w:val="center"/>
            </w:pPr>
            <w:r>
              <w:rPr>
                <w:color w:val="000000"/>
                <w:lang w:val="en-US"/>
              </w:rPr>
              <w:t>2997</w:t>
            </w:r>
          </w:p>
        </w:tc>
      </w:tr>
      <w:tr w:rsidR="00E0566B" w14:paraId="28904DAD"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53885B" w14:textId="77777777" w:rsidR="00E0566B" w:rsidRDefault="00E0566B">
            <w:pPr>
              <w:spacing w:line="252" w:lineRule="auto"/>
            </w:pPr>
            <w:r>
              <w:rPr>
                <w:b/>
                <w:bCs/>
                <w:color w:val="000000"/>
                <w:lang w:val="en-US"/>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2DB27" w14:textId="77777777" w:rsidR="00E0566B" w:rsidRDefault="00E0566B">
            <w:pPr>
              <w:spacing w:line="252" w:lineRule="auto"/>
              <w:jc w:val="center"/>
            </w:pPr>
            <w: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4BE6E0A" w14:textId="77777777" w:rsidR="00E0566B" w:rsidRDefault="00E0566B">
            <w:pPr>
              <w:spacing w:line="252" w:lineRule="auto"/>
              <w:jc w:val="center"/>
            </w:pPr>
            <w:r>
              <w:rPr>
                <w:color w:val="000000"/>
                <w:lang w:val="en-US"/>
              </w:rPr>
              <w:t>1760</w:t>
            </w:r>
          </w:p>
        </w:tc>
      </w:tr>
      <w:tr w:rsidR="00E0566B" w14:paraId="32AAAEA1"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00A9BC" w14:textId="77777777" w:rsidR="00E0566B" w:rsidRDefault="00E0566B">
            <w:pPr>
              <w:spacing w:line="252" w:lineRule="auto"/>
            </w:pPr>
            <w:r>
              <w:rPr>
                <w:b/>
                <w:bCs/>
                <w:color w:val="000000"/>
                <w:lang w:val="en-US"/>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C5A81" w14:textId="77777777" w:rsidR="00E0566B" w:rsidRDefault="00E0566B">
            <w:pPr>
              <w:spacing w:line="252" w:lineRule="auto"/>
              <w:jc w:val="center"/>
            </w:pPr>
            <w: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CA8CC19" w14:textId="77777777" w:rsidR="00E0566B" w:rsidRDefault="00E0566B">
            <w:pPr>
              <w:spacing w:line="252" w:lineRule="auto"/>
              <w:jc w:val="center"/>
            </w:pPr>
            <w:r>
              <w:rPr>
                <w:color w:val="000000"/>
                <w:lang w:val="en-US"/>
              </w:rPr>
              <w:t>188</w:t>
            </w:r>
          </w:p>
        </w:tc>
      </w:tr>
      <w:tr w:rsidR="00E0566B" w14:paraId="33364C60"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FA1E45" w14:textId="77777777" w:rsidR="00E0566B" w:rsidRDefault="00E0566B">
            <w:pPr>
              <w:spacing w:line="252" w:lineRule="auto"/>
            </w:pPr>
            <w:r>
              <w:rPr>
                <w:b/>
                <w:bCs/>
                <w:color w:val="000000"/>
                <w:lang w:val="en-US"/>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8175C" w14:textId="77777777" w:rsidR="00E0566B" w:rsidRDefault="00E0566B">
            <w:pPr>
              <w:spacing w:line="252" w:lineRule="auto"/>
              <w:jc w:val="center"/>
            </w:pPr>
            <w:r>
              <w:rPr>
                <w:color w:val="000000"/>
                <w:lang w:val="en-US"/>
              </w:rP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A54D32D" w14:textId="77777777" w:rsidR="00E0566B" w:rsidRDefault="00E0566B">
            <w:pPr>
              <w:spacing w:line="252" w:lineRule="auto"/>
              <w:jc w:val="center"/>
            </w:pPr>
            <w:r>
              <w:t>1935</w:t>
            </w:r>
          </w:p>
        </w:tc>
      </w:tr>
      <w:tr w:rsidR="00E0566B" w14:paraId="4F9E45D4"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1CCF59" w14:textId="77777777" w:rsidR="00E0566B" w:rsidRDefault="00E0566B">
            <w:pPr>
              <w:spacing w:line="252" w:lineRule="auto"/>
            </w:pPr>
            <w:r>
              <w:rPr>
                <w:b/>
                <w:bCs/>
                <w:color w:val="000000"/>
                <w:lang w:val="en-US"/>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B6651" w14:textId="77777777" w:rsidR="00E0566B" w:rsidRDefault="00E0566B">
            <w:pPr>
              <w:spacing w:line="252" w:lineRule="auto"/>
              <w:jc w:val="center"/>
            </w:pPr>
            <w:r>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0A11B39" w14:textId="77777777" w:rsidR="00E0566B" w:rsidRDefault="00E0566B">
            <w:pPr>
              <w:spacing w:line="252" w:lineRule="auto"/>
              <w:jc w:val="center"/>
            </w:pPr>
            <w:r>
              <w:t>4103</w:t>
            </w:r>
          </w:p>
        </w:tc>
      </w:tr>
      <w:tr w:rsidR="00E0566B" w14:paraId="7006FE07"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E9B3FB" w14:textId="77777777" w:rsidR="00E0566B" w:rsidRDefault="00E0566B">
            <w:pPr>
              <w:spacing w:line="252" w:lineRule="auto"/>
            </w:pPr>
            <w:r>
              <w:rPr>
                <w:b/>
                <w:bCs/>
                <w:color w:val="000000"/>
                <w:lang w:val="en-US"/>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A4F1D" w14:textId="77777777" w:rsidR="00E0566B" w:rsidRDefault="00E0566B">
            <w:pPr>
              <w:spacing w:line="252" w:lineRule="auto"/>
              <w:jc w:val="center"/>
            </w:pPr>
            <w:r>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DAA0ED0" w14:textId="77777777" w:rsidR="00E0566B" w:rsidRDefault="00E0566B">
            <w:pPr>
              <w:spacing w:line="252" w:lineRule="auto"/>
              <w:jc w:val="center"/>
            </w:pPr>
            <w:r>
              <w:t>4914</w:t>
            </w:r>
          </w:p>
        </w:tc>
      </w:tr>
      <w:tr w:rsidR="00E0566B" w14:paraId="70CB29EC"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4C42C9" w14:textId="77777777" w:rsidR="00E0566B" w:rsidRDefault="00E0566B">
            <w:pPr>
              <w:spacing w:line="252" w:lineRule="auto"/>
            </w:pPr>
            <w:r>
              <w:rPr>
                <w:b/>
                <w:bCs/>
                <w:color w:val="000000"/>
                <w:lang w:val="en-US"/>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F6C2" w14:textId="77777777" w:rsidR="00E0566B" w:rsidRDefault="00E0566B">
            <w:pPr>
              <w:spacing w:line="252" w:lineRule="auto"/>
              <w:jc w:val="center"/>
            </w:pPr>
            <w: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0C92CDE" w14:textId="77777777" w:rsidR="00E0566B" w:rsidRDefault="00E0566B">
            <w:pPr>
              <w:spacing w:line="252" w:lineRule="auto"/>
              <w:jc w:val="center"/>
            </w:pPr>
            <w:r>
              <w:t>6621</w:t>
            </w:r>
          </w:p>
        </w:tc>
      </w:tr>
      <w:tr w:rsidR="00E0566B" w14:paraId="7AED41DA"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142484" w14:textId="77777777" w:rsidR="00E0566B" w:rsidRDefault="00E0566B">
            <w:pPr>
              <w:spacing w:line="252" w:lineRule="auto"/>
            </w:pPr>
            <w:r>
              <w:rPr>
                <w:b/>
                <w:bCs/>
                <w:color w:val="000000"/>
                <w:lang w:val="en-US"/>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9B771" w14:textId="77777777" w:rsidR="00E0566B" w:rsidRDefault="00E0566B">
            <w:pPr>
              <w:spacing w:line="252" w:lineRule="auto"/>
              <w:jc w:val="center"/>
            </w:pPr>
            <w: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D8F3B92" w14:textId="77777777" w:rsidR="00E0566B" w:rsidRDefault="00E0566B">
            <w:pPr>
              <w:spacing w:line="252" w:lineRule="auto"/>
              <w:jc w:val="center"/>
            </w:pPr>
            <w:r>
              <w:t>1884</w:t>
            </w:r>
          </w:p>
        </w:tc>
      </w:tr>
      <w:tr w:rsidR="00E0566B" w14:paraId="670FD681"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044519" w14:textId="77777777" w:rsidR="00E0566B" w:rsidRDefault="00E0566B">
            <w:pPr>
              <w:spacing w:line="252" w:lineRule="auto"/>
            </w:pPr>
            <w:r>
              <w:rPr>
                <w:b/>
                <w:bCs/>
                <w:color w:val="000000"/>
                <w:lang w:val="en-US"/>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BC87D" w14:textId="77777777" w:rsidR="00E0566B" w:rsidRDefault="00E0566B">
            <w:pPr>
              <w:spacing w:line="252" w:lineRule="auto"/>
              <w:jc w:val="center"/>
            </w:pPr>
            <w:r>
              <w:t>24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3A75FB8" w14:textId="77777777" w:rsidR="00E0566B" w:rsidRDefault="00E0566B">
            <w:pPr>
              <w:spacing w:line="252" w:lineRule="auto"/>
              <w:jc w:val="center"/>
            </w:pPr>
            <w:r>
              <w:t>3296</w:t>
            </w:r>
          </w:p>
        </w:tc>
      </w:tr>
      <w:tr w:rsidR="00E0566B" w14:paraId="300BB996"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A509B3" w14:textId="77777777" w:rsidR="00E0566B" w:rsidRDefault="00E0566B">
            <w:pPr>
              <w:spacing w:line="252" w:lineRule="auto"/>
            </w:pPr>
            <w:r>
              <w:rPr>
                <w:b/>
                <w:bCs/>
                <w:color w:val="000000"/>
                <w:lang w:val="en-US"/>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1F504" w14:textId="77777777" w:rsidR="00E0566B" w:rsidRDefault="00E0566B">
            <w:pPr>
              <w:spacing w:line="252" w:lineRule="auto"/>
              <w:jc w:val="center"/>
            </w:pPr>
            <w:r>
              <w:t>17</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9D15DE4" w14:textId="77777777" w:rsidR="00E0566B" w:rsidRDefault="00E0566B">
            <w:pPr>
              <w:spacing w:line="252" w:lineRule="auto"/>
              <w:jc w:val="center"/>
            </w:pPr>
            <w:r>
              <w:t>3453</w:t>
            </w:r>
          </w:p>
        </w:tc>
      </w:tr>
      <w:tr w:rsidR="00E0566B" w14:paraId="3C358D6A" w14:textId="77777777" w:rsidTr="00E0566B">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DB8D74" w14:textId="77777777" w:rsidR="00E0566B" w:rsidRDefault="00E0566B">
            <w:pPr>
              <w:spacing w:line="252" w:lineRule="auto"/>
            </w:pPr>
            <w:r>
              <w:rPr>
                <w:b/>
                <w:bCs/>
                <w:color w:val="000000"/>
                <w:lang w:val="en-US"/>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E6C71" w14:textId="77777777" w:rsidR="00E0566B" w:rsidRDefault="00E0566B">
            <w:pPr>
              <w:spacing w:line="252" w:lineRule="auto"/>
              <w:jc w:val="center"/>
            </w:pPr>
            <w:r>
              <w:t>63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322E19A" w14:textId="77777777" w:rsidR="00E0566B" w:rsidRDefault="00E0566B">
            <w:pPr>
              <w:spacing w:line="252" w:lineRule="auto"/>
              <w:jc w:val="center"/>
            </w:pPr>
            <w:r>
              <w:t>7246</w:t>
            </w:r>
          </w:p>
        </w:tc>
      </w:tr>
      <w:tr w:rsidR="00E0566B" w14:paraId="4F34B305" w14:textId="77777777" w:rsidTr="00E0566B">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D7EE562" w14:textId="77777777" w:rsidR="00E0566B" w:rsidRDefault="00E0566B">
            <w:pPr>
              <w:spacing w:line="252" w:lineRule="auto"/>
            </w:pPr>
            <w:r>
              <w:rPr>
                <w:b/>
                <w:bCs/>
                <w:color w:val="000000"/>
                <w:lang w:val="en-US"/>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2E48D" w14:textId="77777777" w:rsidR="00E0566B" w:rsidRDefault="00E0566B">
            <w:pPr>
              <w:spacing w:line="252" w:lineRule="auto"/>
              <w:jc w:val="center"/>
            </w:pPr>
            <w: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376CA1F" w14:textId="77777777" w:rsidR="00E0566B" w:rsidRDefault="00E0566B">
            <w:pPr>
              <w:spacing w:line="252" w:lineRule="auto"/>
              <w:jc w:val="center"/>
            </w:pPr>
            <w:r>
              <w:t>1267</w:t>
            </w:r>
          </w:p>
        </w:tc>
      </w:tr>
      <w:tr w:rsidR="00E0566B" w14:paraId="44EC26FE" w14:textId="77777777" w:rsidTr="00E0566B">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C4A3A7" w14:textId="77777777" w:rsidR="00E0566B" w:rsidRDefault="00E0566B">
            <w:pPr>
              <w:spacing w:line="252" w:lineRule="auto"/>
            </w:pPr>
            <w:r>
              <w:rPr>
                <w:b/>
                <w:bCs/>
                <w:color w:val="000000"/>
                <w:lang w:val="en-US"/>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71988" w14:textId="77777777" w:rsidR="00E0566B" w:rsidRDefault="00E0566B">
            <w:pPr>
              <w:spacing w:line="252" w:lineRule="auto"/>
              <w:jc w:val="center"/>
            </w:pPr>
            <w:r>
              <w:t>56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62B4469" w14:textId="77777777" w:rsidR="00E0566B" w:rsidRDefault="00E0566B">
            <w:pPr>
              <w:spacing w:line="252" w:lineRule="auto"/>
              <w:jc w:val="center"/>
            </w:pPr>
            <w:r>
              <w:t>6067</w:t>
            </w:r>
          </w:p>
        </w:tc>
      </w:tr>
      <w:tr w:rsidR="00E0566B" w14:paraId="3D18381D" w14:textId="77777777" w:rsidTr="00E0566B">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2A0B69D" w14:textId="77777777" w:rsidR="00E0566B" w:rsidRDefault="00E0566B">
            <w:pPr>
              <w:spacing w:line="252" w:lineRule="auto"/>
            </w:pPr>
            <w:r>
              <w:rPr>
                <w:b/>
                <w:bCs/>
                <w:color w:val="000000"/>
                <w:lang w:val="en-US"/>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5A8A84CB" w14:textId="77777777" w:rsidR="00E0566B" w:rsidRDefault="00E0566B">
            <w:pPr>
              <w:spacing w:line="252" w:lineRule="auto"/>
              <w:jc w:val="center"/>
              <w:rPr>
                <w:b/>
                <w:bCs/>
              </w:rPr>
            </w:pPr>
            <w:r>
              <w:rPr>
                <w:b/>
                <w:bCs/>
                <w:color w:val="000000"/>
              </w:rPr>
              <w:t>402</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0F153ED5" w14:textId="77777777" w:rsidR="00E0566B" w:rsidRDefault="00E0566B">
            <w:pPr>
              <w:spacing w:line="252" w:lineRule="auto"/>
              <w:jc w:val="center"/>
            </w:pPr>
            <w:r>
              <w:rPr>
                <w:b/>
                <w:bCs/>
                <w:color w:val="000000"/>
                <w:lang w:val="en-US"/>
              </w:rPr>
              <w:t xml:space="preserve">49323 </w:t>
            </w:r>
          </w:p>
        </w:tc>
      </w:tr>
    </w:tbl>
    <w:p w14:paraId="50FAFE6A" w14:textId="77777777" w:rsidR="008F1F37" w:rsidRPr="00E0566B" w:rsidRDefault="008F1F37" w:rsidP="008F1F37"/>
    <w:p w14:paraId="5CCECF03" w14:textId="77777777" w:rsidR="00252295" w:rsidRPr="006B782E" w:rsidRDefault="00252295">
      <w:pPr>
        <w:tabs>
          <w:tab w:val="clear" w:pos="794"/>
          <w:tab w:val="clear" w:pos="1191"/>
          <w:tab w:val="clear" w:pos="1588"/>
          <w:tab w:val="clear" w:pos="1985"/>
        </w:tabs>
        <w:overflowPunct/>
        <w:autoSpaceDE/>
        <w:autoSpaceDN/>
        <w:adjustRightInd/>
        <w:spacing w:before="0"/>
        <w:textAlignment w:val="auto"/>
        <w:rPr>
          <w:highlight w:val="yellow"/>
        </w:rPr>
      </w:pPr>
    </w:p>
    <w:p w14:paraId="5CCECF04" w14:textId="77777777" w:rsidR="00124213" w:rsidRPr="006B782E" w:rsidRDefault="00124213">
      <w:pPr>
        <w:tabs>
          <w:tab w:val="clear" w:pos="794"/>
          <w:tab w:val="clear" w:pos="1191"/>
          <w:tab w:val="clear" w:pos="1588"/>
          <w:tab w:val="clear" w:pos="1985"/>
        </w:tabs>
        <w:overflowPunct/>
        <w:autoSpaceDE/>
        <w:autoSpaceDN/>
        <w:adjustRightInd/>
        <w:spacing w:before="0"/>
        <w:textAlignment w:val="auto"/>
        <w:rPr>
          <w:b/>
          <w:highlight w:val="yellow"/>
        </w:rPr>
      </w:pPr>
      <w:r w:rsidRPr="006B782E">
        <w:rPr>
          <w:highlight w:val="yellow"/>
        </w:rPr>
        <w:br w:type="page"/>
      </w:r>
    </w:p>
    <w:p w14:paraId="5CCECF05" w14:textId="77777777" w:rsidR="007C6E64" w:rsidRPr="00E0566B" w:rsidRDefault="005E1B8F" w:rsidP="00694DE5">
      <w:pPr>
        <w:pStyle w:val="Heading1"/>
      </w:pPr>
      <w:r w:rsidRPr="00E0566B">
        <w:lastRenderedPageBreak/>
        <w:t>3</w:t>
      </w:r>
      <w:r w:rsidR="007C6E64" w:rsidRPr="00E0566B">
        <w:tab/>
      </w:r>
      <w:r w:rsidR="00CD6099" w:rsidRPr="00E0566B">
        <w:t>Electronic meetings</w:t>
      </w:r>
    </w:p>
    <w:p w14:paraId="7B88A585" w14:textId="77777777" w:rsidR="00E0566B" w:rsidRDefault="00E0566B" w:rsidP="00E0566B">
      <w:r>
        <w:t>In response to PP-10 Resolution 167 (Strengthening ITU capabilities for electronic meetings and means to advance the work of the Union), TSB continues to improve the electronic meeting facilities for the members.</w:t>
      </w:r>
    </w:p>
    <w:p w14:paraId="4442CAFD" w14:textId="45297FE0" w:rsidR="00E0566B" w:rsidRDefault="00E0566B" w:rsidP="00E0566B">
      <w:r>
        <w:rPr>
          <w:color w:val="000000"/>
        </w:rPr>
        <w:t xml:space="preserve">In the last few months, TSB has made some important changes and improvements to its electronic meeting facilities due to the COVID-19 global pandemic. MyMeetings, the ITU-T </w:t>
      </w:r>
      <w:r w:rsidR="00B0534C">
        <w:rPr>
          <w:color w:val="000000"/>
        </w:rPr>
        <w:t>open-source</w:t>
      </w:r>
      <w:r>
        <w:rPr>
          <w:color w:val="000000"/>
        </w:rPr>
        <w:t xml:space="preserve"> solution for electronic meetings introduced in January 2019 by TSB, is now used as the main platform to </w:t>
      </w:r>
      <w:proofErr w:type="spellStart"/>
      <w:r>
        <w:rPr>
          <w:color w:val="000000"/>
        </w:rPr>
        <w:t>organi</w:t>
      </w:r>
      <w:proofErr w:type="spellEnd"/>
      <w:r>
        <w:rPr>
          <w:color w:val="000000"/>
          <w:lang w:val="en-US"/>
        </w:rPr>
        <w:t>s</w:t>
      </w:r>
      <w:r>
        <w:rPr>
          <w:color w:val="000000"/>
        </w:rPr>
        <w:t xml:space="preserve">e ITU-T statutory meetings. The tool features some important elements found in ITU-T physical meetings, including participants’ list and affiliation, multilingual support, moderated floor request and captioning. In addition, the tool </w:t>
      </w:r>
      <w:r w:rsidR="00B0534C">
        <w:rPr>
          <w:color w:val="000000"/>
        </w:rPr>
        <w:t>enforces</w:t>
      </w:r>
      <w:r>
        <w:rPr>
          <w:color w:val="000000"/>
        </w:rPr>
        <w:t xml:space="preserve"> several layers of access control to make sure that only registered participants can have access to Statutory meetings.</w:t>
      </w:r>
    </w:p>
    <w:p w14:paraId="5172267F" w14:textId="641B9AF3" w:rsidR="00E0566B" w:rsidRDefault="00E0566B" w:rsidP="00E0566B">
      <w:r>
        <w:rPr>
          <w:color w:val="000000"/>
        </w:rPr>
        <w:t>MyMeetings is also used to host Rapporteur Group Meetings and non-statutory events, such as webinars. Other electronic meeting tools, such as Zoom, are also provided by TSB for hosting fully online (virtual) and any on-demand ad-hoc meetings</w:t>
      </w:r>
      <w:r>
        <w:rPr>
          <w:color w:val="000000"/>
          <w:lang w:val="en-US"/>
        </w:rPr>
        <w:t>.</w:t>
      </w:r>
    </w:p>
    <w:p w14:paraId="6ADB70A2" w14:textId="4D16B773" w:rsidR="003C0603" w:rsidRPr="00E0566B" w:rsidRDefault="003C0603" w:rsidP="003C0603"/>
    <w:p w14:paraId="5CCECF08" w14:textId="77777777" w:rsidR="009C12B9" w:rsidRPr="00E0566B" w:rsidRDefault="009C12B9">
      <w:pPr>
        <w:tabs>
          <w:tab w:val="clear" w:pos="794"/>
          <w:tab w:val="clear" w:pos="1191"/>
          <w:tab w:val="clear" w:pos="1588"/>
          <w:tab w:val="clear" w:pos="1985"/>
        </w:tabs>
        <w:overflowPunct/>
        <w:autoSpaceDE/>
        <w:autoSpaceDN/>
        <w:adjustRightInd/>
        <w:spacing w:before="0"/>
        <w:textAlignment w:val="auto"/>
      </w:pPr>
    </w:p>
    <w:p w14:paraId="5CCECF09" w14:textId="77777777" w:rsidR="00FC433F" w:rsidRPr="00E0566B" w:rsidRDefault="00FC433F" w:rsidP="00674F46">
      <w:pPr>
        <w:rPr>
          <w:b/>
          <w:bCs/>
        </w:rPr>
      </w:pPr>
      <w:r w:rsidRPr="00E0566B">
        <w:rPr>
          <w:b/>
          <w:bCs/>
        </w:rPr>
        <w:t>3.1</w:t>
      </w:r>
      <w:r w:rsidRPr="00E0566B">
        <w:rPr>
          <w:b/>
          <w:bCs/>
        </w:rPr>
        <w:tab/>
        <w:t xml:space="preserve">E-meeting sessions </w:t>
      </w:r>
      <w:proofErr w:type="gramStart"/>
      <w:r w:rsidRPr="00E0566B">
        <w:rPr>
          <w:b/>
          <w:bCs/>
        </w:rPr>
        <w:t>organized</w:t>
      </w:r>
      <w:proofErr w:type="gramEnd"/>
    </w:p>
    <w:bookmarkEnd w:id="16"/>
    <w:p w14:paraId="576567EB" w14:textId="30412279" w:rsidR="00E0566B" w:rsidRDefault="00E0566B" w:rsidP="007B107B">
      <w:pPr>
        <w:rPr>
          <w:b/>
          <w:bCs/>
        </w:rPr>
      </w:pPr>
      <w:r>
        <w:t xml:space="preserve">For the period from </w:t>
      </w:r>
      <w:r>
        <w:rPr>
          <w:b/>
          <w:bCs/>
          <w:color w:val="000000"/>
          <w:lang w:val="en-US"/>
        </w:rPr>
        <w:t>September</w:t>
      </w:r>
      <w:r>
        <w:rPr>
          <w:b/>
          <w:bCs/>
          <w:color w:val="000000"/>
        </w:rPr>
        <w:t xml:space="preserve"> to </w:t>
      </w:r>
      <w:r>
        <w:rPr>
          <w:b/>
          <w:bCs/>
          <w:color w:val="000000"/>
          <w:lang w:val="en-US"/>
        </w:rPr>
        <w:t>November 2020</w:t>
      </w:r>
      <w:r>
        <w:rPr>
          <w:color w:val="000000"/>
        </w:rPr>
        <w:t xml:space="preserve">, </w:t>
      </w:r>
      <w:r>
        <w:t xml:space="preserve">a total of over </w:t>
      </w:r>
      <w:r>
        <w:rPr>
          <w:b/>
          <w:bCs/>
          <w:color w:val="000000"/>
          <w:lang w:val="en-US"/>
        </w:rPr>
        <w:t xml:space="preserve">800 </w:t>
      </w:r>
      <w:proofErr w:type="spellStart"/>
      <w:r>
        <w:rPr>
          <w:b/>
          <w:bCs/>
        </w:rPr>
        <w:t>e-</w:t>
      </w:r>
      <w:r w:rsidR="00B0534C">
        <w:rPr>
          <w:b/>
          <w:bCs/>
        </w:rPr>
        <w:t>meetings</w:t>
      </w:r>
      <w:proofErr w:type="spellEnd"/>
      <w:r w:rsidR="00B0534C">
        <w:t xml:space="preserve"> </w:t>
      </w:r>
      <w:r>
        <w:t xml:space="preserve">sessions were provided with over </w:t>
      </w:r>
      <w:r>
        <w:rPr>
          <w:b/>
          <w:bCs/>
          <w:color w:val="000000"/>
        </w:rPr>
        <w:t xml:space="preserve">19000 </w:t>
      </w:r>
      <w:r>
        <w:rPr>
          <w:b/>
          <w:bCs/>
        </w:rPr>
        <w:t>online attendees.</w:t>
      </w:r>
    </w:p>
    <w:p w14:paraId="5CCECFA5" w14:textId="6CCEDF9C" w:rsidR="00787686" w:rsidRDefault="00787686" w:rsidP="007B107B">
      <w:pPr>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proofErr w:type="gramStart"/>
      <w:r w:rsidR="00150118" w:rsidRPr="004819F5">
        <w:rPr>
          <w:lang w:val="en-US"/>
        </w:rPr>
        <w:t>EWM</w:t>
      </w:r>
      <w:proofErr w:type="gramEnd"/>
      <w:r w:rsidR="00150118">
        <w:rPr>
          <w:lang w:val="en-US"/>
        </w:rPr>
        <w:t xml:space="preserve"> </w:t>
      </w:r>
    </w:p>
    <w:p w14:paraId="5CCED03D" w14:textId="486B35E0" w:rsidR="00DB657E" w:rsidRDefault="00150118" w:rsidP="00DB657E">
      <w:r>
        <w:t>ITU-T Membership regularly provides TSB with feedback, requests for new tools or improvements for their electronic working</w:t>
      </w:r>
      <w:r w:rsidR="00891663">
        <w:t xml:space="preserve"> methods</w:t>
      </w:r>
      <w:r>
        <w:t xml:space="preserve">. TSB reviews these </w:t>
      </w:r>
      <w:r w:rsidR="003C3F7D">
        <w:t>requests,</w:t>
      </w:r>
      <w:r>
        <w:t xml:space="preserve"> and </w:t>
      </w:r>
      <w:r w:rsidR="00D302C6">
        <w:t xml:space="preserve">they </w:t>
      </w:r>
      <w:r>
        <w:t>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2F7E2CEB"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in the new Study Period.</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7" w14:textId="63B27EC4" w:rsidR="007A4F64" w:rsidRPr="007A4F64" w:rsidRDefault="00EB1E3B" w:rsidP="00343DE4">
            <w:pPr>
              <w:jc w:val="both"/>
              <w:rPr>
                <w:sz w:val="20"/>
                <w:lang w:val="en-US"/>
              </w:rPr>
            </w:pPr>
            <w:r w:rsidRPr="00EB1E3B">
              <w:rPr>
                <w:sz w:val="20"/>
                <w:lang w:eastAsia="ja-JP"/>
              </w:rPr>
              <w:t>On the HTML pages used by the Sync tool, filtering documents by Question requires finding a document allocated to the desired Question in order to filter/select those for a given Question. Enabling a way to select by Question apart from finding it in the right column first would be far more user-friendly. This might be offered as a pull-down menu on the Questions column header, like on the website version of the document pages for example.</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E03E20" w:rsidRDefault="0085168C" w:rsidP="00322B32">
            <w:pPr>
              <w:pStyle w:val="Tabletext"/>
              <w:spacing w:line="252" w:lineRule="auto"/>
              <w:jc w:val="center"/>
              <w:rPr>
                <w:sz w:val="20"/>
                <w:lang w:eastAsia="ja-JP"/>
              </w:rPr>
            </w:pPr>
            <w:r>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E03E20" w:rsidRDefault="00E87922" w:rsidP="00E87922">
            <w:pPr>
              <w:rPr>
                <w:sz w:val="20"/>
              </w:rPr>
            </w:pPr>
            <w:r>
              <w:rPr>
                <w:sz w:val="20"/>
              </w:rPr>
              <w:t xml:space="preserve">Improvements and updates </w:t>
            </w:r>
            <w:r w:rsidR="00457E70">
              <w:rPr>
                <w:sz w:val="20"/>
              </w:rPr>
              <w:t xml:space="preserve">to the Sync tool are </w:t>
            </w:r>
            <w:r w:rsidR="00343DE4">
              <w:rPr>
                <w:sz w:val="20"/>
              </w:rPr>
              <w:t xml:space="preserve">regularly </w:t>
            </w:r>
            <w:r w:rsidR="00457E70">
              <w:rPr>
                <w:sz w:val="20"/>
              </w:rPr>
              <w:t xml:space="preserve">delivered </w:t>
            </w:r>
            <w:r>
              <w:rPr>
                <w:sz w:val="20"/>
              </w:rPr>
              <w:t>if feasible</w:t>
            </w:r>
            <w:r w:rsidR="00457E70">
              <w:rPr>
                <w:sz w:val="20"/>
              </w:rPr>
              <w:t>.</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387F8A9A" w:rsidR="002C7D6B" w:rsidRPr="00816CA5" w:rsidRDefault="002C7D6B" w:rsidP="008E59AE">
            <w:pPr>
              <w:pStyle w:val="Tabletext"/>
              <w:jc w:val="center"/>
              <w:rPr>
                <w:rFonts w:asciiTheme="majorBidi" w:hAnsiTheme="majorBidi" w:cstheme="majorBidi"/>
                <w:sz w:val="20"/>
              </w:rPr>
            </w:pPr>
            <w:r>
              <w:rPr>
                <w:rFonts w:asciiTheme="majorBidi" w:hAnsiTheme="majorBidi" w:cstheme="majorBidi"/>
                <w:sz w:val="20"/>
              </w:rPr>
              <w:t>A-</w:t>
            </w:r>
            <w:r w:rsidR="008E59AE">
              <w:rPr>
                <w:rFonts w:asciiTheme="majorBidi" w:hAnsiTheme="majorBidi" w:cstheme="majorBidi"/>
                <w:sz w:val="20"/>
              </w:rPr>
              <w:t>3</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Default="0085168C"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3"/>
      <w:footerReference w:type="first" r:id="rId4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E9AE1" w14:textId="77777777" w:rsidR="002457B3" w:rsidRDefault="002457B3">
      <w:r>
        <w:separator/>
      </w:r>
    </w:p>
  </w:endnote>
  <w:endnote w:type="continuationSeparator" w:id="0">
    <w:p w14:paraId="7BAFB25E" w14:textId="77777777" w:rsidR="002457B3" w:rsidRDefault="0024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CCD9" w14:textId="77777777" w:rsidR="002457B3" w:rsidRDefault="002457B3">
      <w:r>
        <w:separator/>
      </w:r>
    </w:p>
  </w:footnote>
  <w:footnote w:type="continuationSeparator" w:id="0">
    <w:p w14:paraId="748D56E6" w14:textId="77777777" w:rsidR="002457B3" w:rsidRDefault="0024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D0D6" w14:textId="3B9F573F" w:rsidR="005C3C1B" w:rsidRPr="00924749" w:rsidRDefault="005C3C1B" w:rsidP="00924749">
    <w:pPr>
      <w:pStyle w:val="Header"/>
    </w:pPr>
    <w:r w:rsidRPr="00924749">
      <w:t xml:space="preserve">- </w:t>
    </w:r>
    <w:r w:rsidRPr="00924749">
      <w:fldChar w:fldCharType="begin"/>
    </w:r>
    <w:r w:rsidRPr="00924749">
      <w:instrText xml:space="preserve"> PAGE  \* MERGEFORMAT </w:instrText>
    </w:r>
    <w:r w:rsidRPr="00924749">
      <w:fldChar w:fldCharType="separate"/>
    </w:r>
    <w:r>
      <w:rPr>
        <w:noProof/>
      </w:rPr>
      <w:t>9</w:t>
    </w:r>
    <w:r w:rsidRPr="00924749">
      <w:fldChar w:fldCharType="end"/>
    </w:r>
    <w:r w:rsidRPr="00924749">
      <w:t xml:space="preserve"> -</w:t>
    </w:r>
  </w:p>
  <w:p w14:paraId="3F161424" w14:textId="69FCF020" w:rsidR="005C3C1B" w:rsidRPr="00924749" w:rsidRDefault="005C3C1B" w:rsidP="00D65081">
    <w:pPr>
      <w:pStyle w:val="Header"/>
      <w:spacing w:after="240"/>
    </w:pPr>
    <w:r>
      <w:t>TSAG-TD</w:t>
    </w:r>
    <w:r w:rsidR="0085168C">
      <w:t>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C7B07"/>
    <w:multiLevelType w:val="hybridMultilevel"/>
    <w:tmpl w:val="21EA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1"/>
  </w:num>
  <w:num w:numId="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1"/>
  </w:num>
  <w:num w:numId="8">
    <w:abstractNumId w:val="2"/>
  </w:num>
  <w:num w:numId="9">
    <w:abstractNumId w:val="6"/>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8"/>
  </w:num>
  <w:num w:numId="19">
    <w:abstractNumId w:val="23"/>
  </w:num>
  <w:num w:numId="20">
    <w:abstractNumId w:val="16"/>
  </w:num>
  <w:num w:numId="21">
    <w:abstractNumId w:val="14"/>
  </w:num>
  <w:num w:numId="22">
    <w:abstractNumId w:val="30"/>
  </w:num>
  <w:num w:numId="23">
    <w:abstractNumId w:val="28"/>
  </w:num>
  <w:num w:numId="24">
    <w:abstractNumId w:val="3"/>
  </w:num>
  <w:num w:numId="25">
    <w:abstractNumId w:val="8"/>
  </w:num>
  <w:num w:numId="26">
    <w:abstractNumId w:val="5"/>
  </w:num>
  <w:num w:numId="27">
    <w:abstractNumId w:val="9"/>
  </w:num>
  <w:num w:numId="28">
    <w:abstractNumId w:val="8"/>
  </w:num>
  <w:num w:numId="29">
    <w:abstractNumId w:val="5"/>
  </w:num>
  <w:num w:numId="30">
    <w:abstractNumId w:val="24"/>
  </w:num>
  <w:num w:numId="31">
    <w:abstractNumId w:val="25"/>
  </w:num>
  <w:num w:numId="32">
    <w:abstractNumId w:val="10"/>
  </w:num>
  <w:num w:numId="33">
    <w:abstractNumId w:val="22"/>
  </w:num>
  <w:num w:numId="34">
    <w:abstractNumId w:val="12"/>
  </w:num>
  <w:num w:numId="35">
    <w:abstractNumId w:val="7"/>
  </w:num>
  <w:num w:numId="36">
    <w:abstractNumId w:val="22"/>
  </w:num>
  <w:num w:numId="3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4D7"/>
    <w:rsid w:val="000645A6"/>
    <w:rsid w:val="00071441"/>
    <w:rsid w:val="00072272"/>
    <w:rsid w:val="0007264C"/>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2329"/>
    <w:rsid w:val="000F3962"/>
    <w:rsid w:val="000F5BFB"/>
    <w:rsid w:val="00102FE3"/>
    <w:rsid w:val="00106011"/>
    <w:rsid w:val="00107748"/>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4396"/>
    <w:rsid w:val="0014586D"/>
    <w:rsid w:val="00147E6D"/>
    <w:rsid w:val="00147F56"/>
    <w:rsid w:val="00150118"/>
    <w:rsid w:val="0015039B"/>
    <w:rsid w:val="00153624"/>
    <w:rsid w:val="00153D7C"/>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150A"/>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7B3"/>
    <w:rsid w:val="00245CA4"/>
    <w:rsid w:val="0025044C"/>
    <w:rsid w:val="00252295"/>
    <w:rsid w:val="00252473"/>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B60AB"/>
    <w:rsid w:val="002C0EC7"/>
    <w:rsid w:val="002C22AF"/>
    <w:rsid w:val="002C31E6"/>
    <w:rsid w:val="002C5BCF"/>
    <w:rsid w:val="002C752A"/>
    <w:rsid w:val="002C7D6B"/>
    <w:rsid w:val="002D1CA5"/>
    <w:rsid w:val="002D1DC2"/>
    <w:rsid w:val="002D1FBC"/>
    <w:rsid w:val="002D32B7"/>
    <w:rsid w:val="002D5DAC"/>
    <w:rsid w:val="002D778B"/>
    <w:rsid w:val="002E363B"/>
    <w:rsid w:val="002F12C4"/>
    <w:rsid w:val="002F5C3E"/>
    <w:rsid w:val="002F7D83"/>
    <w:rsid w:val="0030049F"/>
    <w:rsid w:val="00304100"/>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43DE4"/>
    <w:rsid w:val="003549DD"/>
    <w:rsid w:val="00360441"/>
    <w:rsid w:val="003613AB"/>
    <w:rsid w:val="00363D13"/>
    <w:rsid w:val="00363D2A"/>
    <w:rsid w:val="00367FF6"/>
    <w:rsid w:val="00371EFA"/>
    <w:rsid w:val="00372D08"/>
    <w:rsid w:val="00372D54"/>
    <w:rsid w:val="00383FAC"/>
    <w:rsid w:val="00386C96"/>
    <w:rsid w:val="0038747C"/>
    <w:rsid w:val="00393F98"/>
    <w:rsid w:val="0039454B"/>
    <w:rsid w:val="003945E8"/>
    <w:rsid w:val="00396053"/>
    <w:rsid w:val="00396806"/>
    <w:rsid w:val="0039687B"/>
    <w:rsid w:val="003A1BEA"/>
    <w:rsid w:val="003A4017"/>
    <w:rsid w:val="003A409C"/>
    <w:rsid w:val="003A48E8"/>
    <w:rsid w:val="003B3A5F"/>
    <w:rsid w:val="003B5199"/>
    <w:rsid w:val="003C0603"/>
    <w:rsid w:val="003C10B2"/>
    <w:rsid w:val="003C3F7D"/>
    <w:rsid w:val="003C4BDB"/>
    <w:rsid w:val="003C5C61"/>
    <w:rsid w:val="003C6769"/>
    <w:rsid w:val="003D0806"/>
    <w:rsid w:val="003D1F9F"/>
    <w:rsid w:val="003D4315"/>
    <w:rsid w:val="003D5168"/>
    <w:rsid w:val="003D5BE6"/>
    <w:rsid w:val="003D7C48"/>
    <w:rsid w:val="003E1389"/>
    <w:rsid w:val="003E6AC6"/>
    <w:rsid w:val="003E7FF1"/>
    <w:rsid w:val="003F082D"/>
    <w:rsid w:val="003F1D50"/>
    <w:rsid w:val="003F3AA6"/>
    <w:rsid w:val="00400EAE"/>
    <w:rsid w:val="0041374A"/>
    <w:rsid w:val="0041443A"/>
    <w:rsid w:val="00414DB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503BC"/>
    <w:rsid w:val="0045412B"/>
    <w:rsid w:val="004550A0"/>
    <w:rsid w:val="00455B71"/>
    <w:rsid w:val="004577FB"/>
    <w:rsid w:val="00457E70"/>
    <w:rsid w:val="00462C39"/>
    <w:rsid w:val="00462DDC"/>
    <w:rsid w:val="00470C6E"/>
    <w:rsid w:val="004714BF"/>
    <w:rsid w:val="00474A07"/>
    <w:rsid w:val="00475940"/>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060"/>
    <w:rsid w:val="004C4BF1"/>
    <w:rsid w:val="004D2090"/>
    <w:rsid w:val="004D319E"/>
    <w:rsid w:val="004D41A7"/>
    <w:rsid w:val="004D4A75"/>
    <w:rsid w:val="004D4C1A"/>
    <w:rsid w:val="004D6941"/>
    <w:rsid w:val="004E0B58"/>
    <w:rsid w:val="004E71B6"/>
    <w:rsid w:val="004E7AB1"/>
    <w:rsid w:val="004E7BDF"/>
    <w:rsid w:val="004F159C"/>
    <w:rsid w:val="004F1F83"/>
    <w:rsid w:val="004F2293"/>
    <w:rsid w:val="004F2B1E"/>
    <w:rsid w:val="004F3C5A"/>
    <w:rsid w:val="004F454F"/>
    <w:rsid w:val="004F78BB"/>
    <w:rsid w:val="00501F15"/>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41B70"/>
    <w:rsid w:val="00541EC9"/>
    <w:rsid w:val="00544A14"/>
    <w:rsid w:val="00545FB3"/>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1372"/>
    <w:rsid w:val="005A759E"/>
    <w:rsid w:val="005B2461"/>
    <w:rsid w:val="005B2A9C"/>
    <w:rsid w:val="005B2DB7"/>
    <w:rsid w:val="005B2F71"/>
    <w:rsid w:val="005B3FA8"/>
    <w:rsid w:val="005C1DFA"/>
    <w:rsid w:val="005C3C1B"/>
    <w:rsid w:val="005C4F04"/>
    <w:rsid w:val="005C792A"/>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4C4"/>
    <w:rsid w:val="0065176D"/>
    <w:rsid w:val="0065201A"/>
    <w:rsid w:val="0065208F"/>
    <w:rsid w:val="00654B40"/>
    <w:rsid w:val="006564B3"/>
    <w:rsid w:val="00656AB1"/>
    <w:rsid w:val="00656AEB"/>
    <w:rsid w:val="0065748A"/>
    <w:rsid w:val="00660338"/>
    <w:rsid w:val="0066642B"/>
    <w:rsid w:val="00666B69"/>
    <w:rsid w:val="0066745D"/>
    <w:rsid w:val="00671453"/>
    <w:rsid w:val="00671C46"/>
    <w:rsid w:val="0067243A"/>
    <w:rsid w:val="00674F46"/>
    <w:rsid w:val="0067521A"/>
    <w:rsid w:val="00676533"/>
    <w:rsid w:val="00685425"/>
    <w:rsid w:val="00685611"/>
    <w:rsid w:val="00694DE5"/>
    <w:rsid w:val="006971C1"/>
    <w:rsid w:val="006A17BC"/>
    <w:rsid w:val="006A2752"/>
    <w:rsid w:val="006A4048"/>
    <w:rsid w:val="006A408F"/>
    <w:rsid w:val="006A60B8"/>
    <w:rsid w:val="006A74AE"/>
    <w:rsid w:val="006A7E34"/>
    <w:rsid w:val="006B3800"/>
    <w:rsid w:val="006B782E"/>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2277"/>
    <w:rsid w:val="0076798B"/>
    <w:rsid w:val="0077105C"/>
    <w:rsid w:val="00774E0B"/>
    <w:rsid w:val="0078070E"/>
    <w:rsid w:val="00787686"/>
    <w:rsid w:val="00787A89"/>
    <w:rsid w:val="00792DEA"/>
    <w:rsid w:val="007A2ABB"/>
    <w:rsid w:val="007A4373"/>
    <w:rsid w:val="007A4F64"/>
    <w:rsid w:val="007A7C56"/>
    <w:rsid w:val="007B107B"/>
    <w:rsid w:val="007B37AA"/>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72E4"/>
    <w:rsid w:val="0085168C"/>
    <w:rsid w:val="00851B9F"/>
    <w:rsid w:val="00855F48"/>
    <w:rsid w:val="00856429"/>
    <w:rsid w:val="00856BB8"/>
    <w:rsid w:val="00857A51"/>
    <w:rsid w:val="00857FF4"/>
    <w:rsid w:val="00864F1D"/>
    <w:rsid w:val="00871CFF"/>
    <w:rsid w:val="00875AC2"/>
    <w:rsid w:val="00876E14"/>
    <w:rsid w:val="00881969"/>
    <w:rsid w:val="00883755"/>
    <w:rsid w:val="00884205"/>
    <w:rsid w:val="008910EB"/>
    <w:rsid w:val="00891663"/>
    <w:rsid w:val="00891BB6"/>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593F"/>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BF9"/>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1739"/>
    <w:rsid w:val="00A1291D"/>
    <w:rsid w:val="00A1652D"/>
    <w:rsid w:val="00A205A0"/>
    <w:rsid w:val="00A20C71"/>
    <w:rsid w:val="00A2420D"/>
    <w:rsid w:val="00A248BB"/>
    <w:rsid w:val="00A24A38"/>
    <w:rsid w:val="00A26A5E"/>
    <w:rsid w:val="00A273E4"/>
    <w:rsid w:val="00A276B8"/>
    <w:rsid w:val="00A3287C"/>
    <w:rsid w:val="00A333C1"/>
    <w:rsid w:val="00A354E0"/>
    <w:rsid w:val="00A35E18"/>
    <w:rsid w:val="00A35F9C"/>
    <w:rsid w:val="00A370AF"/>
    <w:rsid w:val="00A42436"/>
    <w:rsid w:val="00A44632"/>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B649E"/>
    <w:rsid w:val="00AC0444"/>
    <w:rsid w:val="00AC2EEB"/>
    <w:rsid w:val="00AC37F5"/>
    <w:rsid w:val="00AC5C39"/>
    <w:rsid w:val="00AC66E8"/>
    <w:rsid w:val="00AD1CD5"/>
    <w:rsid w:val="00AD49DD"/>
    <w:rsid w:val="00AD74C2"/>
    <w:rsid w:val="00AE0EBE"/>
    <w:rsid w:val="00AE59E0"/>
    <w:rsid w:val="00AE644A"/>
    <w:rsid w:val="00AF08CD"/>
    <w:rsid w:val="00AF5611"/>
    <w:rsid w:val="00AF5F4A"/>
    <w:rsid w:val="00B015CD"/>
    <w:rsid w:val="00B020CE"/>
    <w:rsid w:val="00B03739"/>
    <w:rsid w:val="00B03BA7"/>
    <w:rsid w:val="00B0534C"/>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074"/>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0E0"/>
    <w:rsid w:val="00BB63E4"/>
    <w:rsid w:val="00BB7AEA"/>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0845"/>
    <w:rsid w:val="00C1359B"/>
    <w:rsid w:val="00C15F6A"/>
    <w:rsid w:val="00C16915"/>
    <w:rsid w:val="00C1732D"/>
    <w:rsid w:val="00C20723"/>
    <w:rsid w:val="00C20EC4"/>
    <w:rsid w:val="00C21230"/>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2E55"/>
    <w:rsid w:val="00CC3B9E"/>
    <w:rsid w:val="00CC6060"/>
    <w:rsid w:val="00CD0850"/>
    <w:rsid w:val="00CD37B8"/>
    <w:rsid w:val="00CD4242"/>
    <w:rsid w:val="00CD6099"/>
    <w:rsid w:val="00CE1CAB"/>
    <w:rsid w:val="00CE2747"/>
    <w:rsid w:val="00CE62A1"/>
    <w:rsid w:val="00CE7188"/>
    <w:rsid w:val="00CF09B4"/>
    <w:rsid w:val="00CF4543"/>
    <w:rsid w:val="00CF46E4"/>
    <w:rsid w:val="00D06131"/>
    <w:rsid w:val="00D06E34"/>
    <w:rsid w:val="00D13FBA"/>
    <w:rsid w:val="00D14EC5"/>
    <w:rsid w:val="00D158F6"/>
    <w:rsid w:val="00D20185"/>
    <w:rsid w:val="00D22BDF"/>
    <w:rsid w:val="00D302C6"/>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01699"/>
    <w:rsid w:val="00E0566B"/>
    <w:rsid w:val="00E10AB4"/>
    <w:rsid w:val="00E11287"/>
    <w:rsid w:val="00E121B3"/>
    <w:rsid w:val="00E16C7B"/>
    <w:rsid w:val="00E23F6E"/>
    <w:rsid w:val="00E2734A"/>
    <w:rsid w:val="00E27EAE"/>
    <w:rsid w:val="00E31955"/>
    <w:rsid w:val="00E353E0"/>
    <w:rsid w:val="00E366EE"/>
    <w:rsid w:val="00E37F52"/>
    <w:rsid w:val="00E418A8"/>
    <w:rsid w:val="00E42E0A"/>
    <w:rsid w:val="00E4561C"/>
    <w:rsid w:val="00E45A84"/>
    <w:rsid w:val="00E46657"/>
    <w:rsid w:val="00E47EED"/>
    <w:rsid w:val="00E508DE"/>
    <w:rsid w:val="00E51D1A"/>
    <w:rsid w:val="00E608B2"/>
    <w:rsid w:val="00E60901"/>
    <w:rsid w:val="00E63E6E"/>
    <w:rsid w:val="00E65477"/>
    <w:rsid w:val="00E65623"/>
    <w:rsid w:val="00E672B6"/>
    <w:rsid w:val="00E700B9"/>
    <w:rsid w:val="00E71ED9"/>
    <w:rsid w:val="00E74855"/>
    <w:rsid w:val="00E760DA"/>
    <w:rsid w:val="00E761B7"/>
    <w:rsid w:val="00E829A9"/>
    <w:rsid w:val="00E835C2"/>
    <w:rsid w:val="00E86610"/>
    <w:rsid w:val="00E87922"/>
    <w:rsid w:val="00E900A7"/>
    <w:rsid w:val="00E900F5"/>
    <w:rsid w:val="00E929F8"/>
    <w:rsid w:val="00E9569B"/>
    <w:rsid w:val="00E96381"/>
    <w:rsid w:val="00EA541B"/>
    <w:rsid w:val="00EA7203"/>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37A5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2ED5"/>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styleId="UnresolvedMention">
    <w:name w:val="Unresolved Mention"/>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ndm/" TargetMode="External"/><Relationship Id="rId18" Type="http://schemas.openxmlformats.org/officeDocument/2006/relationships/hyperlink" Target="https://www.itu.int/en/journal/j-fet/2021/005/" TargetMode="External"/><Relationship Id="rId26" Type="http://schemas.openxmlformats.org/officeDocument/2006/relationships/hyperlink" Target="https://extranet.itu.int/ITU-T/support/" TargetMode="External"/><Relationship Id="rId39" Type="http://schemas.openxmlformats.org/officeDocument/2006/relationships/hyperlink" Target="https://www.itu.int/search" TargetMode="External"/><Relationship Id="rId21" Type="http://schemas.openxmlformats.org/officeDocument/2006/relationships/hyperlink" Target="http://itu.int/go/itu-t/rgm-guide" TargetMode="External"/><Relationship Id="rId34" Type="http://schemas.openxmlformats.org/officeDocument/2006/relationships/hyperlink" Target="https://www.itu.int/myworkspace/" TargetMode="External"/><Relationship Id="rId42" Type="http://schemas.openxmlformats.org/officeDocument/2006/relationships/hyperlink" Target="https://www.itu.int/search"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journal/j-fet/2021/002/" TargetMode="External"/><Relationship Id="rId29" Type="http://schemas.openxmlformats.org/officeDocument/2006/relationships/hyperlink" Target="https://www.itu.int/mywork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focusgroups/ai4ndm/"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search"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journal/j-fet/2021/001/" TargetMode="External"/><Relationship Id="rId23" Type="http://schemas.openxmlformats.org/officeDocument/2006/relationships/hyperlink" Target="https://extranet.itu.int/sites/itu-t/initiatives/J-SCTF/" TargetMode="External"/><Relationship Id="rId28" Type="http://schemas.openxmlformats.org/officeDocument/2006/relationships/hyperlink" Target="https://www.itu.int/myworkspace/" TargetMode="External"/><Relationship Id="rId36" Type="http://schemas.openxmlformats.org/officeDocument/2006/relationships/hyperlink" Target="https://www.itu.int/myworkspace/" TargetMode="External"/><Relationship Id="rId10" Type="http://schemas.openxmlformats.org/officeDocument/2006/relationships/endnotes" Target="endnotes.xml"/><Relationship Id="rId19" Type="http://schemas.openxmlformats.org/officeDocument/2006/relationships/hyperlink" Target="http://itu.int/go/itu-t/rgm" TargetMode="External"/><Relationship Id="rId31" Type="http://schemas.openxmlformats.org/officeDocument/2006/relationships/hyperlink" Target="https://tsbcloud.itu.int/nextcloud/logi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n/Pages/default.aspx" TargetMode="External"/><Relationship Id="rId22" Type="http://schemas.openxmlformats.org/officeDocument/2006/relationships/hyperlink" Target="https://extranet.itu.int/sites/ITU-T/" TargetMode="External"/><Relationship Id="rId27" Type="http://schemas.openxmlformats.org/officeDocument/2006/relationships/hyperlink" Target="https://www.itu.int/myworkspace/"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journal/j-fet/2021/004/" TargetMode="External"/><Relationship Id="rId25" Type="http://schemas.openxmlformats.org/officeDocument/2006/relationships/hyperlink" Target="https://extranet.itu.int/sites/itu-t/focusgroups/an/" TargetMode="External"/><Relationship Id="rId33" Type="http://schemas.openxmlformats.org/officeDocument/2006/relationships/hyperlink" Target="https://www.itu.int/myworkspace/" TargetMode="External"/><Relationship Id="rId38" Type="http://schemas.openxmlformats.org/officeDocument/2006/relationships/hyperlink" Target="https://www.itu.int/search" TargetMode="External"/><Relationship Id="rId46" Type="http://schemas.microsoft.com/office/2011/relationships/people" Target="people.xml"/><Relationship Id="rId20" Type="http://schemas.openxmlformats.org/officeDocument/2006/relationships/hyperlink" Target="http://itu.int/go/itu-t/rgm-support" TargetMode="External"/><Relationship Id="rId41" Type="http://schemas.openxmlformats.org/officeDocument/2006/relationships/hyperlink" Target="https://www.itu.int/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9369626d-6c08-40a0-9fda-d64e0d61cfc2"/>
  </ds:schemaRefs>
</ds:datastoreItem>
</file>

<file path=customXml/itemProps2.xml><?xml version="1.0" encoding="utf-8"?>
<ds:datastoreItem xmlns:ds="http://schemas.openxmlformats.org/officeDocument/2006/customXml" ds:itemID="{8A9E4EE1-9C30-48C2-B10D-BC2AD08B115F}">
  <ds:schemaRefs>
    <ds:schemaRef ds:uri="http://schemas.openxmlformats.org/officeDocument/2006/bibliography"/>
  </ds:schemaRefs>
</ds:datastoreItem>
</file>

<file path=customXml/itemProps3.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1660</Words>
  <Characters>12336</Characters>
  <Application>Microsoft Office Word</Application>
  <DocSecurity>4</DocSecurity>
  <Lines>102</Lines>
  <Paragraphs>27</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13969</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2021-01-12T09:40:00Z</dcterms:created>
  <dcterms:modified xsi:type="dcterms:W3CDTF">2021-01-12T09:40:00Z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