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4044"/>
        <w:gridCol w:w="3629"/>
      </w:tblGrid>
      <w:tr w:rsidR="0017515F" w14:paraId="6ACBD175" w14:textId="77777777" w:rsidTr="00D72C27">
        <w:trPr>
          <w:cantSplit/>
        </w:trPr>
        <w:tc>
          <w:tcPr>
            <w:tcW w:w="1191" w:type="dxa"/>
            <w:vMerge w:val="restart"/>
          </w:tcPr>
          <w:p w14:paraId="0CD37ED4" w14:textId="77777777" w:rsidR="0017515F" w:rsidRDefault="00556CCE" w:rsidP="00D72C27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17515F">
              <w:rPr>
                <w:noProof/>
                <w:sz w:val="20"/>
                <w:lang w:val="en-US" w:eastAsia="zh-CN"/>
              </w:rPr>
              <w:drawing>
                <wp:inline distT="0" distB="0" distL="0" distR="0" wp14:anchorId="4DD19966" wp14:editId="7CF6BDE2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28B54C48" w14:textId="77777777" w:rsidR="0017515F" w:rsidRDefault="0017515F" w:rsidP="00D72C27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4E3C21A6" w14:textId="77777777" w:rsidR="0017515F" w:rsidRDefault="0017515F" w:rsidP="00D72C27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73E3BFAF" w14:textId="77777777" w:rsidR="0017515F" w:rsidRDefault="0017515F" w:rsidP="00D72C27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033D8960" w14:textId="77777777" w:rsidR="0017515F" w:rsidRDefault="0017515F" w:rsidP="00D72C27">
            <w:pPr>
              <w:pStyle w:val="Docnumber"/>
            </w:pPr>
            <w:r>
              <w:rPr>
                <w:sz w:val="32"/>
              </w:rPr>
              <w:t>TSAG-TD906</w:t>
            </w:r>
          </w:p>
        </w:tc>
      </w:tr>
      <w:tr w:rsidR="0017515F" w14:paraId="200BF2CB" w14:textId="77777777" w:rsidTr="00D72C27">
        <w:trPr>
          <w:cantSplit/>
          <w:trHeight w:val="461"/>
        </w:trPr>
        <w:tc>
          <w:tcPr>
            <w:tcW w:w="1191" w:type="dxa"/>
            <w:vMerge/>
          </w:tcPr>
          <w:p w14:paraId="282F6E71" w14:textId="77777777" w:rsidR="0017515F" w:rsidRDefault="0017515F" w:rsidP="00D72C27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3EACB60C" w14:textId="77777777" w:rsidR="0017515F" w:rsidRDefault="0017515F" w:rsidP="00D72C27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02D0D1C4" w14:textId="77777777" w:rsidR="0017515F" w:rsidRDefault="0017515F" w:rsidP="00D72C2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17515F" w14:paraId="051F56CC" w14:textId="77777777" w:rsidTr="00D72C27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56E1E22" w14:textId="77777777" w:rsidR="0017515F" w:rsidRDefault="0017515F" w:rsidP="00D72C27">
            <w:pPr>
              <w:rPr>
                <w:b/>
                <w:bCs/>
                <w:sz w:val="26"/>
              </w:rPr>
            </w:pPr>
            <w:bookmarkStart w:id="3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6C86B44C" w14:textId="77777777" w:rsidR="0017515F" w:rsidRDefault="0017515F" w:rsidP="00D72C27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06BFBF6C" w14:textId="77777777" w:rsidR="0017515F" w:rsidRDefault="0017515F" w:rsidP="00D72C2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3"/>
      <w:tr w:rsidR="0017515F" w14:paraId="6CE8426A" w14:textId="77777777" w:rsidTr="00D72C27">
        <w:trPr>
          <w:cantSplit/>
          <w:trHeight w:val="357"/>
        </w:trPr>
        <w:tc>
          <w:tcPr>
            <w:tcW w:w="1550" w:type="dxa"/>
            <w:gridSpan w:val="2"/>
          </w:tcPr>
          <w:p w14:paraId="1E518B4E" w14:textId="77777777" w:rsidR="0017515F" w:rsidRDefault="0017515F" w:rsidP="00D72C27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3959F5D8" w14:textId="3434D8FB" w:rsidR="0017515F" w:rsidRDefault="000513B8" w:rsidP="00D72C27">
            <w:r>
              <w:t>N/</w:t>
            </w:r>
            <w:r w:rsidR="0017515F">
              <w:t>A</w:t>
            </w:r>
          </w:p>
        </w:tc>
        <w:tc>
          <w:tcPr>
            <w:tcW w:w="3629" w:type="dxa"/>
          </w:tcPr>
          <w:p w14:paraId="4B393663" w14:textId="77777777" w:rsidR="0017515F" w:rsidRDefault="0017515F" w:rsidP="00D72C27">
            <w:pPr>
              <w:jc w:val="right"/>
            </w:pPr>
            <w:r>
              <w:t>E-Meeting, 21-25 September 2020</w:t>
            </w:r>
          </w:p>
        </w:tc>
      </w:tr>
      <w:tr w:rsidR="0017515F" w14:paraId="728DDA62" w14:textId="77777777" w:rsidTr="00D72C27">
        <w:trPr>
          <w:cantSplit/>
          <w:trHeight w:val="357"/>
        </w:trPr>
        <w:tc>
          <w:tcPr>
            <w:tcW w:w="9923" w:type="dxa"/>
            <w:gridSpan w:val="5"/>
          </w:tcPr>
          <w:p w14:paraId="2548BD2B" w14:textId="6A74D40C" w:rsidR="0017515F" w:rsidRDefault="0017515F" w:rsidP="00D72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0513B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8" w:tooltip="ITU-T ftp file restricted to TIES access only" w:history="1">
              <w:r>
                <w:rPr>
                  <w:rStyle w:val="Hyperlink"/>
                </w:rPr>
                <w:t>SG12-LS120</w:t>
              </w:r>
            </w:hyperlink>
            <w:r>
              <w:t>)</w:t>
            </w:r>
          </w:p>
        </w:tc>
      </w:tr>
      <w:tr w:rsidR="0017515F" w14:paraId="0379EB16" w14:textId="77777777" w:rsidTr="00D72C27">
        <w:trPr>
          <w:cantSplit/>
          <w:trHeight w:val="357"/>
        </w:trPr>
        <w:tc>
          <w:tcPr>
            <w:tcW w:w="1550" w:type="dxa"/>
            <w:gridSpan w:val="2"/>
          </w:tcPr>
          <w:p w14:paraId="46FFD18B" w14:textId="77777777" w:rsidR="0017515F" w:rsidRDefault="0017515F" w:rsidP="00D72C2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3"/>
          </w:tcPr>
          <w:p w14:paraId="5F16A9B8" w14:textId="77777777" w:rsidR="0017515F" w:rsidRDefault="0017515F" w:rsidP="00D72C27">
            <w:r>
              <w:t>ITU-T Study Group 12</w:t>
            </w:r>
          </w:p>
        </w:tc>
      </w:tr>
      <w:tr w:rsidR="0017515F" w14:paraId="78AA40C1" w14:textId="77777777" w:rsidTr="00D72C27">
        <w:trPr>
          <w:cantSplit/>
          <w:trHeight w:val="357"/>
        </w:trPr>
        <w:tc>
          <w:tcPr>
            <w:tcW w:w="1550" w:type="dxa"/>
            <w:gridSpan w:val="2"/>
          </w:tcPr>
          <w:p w14:paraId="773C6C67" w14:textId="77777777" w:rsidR="0017515F" w:rsidRDefault="0017515F" w:rsidP="00D72C27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3"/>
          </w:tcPr>
          <w:p w14:paraId="64179B36" w14:textId="63A8FCFE" w:rsidR="0017515F" w:rsidRDefault="000513B8" w:rsidP="00D72C27">
            <w:pPr>
              <w:spacing w:after="120"/>
            </w:pPr>
            <w:r w:rsidRPr="00735A30">
              <w:rPr>
                <w:szCs w:val="24"/>
              </w:rPr>
              <w:t xml:space="preserve">LS/r about TSAG Information Session on Network 2030 (reply to </w:t>
            </w:r>
            <w:r>
              <w:rPr>
                <w:szCs w:val="24"/>
              </w:rPr>
              <w:t>FG NET2030</w:t>
            </w:r>
            <w:r w:rsidRPr="00B10D05">
              <w:rPr>
                <w:szCs w:val="24"/>
              </w:rPr>
              <w:t>-LS5</w:t>
            </w:r>
            <w:r>
              <w:rPr>
                <w:szCs w:val="24"/>
              </w:rPr>
              <w:t>)</w:t>
            </w:r>
            <w:r>
              <w:t xml:space="preserve"> </w:t>
            </w:r>
            <w:r w:rsidR="0017515F">
              <w:t>[from ITU-T SG12]</w:t>
            </w:r>
          </w:p>
        </w:tc>
      </w:tr>
      <w:tr w:rsidR="0017515F" w14:paraId="5D81E670" w14:textId="77777777" w:rsidTr="00D72C27">
        <w:trPr>
          <w:cantSplit/>
          <w:trHeight w:val="357"/>
        </w:trPr>
        <w:tc>
          <w:tcPr>
            <w:tcW w:w="1550" w:type="dxa"/>
            <w:gridSpan w:val="2"/>
          </w:tcPr>
          <w:p w14:paraId="368319A9" w14:textId="77777777" w:rsidR="0017515F" w:rsidRDefault="0017515F" w:rsidP="00D72C27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3"/>
          </w:tcPr>
          <w:p w14:paraId="5E7C3173" w14:textId="7465E818" w:rsidR="0017515F" w:rsidRDefault="000513B8" w:rsidP="00D72C27">
            <w:r>
              <w:t>Action</w:t>
            </w:r>
          </w:p>
        </w:tc>
      </w:tr>
      <w:tr w:rsidR="0017515F" w14:paraId="4707395A" w14:textId="77777777" w:rsidTr="00D72C27">
        <w:trPr>
          <w:cantSplit/>
          <w:trHeight w:val="357"/>
        </w:trPr>
        <w:tc>
          <w:tcPr>
            <w:tcW w:w="9923" w:type="dxa"/>
            <w:gridSpan w:val="5"/>
            <w:tcBorders>
              <w:top w:val="single" w:sz="12" w:space="0" w:color="auto"/>
            </w:tcBorders>
          </w:tcPr>
          <w:p w14:paraId="5B723279" w14:textId="77777777" w:rsidR="0017515F" w:rsidRDefault="0017515F" w:rsidP="00D72C27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17515F" w14:paraId="62CA1DA8" w14:textId="77777777" w:rsidTr="00D72C27">
        <w:trPr>
          <w:cantSplit/>
          <w:trHeight w:val="357"/>
        </w:trPr>
        <w:tc>
          <w:tcPr>
            <w:tcW w:w="2250" w:type="dxa"/>
            <w:gridSpan w:val="3"/>
          </w:tcPr>
          <w:p w14:paraId="7B301306" w14:textId="77777777" w:rsidR="0017515F" w:rsidRDefault="0017515F" w:rsidP="00D72C27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2"/>
          </w:tcPr>
          <w:p w14:paraId="7E56CB81" w14:textId="6CFD9A7A" w:rsidR="0017515F" w:rsidRDefault="000513B8" w:rsidP="00D72C27">
            <w:r>
              <w:t xml:space="preserve">ITU-T </w:t>
            </w:r>
            <w:r w:rsidR="0017515F">
              <w:t>SG13, TSAG</w:t>
            </w:r>
          </w:p>
        </w:tc>
      </w:tr>
      <w:tr w:rsidR="0017515F" w14:paraId="0E3E6BEE" w14:textId="77777777" w:rsidTr="00D72C27">
        <w:trPr>
          <w:cantSplit/>
          <w:trHeight w:val="357"/>
        </w:trPr>
        <w:tc>
          <w:tcPr>
            <w:tcW w:w="2250" w:type="dxa"/>
            <w:gridSpan w:val="3"/>
          </w:tcPr>
          <w:p w14:paraId="7EE0915E" w14:textId="77777777" w:rsidR="0017515F" w:rsidRDefault="0017515F" w:rsidP="00D72C27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2"/>
          </w:tcPr>
          <w:p w14:paraId="0835AD1A" w14:textId="77777777" w:rsidR="0017515F" w:rsidRDefault="0017515F" w:rsidP="00D72C27">
            <w:r>
              <w:t>-</w:t>
            </w:r>
          </w:p>
        </w:tc>
      </w:tr>
      <w:tr w:rsidR="0017515F" w14:paraId="5410C4FD" w14:textId="77777777" w:rsidTr="00D72C27">
        <w:trPr>
          <w:cantSplit/>
          <w:trHeight w:val="357"/>
        </w:trPr>
        <w:tc>
          <w:tcPr>
            <w:tcW w:w="2250" w:type="dxa"/>
            <w:gridSpan w:val="3"/>
          </w:tcPr>
          <w:p w14:paraId="0BBF46C1" w14:textId="77777777" w:rsidR="0017515F" w:rsidRDefault="0017515F" w:rsidP="00D72C27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2"/>
          </w:tcPr>
          <w:p w14:paraId="440A23EB" w14:textId="77777777" w:rsidR="0017515F" w:rsidRDefault="0017515F" w:rsidP="00D72C27">
            <w:r>
              <w:t>-</w:t>
            </w:r>
          </w:p>
        </w:tc>
      </w:tr>
      <w:tr w:rsidR="0017515F" w14:paraId="159BDBF0" w14:textId="77777777" w:rsidTr="00D72C27">
        <w:trPr>
          <w:cantSplit/>
          <w:trHeight w:val="357"/>
        </w:trPr>
        <w:tc>
          <w:tcPr>
            <w:tcW w:w="2250" w:type="dxa"/>
            <w:gridSpan w:val="3"/>
          </w:tcPr>
          <w:p w14:paraId="2261F6DA" w14:textId="77777777" w:rsidR="0017515F" w:rsidRDefault="0017515F" w:rsidP="00D72C27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2"/>
          </w:tcPr>
          <w:p w14:paraId="2347D3FA" w14:textId="581C294A" w:rsidR="0017515F" w:rsidRDefault="000513B8" w:rsidP="00D72C27">
            <w:r>
              <w:t xml:space="preserve">ITU-T </w:t>
            </w:r>
            <w:r w:rsidR="0017515F">
              <w:t>SG12 meeting (E-Meeting, 11 September 2020)</w:t>
            </w:r>
          </w:p>
        </w:tc>
      </w:tr>
      <w:tr w:rsidR="0017515F" w14:paraId="63B42EE0" w14:textId="77777777" w:rsidTr="00D72C27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7514FEB" w14:textId="77777777" w:rsidR="0017515F" w:rsidRDefault="0017515F" w:rsidP="00D72C27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2"/>
            <w:tcBorders>
              <w:bottom w:val="single" w:sz="12" w:space="0" w:color="auto"/>
            </w:tcBorders>
          </w:tcPr>
          <w:p w14:paraId="2573BA06" w14:textId="77777777" w:rsidR="0017515F" w:rsidRDefault="0017515F" w:rsidP="00D72C27">
            <w:r>
              <w:t>-</w:t>
            </w:r>
          </w:p>
        </w:tc>
      </w:tr>
      <w:tr w:rsidR="0017515F" w:rsidRPr="002C0715" w14:paraId="2A00B7BA" w14:textId="77777777" w:rsidTr="00D72C27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2773825" w14:textId="77777777" w:rsidR="0017515F" w:rsidRDefault="0017515F" w:rsidP="00D72C27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02B1A515" w14:textId="189B6B79" w:rsidR="0017515F" w:rsidRDefault="0017515F" w:rsidP="000513B8">
            <w:r>
              <w:t>Al Morton</w:t>
            </w:r>
            <w:r w:rsidR="000513B8">
              <w:br/>
            </w:r>
            <w:r>
              <w:t>Vice Chairman, Rapporteur Q17</w:t>
            </w:r>
            <w:r>
              <w:br/>
              <w:t>AT&amp;T Labs</w:t>
            </w:r>
            <w:r>
              <w:br/>
              <w:t>United States</w:t>
            </w: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7416CE99" w14:textId="5F3EC0D2" w:rsidR="0017515F" w:rsidRPr="002C0715" w:rsidRDefault="0017515F" w:rsidP="000513B8">
            <w:pPr>
              <w:rPr>
                <w:lang w:val="fr-FR"/>
              </w:rPr>
            </w:pPr>
            <w:proofErr w:type="gramStart"/>
            <w:r w:rsidRPr="002C0715">
              <w:rPr>
                <w:lang w:val="fr-FR"/>
              </w:rPr>
              <w:t>Tel:</w:t>
            </w:r>
            <w:proofErr w:type="gramEnd"/>
            <w:r w:rsidRPr="002C0715">
              <w:rPr>
                <w:lang w:val="fr-FR"/>
              </w:rPr>
              <w:t xml:space="preserve"> +1 732-420-1571</w:t>
            </w:r>
            <w:r w:rsidRPr="002C0715">
              <w:rPr>
                <w:lang w:val="fr-FR"/>
              </w:rPr>
              <w:br/>
              <w:t xml:space="preserve">E-mail: </w:t>
            </w:r>
            <w:hyperlink r:id="rId9" w:history="1">
              <w:r w:rsidR="000513B8" w:rsidRPr="003D4FAB">
                <w:rPr>
                  <w:rStyle w:val="Hyperlink"/>
                  <w:lang w:val="fr-FR"/>
                </w:rPr>
                <w:t>acm@research.att.com</w:t>
              </w:r>
            </w:hyperlink>
            <w:r w:rsidR="000513B8">
              <w:rPr>
                <w:lang w:val="fr-FR"/>
              </w:rPr>
              <w:t xml:space="preserve"> </w:t>
            </w:r>
          </w:p>
        </w:tc>
      </w:tr>
    </w:tbl>
    <w:p w14:paraId="78951396" w14:textId="77777777" w:rsidR="0017515F" w:rsidRDefault="0017515F" w:rsidP="0017515F">
      <w:r>
        <w:t xml:space="preserve">This liaison answers </w:t>
      </w:r>
      <w:hyperlink r:id="rId10" w:history="1">
        <w:r>
          <w:rPr>
            <w:rStyle w:val="Hyperlink"/>
          </w:rPr>
          <w:t>FG NET2030-LS5</w:t>
        </w:r>
      </w:hyperlink>
      <w:r>
        <w:t>.</w:t>
      </w:r>
    </w:p>
    <w:p w14:paraId="0A1D6A77" w14:textId="77777777" w:rsidR="0017515F" w:rsidRDefault="0017515F" w:rsidP="0017515F"/>
    <w:p w14:paraId="258A0C35" w14:textId="77777777" w:rsidR="0017515F" w:rsidRDefault="0017515F" w:rsidP="0017515F">
      <w:pPr>
        <w:rPr>
          <w:szCs w:val="24"/>
        </w:rPr>
      </w:pPr>
      <w:r>
        <w:t>A new liaison statement has been received from SG12.</w:t>
      </w:r>
    </w:p>
    <w:p w14:paraId="3C0310D7" w14:textId="77777777" w:rsidR="0017515F" w:rsidRDefault="0017515F" w:rsidP="0017515F">
      <w:pPr>
        <w:rPr>
          <w:szCs w:val="24"/>
        </w:rPr>
      </w:pPr>
      <w:r>
        <w:t xml:space="preserve">This liaison statement follows and the original file can be downloaded from the ITU ftp server at </w:t>
      </w:r>
      <w:hyperlink r:id="rId11" w:tooltip="ITU-T ftp file restricted to TIES access only" w:history="1">
        <w:r>
          <w:rPr>
            <w:rStyle w:val="Hyperlink"/>
          </w:rPr>
          <w:t>http://handle.itu.int/11.1002/ls/sp16-sg12-oLS-00120.doc</w:t>
        </w:r>
      </w:hyperlink>
      <w:r>
        <w:t>.</w:t>
      </w:r>
    </w:p>
    <w:p w14:paraId="5CA9DBCD" w14:textId="77777777" w:rsidR="0017515F" w:rsidRDefault="0017515F" w:rsidP="0017515F">
      <w:pPr>
        <w:spacing w:before="0"/>
        <w:jc w:val="center"/>
      </w:pPr>
    </w:p>
    <w:p w14:paraId="7B621D30" w14:textId="77777777" w:rsidR="0017515F" w:rsidRDefault="0017515F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4"/>
        <w:gridCol w:w="423"/>
        <w:gridCol w:w="629"/>
        <w:gridCol w:w="3034"/>
        <w:gridCol w:w="4593"/>
        <w:gridCol w:w="60"/>
      </w:tblGrid>
      <w:tr w:rsidR="00735A30" w:rsidRPr="00735A30" w14:paraId="1A812823" w14:textId="77777777" w:rsidTr="0017515F">
        <w:trPr>
          <w:cantSplit/>
        </w:trPr>
        <w:tc>
          <w:tcPr>
            <w:tcW w:w="1184" w:type="dxa"/>
            <w:vMerge w:val="restart"/>
          </w:tcPr>
          <w:p w14:paraId="7E06B2D8" w14:textId="77777777" w:rsidR="00735A30" w:rsidRPr="00735A30" w:rsidRDefault="00556CCE" w:rsidP="00735A30">
            <w:pPr>
              <w:rPr>
                <w:sz w:val="20"/>
              </w:rPr>
            </w:pPr>
            <w:r w:rsidRPr="00735A30">
              <w:rPr>
                <w:noProof/>
                <w:sz w:val="20"/>
                <w:lang w:eastAsia="zh-CN"/>
              </w:rPr>
              <w:lastRenderedPageBreak/>
              <w:drawing>
                <wp:inline distT="0" distB="0" distL="0" distR="0" wp14:anchorId="20DF9385" wp14:editId="3C2B1814">
                  <wp:extent cx="647700" cy="828675"/>
                  <wp:effectExtent l="0" t="0" r="0" b="0"/>
                  <wp:docPr id="2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  <w:gridSpan w:val="3"/>
            <w:vMerge w:val="restart"/>
          </w:tcPr>
          <w:p w14:paraId="620804C6" w14:textId="77777777" w:rsidR="00735A30" w:rsidRPr="00735A30" w:rsidRDefault="00735A30" w:rsidP="00735A30">
            <w:pPr>
              <w:rPr>
                <w:sz w:val="16"/>
                <w:szCs w:val="16"/>
              </w:rPr>
            </w:pPr>
            <w:r w:rsidRPr="00735A30">
              <w:rPr>
                <w:sz w:val="16"/>
                <w:szCs w:val="16"/>
              </w:rPr>
              <w:t>INTERNATIONAL TELECOMMUNICATION UNION</w:t>
            </w:r>
          </w:p>
          <w:p w14:paraId="68AC06F4" w14:textId="77777777" w:rsidR="00735A30" w:rsidRPr="00735A30" w:rsidRDefault="00735A30" w:rsidP="00735A30">
            <w:pPr>
              <w:rPr>
                <w:b/>
                <w:bCs/>
                <w:sz w:val="26"/>
                <w:szCs w:val="26"/>
              </w:rPr>
            </w:pPr>
            <w:r w:rsidRPr="00735A30">
              <w:rPr>
                <w:b/>
                <w:bCs/>
                <w:sz w:val="26"/>
                <w:szCs w:val="26"/>
              </w:rPr>
              <w:t>TELECOMMUNICATION</w:t>
            </w:r>
            <w:r w:rsidRPr="00735A3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A93B57B" w14:textId="77777777" w:rsidR="00735A30" w:rsidRPr="00735A30" w:rsidRDefault="00735A30" w:rsidP="00735A30">
            <w:pPr>
              <w:rPr>
                <w:sz w:val="20"/>
              </w:rPr>
            </w:pPr>
            <w:r w:rsidRPr="00735A30">
              <w:rPr>
                <w:sz w:val="20"/>
              </w:rPr>
              <w:t xml:space="preserve">STUDY PERIOD </w:t>
            </w:r>
            <w:bookmarkStart w:id="4" w:name="dstudyperiod"/>
            <w:r w:rsidRPr="00735A30">
              <w:rPr>
                <w:sz w:val="20"/>
              </w:rPr>
              <w:t>2017-2020</w:t>
            </w:r>
            <w:bookmarkEnd w:id="4"/>
          </w:p>
        </w:tc>
        <w:tc>
          <w:tcPr>
            <w:tcW w:w="4653" w:type="dxa"/>
            <w:gridSpan w:val="2"/>
            <w:vAlign w:val="center"/>
          </w:tcPr>
          <w:p w14:paraId="7FA5E64E" w14:textId="77777777" w:rsidR="00735A30" w:rsidRPr="0017515F" w:rsidRDefault="00735A30" w:rsidP="0017515F">
            <w:pPr>
              <w:jc w:val="right"/>
              <w:rPr>
                <w:b/>
                <w:sz w:val="28"/>
              </w:rPr>
            </w:pPr>
            <w:r w:rsidRPr="0017515F">
              <w:rPr>
                <w:b/>
                <w:sz w:val="28"/>
              </w:rPr>
              <w:t>SG12-LS120</w:t>
            </w:r>
          </w:p>
        </w:tc>
      </w:tr>
      <w:bookmarkEnd w:id="0"/>
      <w:tr w:rsidR="00735A30" w:rsidRPr="00735A30" w14:paraId="0C665809" w14:textId="77777777" w:rsidTr="0017515F">
        <w:trPr>
          <w:cantSplit/>
        </w:trPr>
        <w:tc>
          <w:tcPr>
            <w:tcW w:w="1184" w:type="dxa"/>
            <w:vMerge/>
          </w:tcPr>
          <w:p w14:paraId="67ED8C79" w14:textId="77777777" w:rsidR="00735A30" w:rsidRPr="00735A30" w:rsidRDefault="00735A30" w:rsidP="00735A30">
            <w:pPr>
              <w:rPr>
                <w:smallCaps/>
                <w:sz w:val="20"/>
              </w:rPr>
            </w:pPr>
          </w:p>
        </w:tc>
        <w:tc>
          <w:tcPr>
            <w:tcW w:w="4086" w:type="dxa"/>
            <w:gridSpan w:val="3"/>
            <w:vMerge/>
          </w:tcPr>
          <w:p w14:paraId="1F32DBEB" w14:textId="77777777" w:rsidR="00735A30" w:rsidRPr="00735A30" w:rsidRDefault="00735A30" w:rsidP="00735A30">
            <w:pPr>
              <w:rPr>
                <w:smallCaps/>
                <w:sz w:val="20"/>
              </w:rPr>
            </w:pPr>
          </w:p>
        </w:tc>
        <w:tc>
          <w:tcPr>
            <w:tcW w:w="4653" w:type="dxa"/>
            <w:gridSpan w:val="2"/>
          </w:tcPr>
          <w:p w14:paraId="7D2B97AA" w14:textId="77777777" w:rsidR="00735A30" w:rsidRPr="00735A30" w:rsidRDefault="00735A30" w:rsidP="00735A3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12</w:t>
            </w:r>
          </w:p>
        </w:tc>
      </w:tr>
      <w:tr w:rsidR="00735A30" w:rsidRPr="00735A30" w14:paraId="259123BD" w14:textId="77777777" w:rsidTr="0017515F">
        <w:trPr>
          <w:cantSplit/>
        </w:trPr>
        <w:tc>
          <w:tcPr>
            <w:tcW w:w="1184" w:type="dxa"/>
            <w:vMerge/>
            <w:tcBorders>
              <w:bottom w:val="single" w:sz="12" w:space="0" w:color="auto"/>
            </w:tcBorders>
          </w:tcPr>
          <w:p w14:paraId="4D4C0DBC" w14:textId="77777777" w:rsidR="00735A30" w:rsidRPr="00735A30" w:rsidRDefault="00735A30" w:rsidP="00735A30">
            <w:pPr>
              <w:rPr>
                <w:b/>
                <w:bCs/>
                <w:sz w:val="26"/>
              </w:rPr>
            </w:pPr>
          </w:p>
        </w:tc>
        <w:tc>
          <w:tcPr>
            <w:tcW w:w="4086" w:type="dxa"/>
            <w:gridSpan w:val="3"/>
            <w:vMerge/>
            <w:tcBorders>
              <w:bottom w:val="single" w:sz="12" w:space="0" w:color="auto"/>
            </w:tcBorders>
          </w:tcPr>
          <w:p w14:paraId="79B7D589" w14:textId="77777777" w:rsidR="00735A30" w:rsidRPr="00735A30" w:rsidRDefault="00735A30" w:rsidP="00735A30">
            <w:pPr>
              <w:rPr>
                <w:b/>
                <w:bCs/>
                <w:sz w:val="26"/>
              </w:rPr>
            </w:pPr>
          </w:p>
        </w:tc>
        <w:tc>
          <w:tcPr>
            <w:tcW w:w="4653" w:type="dxa"/>
            <w:gridSpan w:val="2"/>
            <w:tcBorders>
              <w:bottom w:val="single" w:sz="12" w:space="0" w:color="auto"/>
            </w:tcBorders>
            <w:vAlign w:val="center"/>
          </w:tcPr>
          <w:p w14:paraId="1C87ECB9" w14:textId="77777777" w:rsidR="00735A30" w:rsidRPr="00735A30" w:rsidRDefault="00735A30" w:rsidP="00735A30">
            <w:pPr>
              <w:jc w:val="right"/>
              <w:rPr>
                <w:b/>
                <w:bCs/>
                <w:sz w:val="28"/>
                <w:szCs w:val="28"/>
              </w:rPr>
            </w:pPr>
            <w:r w:rsidRPr="00735A30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35A30" w:rsidRPr="00735A30" w14:paraId="531D6837" w14:textId="77777777" w:rsidTr="0017515F">
        <w:trPr>
          <w:cantSplit/>
        </w:trPr>
        <w:tc>
          <w:tcPr>
            <w:tcW w:w="1607" w:type="dxa"/>
            <w:gridSpan w:val="2"/>
          </w:tcPr>
          <w:p w14:paraId="4C14DBC8" w14:textId="77777777" w:rsidR="00735A30" w:rsidRPr="00735A30" w:rsidRDefault="00735A30" w:rsidP="00735A30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735A30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63" w:type="dxa"/>
            <w:gridSpan w:val="2"/>
          </w:tcPr>
          <w:p w14:paraId="5740647E" w14:textId="77777777" w:rsidR="00735A30" w:rsidRPr="00735A30" w:rsidRDefault="00735A30" w:rsidP="00735A30">
            <w:pPr>
              <w:rPr>
                <w:szCs w:val="24"/>
              </w:rPr>
            </w:pPr>
            <w:r w:rsidRPr="00735A30">
              <w:rPr>
                <w:szCs w:val="24"/>
              </w:rPr>
              <w:t>17/12</w:t>
            </w:r>
          </w:p>
        </w:tc>
        <w:tc>
          <w:tcPr>
            <w:tcW w:w="4653" w:type="dxa"/>
            <w:gridSpan w:val="2"/>
          </w:tcPr>
          <w:p w14:paraId="5C5C11A2" w14:textId="77777777" w:rsidR="00735A30" w:rsidRPr="00735A30" w:rsidRDefault="00735A30" w:rsidP="00735A30">
            <w:pPr>
              <w:jc w:val="right"/>
              <w:rPr>
                <w:szCs w:val="24"/>
              </w:rPr>
            </w:pPr>
            <w:r w:rsidRPr="00735A30">
              <w:rPr>
                <w:szCs w:val="24"/>
              </w:rPr>
              <w:t>E-meeting, 7-11 September 2020</w:t>
            </w:r>
          </w:p>
        </w:tc>
      </w:tr>
      <w:tr w:rsidR="00735A30" w:rsidRPr="00735A30" w14:paraId="239FA725" w14:textId="77777777" w:rsidTr="000F0B07">
        <w:trPr>
          <w:cantSplit/>
        </w:trPr>
        <w:tc>
          <w:tcPr>
            <w:tcW w:w="9923" w:type="dxa"/>
            <w:gridSpan w:val="6"/>
          </w:tcPr>
          <w:p w14:paraId="2A33E331" w14:textId="77777777" w:rsidR="00735A30" w:rsidRPr="00735A30" w:rsidRDefault="00735A30" w:rsidP="00735A30">
            <w:pPr>
              <w:jc w:val="center"/>
              <w:rPr>
                <w:b/>
                <w:bCs/>
                <w:szCs w:val="24"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735A30">
              <w:rPr>
                <w:b/>
                <w:bCs/>
                <w:szCs w:val="24"/>
              </w:rPr>
              <w:t>Ref.: SG12-TD1325R1</w:t>
            </w:r>
          </w:p>
        </w:tc>
      </w:tr>
      <w:tr w:rsidR="00735A30" w:rsidRPr="00735A30" w14:paraId="314162C0" w14:textId="77777777" w:rsidTr="0017515F">
        <w:trPr>
          <w:cantSplit/>
        </w:trPr>
        <w:tc>
          <w:tcPr>
            <w:tcW w:w="1607" w:type="dxa"/>
            <w:gridSpan w:val="2"/>
          </w:tcPr>
          <w:p w14:paraId="3EDBEFD6" w14:textId="77777777" w:rsidR="00735A30" w:rsidRPr="00735A30" w:rsidRDefault="00735A30" w:rsidP="00735A30">
            <w:pPr>
              <w:rPr>
                <w:b/>
                <w:bCs/>
                <w:szCs w:val="24"/>
              </w:rPr>
            </w:pPr>
            <w:bookmarkStart w:id="9" w:name="dsource" w:colFirst="1" w:colLast="1"/>
            <w:bookmarkEnd w:id="7"/>
            <w:bookmarkEnd w:id="8"/>
            <w:r w:rsidRPr="00735A30">
              <w:rPr>
                <w:b/>
                <w:bCs/>
                <w:szCs w:val="24"/>
              </w:rPr>
              <w:t>Source:</w:t>
            </w:r>
          </w:p>
        </w:tc>
        <w:tc>
          <w:tcPr>
            <w:tcW w:w="8316" w:type="dxa"/>
            <w:gridSpan w:val="4"/>
          </w:tcPr>
          <w:p w14:paraId="168CC3D4" w14:textId="77777777" w:rsidR="00735A30" w:rsidRPr="00735A30" w:rsidRDefault="00735A30" w:rsidP="00735A30">
            <w:pPr>
              <w:rPr>
                <w:szCs w:val="24"/>
              </w:rPr>
            </w:pPr>
            <w:r w:rsidRPr="00735A30">
              <w:rPr>
                <w:szCs w:val="24"/>
              </w:rPr>
              <w:t>ITU-T Study Group 12</w:t>
            </w:r>
          </w:p>
        </w:tc>
      </w:tr>
      <w:tr w:rsidR="00735A30" w:rsidRPr="00735A30" w14:paraId="0F04BD2D" w14:textId="77777777" w:rsidTr="0017515F">
        <w:trPr>
          <w:cantSplit/>
        </w:trPr>
        <w:tc>
          <w:tcPr>
            <w:tcW w:w="1607" w:type="dxa"/>
            <w:gridSpan w:val="2"/>
          </w:tcPr>
          <w:p w14:paraId="34762536" w14:textId="77777777" w:rsidR="00735A30" w:rsidRPr="00735A30" w:rsidRDefault="00735A30" w:rsidP="00735A30">
            <w:pPr>
              <w:rPr>
                <w:szCs w:val="24"/>
              </w:rPr>
            </w:pPr>
            <w:bookmarkStart w:id="10" w:name="dtitle1" w:colFirst="1" w:colLast="1"/>
            <w:bookmarkEnd w:id="9"/>
            <w:r w:rsidRPr="00735A30">
              <w:rPr>
                <w:b/>
                <w:bCs/>
                <w:szCs w:val="24"/>
              </w:rPr>
              <w:t>Title:</w:t>
            </w:r>
          </w:p>
        </w:tc>
        <w:tc>
          <w:tcPr>
            <w:tcW w:w="8316" w:type="dxa"/>
            <w:gridSpan w:val="4"/>
          </w:tcPr>
          <w:p w14:paraId="337E4AB4" w14:textId="77777777" w:rsidR="00735A30" w:rsidRPr="00735A30" w:rsidRDefault="00735A30" w:rsidP="00735A30">
            <w:pPr>
              <w:rPr>
                <w:szCs w:val="24"/>
              </w:rPr>
            </w:pPr>
            <w:r w:rsidRPr="00735A30">
              <w:rPr>
                <w:szCs w:val="24"/>
              </w:rPr>
              <w:t xml:space="preserve">LS/r about TSAG Information Session on Network 2030 (reply to </w:t>
            </w:r>
            <w:r w:rsidR="00B10D05">
              <w:rPr>
                <w:szCs w:val="24"/>
              </w:rPr>
              <w:t>FG NET2030</w:t>
            </w:r>
            <w:r w:rsidR="000E601E" w:rsidRPr="00B10D05">
              <w:rPr>
                <w:szCs w:val="24"/>
              </w:rPr>
              <w:t>-LS</w:t>
            </w:r>
            <w:r w:rsidR="00B10D05" w:rsidRPr="00B10D05">
              <w:rPr>
                <w:szCs w:val="24"/>
              </w:rPr>
              <w:t>5</w:t>
            </w:r>
            <w:r w:rsidR="00B10D05">
              <w:rPr>
                <w:szCs w:val="24"/>
              </w:rPr>
              <w:t>)</w:t>
            </w:r>
          </w:p>
        </w:tc>
      </w:tr>
      <w:tr w:rsidR="00735A30" w:rsidRPr="00735A30" w14:paraId="5015133F" w14:textId="77777777" w:rsidTr="0017515F">
        <w:trPr>
          <w:cantSplit/>
        </w:trPr>
        <w:tc>
          <w:tcPr>
            <w:tcW w:w="1607" w:type="dxa"/>
            <w:gridSpan w:val="2"/>
            <w:tcBorders>
              <w:bottom w:val="single" w:sz="8" w:space="0" w:color="auto"/>
            </w:tcBorders>
          </w:tcPr>
          <w:p w14:paraId="43DA1C66" w14:textId="77777777" w:rsidR="00735A30" w:rsidRPr="00735A30" w:rsidRDefault="00735A30" w:rsidP="00735A30">
            <w:pPr>
              <w:rPr>
                <w:b/>
                <w:bCs/>
                <w:szCs w:val="24"/>
              </w:rPr>
            </w:pPr>
            <w:bookmarkStart w:id="11" w:name="dpurpose" w:colFirst="1" w:colLast="1"/>
            <w:bookmarkEnd w:id="10"/>
            <w:r w:rsidRPr="00735A30">
              <w:rPr>
                <w:b/>
                <w:bCs/>
                <w:szCs w:val="24"/>
              </w:rPr>
              <w:t>Purpose:</w:t>
            </w:r>
          </w:p>
        </w:tc>
        <w:tc>
          <w:tcPr>
            <w:tcW w:w="8316" w:type="dxa"/>
            <w:gridSpan w:val="4"/>
            <w:tcBorders>
              <w:bottom w:val="single" w:sz="8" w:space="0" w:color="auto"/>
            </w:tcBorders>
          </w:tcPr>
          <w:p w14:paraId="21803F9C" w14:textId="77777777" w:rsidR="00735A30" w:rsidRPr="00735A30" w:rsidRDefault="00735A30" w:rsidP="00735A30">
            <w:pPr>
              <w:rPr>
                <w:szCs w:val="24"/>
              </w:rPr>
            </w:pPr>
            <w:r w:rsidRPr="00735A30">
              <w:rPr>
                <w:szCs w:val="24"/>
              </w:rPr>
              <w:t>Information</w:t>
            </w:r>
          </w:p>
        </w:tc>
      </w:tr>
      <w:bookmarkEnd w:id="2"/>
      <w:bookmarkEnd w:id="11"/>
      <w:tr w:rsidR="001A5D53" w14:paraId="5D40C4B5" w14:textId="77777777" w:rsidTr="0017515F">
        <w:trPr>
          <w:gridAfter w:val="1"/>
          <w:wAfter w:w="60" w:type="dxa"/>
          <w:cantSplit/>
          <w:trHeight w:val="357"/>
        </w:trPr>
        <w:tc>
          <w:tcPr>
            <w:tcW w:w="9863" w:type="dxa"/>
            <w:gridSpan w:val="5"/>
            <w:tcBorders>
              <w:top w:val="single" w:sz="12" w:space="0" w:color="auto"/>
            </w:tcBorders>
          </w:tcPr>
          <w:p w14:paraId="53902DFA" w14:textId="77777777" w:rsidR="001A5D53" w:rsidRDefault="001B6E37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1A5D53" w14:paraId="15E4AD1A" w14:textId="77777777" w:rsidTr="0017515F">
        <w:trPr>
          <w:gridAfter w:val="1"/>
          <w:wAfter w:w="60" w:type="dxa"/>
          <w:cantSplit/>
          <w:trHeight w:val="357"/>
        </w:trPr>
        <w:tc>
          <w:tcPr>
            <w:tcW w:w="2236" w:type="dxa"/>
            <w:gridSpan w:val="3"/>
          </w:tcPr>
          <w:p w14:paraId="18C73B62" w14:textId="77777777" w:rsidR="001A5D53" w:rsidRDefault="001B6E37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27" w:type="dxa"/>
            <w:gridSpan w:val="2"/>
          </w:tcPr>
          <w:p w14:paraId="2E3DDA19" w14:textId="77777777" w:rsidR="001A5D53" w:rsidRDefault="00535DAA">
            <w:r>
              <w:t xml:space="preserve">SG13; </w:t>
            </w:r>
            <w:r w:rsidR="00ED4FC5">
              <w:t>TSAG</w:t>
            </w:r>
          </w:p>
        </w:tc>
      </w:tr>
      <w:tr w:rsidR="001A5D53" w14:paraId="320CE183" w14:textId="77777777" w:rsidTr="0017515F">
        <w:trPr>
          <w:gridAfter w:val="1"/>
          <w:wAfter w:w="60" w:type="dxa"/>
          <w:cantSplit/>
          <w:trHeight w:val="357"/>
        </w:trPr>
        <w:tc>
          <w:tcPr>
            <w:tcW w:w="2236" w:type="dxa"/>
            <w:gridSpan w:val="3"/>
          </w:tcPr>
          <w:p w14:paraId="00D184E2" w14:textId="77777777" w:rsidR="001A5D53" w:rsidRDefault="001B6E37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27" w:type="dxa"/>
            <w:gridSpan w:val="2"/>
          </w:tcPr>
          <w:p w14:paraId="00E37BB1" w14:textId="77777777" w:rsidR="001A5D53" w:rsidRDefault="001B6E37">
            <w:r>
              <w:t>-</w:t>
            </w:r>
          </w:p>
        </w:tc>
      </w:tr>
      <w:tr w:rsidR="001A5D53" w14:paraId="7229E1BC" w14:textId="77777777" w:rsidTr="0017515F">
        <w:trPr>
          <w:gridAfter w:val="1"/>
          <w:wAfter w:w="60" w:type="dxa"/>
          <w:cantSplit/>
          <w:trHeight w:val="357"/>
        </w:trPr>
        <w:tc>
          <w:tcPr>
            <w:tcW w:w="2236" w:type="dxa"/>
            <w:gridSpan w:val="3"/>
          </w:tcPr>
          <w:p w14:paraId="33342402" w14:textId="77777777" w:rsidR="001A5D53" w:rsidRDefault="001B6E37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27" w:type="dxa"/>
            <w:gridSpan w:val="2"/>
          </w:tcPr>
          <w:p w14:paraId="725641DE" w14:textId="77777777" w:rsidR="001A5D53" w:rsidRDefault="00A5767B">
            <w:r>
              <w:t>-</w:t>
            </w:r>
          </w:p>
        </w:tc>
      </w:tr>
      <w:tr w:rsidR="001A5D53" w14:paraId="1A52915F" w14:textId="77777777" w:rsidTr="0017515F">
        <w:trPr>
          <w:gridAfter w:val="1"/>
          <w:wAfter w:w="60" w:type="dxa"/>
          <w:cantSplit/>
          <w:trHeight w:val="357"/>
        </w:trPr>
        <w:tc>
          <w:tcPr>
            <w:tcW w:w="2236" w:type="dxa"/>
            <w:gridSpan w:val="3"/>
          </w:tcPr>
          <w:p w14:paraId="4BC5EA19" w14:textId="77777777" w:rsidR="001A5D53" w:rsidRDefault="001B6E37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27" w:type="dxa"/>
            <w:gridSpan w:val="2"/>
          </w:tcPr>
          <w:p w14:paraId="02B2A437" w14:textId="77777777" w:rsidR="001A5D53" w:rsidRDefault="00ED4FC5">
            <w:r>
              <w:t xml:space="preserve">SG12 </w:t>
            </w:r>
            <w:r w:rsidR="001B6E37">
              <w:t>meeting (</w:t>
            </w:r>
            <w:r>
              <w:t xml:space="preserve">E-Meeting, </w:t>
            </w:r>
            <w:r w:rsidR="00535DAA">
              <w:t>11 September</w:t>
            </w:r>
            <w:r>
              <w:t xml:space="preserve"> 2020</w:t>
            </w:r>
            <w:r w:rsidR="001B6E37">
              <w:t>)</w:t>
            </w:r>
          </w:p>
        </w:tc>
      </w:tr>
      <w:tr w:rsidR="001A5D53" w14:paraId="5D54877F" w14:textId="77777777" w:rsidTr="0017515F">
        <w:trPr>
          <w:gridAfter w:val="1"/>
          <w:wAfter w:w="60" w:type="dxa"/>
          <w:cantSplit/>
          <w:trHeight w:val="357"/>
        </w:trPr>
        <w:tc>
          <w:tcPr>
            <w:tcW w:w="2236" w:type="dxa"/>
            <w:gridSpan w:val="3"/>
            <w:tcBorders>
              <w:bottom w:val="single" w:sz="12" w:space="0" w:color="auto"/>
            </w:tcBorders>
          </w:tcPr>
          <w:p w14:paraId="6C9FB69D" w14:textId="77777777" w:rsidR="001A5D53" w:rsidRDefault="001B6E37">
            <w:r>
              <w:rPr>
                <w:b/>
              </w:rPr>
              <w:t>Deadline:</w:t>
            </w:r>
          </w:p>
        </w:tc>
        <w:tc>
          <w:tcPr>
            <w:tcW w:w="7627" w:type="dxa"/>
            <w:gridSpan w:val="2"/>
            <w:tcBorders>
              <w:bottom w:val="single" w:sz="12" w:space="0" w:color="auto"/>
            </w:tcBorders>
          </w:tcPr>
          <w:p w14:paraId="462D925B" w14:textId="77777777" w:rsidR="001A5D53" w:rsidRDefault="00497E3B">
            <w:r>
              <w:t>-</w:t>
            </w:r>
          </w:p>
        </w:tc>
      </w:tr>
      <w:tr w:rsidR="00ED4FC5" w:rsidRPr="002C0715" w14:paraId="6963B56C" w14:textId="77777777" w:rsidTr="0017515F">
        <w:trPr>
          <w:gridAfter w:val="1"/>
          <w:wAfter w:w="60" w:type="dxa"/>
          <w:trHeight w:val="204"/>
        </w:trPr>
        <w:tc>
          <w:tcPr>
            <w:tcW w:w="22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EDEF632" w14:textId="77777777" w:rsidR="00ED4FC5" w:rsidRPr="008F7104" w:rsidRDefault="00ED4FC5" w:rsidP="00ED4FC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034" w:type="dxa"/>
            <w:tcBorders>
              <w:top w:val="single" w:sz="6" w:space="0" w:color="auto"/>
              <w:bottom w:val="single" w:sz="6" w:space="0" w:color="auto"/>
            </w:tcBorders>
          </w:tcPr>
          <w:p w14:paraId="1A979496" w14:textId="77777777" w:rsidR="00ED4FC5" w:rsidRPr="00A54112" w:rsidRDefault="00ED4FC5" w:rsidP="00ED4FC5">
            <w:r w:rsidRPr="00A54112">
              <w:t>Al Morton</w:t>
            </w:r>
            <w:r>
              <w:t>, Vice Chairman, Rapporteur Q17</w:t>
            </w:r>
            <w:r w:rsidRPr="00A54112">
              <w:br/>
              <w:t>AT&amp;T Labs</w:t>
            </w:r>
            <w:r w:rsidRPr="00A54112">
              <w:br/>
              <w:t>United States</w:t>
            </w:r>
          </w:p>
        </w:tc>
        <w:tc>
          <w:tcPr>
            <w:tcW w:w="4593" w:type="dxa"/>
            <w:tcBorders>
              <w:top w:val="single" w:sz="6" w:space="0" w:color="auto"/>
              <w:bottom w:val="single" w:sz="6" w:space="0" w:color="auto"/>
            </w:tcBorders>
          </w:tcPr>
          <w:p w14:paraId="442C0FB7" w14:textId="77777777" w:rsidR="00ED4FC5" w:rsidRPr="000B07D1" w:rsidRDefault="00ED4FC5" w:rsidP="00ED4FC5">
            <w:pPr>
              <w:rPr>
                <w:lang w:val="fr-FR"/>
              </w:rPr>
            </w:pPr>
            <w:proofErr w:type="gramStart"/>
            <w:r w:rsidRPr="000B07D1">
              <w:rPr>
                <w:lang w:val="fr-FR"/>
              </w:rPr>
              <w:t>Tel:</w:t>
            </w:r>
            <w:proofErr w:type="gramEnd"/>
            <w:r w:rsidRPr="000B07D1">
              <w:rPr>
                <w:lang w:val="fr-FR"/>
              </w:rPr>
              <w:t xml:space="preserve"> +1 732-420-1571</w:t>
            </w:r>
            <w:r w:rsidRPr="000B07D1">
              <w:rPr>
                <w:lang w:val="fr-FR"/>
              </w:rPr>
              <w:br/>
              <w:t xml:space="preserve">E-mail: </w:t>
            </w:r>
            <w:hyperlink r:id="rId12" w:history="1">
              <w:r w:rsidR="00D71066" w:rsidRPr="00EE483B">
                <w:rPr>
                  <w:rStyle w:val="Hyperlink"/>
                  <w:lang w:val="fr-FR"/>
                </w:rPr>
                <w:t>acm@research.att.com</w:t>
              </w:r>
            </w:hyperlink>
            <w:r w:rsidR="00D71066">
              <w:rPr>
                <w:lang w:val="fr-FR"/>
              </w:rPr>
              <w:t xml:space="preserve"> </w:t>
            </w:r>
          </w:p>
        </w:tc>
      </w:tr>
    </w:tbl>
    <w:p w14:paraId="3133D730" w14:textId="77777777" w:rsidR="001A5D53" w:rsidRPr="003317A8" w:rsidRDefault="001A5D53">
      <w:pPr>
        <w:rPr>
          <w:lang w:val="fr-FR"/>
        </w:rPr>
      </w:pPr>
    </w:p>
    <w:p w14:paraId="2CD315F2" w14:textId="77777777" w:rsidR="001A5D53" w:rsidRDefault="00535DAA">
      <w:pPr>
        <w:rPr>
          <w:szCs w:val="24"/>
        </w:rPr>
      </w:pPr>
      <w:r>
        <w:t>Study Group 12 thanks FG 2030</w:t>
      </w:r>
      <w:r w:rsidR="00EE74A5">
        <w:t xml:space="preserve"> (now SG13)</w:t>
      </w:r>
      <w:r w:rsidR="00ED4FC5">
        <w:t xml:space="preserve"> </w:t>
      </w:r>
      <w:r w:rsidR="00F42A5F">
        <w:t xml:space="preserve">for their </w:t>
      </w:r>
      <w:r w:rsidR="001B6E37">
        <w:t xml:space="preserve">liaison </w:t>
      </w:r>
      <w:r>
        <w:t>reply</w:t>
      </w:r>
      <w:r w:rsidR="00ED4FC5">
        <w:t xml:space="preserve"> concerning the </w:t>
      </w:r>
      <w:r w:rsidR="00ED4FC5" w:rsidRPr="00ED4FC5">
        <w:t xml:space="preserve">Network 2030 </w:t>
      </w:r>
      <w:r w:rsidR="00ED4FC5">
        <w:t xml:space="preserve">Focus Group </w:t>
      </w:r>
      <w:r w:rsidR="00ED4FC5" w:rsidRPr="00ED4FC5">
        <w:t xml:space="preserve">and </w:t>
      </w:r>
      <w:r w:rsidR="00ED4FC5">
        <w:t xml:space="preserve">the </w:t>
      </w:r>
      <w:r w:rsidR="00ED4FC5" w:rsidRPr="00ED4FC5">
        <w:t>New IP</w:t>
      </w:r>
      <w:r w:rsidR="00ED4FC5">
        <w:t xml:space="preserve"> ideas, indicating their </w:t>
      </w:r>
      <w:r>
        <w:t>agreement with SG 12 analysis</w:t>
      </w:r>
      <w:r w:rsidR="001B6E37">
        <w:t>.</w:t>
      </w:r>
    </w:p>
    <w:p w14:paraId="38FD9FA9" w14:textId="77777777" w:rsidR="00535DAA" w:rsidRDefault="00CF4F29">
      <w:r>
        <w:t>A</w:t>
      </w:r>
      <w:r w:rsidR="00ED4FC5">
        <w:t>ppreciation of the network capacity and latency requirements assoc</w:t>
      </w:r>
      <w:r>
        <w:t xml:space="preserve">iated with </w:t>
      </w:r>
      <w:r w:rsidR="00ED4FC5">
        <w:t xml:space="preserve">plans for </w:t>
      </w:r>
      <w:r>
        <w:t xml:space="preserve">many </w:t>
      </w:r>
      <w:r w:rsidR="00ED4FC5">
        <w:t>highly interactive a</w:t>
      </w:r>
      <w:r w:rsidR="0015709D">
        <w:t>pplicat</w:t>
      </w:r>
      <w:r w:rsidR="00535DAA">
        <w:t>ions and their use cases discussed by</w:t>
      </w:r>
      <w:r w:rsidR="00170B38">
        <w:t xml:space="preserve"> the FG</w:t>
      </w:r>
      <w:r>
        <w:t xml:space="preserve"> (</w:t>
      </w:r>
      <w:r w:rsidR="0015709D">
        <w:t xml:space="preserve">including </w:t>
      </w:r>
      <w:r w:rsidR="0015709D" w:rsidRPr="0015709D">
        <w:t>remot</w:t>
      </w:r>
      <w:r w:rsidR="00A96552">
        <w:t>e driving, holographic communications for medicine and</w:t>
      </w:r>
      <w:r w:rsidR="0015709D" w:rsidRPr="0015709D">
        <w:t xml:space="preserve"> industrial control, </w:t>
      </w:r>
      <w:r w:rsidR="0015709D">
        <w:t xml:space="preserve">and </w:t>
      </w:r>
      <w:r w:rsidR="0015709D" w:rsidRPr="0015709D">
        <w:t>intelligent operation networks</w:t>
      </w:r>
      <w:r>
        <w:t xml:space="preserve">), brings unavoidable </w:t>
      </w:r>
      <w:r w:rsidR="00535DAA">
        <w:t xml:space="preserve">limitations on the applicability of </w:t>
      </w:r>
      <w:r w:rsidR="00990EDB">
        <w:t xml:space="preserve">any </w:t>
      </w:r>
      <w:r w:rsidR="00535DAA">
        <w:t>new network technologies intended to support these requirements</w:t>
      </w:r>
      <w:r w:rsidR="0015709D">
        <w:t>.</w:t>
      </w:r>
      <w:r w:rsidR="00535DAA">
        <w:t xml:space="preserve"> </w:t>
      </w:r>
    </w:p>
    <w:p w14:paraId="74E2D974" w14:textId="77777777" w:rsidR="001A5D53" w:rsidRDefault="00535DAA">
      <w:r>
        <w:t xml:space="preserve">The FG </w:t>
      </w:r>
      <w:r w:rsidR="00795DA2">
        <w:t xml:space="preserve">estimated that many of these applications have unit-millisecond or sub-millisecond </w:t>
      </w:r>
      <w:r>
        <w:t>round-trip latency requirements, which reduces the applicability or scope of corresponding network technologies intending to support these interactive services to end-to-end distances of 15</w:t>
      </w:r>
      <w:r w:rsidRPr="00795DA2">
        <w:t xml:space="preserve">0 </w:t>
      </w:r>
      <w:proofErr w:type="spellStart"/>
      <w:r w:rsidRPr="00795DA2">
        <w:t>kilometers</w:t>
      </w:r>
      <w:proofErr w:type="spellEnd"/>
      <w:r w:rsidRPr="00795DA2">
        <w:t xml:space="preserve"> or just o</w:t>
      </w:r>
      <w:r>
        <w:t>ver 93 miles</w:t>
      </w:r>
      <w:r w:rsidR="00EE74A5">
        <w:t xml:space="preserve"> (without accounting for delays in network equipment, which further reduce</w:t>
      </w:r>
      <w:r w:rsidR="007D1E31">
        <w:t>s</w:t>
      </w:r>
      <w:r w:rsidR="00EE74A5">
        <w:t xml:space="preserve"> the network scope)</w:t>
      </w:r>
      <w:r>
        <w:t>.</w:t>
      </w:r>
      <w:r w:rsidR="00990EDB">
        <w:t xml:space="preserve"> These are small, regional networks at best.</w:t>
      </w:r>
    </w:p>
    <w:p w14:paraId="3DBD26C9" w14:textId="77777777" w:rsidR="0087398A" w:rsidRDefault="005C458B">
      <w:r>
        <w:t xml:space="preserve">This means that the scope of future work on new technologies supporting FG 2030 use cases </w:t>
      </w:r>
      <w:r w:rsidR="00CF4F29">
        <w:t>need not have</w:t>
      </w:r>
      <w:r>
        <w:t xml:space="preserve"> </w:t>
      </w:r>
      <w:r w:rsidR="00990EDB">
        <w:t xml:space="preserve">a </w:t>
      </w:r>
      <w:r>
        <w:t>global</w:t>
      </w:r>
      <w:r w:rsidR="00990EDB">
        <w:t xml:space="preserve"> communications scope</w:t>
      </w:r>
      <w:r>
        <w:t xml:space="preserve">, and that the current </w:t>
      </w:r>
      <w:r w:rsidR="00EE74A5">
        <w:t xml:space="preserve">global </w:t>
      </w:r>
      <w:r>
        <w:t>in</w:t>
      </w:r>
      <w:r w:rsidR="00CF4F29">
        <w:t>ternetworking technology standards</w:t>
      </w:r>
      <w:r>
        <w:t xml:space="preserve"> </w:t>
      </w:r>
      <w:r w:rsidR="00990EDB">
        <w:t>should continue to</w:t>
      </w:r>
      <w:r>
        <w:t xml:space="preserve"> evolve in their respective </w:t>
      </w:r>
      <w:r w:rsidR="00990EDB">
        <w:t xml:space="preserve">(existing) </w:t>
      </w:r>
      <w:r>
        <w:t>developme</w:t>
      </w:r>
      <w:r w:rsidR="00CF4F29">
        <w:t>nt organizations</w:t>
      </w:r>
      <w:r>
        <w:t>.</w:t>
      </w:r>
    </w:p>
    <w:p w14:paraId="1C85B960" w14:textId="77777777" w:rsidR="009336E7" w:rsidRPr="00CF4F29" w:rsidRDefault="0087398A">
      <w:r>
        <w:t>SG12 looks forward to further c</w:t>
      </w:r>
      <w:r w:rsidR="00CF4F29">
        <w:t>ommunications on these matters.</w:t>
      </w:r>
    </w:p>
    <w:p w14:paraId="51254EDF" w14:textId="77777777" w:rsidR="003317A8" w:rsidRPr="003317A8" w:rsidRDefault="003317A8" w:rsidP="003317A8">
      <w:pPr>
        <w:jc w:val="center"/>
      </w:pPr>
      <w:r w:rsidRPr="003317A8">
        <w:t>_______________________</w:t>
      </w:r>
    </w:p>
    <w:p w14:paraId="1F4FA74B" w14:textId="77777777" w:rsidR="001A5D53" w:rsidRDefault="001A5D53">
      <w:pPr>
        <w:spacing w:before="0"/>
        <w:jc w:val="center"/>
      </w:pPr>
    </w:p>
    <w:sectPr w:rsidR="001A5D53" w:rsidSect="0017515F">
      <w:headerReference w:type="default" r:id="rId1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F7DDA" w14:textId="77777777" w:rsidR="00D72C27" w:rsidRDefault="00D72C27">
      <w:r>
        <w:separator/>
      </w:r>
    </w:p>
  </w:endnote>
  <w:endnote w:type="continuationSeparator" w:id="0">
    <w:p w14:paraId="4A2C575F" w14:textId="77777777" w:rsidR="00D72C27" w:rsidRDefault="00D7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78B09" w14:textId="77777777" w:rsidR="00D72C27" w:rsidRDefault="00D72C27">
      <w:r>
        <w:separator/>
      </w:r>
    </w:p>
  </w:footnote>
  <w:footnote w:type="continuationSeparator" w:id="0">
    <w:p w14:paraId="0603E8EF" w14:textId="77777777" w:rsidR="00D72C27" w:rsidRDefault="00D7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A18C7" w14:textId="77777777" w:rsidR="001A5D53" w:rsidRPr="00735A30" w:rsidRDefault="00735A30" w:rsidP="00735A30">
    <w:pPr>
      <w:pStyle w:val="Header"/>
    </w:pPr>
    <w:r w:rsidRPr="00735A30">
      <w:t xml:space="preserve">- </w:t>
    </w:r>
    <w:r w:rsidRPr="00735A30">
      <w:fldChar w:fldCharType="begin"/>
    </w:r>
    <w:r w:rsidRPr="00735A30">
      <w:instrText xml:space="preserve"> PAGE  \* MERGEFORMAT </w:instrText>
    </w:r>
    <w:r w:rsidRPr="00735A30">
      <w:fldChar w:fldCharType="separate"/>
    </w:r>
    <w:r w:rsidRPr="00735A30">
      <w:rPr>
        <w:noProof/>
      </w:rPr>
      <w:t>1</w:t>
    </w:r>
    <w:r w:rsidRPr="00735A30">
      <w:fldChar w:fldCharType="end"/>
    </w:r>
    <w:r w:rsidRPr="00735A30">
      <w:t xml:space="preserve"> -</w:t>
    </w:r>
  </w:p>
  <w:p w14:paraId="76158459" w14:textId="29824F74" w:rsidR="00735A30" w:rsidRPr="00735A30" w:rsidRDefault="000513B8" w:rsidP="00735A30">
    <w:pPr>
      <w:pStyle w:val="Header"/>
      <w:spacing w:after="240"/>
    </w:pPr>
    <w:r>
      <w:fldChar w:fldCharType="begin"/>
    </w:r>
    <w:r>
      <w:instrText xml:space="preserve"> STYLEREF  Docnumber  </w:instrText>
    </w:r>
    <w:r>
      <w:fldChar w:fldCharType="separate"/>
    </w:r>
    <w:r>
      <w:rPr>
        <w:noProof/>
      </w:rPr>
      <w:t>TSAG-TD906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F9D2D0C"/>
    <w:multiLevelType w:val="hybridMultilevel"/>
    <w:tmpl w:val="C690263E"/>
    <w:lvl w:ilvl="0" w:tplc="76A4FFC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810D8"/>
    <w:multiLevelType w:val="hybridMultilevel"/>
    <w:tmpl w:val="A15000EA"/>
    <w:lvl w:ilvl="0" w:tplc="04090001">
      <w:start w:val="1"/>
      <w:numFmt w:val="bullet"/>
      <w:lvlText w:val="ï‚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ï‚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ï‚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ï‚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ï‚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ï‚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53"/>
    <w:rsid w:val="000513B8"/>
    <w:rsid w:val="00082C58"/>
    <w:rsid w:val="000B07D1"/>
    <w:rsid w:val="000E4487"/>
    <w:rsid w:val="000E601E"/>
    <w:rsid w:val="000F0B07"/>
    <w:rsid w:val="001201DE"/>
    <w:rsid w:val="00121315"/>
    <w:rsid w:val="0015709D"/>
    <w:rsid w:val="00170B38"/>
    <w:rsid w:val="0017515F"/>
    <w:rsid w:val="001A52D8"/>
    <w:rsid w:val="001A5D53"/>
    <w:rsid w:val="001B6E37"/>
    <w:rsid w:val="001C46B8"/>
    <w:rsid w:val="001D006D"/>
    <w:rsid w:val="00292076"/>
    <w:rsid w:val="002C0715"/>
    <w:rsid w:val="00324C18"/>
    <w:rsid w:val="003317A8"/>
    <w:rsid w:val="00352660"/>
    <w:rsid w:val="00357C0D"/>
    <w:rsid w:val="00497E3B"/>
    <w:rsid w:val="004B1C6A"/>
    <w:rsid w:val="00520FB4"/>
    <w:rsid w:val="00535DAA"/>
    <w:rsid w:val="00556CCE"/>
    <w:rsid w:val="005C458B"/>
    <w:rsid w:val="005C5E58"/>
    <w:rsid w:val="005C648E"/>
    <w:rsid w:val="00735A30"/>
    <w:rsid w:val="00795DA2"/>
    <w:rsid w:val="007D1E31"/>
    <w:rsid w:val="007E6D52"/>
    <w:rsid w:val="0087398A"/>
    <w:rsid w:val="008A372E"/>
    <w:rsid w:val="009336E7"/>
    <w:rsid w:val="00990EDB"/>
    <w:rsid w:val="009B1613"/>
    <w:rsid w:val="009C7870"/>
    <w:rsid w:val="009F45EC"/>
    <w:rsid w:val="00A5767B"/>
    <w:rsid w:val="00A8484F"/>
    <w:rsid w:val="00A93F2E"/>
    <w:rsid w:val="00A96552"/>
    <w:rsid w:val="00B10D05"/>
    <w:rsid w:val="00B44990"/>
    <w:rsid w:val="00BE3537"/>
    <w:rsid w:val="00C2482B"/>
    <w:rsid w:val="00C25E0C"/>
    <w:rsid w:val="00CF4F29"/>
    <w:rsid w:val="00D71066"/>
    <w:rsid w:val="00D72C27"/>
    <w:rsid w:val="00ED4FC5"/>
    <w:rsid w:val="00EE74A5"/>
    <w:rsid w:val="00F42A5F"/>
    <w:rsid w:val="00FA4D04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7E7D47"/>
  <w15:docId w15:val="{72198C10-7873-4991-AA7D-2C95FF64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36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9336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9336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9336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9336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9336F"/>
    <w:pPr>
      <w:outlineLvl w:val="4"/>
    </w:pPr>
  </w:style>
  <w:style w:type="paragraph" w:styleId="Heading6">
    <w:name w:val="heading 6"/>
    <w:basedOn w:val="Heading4"/>
    <w:next w:val="Normal"/>
    <w:qFormat/>
    <w:rsid w:val="0079336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9336F"/>
    <w:pPr>
      <w:outlineLvl w:val="6"/>
    </w:pPr>
  </w:style>
  <w:style w:type="paragraph" w:styleId="Heading8">
    <w:name w:val="heading 8"/>
    <w:basedOn w:val="Heading6"/>
    <w:next w:val="Normal"/>
    <w:qFormat/>
    <w:rsid w:val="0079336F"/>
    <w:pPr>
      <w:outlineLvl w:val="7"/>
    </w:pPr>
  </w:style>
  <w:style w:type="paragraph" w:styleId="Heading9">
    <w:name w:val="heading 9"/>
    <w:basedOn w:val="Heading6"/>
    <w:next w:val="Normal"/>
    <w:qFormat/>
    <w:rsid w:val="0079336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79336F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79336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9336F"/>
  </w:style>
  <w:style w:type="paragraph" w:customStyle="1" w:styleId="AppendixNotitle">
    <w:name w:val="Appendix_No &amp; title"/>
    <w:basedOn w:val="AnnexNotitle"/>
    <w:next w:val="Normal"/>
    <w:rsid w:val="0079336F"/>
  </w:style>
  <w:style w:type="character" w:customStyle="1" w:styleId="Artdef">
    <w:name w:val="Art_def"/>
    <w:rsid w:val="0079336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9336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9336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9336F"/>
  </w:style>
  <w:style w:type="paragraph" w:customStyle="1" w:styleId="Arttitle">
    <w:name w:val="Art_title"/>
    <w:basedOn w:val="Normal"/>
    <w:next w:val="Normal"/>
    <w:rsid w:val="0079336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9336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9336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79336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79336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79336F"/>
    <w:rPr>
      <w:vertAlign w:val="superscript"/>
    </w:rPr>
  </w:style>
  <w:style w:type="paragraph" w:customStyle="1" w:styleId="enumlev1">
    <w:name w:val="enumlev1"/>
    <w:basedOn w:val="Normal"/>
    <w:rsid w:val="0079336F"/>
    <w:pPr>
      <w:spacing w:before="80"/>
      <w:ind w:left="794" w:hanging="794"/>
    </w:pPr>
  </w:style>
  <w:style w:type="paragraph" w:customStyle="1" w:styleId="enumlev2">
    <w:name w:val="enumlev2"/>
    <w:basedOn w:val="enumlev1"/>
    <w:rsid w:val="0079336F"/>
    <w:pPr>
      <w:ind w:left="1191" w:hanging="397"/>
    </w:pPr>
  </w:style>
  <w:style w:type="paragraph" w:customStyle="1" w:styleId="enumlev3">
    <w:name w:val="enumlev3"/>
    <w:basedOn w:val="enumlev2"/>
    <w:rsid w:val="0079336F"/>
    <w:pPr>
      <w:ind w:left="1588"/>
    </w:pPr>
  </w:style>
  <w:style w:type="paragraph" w:customStyle="1" w:styleId="Equation">
    <w:name w:val="Equation"/>
    <w:basedOn w:val="Normal"/>
    <w:rsid w:val="0079336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9336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79336F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79336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79336F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79336F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79336F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79336F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79336F"/>
    <w:pPr>
      <w:keepLines/>
      <w:spacing w:before="240" w:after="120"/>
      <w:jc w:val="center"/>
    </w:pPr>
  </w:style>
  <w:style w:type="paragraph" w:styleId="Footer">
    <w:name w:val="footer"/>
    <w:basedOn w:val="Normal"/>
    <w:rsid w:val="0079336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9336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79336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sid w:val="0079336F"/>
    <w:rPr>
      <w:position w:val="6"/>
      <w:sz w:val="18"/>
    </w:rPr>
  </w:style>
  <w:style w:type="paragraph" w:customStyle="1" w:styleId="Note">
    <w:name w:val="Note"/>
    <w:basedOn w:val="Normal"/>
    <w:rsid w:val="0079336F"/>
    <w:pPr>
      <w:spacing w:before="80"/>
    </w:pPr>
  </w:style>
  <w:style w:type="paragraph" w:styleId="FootnoteText">
    <w:name w:val="footnote text"/>
    <w:basedOn w:val="Note"/>
    <w:semiHidden/>
    <w:rsid w:val="0079336F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79336F"/>
    <w:rPr>
      <w:b w:val="0"/>
    </w:rPr>
  </w:style>
  <w:style w:type="paragraph" w:styleId="Header">
    <w:name w:val="header"/>
    <w:basedOn w:val="Normal"/>
    <w:rsid w:val="0079336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9336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9336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9336F"/>
  </w:style>
  <w:style w:type="paragraph" w:styleId="Index2">
    <w:name w:val="index 2"/>
    <w:basedOn w:val="Normal"/>
    <w:next w:val="Normal"/>
    <w:semiHidden/>
    <w:rsid w:val="0079336F"/>
    <w:pPr>
      <w:ind w:left="283"/>
    </w:pPr>
  </w:style>
  <w:style w:type="paragraph" w:styleId="Index3">
    <w:name w:val="index 3"/>
    <w:basedOn w:val="Normal"/>
    <w:next w:val="Normal"/>
    <w:semiHidden/>
    <w:rsid w:val="0079336F"/>
    <w:pPr>
      <w:ind w:left="566"/>
    </w:pPr>
  </w:style>
  <w:style w:type="paragraph" w:customStyle="1" w:styleId="Normalaftertitle">
    <w:name w:val="Normal_after_title"/>
    <w:basedOn w:val="Normal"/>
    <w:next w:val="Normal"/>
    <w:rsid w:val="0079336F"/>
    <w:pPr>
      <w:spacing w:before="360"/>
    </w:pPr>
  </w:style>
  <w:style w:type="character" w:styleId="PageNumber">
    <w:name w:val="page number"/>
    <w:basedOn w:val="DefaultParagraphFont"/>
    <w:rsid w:val="0079336F"/>
  </w:style>
  <w:style w:type="paragraph" w:customStyle="1" w:styleId="PartNo">
    <w:name w:val="Part_No"/>
    <w:basedOn w:val="Normal"/>
    <w:next w:val="Normal"/>
    <w:rsid w:val="007933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79336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9336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7933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79336F"/>
  </w:style>
  <w:style w:type="paragraph" w:customStyle="1" w:styleId="RecNo">
    <w:name w:val="Rec_No"/>
    <w:basedOn w:val="Normal"/>
    <w:next w:val="Normal"/>
    <w:rsid w:val="0079336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79336F"/>
  </w:style>
  <w:style w:type="paragraph" w:customStyle="1" w:styleId="RecNoBR">
    <w:name w:val="Rec_No_BR"/>
    <w:basedOn w:val="Normal"/>
    <w:next w:val="Normal"/>
    <w:rsid w:val="0079336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79336F"/>
  </w:style>
  <w:style w:type="paragraph" w:customStyle="1" w:styleId="Recref">
    <w:name w:val="Rec_ref"/>
    <w:basedOn w:val="Normal"/>
    <w:next w:val="Recdate"/>
    <w:rsid w:val="0079336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79336F"/>
  </w:style>
  <w:style w:type="paragraph" w:customStyle="1" w:styleId="Rectitle">
    <w:name w:val="Rec_title"/>
    <w:basedOn w:val="Normal"/>
    <w:next w:val="Normalaftertitle"/>
    <w:rsid w:val="0079336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9336F"/>
  </w:style>
  <w:style w:type="character" w:customStyle="1" w:styleId="Recdef">
    <w:name w:val="Rec_def"/>
    <w:rsid w:val="0079336F"/>
    <w:rPr>
      <w:b/>
    </w:rPr>
  </w:style>
  <w:style w:type="paragraph" w:customStyle="1" w:styleId="Reftext">
    <w:name w:val="Ref_text"/>
    <w:basedOn w:val="Normal"/>
    <w:rsid w:val="0079336F"/>
    <w:pPr>
      <w:ind w:left="794" w:hanging="794"/>
    </w:pPr>
  </w:style>
  <w:style w:type="paragraph" w:customStyle="1" w:styleId="Reftitle">
    <w:name w:val="Ref_title"/>
    <w:basedOn w:val="Normal"/>
    <w:next w:val="Reftext"/>
    <w:rsid w:val="0079336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79336F"/>
  </w:style>
  <w:style w:type="paragraph" w:customStyle="1" w:styleId="RepNo">
    <w:name w:val="Rep_No"/>
    <w:basedOn w:val="RecNo"/>
    <w:next w:val="Normal"/>
    <w:rsid w:val="0079336F"/>
  </w:style>
  <w:style w:type="paragraph" w:customStyle="1" w:styleId="RepNoBR">
    <w:name w:val="Rep_No_BR"/>
    <w:basedOn w:val="RecNoBR"/>
    <w:next w:val="Normal"/>
    <w:rsid w:val="0079336F"/>
  </w:style>
  <w:style w:type="paragraph" w:customStyle="1" w:styleId="Repref">
    <w:name w:val="Rep_ref"/>
    <w:basedOn w:val="Recref"/>
    <w:next w:val="Repdate"/>
    <w:rsid w:val="0079336F"/>
  </w:style>
  <w:style w:type="paragraph" w:customStyle="1" w:styleId="Reptitle">
    <w:name w:val="Rep_title"/>
    <w:basedOn w:val="Rectitle"/>
    <w:next w:val="Repref"/>
    <w:rsid w:val="0079336F"/>
  </w:style>
  <w:style w:type="paragraph" w:customStyle="1" w:styleId="Resdate">
    <w:name w:val="Res_date"/>
    <w:basedOn w:val="Recdate"/>
    <w:next w:val="Normalaftertitle"/>
    <w:rsid w:val="0079336F"/>
  </w:style>
  <w:style w:type="character" w:customStyle="1" w:styleId="Resdef">
    <w:name w:val="Res_def"/>
    <w:rsid w:val="0079336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79336F"/>
  </w:style>
  <w:style w:type="paragraph" w:customStyle="1" w:styleId="ResNoBR">
    <w:name w:val="Res_No_BR"/>
    <w:basedOn w:val="RecNoBR"/>
    <w:next w:val="Normal"/>
    <w:rsid w:val="0079336F"/>
  </w:style>
  <w:style w:type="paragraph" w:customStyle="1" w:styleId="Resref">
    <w:name w:val="Res_ref"/>
    <w:basedOn w:val="Recref"/>
    <w:next w:val="Resdate"/>
    <w:rsid w:val="0079336F"/>
  </w:style>
  <w:style w:type="paragraph" w:customStyle="1" w:styleId="Restitle">
    <w:name w:val="Res_title"/>
    <w:basedOn w:val="Rectitle"/>
    <w:next w:val="Resref"/>
    <w:rsid w:val="0079336F"/>
  </w:style>
  <w:style w:type="paragraph" w:customStyle="1" w:styleId="Section1">
    <w:name w:val="Section_1"/>
    <w:basedOn w:val="Normal"/>
    <w:next w:val="Normal"/>
    <w:rsid w:val="0079336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9336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79336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9336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9336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9336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79336F"/>
    <w:rPr>
      <w:b/>
      <w:color w:val="auto"/>
    </w:rPr>
  </w:style>
  <w:style w:type="paragraph" w:customStyle="1" w:styleId="Tablehead">
    <w:name w:val="Table_head"/>
    <w:basedOn w:val="Normal"/>
    <w:next w:val="Normal"/>
    <w:rsid w:val="0079336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7933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79336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9336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9336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7933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79336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79336F"/>
  </w:style>
  <w:style w:type="paragraph" w:customStyle="1" w:styleId="Title3">
    <w:name w:val="Title 3"/>
    <w:basedOn w:val="Title2"/>
    <w:next w:val="Normal"/>
    <w:rsid w:val="0079336F"/>
    <w:rPr>
      <w:caps w:val="0"/>
    </w:rPr>
  </w:style>
  <w:style w:type="paragraph" w:customStyle="1" w:styleId="Title4">
    <w:name w:val="Title 4"/>
    <w:basedOn w:val="Title3"/>
    <w:next w:val="Heading1"/>
    <w:rsid w:val="0079336F"/>
    <w:rPr>
      <w:b/>
    </w:rPr>
  </w:style>
  <w:style w:type="paragraph" w:customStyle="1" w:styleId="toc0">
    <w:name w:val="toc 0"/>
    <w:basedOn w:val="Normal"/>
    <w:next w:val="TOC1"/>
    <w:rsid w:val="0079336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9336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9336F"/>
    <w:pPr>
      <w:spacing w:before="80"/>
      <w:ind w:left="1531" w:hanging="851"/>
    </w:pPr>
  </w:style>
  <w:style w:type="paragraph" w:styleId="TOC3">
    <w:name w:val="toc 3"/>
    <w:basedOn w:val="TOC2"/>
    <w:semiHidden/>
    <w:rsid w:val="0079336F"/>
  </w:style>
  <w:style w:type="paragraph" w:styleId="TOC4">
    <w:name w:val="toc 4"/>
    <w:basedOn w:val="TOC3"/>
    <w:semiHidden/>
    <w:rsid w:val="0079336F"/>
  </w:style>
  <w:style w:type="paragraph" w:styleId="TOC5">
    <w:name w:val="toc 5"/>
    <w:basedOn w:val="TOC4"/>
    <w:semiHidden/>
    <w:rsid w:val="0079336F"/>
  </w:style>
  <w:style w:type="paragraph" w:styleId="TOC6">
    <w:name w:val="toc 6"/>
    <w:basedOn w:val="TOC4"/>
    <w:semiHidden/>
    <w:rsid w:val="0079336F"/>
  </w:style>
  <w:style w:type="paragraph" w:styleId="TOC7">
    <w:name w:val="toc 7"/>
    <w:basedOn w:val="TOC4"/>
    <w:semiHidden/>
    <w:rsid w:val="0079336F"/>
  </w:style>
  <w:style w:type="paragraph" w:styleId="TOC8">
    <w:name w:val="toc 8"/>
    <w:basedOn w:val="TOC4"/>
    <w:semiHidden/>
    <w:rsid w:val="0079336F"/>
  </w:style>
  <w:style w:type="character" w:styleId="Hyperlink">
    <w:name w:val="Hyperlink"/>
    <w:rsid w:val="00D7556A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244BE"/>
  </w:style>
  <w:style w:type="paragraph" w:styleId="BalloonText">
    <w:name w:val="Balloon Text"/>
    <w:basedOn w:val="Normal"/>
    <w:semiHidden/>
    <w:rsid w:val="004C23D3"/>
    <w:rPr>
      <w:rFonts w:ascii="Tahoma" w:hAnsi="Tahoma" w:cs="Tahoma"/>
      <w:sz w:val="16"/>
      <w:szCs w:val="16"/>
    </w:rPr>
  </w:style>
  <w:style w:type="paragraph" w:customStyle="1" w:styleId="Docnumber">
    <w:name w:val="Docnumber"/>
    <w:basedOn w:val="Normal"/>
    <w:link w:val="DocnumberChar"/>
    <w:qFormat/>
    <w:rsid w:val="009E7527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9E7527"/>
    <w:rPr>
      <w:rFonts w:ascii="Times New Roman" w:hAnsi="Times New Roman" w:cs="Times New Roman"/>
      <w:b/>
      <w:bCs/>
      <w:sz w:val="40"/>
    </w:rPr>
  </w:style>
  <w:style w:type="paragraph" w:customStyle="1" w:styleId="LSDeadline">
    <w:name w:val="LSDeadline"/>
    <w:basedOn w:val="LSForAction"/>
    <w:next w:val="Normal"/>
    <w:rsid w:val="003317A8"/>
    <w:rPr>
      <w:bCs w:val="0"/>
    </w:rPr>
  </w:style>
  <w:style w:type="paragraph" w:customStyle="1" w:styleId="LSForAction">
    <w:name w:val="LSForAction"/>
    <w:basedOn w:val="Normal"/>
    <w:rsid w:val="003317A8"/>
    <w:rPr>
      <w:rFonts w:eastAsia="Times New Roman"/>
      <w:bCs/>
    </w:rPr>
  </w:style>
  <w:style w:type="paragraph" w:customStyle="1" w:styleId="LSForInfo">
    <w:name w:val="LSForInfo"/>
    <w:basedOn w:val="LSForAction"/>
    <w:next w:val="Normal"/>
    <w:rsid w:val="003317A8"/>
  </w:style>
  <w:style w:type="paragraph" w:customStyle="1" w:styleId="LSForComment">
    <w:name w:val="LSForComment"/>
    <w:basedOn w:val="LSForAction"/>
    <w:next w:val="Normal"/>
    <w:rsid w:val="003317A8"/>
  </w:style>
  <w:style w:type="paragraph" w:styleId="ListParagraph">
    <w:name w:val="List Paragraph"/>
    <w:basedOn w:val="Normal"/>
    <w:uiPriority w:val="34"/>
    <w:qFormat/>
    <w:rsid w:val="003317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/>
      <w:contextualSpacing/>
      <w:textAlignment w:val="auto"/>
    </w:pPr>
    <w:rPr>
      <w:rFonts w:eastAsia="SimSun"/>
      <w:szCs w:val="24"/>
      <w:lang w:eastAsia="ja-JP"/>
    </w:rPr>
  </w:style>
  <w:style w:type="character" w:styleId="UnresolvedMention">
    <w:name w:val="Unresolved Mention"/>
    <w:uiPriority w:val="99"/>
    <w:semiHidden/>
    <w:unhideWhenUsed/>
    <w:rsid w:val="00D71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dle.itu.int/11.1002/ls/sp16-sg12-oLS-00120.do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acm@research.at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ndle.itu.int/11.1002/ls/sp16-sg12-oLS-00120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ifa/t/2017/ls/fgnet2030/sp16-fgnet2030-oLS-0000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m@research.at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about TSAG Information Session on Network 2030 (reply to FG NET2030-LS5)</vt:lpstr>
    </vt:vector>
  </TitlesOfParts>
  <Manager>ITU-T</Manager>
  <Company>International Telecommunication Union (ITU)</Company>
  <LinksUpToDate>false</LinksUpToDate>
  <CharactersWithSpaces>3398</CharactersWithSpaces>
  <SharedDoc>false</SharedDoc>
  <HLinks>
    <vt:vector size="24" baseType="variant">
      <vt:variant>
        <vt:i4>7733253</vt:i4>
      </vt:variant>
      <vt:variant>
        <vt:i4>9</vt:i4>
      </vt:variant>
      <vt:variant>
        <vt:i4>0</vt:i4>
      </vt:variant>
      <vt:variant>
        <vt:i4>5</vt:i4>
      </vt:variant>
      <vt:variant>
        <vt:lpwstr>mailto:acm@research.att.com</vt:lpwstr>
      </vt:variant>
      <vt:variant>
        <vt:lpwstr/>
      </vt:variant>
      <vt:variant>
        <vt:i4>524317</vt:i4>
      </vt:variant>
      <vt:variant>
        <vt:i4>6</vt:i4>
      </vt:variant>
      <vt:variant>
        <vt:i4>0</vt:i4>
      </vt:variant>
      <vt:variant>
        <vt:i4>5</vt:i4>
      </vt:variant>
      <vt:variant>
        <vt:lpwstr>http://handle.itu.int/11.1002/ls/sp16-sg12-oLS-00120.doc</vt:lpwstr>
      </vt:variant>
      <vt:variant>
        <vt:lpwstr/>
      </vt:variant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https://www.itu.int/ifa/t/2017/ls/fgnet2030/sp16-fgnet2030-oLS-00005.docx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http://handle.itu.int/11.1002/ls/sp16-sg12-oLS-00120.doc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about TSAG Information Session on Network 2030 (reply to FG NET2030-LS5)</dc:title>
  <dc:subject/>
  <dc:creator>ITU-T Study Group 12</dc:creator>
  <cp:keywords>Q17/12;</cp:keywords>
  <dc:description>SG12-LS120  For: E-meeting, 7-11 September 2020_x000d_Document date: _x000d_Saved by ITU51011775 at 14:49:30 on 14/09/2020</dc:description>
  <cp:lastModifiedBy>Al-Mnini, Lara</cp:lastModifiedBy>
  <cp:revision>3</cp:revision>
  <cp:lastPrinted>2009-11-11T07:20:00Z</cp:lastPrinted>
  <dcterms:created xsi:type="dcterms:W3CDTF">2020-09-15T07:20:00Z</dcterms:created>
  <dcterms:modified xsi:type="dcterms:W3CDTF">2020-09-15T07:39:00Z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SG12-LS120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17/12</vt:lpwstr>
  </property>
  <property fmtid="{D5CDD505-2E9C-101B-9397-08002B2CF9AE}" pid="6" name="Docdest">
    <vt:lpwstr>E-meeting, 7-11 September 2020</vt:lpwstr>
  </property>
  <property fmtid="{D5CDD505-2E9C-101B-9397-08002B2CF9AE}" pid="7" name="Docauthor">
    <vt:lpwstr>ITU-T Study Group 12</vt:lpwstr>
  </property>
</Properties>
</file>