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CD7B46" w14:paraId="55998D1E" w14:textId="77777777" w:rsidTr="0078622D">
        <w:trPr>
          <w:cantSplit/>
        </w:trPr>
        <w:tc>
          <w:tcPr>
            <w:tcW w:w="1191" w:type="dxa"/>
            <w:vMerge w:val="restart"/>
          </w:tcPr>
          <w:p w14:paraId="725CEF26" w14:textId="77777777" w:rsidR="00CD7B46" w:rsidRDefault="00CD7B46" w:rsidP="0078622D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2F6BD3">
              <w:rPr>
                <w:noProof/>
                <w:sz w:val="20"/>
                <w:lang w:eastAsia="zh-CN"/>
              </w:rPr>
              <w:drawing>
                <wp:inline distT="0" distB="0" distL="0" distR="0" wp14:anchorId="54DA96CD" wp14:editId="60D80B37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724F6E3A" w14:textId="77777777" w:rsidR="00CD7B46" w:rsidRDefault="00CD7B46" w:rsidP="0078622D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6C4496C9" w14:textId="77777777" w:rsidR="00CD7B46" w:rsidRDefault="00CD7B46" w:rsidP="0078622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E5996A1" w14:textId="77777777" w:rsidR="00CD7B46" w:rsidRDefault="00CD7B46" w:rsidP="0078622D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6DF470D5" w14:textId="77777777" w:rsidR="00CD7B46" w:rsidRDefault="00CD7B46" w:rsidP="0078622D">
            <w:pPr>
              <w:pStyle w:val="Docnumber"/>
            </w:pPr>
            <w:r>
              <w:rPr>
                <w:sz w:val="32"/>
              </w:rPr>
              <w:t>TSAG-TD896</w:t>
            </w:r>
          </w:p>
        </w:tc>
      </w:tr>
      <w:tr w:rsidR="00CD7B46" w14:paraId="0CD14847" w14:textId="77777777" w:rsidTr="0078622D">
        <w:trPr>
          <w:cantSplit/>
          <w:trHeight w:val="461"/>
        </w:trPr>
        <w:tc>
          <w:tcPr>
            <w:tcW w:w="1191" w:type="dxa"/>
            <w:vMerge/>
          </w:tcPr>
          <w:p w14:paraId="7EC7ADE8" w14:textId="77777777" w:rsidR="00CD7B46" w:rsidRDefault="00CD7B46" w:rsidP="0078622D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4D67A0B4" w14:textId="77777777" w:rsidR="00CD7B46" w:rsidRDefault="00CD7B46" w:rsidP="0078622D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B8D0A4F" w14:textId="77777777" w:rsidR="00CD7B46" w:rsidRDefault="00CD7B46" w:rsidP="0078622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CD7B46" w14:paraId="499AF5CF" w14:textId="77777777" w:rsidTr="0078622D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3CE7B85" w14:textId="77777777" w:rsidR="00CD7B46" w:rsidRDefault="00CD7B46" w:rsidP="0078622D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33659235" w14:textId="77777777" w:rsidR="00CD7B46" w:rsidRDefault="00CD7B46" w:rsidP="0078622D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AA6BC84" w14:textId="77777777" w:rsidR="00CD7B46" w:rsidRDefault="00CD7B46" w:rsidP="0078622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CD7B46" w:rsidRPr="00132FD6" w14:paraId="799722FC" w14:textId="77777777" w:rsidTr="0078622D">
        <w:trPr>
          <w:cantSplit/>
          <w:trHeight w:val="357"/>
        </w:trPr>
        <w:tc>
          <w:tcPr>
            <w:tcW w:w="1550" w:type="dxa"/>
            <w:gridSpan w:val="2"/>
          </w:tcPr>
          <w:p w14:paraId="58D4E894" w14:textId="77777777" w:rsidR="00CD7B46" w:rsidRPr="00132FD6" w:rsidRDefault="00CD7B46" w:rsidP="00132FD6">
            <w:pPr>
              <w:spacing w:before="120" w:after="0"/>
              <w:rPr>
                <w:b/>
                <w:bCs/>
                <w:sz w:val="24"/>
              </w:rPr>
            </w:pPr>
            <w:r w:rsidRPr="00132FD6">
              <w:rPr>
                <w:b/>
                <w:bCs/>
                <w:sz w:val="24"/>
              </w:rPr>
              <w:t>Question(s):</w:t>
            </w:r>
          </w:p>
        </w:tc>
        <w:tc>
          <w:tcPr>
            <w:tcW w:w="4744" w:type="dxa"/>
            <w:gridSpan w:val="2"/>
          </w:tcPr>
          <w:p w14:paraId="7AEB628F" w14:textId="39E52CB6" w:rsidR="00CD7B46" w:rsidRPr="00132FD6" w:rsidRDefault="00132FD6" w:rsidP="00132FD6">
            <w:pPr>
              <w:spacing w:before="120" w:after="0"/>
              <w:rPr>
                <w:sz w:val="24"/>
              </w:rPr>
            </w:pPr>
            <w:r>
              <w:rPr>
                <w:sz w:val="24"/>
              </w:rPr>
              <w:t>N/</w:t>
            </w:r>
            <w:r w:rsidR="00CD7B46" w:rsidRPr="00132FD6">
              <w:rPr>
                <w:sz w:val="24"/>
              </w:rPr>
              <w:t>A</w:t>
            </w:r>
          </w:p>
        </w:tc>
        <w:tc>
          <w:tcPr>
            <w:tcW w:w="3629" w:type="dxa"/>
          </w:tcPr>
          <w:p w14:paraId="3330FE43" w14:textId="77777777" w:rsidR="00CD7B46" w:rsidRPr="00132FD6" w:rsidRDefault="00CD7B46" w:rsidP="00132FD6">
            <w:pPr>
              <w:spacing w:before="120" w:after="0"/>
              <w:jc w:val="right"/>
              <w:rPr>
                <w:sz w:val="24"/>
              </w:rPr>
            </w:pPr>
            <w:r w:rsidRPr="00132FD6">
              <w:rPr>
                <w:sz w:val="24"/>
              </w:rPr>
              <w:t>E-Meeting, 21-25 September 2020</w:t>
            </w:r>
          </w:p>
        </w:tc>
      </w:tr>
      <w:tr w:rsidR="00CD7B46" w:rsidRPr="00132FD6" w14:paraId="6B92EBA3" w14:textId="77777777" w:rsidTr="0078622D">
        <w:trPr>
          <w:cantSplit/>
          <w:trHeight w:val="357"/>
        </w:trPr>
        <w:tc>
          <w:tcPr>
            <w:tcW w:w="9923" w:type="dxa"/>
            <w:gridSpan w:val="5"/>
          </w:tcPr>
          <w:p w14:paraId="362604CD" w14:textId="18CF4CC4" w:rsidR="00CD7B46" w:rsidRPr="00132FD6" w:rsidRDefault="00CD7B46" w:rsidP="00132FD6">
            <w:pPr>
              <w:spacing w:before="120" w:after="0"/>
              <w:jc w:val="center"/>
              <w:rPr>
                <w:b/>
                <w:bCs/>
                <w:sz w:val="24"/>
              </w:rPr>
            </w:pPr>
            <w:bookmarkStart w:id="3" w:name="dtitle" w:colFirst="0" w:colLast="0"/>
            <w:r w:rsidRPr="00132FD6">
              <w:rPr>
                <w:b/>
                <w:bCs/>
                <w:sz w:val="24"/>
              </w:rPr>
              <w:t>TD</w:t>
            </w:r>
            <w:r w:rsidRPr="00132FD6">
              <w:rPr>
                <w:b/>
                <w:bCs/>
                <w:sz w:val="24"/>
              </w:rPr>
              <w:br/>
              <w:t>(Ref</w:t>
            </w:r>
            <w:r w:rsidR="00132FD6">
              <w:rPr>
                <w:b/>
                <w:bCs/>
                <w:sz w:val="24"/>
              </w:rPr>
              <w:t>.</w:t>
            </w:r>
            <w:r w:rsidRPr="00132FD6">
              <w:rPr>
                <w:b/>
                <w:bCs/>
                <w:sz w:val="24"/>
              </w:rPr>
              <w:t xml:space="preserve">: </w:t>
            </w:r>
            <w:hyperlink r:id="rId8" w:tooltip="ITU-T ftp file restricted to TIES access only" w:history="1">
              <w:r w:rsidRPr="00132FD6">
                <w:rPr>
                  <w:rStyle w:val="Hyperlink"/>
                  <w:sz w:val="24"/>
                </w:rPr>
                <w:t>SG17-LS269</w:t>
              </w:r>
            </w:hyperlink>
            <w:r w:rsidRPr="00132FD6">
              <w:rPr>
                <w:sz w:val="24"/>
              </w:rPr>
              <w:t>)</w:t>
            </w:r>
          </w:p>
        </w:tc>
      </w:tr>
      <w:bookmarkEnd w:id="3"/>
      <w:tr w:rsidR="00CD7B46" w:rsidRPr="00132FD6" w14:paraId="2AD112CC" w14:textId="77777777" w:rsidTr="0078622D">
        <w:trPr>
          <w:cantSplit/>
          <w:trHeight w:val="357"/>
        </w:trPr>
        <w:tc>
          <w:tcPr>
            <w:tcW w:w="1550" w:type="dxa"/>
            <w:gridSpan w:val="2"/>
          </w:tcPr>
          <w:p w14:paraId="7E66AAC5" w14:textId="77777777" w:rsidR="00CD7B46" w:rsidRPr="00132FD6" w:rsidRDefault="00CD7B46" w:rsidP="00132FD6">
            <w:pPr>
              <w:spacing w:before="120" w:after="0"/>
              <w:rPr>
                <w:b/>
                <w:bCs/>
                <w:sz w:val="24"/>
              </w:rPr>
            </w:pPr>
            <w:r w:rsidRPr="00132FD6">
              <w:rPr>
                <w:b/>
                <w:bCs/>
                <w:sz w:val="24"/>
              </w:rPr>
              <w:t>Source:</w:t>
            </w:r>
          </w:p>
        </w:tc>
        <w:tc>
          <w:tcPr>
            <w:tcW w:w="8373" w:type="dxa"/>
            <w:gridSpan w:val="3"/>
          </w:tcPr>
          <w:p w14:paraId="43B250C3" w14:textId="77777777" w:rsidR="00CD7B46" w:rsidRPr="00132FD6" w:rsidRDefault="00CD7B46" w:rsidP="00132FD6">
            <w:pPr>
              <w:spacing w:before="120" w:after="0"/>
              <w:rPr>
                <w:sz w:val="24"/>
              </w:rPr>
            </w:pPr>
            <w:r w:rsidRPr="00132FD6">
              <w:rPr>
                <w:sz w:val="24"/>
              </w:rPr>
              <w:t>ITU-T Study Group 17</w:t>
            </w:r>
          </w:p>
        </w:tc>
      </w:tr>
      <w:tr w:rsidR="00CD7B46" w:rsidRPr="00132FD6" w14:paraId="11926E04" w14:textId="77777777" w:rsidTr="0078622D">
        <w:trPr>
          <w:cantSplit/>
          <w:trHeight w:val="357"/>
        </w:trPr>
        <w:tc>
          <w:tcPr>
            <w:tcW w:w="1550" w:type="dxa"/>
            <w:gridSpan w:val="2"/>
          </w:tcPr>
          <w:p w14:paraId="31CADA4D" w14:textId="77777777" w:rsidR="00CD7B46" w:rsidRPr="00132FD6" w:rsidRDefault="00CD7B46" w:rsidP="00132FD6">
            <w:pPr>
              <w:spacing w:before="120" w:after="0"/>
              <w:rPr>
                <w:b/>
                <w:bCs/>
                <w:sz w:val="24"/>
              </w:rPr>
            </w:pPr>
            <w:r w:rsidRPr="00132FD6">
              <w:rPr>
                <w:b/>
                <w:bCs/>
                <w:sz w:val="24"/>
              </w:rPr>
              <w:t>Title:</w:t>
            </w:r>
          </w:p>
        </w:tc>
        <w:tc>
          <w:tcPr>
            <w:tcW w:w="8373" w:type="dxa"/>
            <w:gridSpan w:val="3"/>
          </w:tcPr>
          <w:p w14:paraId="4E258CAB" w14:textId="71A20388" w:rsidR="00CD7B46" w:rsidRPr="00132FD6" w:rsidRDefault="00CD7B46" w:rsidP="00132FD6">
            <w:pPr>
              <w:spacing w:before="120" w:after="0"/>
              <w:rPr>
                <w:sz w:val="24"/>
              </w:rPr>
            </w:pPr>
            <w:r w:rsidRPr="00132FD6">
              <w:rPr>
                <w:sz w:val="24"/>
              </w:rPr>
              <w:t>LS/r on increasing efficiency of security work in ITU-T (reply to TSAG-LS27)</w:t>
            </w:r>
            <w:r w:rsidR="00132FD6">
              <w:rPr>
                <w:sz w:val="24"/>
              </w:rPr>
              <w:t xml:space="preserve"> [from ITU-T SG17]</w:t>
            </w:r>
          </w:p>
        </w:tc>
      </w:tr>
      <w:tr w:rsidR="00CD7B46" w:rsidRPr="00132FD6" w14:paraId="05A3AA7F" w14:textId="77777777" w:rsidTr="0078622D">
        <w:trPr>
          <w:cantSplit/>
          <w:trHeight w:val="357"/>
        </w:trPr>
        <w:tc>
          <w:tcPr>
            <w:tcW w:w="1550" w:type="dxa"/>
            <w:gridSpan w:val="2"/>
          </w:tcPr>
          <w:p w14:paraId="39934687" w14:textId="77777777" w:rsidR="00CD7B46" w:rsidRPr="00132FD6" w:rsidRDefault="00CD7B46" w:rsidP="00132FD6">
            <w:pPr>
              <w:spacing w:before="120" w:after="0"/>
              <w:rPr>
                <w:b/>
                <w:bCs/>
                <w:sz w:val="24"/>
              </w:rPr>
            </w:pPr>
            <w:r w:rsidRPr="00132FD6">
              <w:rPr>
                <w:b/>
                <w:bCs/>
                <w:sz w:val="24"/>
              </w:rPr>
              <w:t>Purpose:</w:t>
            </w:r>
          </w:p>
        </w:tc>
        <w:tc>
          <w:tcPr>
            <w:tcW w:w="8373" w:type="dxa"/>
            <w:gridSpan w:val="3"/>
          </w:tcPr>
          <w:p w14:paraId="62056FEC" w14:textId="14DDB757" w:rsidR="00CD7B46" w:rsidRPr="00132FD6" w:rsidRDefault="00132FD6" w:rsidP="00132FD6">
            <w:pPr>
              <w:spacing w:before="120" w:after="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</w:tr>
      <w:tr w:rsidR="00CD7B46" w:rsidRPr="00132FD6" w14:paraId="446416B7" w14:textId="77777777" w:rsidTr="0078622D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72D083FB" w14:textId="77777777" w:rsidR="00CD7B46" w:rsidRPr="00132FD6" w:rsidRDefault="00CD7B46" w:rsidP="00132FD6">
            <w:pPr>
              <w:spacing w:before="120" w:after="0"/>
              <w:jc w:val="center"/>
              <w:rPr>
                <w:b/>
                <w:sz w:val="24"/>
              </w:rPr>
            </w:pPr>
            <w:r w:rsidRPr="00132FD6">
              <w:rPr>
                <w:b/>
                <w:sz w:val="24"/>
              </w:rPr>
              <w:t>LIAISON STATEMENT</w:t>
            </w:r>
          </w:p>
        </w:tc>
      </w:tr>
      <w:tr w:rsidR="00CD7B46" w:rsidRPr="00132FD6" w14:paraId="1AE2F322" w14:textId="77777777" w:rsidTr="0078622D">
        <w:trPr>
          <w:cantSplit/>
          <w:trHeight w:val="357"/>
        </w:trPr>
        <w:tc>
          <w:tcPr>
            <w:tcW w:w="2250" w:type="dxa"/>
            <w:gridSpan w:val="3"/>
          </w:tcPr>
          <w:p w14:paraId="4EC83EED" w14:textId="77777777" w:rsidR="00CD7B46" w:rsidRPr="00132FD6" w:rsidRDefault="00CD7B46" w:rsidP="00132FD6">
            <w:pPr>
              <w:spacing w:before="120" w:after="0"/>
              <w:rPr>
                <w:b/>
                <w:bCs/>
                <w:sz w:val="24"/>
              </w:rPr>
            </w:pPr>
            <w:r w:rsidRPr="00132FD6">
              <w:rPr>
                <w:b/>
                <w:bCs/>
                <w:sz w:val="24"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7322D8C5" w14:textId="77777777" w:rsidR="00CD7B46" w:rsidRPr="00132FD6" w:rsidRDefault="00CD7B46" w:rsidP="00132FD6">
            <w:pPr>
              <w:spacing w:before="120" w:after="0"/>
              <w:rPr>
                <w:sz w:val="24"/>
              </w:rPr>
            </w:pPr>
            <w:r w:rsidRPr="00132FD6">
              <w:rPr>
                <w:sz w:val="24"/>
              </w:rPr>
              <w:t>TSAG</w:t>
            </w:r>
          </w:p>
        </w:tc>
      </w:tr>
      <w:tr w:rsidR="00CD7B46" w:rsidRPr="00132FD6" w14:paraId="322F058C" w14:textId="77777777" w:rsidTr="0078622D">
        <w:trPr>
          <w:cantSplit/>
          <w:trHeight w:val="357"/>
        </w:trPr>
        <w:tc>
          <w:tcPr>
            <w:tcW w:w="2250" w:type="dxa"/>
            <w:gridSpan w:val="3"/>
          </w:tcPr>
          <w:p w14:paraId="0F9612AE" w14:textId="77777777" w:rsidR="00CD7B46" w:rsidRPr="00132FD6" w:rsidRDefault="00CD7B46" w:rsidP="00132FD6">
            <w:pPr>
              <w:spacing w:before="120" w:after="0"/>
              <w:rPr>
                <w:b/>
                <w:bCs/>
                <w:sz w:val="24"/>
              </w:rPr>
            </w:pPr>
            <w:r w:rsidRPr="00132FD6">
              <w:rPr>
                <w:b/>
                <w:bCs/>
                <w:sz w:val="24"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0B5760F3" w14:textId="77777777" w:rsidR="00CD7B46" w:rsidRPr="00132FD6" w:rsidRDefault="00CD7B46" w:rsidP="00132FD6">
            <w:pPr>
              <w:spacing w:before="120" w:after="0"/>
              <w:rPr>
                <w:sz w:val="24"/>
              </w:rPr>
            </w:pPr>
            <w:r w:rsidRPr="00132FD6">
              <w:rPr>
                <w:sz w:val="24"/>
              </w:rPr>
              <w:t>-</w:t>
            </w:r>
          </w:p>
        </w:tc>
      </w:tr>
      <w:tr w:rsidR="00CD7B46" w:rsidRPr="00132FD6" w14:paraId="106A8D76" w14:textId="77777777" w:rsidTr="0078622D">
        <w:trPr>
          <w:cantSplit/>
          <w:trHeight w:val="357"/>
        </w:trPr>
        <w:tc>
          <w:tcPr>
            <w:tcW w:w="2250" w:type="dxa"/>
            <w:gridSpan w:val="3"/>
          </w:tcPr>
          <w:p w14:paraId="50F49956" w14:textId="77777777" w:rsidR="00CD7B46" w:rsidRPr="00132FD6" w:rsidRDefault="00CD7B46" w:rsidP="00132FD6">
            <w:pPr>
              <w:spacing w:before="120" w:after="0"/>
              <w:rPr>
                <w:b/>
                <w:bCs/>
                <w:sz w:val="24"/>
              </w:rPr>
            </w:pPr>
            <w:r w:rsidRPr="00132FD6">
              <w:rPr>
                <w:b/>
                <w:bCs/>
                <w:sz w:val="24"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52AB4B0A" w14:textId="7224D67D" w:rsidR="00CD7B46" w:rsidRPr="00132FD6" w:rsidRDefault="00132FD6" w:rsidP="00132FD6">
            <w:pPr>
              <w:spacing w:before="120" w:after="0"/>
              <w:rPr>
                <w:sz w:val="24"/>
              </w:rPr>
            </w:pPr>
            <w:r w:rsidRPr="00132FD6">
              <w:rPr>
                <w:sz w:val="24"/>
              </w:rPr>
              <w:t xml:space="preserve">ITU-T </w:t>
            </w:r>
            <w:r w:rsidR="00CD7B46" w:rsidRPr="00132FD6">
              <w:rPr>
                <w:sz w:val="24"/>
              </w:rPr>
              <w:t>SG11, SG13, SG20</w:t>
            </w:r>
          </w:p>
        </w:tc>
      </w:tr>
      <w:tr w:rsidR="00CD7B46" w:rsidRPr="00132FD6" w14:paraId="6249B028" w14:textId="77777777" w:rsidTr="0078622D">
        <w:trPr>
          <w:cantSplit/>
          <w:trHeight w:val="357"/>
        </w:trPr>
        <w:tc>
          <w:tcPr>
            <w:tcW w:w="2250" w:type="dxa"/>
            <w:gridSpan w:val="3"/>
          </w:tcPr>
          <w:p w14:paraId="62C19EA3" w14:textId="77777777" w:rsidR="00CD7B46" w:rsidRPr="00132FD6" w:rsidRDefault="00CD7B46" w:rsidP="00132FD6">
            <w:pPr>
              <w:spacing w:before="120" w:after="0"/>
              <w:rPr>
                <w:b/>
                <w:bCs/>
                <w:sz w:val="24"/>
              </w:rPr>
            </w:pPr>
            <w:r w:rsidRPr="00132FD6">
              <w:rPr>
                <w:b/>
                <w:bCs/>
                <w:sz w:val="24"/>
              </w:rPr>
              <w:t>Approval:</w:t>
            </w:r>
          </w:p>
        </w:tc>
        <w:tc>
          <w:tcPr>
            <w:tcW w:w="7673" w:type="dxa"/>
            <w:gridSpan w:val="2"/>
          </w:tcPr>
          <w:p w14:paraId="38EFCAF3" w14:textId="77777777" w:rsidR="00CD7B46" w:rsidRPr="00132FD6" w:rsidRDefault="00CD7B46" w:rsidP="00132FD6">
            <w:pPr>
              <w:spacing w:before="120" w:after="0"/>
              <w:rPr>
                <w:sz w:val="24"/>
              </w:rPr>
            </w:pPr>
            <w:r w:rsidRPr="00132FD6">
              <w:rPr>
                <w:sz w:val="24"/>
              </w:rPr>
              <w:t>ITU-T Study Group 17 meeting (Virtual, 3 September 2020)</w:t>
            </w:r>
          </w:p>
        </w:tc>
      </w:tr>
      <w:tr w:rsidR="00CD7B46" w:rsidRPr="00132FD6" w14:paraId="5810E55B" w14:textId="77777777" w:rsidTr="0078622D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FF7CD3E" w14:textId="77777777" w:rsidR="00CD7B46" w:rsidRPr="00132FD6" w:rsidRDefault="00CD7B46" w:rsidP="00132FD6">
            <w:pPr>
              <w:spacing w:before="120" w:after="0"/>
              <w:rPr>
                <w:sz w:val="24"/>
              </w:rPr>
            </w:pPr>
            <w:r w:rsidRPr="00132FD6">
              <w:rPr>
                <w:b/>
                <w:sz w:val="24"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20898DC8" w14:textId="77777777" w:rsidR="00CD7B46" w:rsidRPr="00132FD6" w:rsidRDefault="00CD7B46" w:rsidP="00132FD6">
            <w:pPr>
              <w:spacing w:before="120" w:after="0"/>
              <w:rPr>
                <w:sz w:val="24"/>
              </w:rPr>
            </w:pPr>
            <w:r w:rsidRPr="00132FD6">
              <w:rPr>
                <w:sz w:val="24"/>
              </w:rPr>
              <w:t>-</w:t>
            </w:r>
          </w:p>
        </w:tc>
      </w:tr>
      <w:tr w:rsidR="00CD7B46" w:rsidRPr="00132FD6" w14:paraId="4B729390" w14:textId="77777777" w:rsidTr="0078622D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B3BBAA3" w14:textId="77777777" w:rsidR="00CD7B46" w:rsidRPr="00132FD6" w:rsidRDefault="00CD7B46" w:rsidP="00132FD6">
            <w:pPr>
              <w:spacing w:before="120" w:after="0"/>
              <w:rPr>
                <w:b/>
                <w:bCs/>
                <w:sz w:val="24"/>
              </w:rPr>
            </w:pPr>
            <w:r w:rsidRPr="00132FD6">
              <w:rPr>
                <w:b/>
                <w:bCs/>
                <w:sz w:val="24"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5D73CC3D" w14:textId="77777777" w:rsidR="00CD7B46" w:rsidRPr="00132FD6" w:rsidRDefault="00CD7B46" w:rsidP="00132FD6">
            <w:pPr>
              <w:spacing w:before="120" w:after="0"/>
              <w:rPr>
                <w:sz w:val="24"/>
              </w:rPr>
            </w:pPr>
            <w:r w:rsidRPr="00132FD6">
              <w:rPr>
                <w:sz w:val="24"/>
              </w:rPr>
              <w:t>Heung-Youl Youm</w:t>
            </w:r>
            <w:r w:rsidRPr="00132FD6">
              <w:rPr>
                <w:sz w:val="24"/>
              </w:rPr>
              <w:br/>
              <w:t>ITU-T SG17 chairman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E6F35DF" w14:textId="04A6018E" w:rsidR="00CD7B46" w:rsidRPr="00132FD6" w:rsidRDefault="00CD7B46" w:rsidP="00132FD6">
            <w:pPr>
              <w:spacing w:before="120" w:after="0"/>
              <w:rPr>
                <w:sz w:val="24"/>
                <w:lang w:val="fr-FR"/>
              </w:rPr>
            </w:pPr>
            <w:r w:rsidRPr="00132FD6">
              <w:rPr>
                <w:sz w:val="24"/>
                <w:lang w:val="fr-FR"/>
              </w:rPr>
              <w:t xml:space="preserve">Tel: </w:t>
            </w:r>
            <w:r w:rsidRPr="00132FD6">
              <w:rPr>
                <w:sz w:val="24"/>
                <w:lang w:val="fr-FR"/>
              </w:rPr>
              <w:tab/>
              <w:t>+82 41 530 1328</w:t>
            </w:r>
            <w:r w:rsidRPr="00132FD6">
              <w:rPr>
                <w:sz w:val="24"/>
                <w:lang w:val="fr-FR"/>
              </w:rPr>
              <w:br/>
              <w:t xml:space="preserve">E-mail: </w:t>
            </w:r>
            <w:hyperlink r:id="rId9" w:history="1">
              <w:r w:rsidR="00132FD6" w:rsidRPr="00C26DF1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hyyoum@sch.ac.kr</w:t>
              </w:r>
            </w:hyperlink>
            <w:r w:rsidR="00132FD6">
              <w:rPr>
                <w:sz w:val="24"/>
                <w:lang w:val="fr-FR"/>
              </w:rPr>
              <w:t xml:space="preserve"> </w:t>
            </w:r>
          </w:p>
        </w:tc>
      </w:tr>
    </w:tbl>
    <w:p w14:paraId="0593D634" w14:textId="77777777" w:rsidR="00CD7B46" w:rsidRPr="00132FD6" w:rsidRDefault="00CD7B46" w:rsidP="00CD7B46">
      <w:pPr>
        <w:rPr>
          <w:sz w:val="24"/>
        </w:rPr>
      </w:pPr>
      <w:r w:rsidRPr="00132FD6">
        <w:rPr>
          <w:sz w:val="24"/>
        </w:rPr>
        <w:t xml:space="preserve">This liaison answers </w:t>
      </w:r>
      <w:hyperlink r:id="rId10" w:history="1">
        <w:r w:rsidRPr="00132FD6">
          <w:rPr>
            <w:rStyle w:val="Hyperlink"/>
            <w:sz w:val="24"/>
          </w:rPr>
          <w:t>TSAG-LS27</w:t>
        </w:r>
      </w:hyperlink>
      <w:r w:rsidRPr="00132FD6">
        <w:rPr>
          <w:sz w:val="24"/>
        </w:rPr>
        <w:t>.</w:t>
      </w:r>
    </w:p>
    <w:p w14:paraId="138D4908" w14:textId="77777777" w:rsidR="00CD7B46" w:rsidRPr="00132FD6" w:rsidRDefault="00CD7B46" w:rsidP="00CD7B46">
      <w:pPr>
        <w:rPr>
          <w:sz w:val="24"/>
        </w:rPr>
      </w:pPr>
    </w:p>
    <w:p w14:paraId="2E377DF7" w14:textId="77777777" w:rsidR="00CD7B46" w:rsidRPr="00132FD6" w:rsidRDefault="00CD7B46" w:rsidP="00CD7B46">
      <w:pPr>
        <w:rPr>
          <w:sz w:val="24"/>
        </w:rPr>
      </w:pPr>
      <w:r w:rsidRPr="00132FD6">
        <w:rPr>
          <w:sz w:val="24"/>
        </w:rPr>
        <w:t>A new liaison statement has been received from SG17.</w:t>
      </w:r>
    </w:p>
    <w:p w14:paraId="21E84034" w14:textId="77777777" w:rsidR="00CD7B46" w:rsidRPr="00132FD6" w:rsidRDefault="00CD7B46" w:rsidP="00CD7B46">
      <w:pPr>
        <w:rPr>
          <w:sz w:val="24"/>
        </w:rPr>
      </w:pPr>
      <w:r w:rsidRPr="00132FD6">
        <w:rPr>
          <w:sz w:val="24"/>
        </w:rPr>
        <w:t xml:space="preserve">This liaison statement follows and the original file can be downloaded from the ITU ftp server at </w:t>
      </w:r>
      <w:hyperlink r:id="rId11" w:tooltip="ITU-T ftp file restricted to TIES access only" w:history="1">
        <w:r w:rsidRPr="00132FD6">
          <w:rPr>
            <w:rStyle w:val="Hyperlink"/>
            <w:sz w:val="24"/>
          </w:rPr>
          <w:t>http://handle.itu.int/11.1002/ls/sp16-sg17-oLS-00269.docx</w:t>
        </w:r>
      </w:hyperlink>
      <w:r w:rsidRPr="00132FD6">
        <w:rPr>
          <w:sz w:val="24"/>
        </w:rPr>
        <w:t>.</w:t>
      </w:r>
    </w:p>
    <w:p w14:paraId="65F3CBB4" w14:textId="77777777" w:rsidR="00CD7B46" w:rsidRDefault="00CD7B46" w:rsidP="00CD7B46">
      <w:pPr>
        <w:jc w:val="center"/>
      </w:pPr>
    </w:p>
    <w:p w14:paraId="343F26FA" w14:textId="77777777" w:rsidR="00CD7B46" w:rsidRDefault="00CD7B46" w:rsidP="00CD7B46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D47405" w:rsidRPr="00D47405" w14:paraId="48315B7B" w14:textId="77777777" w:rsidTr="003F6975">
        <w:trPr>
          <w:cantSplit/>
        </w:trPr>
        <w:tc>
          <w:tcPr>
            <w:tcW w:w="1191" w:type="dxa"/>
            <w:vMerge w:val="restart"/>
          </w:tcPr>
          <w:p w14:paraId="1176D79E" w14:textId="699C8249" w:rsidR="00D47405" w:rsidRPr="00D47405" w:rsidRDefault="00D47405" w:rsidP="00D47405">
            <w:pPr>
              <w:spacing w:before="120"/>
              <w:rPr>
                <w:sz w:val="20"/>
                <w:szCs w:val="20"/>
              </w:rPr>
            </w:pPr>
            <w:r w:rsidRPr="00D47405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404A2368" wp14:editId="773D1CBA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173A76C8" w14:textId="77777777" w:rsidR="00D47405" w:rsidRPr="00D47405" w:rsidRDefault="00D47405" w:rsidP="00D47405">
            <w:pPr>
              <w:spacing w:before="120"/>
              <w:rPr>
                <w:sz w:val="16"/>
                <w:szCs w:val="16"/>
              </w:rPr>
            </w:pPr>
            <w:r w:rsidRPr="00D47405">
              <w:rPr>
                <w:sz w:val="16"/>
                <w:szCs w:val="16"/>
              </w:rPr>
              <w:t>INTERNATIONAL TELECOMMUNICATION UNION</w:t>
            </w:r>
          </w:p>
          <w:p w14:paraId="38EB9AD7" w14:textId="77777777" w:rsidR="00D47405" w:rsidRPr="00D47405" w:rsidRDefault="00D47405" w:rsidP="00D47405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D47405">
              <w:rPr>
                <w:b/>
                <w:bCs/>
                <w:sz w:val="26"/>
                <w:szCs w:val="26"/>
              </w:rPr>
              <w:t>TELECOMMUNICATION</w:t>
            </w:r>
            <w:r w:rsidRPr="00D4740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1A00F2F" w14:textId="77777777" w:rsidR="00D47405" w:rsidRPr="00D47405" w:rsidRDefault="00D47405" w:rsidP="00D47405">
            <w:pPr>
              <w:spacing w:before="120"/>
              <w:rPr>
                <w:sz w:val="20"/>
                <w:szCs w:val="20"/>
              </w:rPr>
            </w:pPr>
            <w:r w:rsidRPr="00D47405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D47405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34735930" w14:textId="1C1B7120" w:rsidR="00D47405" w:rsidRPr="00D47405" w:rsidRDefault="00D47405" w:rsidP="00D47405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SG17-LS269</w:t>
            </w:r>
          </w:p>
        </w:tc>
      </w:tr>
      <w:tr w:rsidR="00D47405" w:rsidRPr="00D47405" w14:paraId="1A8AA20D" w14:textId="77777777" w:rsidTr="003F6975">
        <w:trPr>
          <w:cantSplit/>
        </w:trPr>
        <w:tc>
          <w:tcPr>
            <w:tcW w:w="1191" w:type="dxa"/>
            <w:vMerge/>
          </w:tcPr>
          <w:p w14:paraId="288F5DBE" w14:textId="77777777" w:rsidR="00D47405" w:rsidRPr="00D47405" w:rsidRDefault="00D47405" w:rsidP="00D47405">
            <w:pPr>
              <w:spacing w:before="120"/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1F0C169F" w14:textId="77777777" w:rsidR="00D47405" w:rsidRPr="00D47405" w:rsidRDefault="00D47405" w:rsidP="00D47405">
            <w:pPr>
              <w:spacing w:before="120"/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DCC8803" w14:textId="24B0578D" w:rsidR="00D47405" w:rsidRPr="00D47405" w:rsidRDefault="00D47405" w:rsidP="00D47405">
            <w:pPr>
              <w:spacing w:before="120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D47405" w:rsidRPr="00D47405" w14:paraId="78C9C603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37780B9" w14:textId="77777777" w:rsidR="00D47405" w:rsidRPr="00D47405" w:rsidRDefault="00D47405" w:rsidP="00D47405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2A92154C" w14:textId="77777777" w:rsidR="00D47405" w:rsidRPr="00D47405" w:rsidRDefault="00D47405" w:rsidP="00D47405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147C127" w14:textId="77777777" w:rsidR="00D47405" w:rsidRPr="00D47405" w:rsidRDefault="00D47405" w:rsidP="00D47405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 w:rsidRPr="00D4740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47405" w:rsidRPr="00D47405" w14:paraId="41CADCC7" w14:textId="77777777" w:rsidTr="003F6975">
        <w:trPr>
          <w:cantSplit/>
        </w:trPr>
        <w:tc>
          <w:tcPr>
            <w:tcW w:w="1617" w:type="dxa"/>
            <w:gridSpan w:val="3"/>
          </w:tcPr>
          <w:p w14:paraId="6FBE60EA" w14:textId="77777777" w:rsidR="00D47405" w:rsidRPr="00D47405" w:rsidRDefault="00D47405" w:rsidP="00D47405">
            <w:pPr>
              <w:spacing w:before="120"/>
              <w:rPr>
                <w:b/>
                <w:bCs/>
                <w:sz w:val="24"/>
              </w:rPr>
            </w:pPr>
            <w:bookmarkStart w:id="6" w:name="dbluepink" w:colFirst="1" w:colLast="1"/>
            <w:bookmarkStart w:id="7" w:name="dmeeting" w:colFirst="2" w:colLast="2"/>
            <w:r w:rsidRPr="00D47405">
              <w:rPr>
                <w:b/>
                <w:bCs/>
                <w:sz w:val="24"/>
              </w:rPr>
              <w:t>Question(s):</w:t>
            </w:r>
          </w:p>
        </w:tc>
        <w:tc>
          <w:tcPr>
            <w:tcW w:w="3625" w:type="dxa"/>
            <w:gridSpan w:val="2"/>
          </w:tcPr>
          <w:p w14:paraId="7598ECB6" w14:textId="63CF953D" w:rsidR="00D47405" w:rsidRPr="00D47405" w:rsidRDefault="00D47405" w:rsidP="00D47405">
            <w:pPr>
              <w:spacing w:before="120"/>
              <w:rPr>
                <w:sz w:val="24"/>
              </w:rPr>
            </w:pPr>
            <w:r w:rsidRPr="00D47405">
              <w:rPr>
                <w:sz w:val="24"/>
              </w:rPr>
              <w:t>All/17</w:t>
            </w:r>
          </w:p>
        </w:tc>
        <w:tc>
          <w:tcPr>
            <w:tcW w:w="4681" w:type="dxa"/>
            <w:gridSpan w:val="2"/>
          </w:tcPr>
          <w:p w14:paraId="06BDFE21" w14:textId="2D9D4357" w:rsidR="00D47405" w:rsidRPr="00D47405" w:rsidRDefault="00D47405" w:rsidP="00D47405">
            <w:pPr>
              <w:spacing w:before="120"/>
              <w:jc w:val="right"/>
              <w:rPr>
                <w:sz w:val="24"/>
              </w:rPr>
            </w:pPr>
            <w:r w:rsidRPr="00D47405">
              <w:rPr>
                <w:sz w:val="24"/>
              </w:rPr>
              <w:t>Virtual, 24 August - 3 September 2020</w:t>
            </w:r>
          </w:p>
        </w:tc>
      </w:tr>
      <w:tr w:rsidR="00D47405" w:rsidRPr="00D47405" w14:paraId="60DE35BC" w14:textId="77777777" w:rsidTr="003F6975">
        <w:trPr>
          <w:cantSplit/>
        </w:trPr>
        <w:tc>
          <w:tcPr>
            <w:tcW w:w="9923" w:type="dxa"/>
            <w:gridSpan w:val="7"/>
          </w:tcPr>
          <w:p w14:paraId="1E849F41" w14:textId="736ADAE7" w:rsidR="00D47405" w:rsidRPr="00D47405" w:rsidRDefault="00D47405" w:rsidP="00D47405">
            <w:pPr>
              <w:spacing w:before="120"/>
              <w:jc w:val="center"/>
              <w:rPr>
                <w:b/>
                <w:bCs/>
                <w:sz w:val="24"/>
              </w:rPr>
            </w:pPr>
            <w:bookmarkStart w:id="8" w:name="ddoctype" w:colFirst="0" w:colLast="0"/>
            <w:bookmarkEnd w:id="6"/>
            <w:bookmarkEnd w:id="7"/>
            <w:r>
              <w:rPr>
                <w:b/>
                <w:bCs/>
                <w:sz w:val="24"/>
              </w:rPr>
              <w:t>(</w:t>
            </w:r>
            <w:r w:rsidRPr="00D47405">
              <w:rPr>
                <w:b/>
                <w:bCs/>
                <w:sz w:val="24"/>
              </w:rPr>
              <w:t xml:space="preserve">Ref.: </w:t>
            </w:r>
            <w:hyperlink r:id="rId12" w:history="1">
              <w:r w:rsidRPr="00D4740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SG17-TD3391R1</w:t>
              </w:r>
            </w:hyperlink>
            <w:r>
              <w:rPr>
                <w:b/>
                <w:bCs/>
                <w:sz w:val="24"/>
              </w:rPr>
              <w:t>)</w:t>
            </w:r>
          </w:p>
        </w:tc>
      </w:tr>
      <w:tr w:rsidR="00D47405" w:rsidRPr="00D47405" w14:paraId="1EBA1C83" w14:textId="77777777" w:rsidTr="003F6975">
        <w:trPr>
          <w:cantSplit/>
        </w:trPr>
        <w:tc>
          <w:tcPr>
            <w:tcW w:w="1617" w:type="dxa"/>
            <w:gridSpan w:val="3"/>
          </w:tcPr>
          <w:p w14:paraId="47C0652F" w14:textId="77777777" w:rsidR="00D47405" w:rsidRPr="00D47405" w:rsidRDefault="00D47405" w:rsidP="00D47405">
            <w:pPr>
              <w:spacing w:before="120"/>
              <w:rPr>
                <w:b/>
                <w:bCs/>
                <w:sz w:val="24"/>
              </w:rPr>
            </w:pPr>
            <w:bookmarkStart w:id="9" w:name="dsource" w:colFirst="1" w:colLast="1"/>
            <w:bookmarkEnd w:id="8"/>
            <w:r w:rsidRPr="00D47405">
              <w:rPr>
                <w:b/>
                <w:bCs/>
                <w:sz w:val="24"/>
              </w:rPr>
              <w:t>Source:</w:t>
            </w:r>
          </w:p>
        </w:tc>
        <w:tc>
          <w:tcPr>
            <w:tcW w:w="8306" w:type="dxa"/>
            <w:gridSpan w:val="4"/>
          </w:tcPr>
          <w:p w14:paraId="3AF68787" w14:textId="052D35F4" w:rsidR="00D47405" w:rsidRPr="00D47405" w:rsidRDefault="00D47405" w:rsidP="00D47405">
            <w:pPr>
              <w:spacing w:before="120"/>
              <w:rPr>
                <w:sz w:val="24"/>
              </w:rPr>
            </w:pPr>
            <w:r w:rsidRPr="00D47405">
              <w:rPr>
                <w:sz w:val="24"/>
              </w:rPr>
              <w:t>ITU-T Study Group 17</w:t>
            </w:r>
          </w:p>
        </w:tc>
      </w:tr>
      <w:tr w:rsidR="00D47405" w:rsidRPr="00D47405" w14:paraId="239451E4" w14:textId="77777777" w:rsidTr="003F6975">
        <w:trPr>
          <w:cantSplit/>
        </w:trPr>
        <w:tc>
          <w:tcPr>
            <w:tcW w:w="1617" w:type="dxa"/>
            <w:gridSpan w:val="3"/>
          </w:tcPr>
          <w:p w14:paraId="64E49897" w14:textId="77777777" w:rsidR="00D47405" w:rsidRPr="00D47405" w:rsidRDefault="00D47405" w:rsidP="00D47405">
            <w:pPr>
              <w:spacing w:before="120"/>
              <w:rPr>
                <w:sz w:val="24"/>
              </w:rPr>
            </w:pPr>
            <w:bookmarkStart w:id="10" w:name="dtitle1" w:colFirst="1" w:colLast="1"/>
            <w:bookmarkEnd w:id="9"/>
            <w:r w:rsidRPr="00D47405">
              <w:rPr>
                <w:b/>
                <w:bCs/>
                <w:sz w:val="24"/>
              </w:rPr>
              <w:t>Title:</w:t>
            </w:r>
          </w:p>
        </w:tc>
        <w:tc>
          <w:tcPr>
            <w:tcW w:w="8306" w:type="dxa"/>
            <w:gridSpan w:val="4"/>
          </w:tcPr>
          <w:p w14:paraId="30BED23E" w14:textId="4436B5D7" w:rsidR="00D47405" w:rsidRPr="00D47405" w:rsidRDefault="00D47405" w:rsidP="00D47405">
            <w:pPr>
              <w:spacing w:before="120"/>
              <w:rPr>
                <w:sz w:val="24"/>
              </w:rPr>
            </w:pPr>
            <w:r w:rsidRPr="00D47405">
              <w:rPr>
                <w:sz w:val="24"/>
              </w:rPr>
              <w:t>LS/r on increasing efficiency of security work in ITU-T</w:t>
            </w:r>
            <w:r w:rsidR="001D49DE">
              <w:rPr>
                <w:sz w:val="24"/>
              </w:rPr>
              <w:t xml:space="preserve"> (reply to TSAG-LS27)</w:t>
            </w:r>
          </w:p>
        </w:tc>
      </w:tr>
      <w:tr w:rsidR="00D47405" w:rsidRPr="00D47405" w14:paraId="6BABFE5D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C16689B" w14:textId="77777777" w:rsidR="00D47405" w:rsidRPr="00D47405" w:rsidRDefault="00D47405" w:rsidP="00D47405">
            <w:pPr>
              <w:spacing w:before="120"/>
              <w:rPr>
                <w:b/>
                <w:bCs/>
                <w:sz w:val="24"/>
              </w:rPr>
            </w:pPr>
            <w:bookmarkStart w:id="11" w:name="dpurpose" w:colFirst="1" w:colLast="1"/>
            <w:bookmarkEnd w:id="10"/>
            <w:r w:rsidRPr="00D47405">
              <w:rPr>
                <w:b/>
                <w:bCs/>
                <w:sz w:val="24"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52B7AE71" w14:textId="08ABFE5B" w:rsidR="00D47405" w:rsidRPr="00D47405" w:rsidRDefault="00D47405" w:rsidP="00D4740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</w:tr>
      <w:bookmarkEnd w:id="1"/>
      <w:bookmarkEnd w:id="11"/>
      <w:tr w:rsidR="00B56D31" w14:paraId="4EFCB419" w14:textId="77777777" w:rsidTr="003C352D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600C3290" w14:textId="77777777" w:rsidR="00B56D31" w:rsidRDefault="00B56D31" w:rsidP="001947E2">
            <w:pPr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56D31" w14:paraId="425087FE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4F96119A" w14:textId="77777777" w:rsidR="00B56D31" w:rsidRPr="003869CD" w:rsidRDefault="00B56D31" w:rsidP="001947E2">
            <w:pPr>
              <w:spacing w:before="120" w:after="0" w:line="240" w:lineRule="auto"/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4B2E17B6" w14:textId="77777777" w:rsidR="00B56D31" w:rsidRPr="0052413E" w:rsidRDefault="00B56D31" w:rsidP="001947E2">
            <w:pPr>
              <w:pStyle w:val="LSForAction"/>
              <w:rPr>
                <w:rFonts w:eastAsia="MS Mincho"/>
                <w:sz w:val="23"/>
                <w:szCs w:val="23"/>
                <w:lang w:eastAsia="ja-JP"/>
              </w:rPr>
            </w:pPr>
            <w:r w:rsidRPr="0052413E">
              <w:rPr>
                <w:rFonts w:eastAsia="MS Mincho"/>
                <w:sz w:val="23"/>
                <w:szCs w:val="23"/>
                <w:lang w:eastAsia="ja-JP"/>
              </w:rPr>
              <w:t>TSAG</w:t>
            </w:r>
          </w:p>
        </w:tc>
      </w:tr>
      <w:tr w:rsidR="00B56D31" w14:paraId="139C8DAB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267E042D" w14:textId="77777777" w:rsidR="00B56D31" w:rsidRPr="003869CD" w:rsidRDefault="00B56D31" w:rsidP="001947E2">
            <w:pPr>
              <w:spacing w:before="120" w:after="0" w:line="240" w:lineRule="auto"/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4B72F136" w14:textId="77777777" w:rsidR="00B56D31" w:rsidRPr="0052413E" w:rsidRDefault="00B56D31" w:rsidP="001947E2">
            <w:pPr>
              <w:pStyle w:val="LSForComment"/>
              <w:rPr>
                <w:sz w:val="23"/>
                <w:szCs w:val="23"/>
              </w:rPr>
            </w:pPr>
            <w:r w:rsidRPr="0052413E">
              <w:rPr>
                <w:sz w:val="23"/>
                <w:szCs w:val="23"/>
              </w:rPr>
              <w:t>-</w:t>
            </w:r>
          </w:p>
        </w:tc>
      </w:tr>
      <w:tr w:rsidR="00B56D31" w14:paraId="4EF9B50C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77F3A5EB" w14:textId="77777777" w:rsidR="00B56D31" w:rsidRPr="003869CD" w:rsidRDefault="00B56D31" w:rsidP="001947E2">
            <w:pPr>
              <w:spacing w:before="120" w:after="0" w:line="240" w:lineRule="auto"/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59312F8A" w14:textId="129F8CBA" w:rsidR="00B56D31" w:rsidRPr="0052413E" w:rsidRDefault="00D47405" w:rsidP="001947E2">
            <w:pPr>
              <w:pStyle w:val="LSForInf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ITU-T </w:t>
            </w:r>
            <w:r w:rsidR="00B06BA1" w:rsidRPr="0052413E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tudy </w:t>
            </w:r>
            <w:r w:rsidR="00B06BA1" w:rsidRPr="0052413E"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roup </w:t>
            </w:r>
            <w:r w:rsidR="00B06BA1" w:rsidRPr="0052413E">
              <w:rPr>
                <w:sz w:val="23"/>
                <w:szCs w:val="23"/>
              </w:rPr>
              <w:t xml:space="preserve">11, </w:t>
            </w:r>
            <w:r w:rsidRPr="0052413E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tudy </w:t>
            </w:r>
            <w:r w:rsidRPr="0052413E"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roup </w:t>
            </w:r>
            <w:r w:rsidR="00B06BA1" w:rsidRPr="0052413E">
              <w:rPr>
                <w:sz w:val="23"/>
                <w:szCs w:val="23"/>
              </w:rPr>
              <w:t xml:space="preserve">13, </w:t>
            </w:r>
            <w:r w:rsidRPr="0052413E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tudy </w:t>
            </w:r>
            <w:r w:rsidRPr="0052413E"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roup </w:t>
            </w:r>
            <w:r w:rsidR="00B06BA1" w:rsidRPr="0052413E">
              <w:rPr>
                <w:sz w:val="23"/>
                <w:szCs w:val="23"/>
              </w:rPr>
              <w:t>20</w:t>
            </w:r>
          </w:p>
        </w:tc>
      </w:tr>
      <w:tr w:rsidR="00B56D31" w14:paraId="4517D107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5CA3671F" w14:textId="77777777" w:rsidR="00B56D31" w:rsidRDefault="00B56D31" w:rsidP="001947E2">
            <w:pPr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03B80155" w14:textId="1F7AA821" w:rsidR="00B56D31" w:rsidRPr="0052413E" w:rsidRDefault="00D47405" w:rsidP="001947E2">
            <w:pPr>
              <w:spacing w:before="120" w:after="0" w:line="240" w:lineRule="auto"/>
              <w:rPr>
                <w:bCs/>
                <w:szCs w:val="23"/>
              </w:rPr>
            </w:pPr>
            <w:r>
              <w:t>ITU-T Study Group 17 meeting (Virtual, 3 September 2020)</w:t>
            </w:r>
          </w:p>
        </w:tc>
      </w:tr>
      <w:tr w:rsidR="00B56D31" w14:paraId="6FAFB04F" w14:textId="77777777" w:rsidTr="003C352D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3DBAC765" w14:textId="77777777" w:rsidR="00B56D31" w:rsidRDefault="00B56D31" w:rsidP="001947E2">
            <w:pPr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41803CF7" w14:textId="77777777" w:rsidR="00B56D31" w:rsidRPr="0052413E" w:rsidRDefault="00B56D31" w:rsidP="001947E2">
            <w:pPr>
              <w:pStyle w:val="LSDeadline"/>
              <w:rPr>
                <w:sz w:val="23"/>
                <w:szCs w:val="23"/>
              </w:rPr>
            </w:pPr>
            <w:r w:rsidRPr="0052413E">
              <w:rPr>
                <w:sz w:val="23"/>
                <w:szCs w:val="23"/>
              </w:rPr>
              <w:t>-</w:t>
            </w:r>
          </w:p>
        </w:tc>
      </w:tr>
      <w:tr w:rsidR="00B56D31" w:rsidRPr="004D4EE7" w14:paraId="7BC33419" w14:textId="77777777" w:rsidTr="003C352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0BCC12" w14:textId="77777777" w:rsidR="00B56D31" w:rsidRPr="00136DDD" w:rsidRDefault="00B56D31" w:rsidP="001947E2">
            <w:pPr>
              <w:spacing w:before="120" w:after="0" w:line="240" w:lineRule="auto"/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9A0B4AA" w14:textId="77777777" w:rsidR="00B56D31" w:rsidRPr="00136DDD" w:rsidRDefault="00B56D31" w:rsidP="001947E2">
            <w:pPr>
              <w:spacing w:before="120" w:after="0" w:line="240" w:lineRule="auto"/>
            </w:pPr>
            <w:r w:rsidRPr="007D24C1">
              <w:t>Heung-Youl Youm</w:t>
            </w:r>
            <w:r w:rsidRPr="007D24C1">
              <w:br/>
              <w:t>ITU-T SG17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53FCDB4" w14:textId="77777777" w:rsidR="00B56D31" w:rsidRPr="00061268" w:rsidRDefault="00B56D31" w:rsidP="001947E2">
            <w:pPr>
              <w:spacing w:before="120" w:after="0" w:line="240" w:lineRule="auto"/>
              <w:rPr>
                <w:lang w:val="pt-BR"/>
              </w:rPr>
            </w:pPr>
            <w:r w:rsidRPr="007D24C1">
              <w:rPr>
                <w:lang w:val="de-CH"/>
              </w:rPr>
              <w:t xml:space="preserve">Tel: </w:t>
            </w:r>
            <w:r w:rsidRPr="007D24C1">
              <w:rPr>
                <w:lang w:val="de-CH"/>
              </w:rPr>
              <w:tab/>
              <w:t>+82 41 530 1328</w:t>
            </w:r>
            <w:r w:rsidRPr="007D24C1">
              <w:rPr>
                <w:lang w:val="de-CH"/>
              </w:rPr>
              <w:br/>
              <w:t xml:space="preserve">E-mail: </w:t>
            </w:r>
            <w:hyperlink r:id="rId13" w:history="1">
              <w:r w:rsidRPr="007D24C1">
                <w:rPr>
                  <w:rStyle w:val="Hyperlink"/>
                  <w:lang w:val="de-CH"/>
                </w:rPr>
                <w:t>hyyoum@sch.ac.kr</w:t>
              </w:r>
            </w:hyperlink>
          </w:p>
        </w:tc>
      </w:tr>
    </w:tbl>
    <w:p w14:paraId="1A273DF2" w14:textId="3D8E38D3" w:rsidR="00DD4F1D" w:rsidRPr="0052413E" w:rsidRDefault="00496FF9" w:rsidP="00D47405">
      <w:pPr>
        <w:spacing w:before="360" w:after="0" w:line="240" w:lineRule="auto"/>
        <w:ind w:left="11" w:hanging="11"/>
      </w:pPr>
      <w:r w:rsidRPr="0052413E">
        <w:t xml:space="preserve">As part of the SG17 </w:t>
      </w:r>
      <w:r w:rsidR="00DD4F1D" w:rsidRPr="0052413E">
        <w:t xml:space="preserve">process </w:t>
      </w:r>
      <w:r w:rsidRPr="0052413E">
        <w:t>for</w:t>
      </w:r>
      <w:r w:rsidR="00DD4F1D" w:rsidRPr="0052413E">
        <w:t xml:space="preserve"> WTSA-20 preparation, at i</w:t>
      </w:r>
      <w:r w:rsidR="003E6B17" w:rsidRPr="0052413E">
        <w:t>ts 24 August – 3 September 2020 study group meeting,</w:t>
      </w:r>
      <w:r w:rsidR="00DD4F1D" w:rsidRPr="0052413E">
        <w:t xml:space="preserve"> SG17 </w:t>
      </w:r>
      <w:r w:rsidRPr="0052413E">
        <w:t>discussed</w:t>
      </w:r>
      <w:r w:rsidR="00DD4F1D" w:rsidRPr="0052413E">
        <w:t xml:space="preserve"> </w:t>
      </w:r>
      <w:r w:rsidR="00086703" w:rsidRPr="0052413E">
        <w:t xml:space="preserve">two </w:t>
      </w:r>
      <w:r w:rsidR="00486DBE">
        <w:t>C</w:t>
      </w:r>
      <w:r w:rsidR="00486DBE" w:rsidRPr="0052413E">
        <w:t xml:space="preserve">ontributions </w:t>
      </w:r>
      <w:r w:rsidR="00DD4F1D" w:rsidRPr="0052413E">
        <w:t>(</w:t>
      </w:r>
      <w:hyperlink r:id="rId14" w:history="1">
        <w:r w:rsidR="00DC6FEF" w:rsidRPr="0052413E">
          <w:rPr>
            <w:rStyle w:val="Hyperlink"/>
            <w:sz w:val="24"/>
          </w:rPr>
          <w:t>C869</w:t>
        </w:r>
      </w:hyperlink>
      <w:r w:rsidR="00DC6FEF">
        <w:rPr>
          <w:rStyle w:val="Hyperlink"/>
          <w:sz w:val="24"/>
        </w:rPr>
        <w:t xml:space="preserve"> </w:t>
      </w:r>
      <w:r w:rsidR="00DC6FEF">
        <w:t xml:space="preserve">and </w:t>
      </w:r>
      <w:hyperlink r:id="rId15" w:history="1">
        <w:r w:rsidR="00DC6FEF" w:rsidRPr="0052413E">
          <w:rPr>
            <w:rStyle w:val="Hyperlink"/>
            <w:sz w:val="24"/>
          </w:rPr>
          <w:t>C957</w:t>
        </w:r>
      </w:hyperlink>
      <w:r w:rsidR="00B0099E">
        <w:rPr>
          <w:rStyle w:val="Hyperlink"/>
          <w:sz w:val="24"/>
        </w:rPr>
        <w:t>,</w:t>
      </w:r>
      <w:r w:rsidR="002D7976">
        <w:t xml:space="preserve"> </w:t>
      </w:r>
      <w:r w:rsidR="00B0099E">
        <w:t xml:space="preserve">augmented by </w:t>
      </w:r>
      <w:hyperlink r:id="rId16" w:history="1">
        <w:r w:rsidR="002D7976" w:rsidRPr="00D97DBD">
          <w:rPr>
            <w:rStyle w:val="Hyperlink"/>
            <w:sz w:val="24"/>
          </w:rPr>
          <w:t>TD3240</w:t>
        </w:r>
      </w:hyperlink>
      <w:r w:rsidR="002D7976">
        <w:rPr>
          <w:rStyle w:val="Hyperlink"/>
          <w:sz w:val="24"/>
        </w:rPr>
        <w:t>)</w:t>
      </w:r>
      <w:r w:rsidR="00A66E09">
        <w:t>,</w:t>
      </w:r>
      <w:r w:rsidR="00DD4F1D" w:rsidRPr="0052413E">
        <w:t xml:space="preserve"> which created the base and the agreement to send to TSAG SG17’s views on security related work carried out by other ITU-T S</w:t>
      </w:r>
      <w:r w:rsidR="002B37DD" w:rsidRPr="0052413E">
        <w:t xml:space="preserve">tudy </w:t>
      </w:r>
      <w:r w:rsidR="00DD4F1D" w:rsidRPr="0052413E">
        <w:t>G</w:t>
      </w:r>
      <w:r w:rsidR="002B37DD" w:rsidRPr="0052413E">
        <w:t>roups (SG</w:t>
      </w:r>
      <w:r w:rsidR="00DD4F1D" w:rsidRPr="0052413E">
        <w:t>s</w:t>
      </w:r>
      <w:r w:rsidR="002B37DD" w:rsidRPr="0052413E">
        <w:t>)</w:t>
      </w:r>
      <w:r w:rsidR="00DD4F1D" w:rsidRPr="0052413E">
        <w:t>.</w:t>
      </w:r>
    </w:p>
    <w:p w14:paraId="6E802D93" w14:textId="7B4E2F30" w:rsidR="00A7377D" w:rsidRPr="0052413E" w:rsidRDefault="00A27175" w:rsidP="00D47405">
      <w:pPr>
        <w:spacing w:before="120" w:after="0" w:line="240" w:lineRule="auto"/>
        <w:ind w:left="11" w:hanging="11"/>
      </w:pPr>
      <w:r w:rsidRPr="0052413E">
        <w:t xml:space="preserve">SG17 is responsible for security standardization but due to the </w:t>
      </w:r>
      <w:r w:rsidR="00870C8A" w:rsidRPr="0052413E">
        <w:t>crosscutting</w:t>
      </w:r>
      <w:r w:rsidRPr="0052413E">
        <w:t xml:space="preserve"> aspects of security, all ITU-T study groups can consider, as appropriate, security aspect</w:t>
      </w:r>
      <w:r w:rsidR="006B662A" w:rsidRPr="0052413E">
        <w:t>s</w:t>
      </w:r>
      <w:r w:rsidRPr="0052413E">
        <w:t xml:space="preserve"> on their standardization work.  This arrangement, which is intended for specific work items, has worked well for many years.   </w:t>
      </w:r>
    </w:p>
    <w:p w14:paraId="0DFE269F" w14:textId="3ABED846" w:rsidR="00B51A2A" w:rsidRDefault="008A7DDD" w:rsidP="00D47405">
      <w:pPr>
        <w:spacing w:before="120" w:after="0" w:line="240" w:lineRule="auto"/>
        <w:ind w:left="11" w:hanging="11"/>
      </w:pPr>
      <w:r w:rsidRPr="0052413E">
        <w:t xml:space="preserve">This has also </w:t>
      </w:r>
      <w:r w:rsidR="00DD4F1D" w:rsidRPr="0052413E">
        <w:t xml:space="preserve">resulted in an </w:t>
      </w:r>
      <w:r w:rsidR="00A27175" w:rsidRPr="0052413E">
        <w:t xml:space="preserve">increasing number of Questions in other SGs with specific </w:t>
      </w:r>
      <w:r w:rsidR="00496FF9" w:rsidRPr="0052413E">
        <w:t>or</w:t>
      </w:r>
      <w:r w:rsidR="00AE44B2" w:rsidRPr="0052413E">
        <w:t xml:space="preserve"> closely</w:t>
      </w:r>
      <w:r w:rsidR="00496FF9" w:rsidRPr="0052413E">
        <w:t xml:space="preserve"> related </w:t>
      </w:r>
      <w:r w:rsidR="00A27175" w:rsidRPr="0052413E">
        <w:t xml:space="preserve">focus on security standardization, </w:t>
      </w:r>
      <w:r w:rsidR="00DD4F1D" w:rsidRPr="0052413E">
        <w:t xml:space="preserve">and as such, </w:t>
      </w:r>
      <w:r w:rsidR="00A27175" w:rsidRPr="0052413E">
        <w:t>the ITU-T work on security has become increasingly fragmented between S</w:t>
      </w:r>
      <w:r w:rsidR="00941E46">
        <w:t>G</w:t>
      </w:r>
      <w:r w:rsidR="00A27175" w:rsidRPr="0052413E">
        <w:t xml:space="preserve">17 (with the Lead </w:t>
      </w:r>
      <w:r w:rsidR="005C50A3" w:rsidRPr="0052413E">
        <w:t xml:space="preserve">study group </w:t>
      </w:r>
      <w:r w:rsidR="00A27175" w:rsidRPr="0052413E">
        <w:t>for security) and S</w:t>
      </w:r>
      <w:r w:rsidR="00941E46">
        <w:t>G</w:t>
      </w:r>
      <w:r w:rsidR="00A27175" w:rsidRPr="0052413E">
        <w:t>11, S</w:t>
      </w:r>
      <w:r w:rsidR="00941E46">
        <w:t>G</w:t>
      </w:r>
      <w:r w:rsidR="00A27175" w:rsidRPr="0052413E">
        <w:t>13 and S</w:t>
      </w:r>
      <w:r w:rsidR="00941E46">
        <w:t>G</w:t>
      </w:r>
      <w:r w:rsidR="00A27175" w:rsidRPr="0052413E">
        <w:t>20</w:t>
      </w:r>
      <w:r w:rsidR="00294BED">
        <w:t>. This in turn</w:t>
      </w:r>
      <w:r w:rsidR="00DD4F1D" w:rsidRPr="0052413E">
        <w:t xml:space="preserve"> </w:t>
      </w:r>
      <w:r w:rsidR="00086703" w:rsidRPr="0052413E">
        <w:t>may cause</w:t>
      </w:r>
      <w:r w:rsidR="00DD4F1D" w:rsidRPr="0052413E">
        <w:t xml:space="preserve"> </w:t>
      </w:r>
      <w:r w:rsidR="006B696E">
        <w:t xml:space="preserve">a </w:t>
      </w:r>
      <w:r w:rsidR="006B696E" w:rsidRPr="00BA7257">
        <w:t xml:space="preserve">further </w:t>
      </w:r>
      <w:r w:rsidR="00296CF0" w:rsidRPr="00BA7257">
        <w:t>d</w:t>
      </w:r>
      <w:r w:rsidR="00EE3BFC" w:rsidRPr="00BA7257">
        <w:t>ecreas</w:t>
      </w:r>
      <w:r w:rsidR="006B696E" w:rsidRPr="00BA7257">
        <w:t>e</w:t>
      </w:r>
      <w:r w:rsidR="00EE3BFC" w:rsidRPr="00BA7257">
        <w:t xml:space="preserve"> </w:t>
      </w:r>
      <w:r w:rsidR="00A02231" w:rsidRPr="00BA7257">
        <w:t>in</w:t>
      </w:r>
      <w:r w:rsidR="00DD4F1D" w:rsidRPr="00BA7257">
        <w:t xml:space="preserve"> </w:t>
      </w:r>
      <w:r w:rsidR="00294BED" w:rsidRPr="00BA7257">
        <w:t>delegates’</w:t>
      </w:r>
      <w:r w:rsidR="00DD4F1D" w:rsidRPr="00BA7257">
        <w:t xml:space="preserve"> participation</w:t>
      </w:r>
      <w:r w:rsidR="00EE3BFC" w:rsidRPr="00BA7257">
        <w:t xml:space="preserve"> and </w:t>
      </w:r>
      <w:r w:rsidR="00DD4F1D" w:rsidRPr="00BA7257">
        <w:t xml:space="preserve">degrading </w:t>
      </w:r>
      <w:r w:rsidR="0038364B" w:rsidRPr="00BA7257">
        <w:t xml:space="preserve">industry </w:t>
      </w:r>
      <w:r w:rsidR="00DD4F1D" w:rsidRPr="00BA7257">
        <w:t>Return on Investment (RoI)</w:t>
      </w:r>
      <w:r w:rsidR="0038364B" w:rsidRPr="00BA7257">
        <w:t xml:space="preserve">. </w:t>
      </w:r>
    </w:p>
    <w:p w14:paraId="3D04A3DA" w14:textId="78C54FD5" w:rsidR="005A4C2D" w:rsidRDefault="0038364B" w:rsidP="00D47405">
      <w:pPr>
        <w:spacing w:before="120" w:after="0" w:line="240" w:lineRule="auto"/>
        <w:ind w:left="11" w:hanging="11"/>
      </w:pPr>
      <w:r w:rsidRPr="00BA7257">
        <w:t>It</w:t>
      </w:r>
      <w:r w:rsidRPr="0052413E">
        <w:t xml:space="preserve"> is worth noting that</w:t>
      </w:r>
      <w:r w:rsidR="00DD4F1D" w:rsidRPr="0052413E">
        <w:t xml:space="preserve"> in the case of “Quantum</w:t>
      </w:r>
      <w:r w:rsidRPr="0052413E">
        <w:t>-</w:t>
      </w:r>
      <w:r w:rsidR="00296CF0" w:rsidRPr="0052413E">
        <w:t>base security</w:t>
      </w:r>
      <w:r w:rsidR="00DD4F1D" w:rsidRPr="0052413E">
        <w:t xml:space="preserve">” </w:t>
      </w:r>
      <w:r w:rsidRPr="0052413E">
        <w:t>having this work done in two SGs</w:t>
      </w:r>
      <w:r w:rsidR="00086703" w:rsidRPr="0052413E">
        <w:t xml:space="preserve">, </w:t>
      </w:r>
      <w:r w:rsidR="00B0099E">
        <w:t xml:space="preserve">i.e., </w:t>
      </w:r>
      <w:r w:rsidR="00086703" w:rsidRPr="0052413E">
        <w:t>SG13 and SG17,</w:t>
      </w:r>
      <w:r w:rsidRPr="0052413E">
        <w:t xml:space="preserve"> </w:t>
      </w:r>
      <w:r w:rsidR="00296CF0" w:rsidRPr="0052413E">
        <w:t>c</w:t>
      </w:r>
      <w:r w:rsidR="00DD4F1D" w:rsidRPr="0052413E">
        <w:t xml:space="preserve">auses </w:t>
      </w:r>
      <w:r w:rsidR="006B696E" w:rsidRPr="0052413E">
        <w:t>near-term and long-term existential problems</w:t>
      </w:r>
      <w:r w:rsidR="00DD4F1D" w:rsidRPr="0052413E">
        <w:t xml:space="preserve"> to the </w:t>
      </w:r>
      <w:r w:rsidRPr="0052413E">
        <w:t>S</w:t>
      </w:r>
      <w:r w:rsidR="00DD4F1D" w:rsidRPr="0052413E">
        <w:t xml:space="preserve">ector </w:t>
      </w:r>
      <w:r w:rsidRPr="0052413E">
        <w:t xml:space="preserve">members </w:t>
      </w:r>
      <w:r w:rsidR="00DD4F1D" w:rsidRPr="0052413E">
        <w:t xml:space="preserve">and </w:t>
      </w:r>
      <w:r w:rsidRPr="0052413E">
        <w:t>A</w:t>
      </w:r>
      <w:r w:rsidR="00EE3BFC" w:rsidRPr="0052413E">
        <w:t>s</w:t>
      </w:r>
      <w:r w:rsidR="00DD4F1D" w:rsidRPr="0052413E">
        <w:t>sociate</w:t>
      </w:r>
      <w:r w:rsidRPr="0052413E">
        <w:t>s</w:t>
      </w:r>
      <w:r w:rsidR="00DD4F1D" w:rsidRPr="0052413E">
        <w:t>.</w:t>
      </w:r>
      <w:r w:rsidR="005F572C" w:rsidRPr="0052413E">
        <w:t xml:space="preserve"> </w:t>
      </w:r>
      <w:r w:rsidR="00DD4F1D" w:rsidRPr="0052413E">
        <w:t xml:space="preserve">We </w:t>
      </w:r>
      <w:r w:rsidR="003F306E" w:rsidRPr="0052413E">
        <w:t xml:space="preserve">also </w:t>
      </w:r>
      <w:r w:rsidR="00DD4F1D" w:rsidRPr="0052413E">
        <w:t xml:space="preserve">observe that this increases </w:t>
      </w:r>
      <w:r w:rsidR="003F306E" w:rsidRPr="0052413E">
        <w:t xml:space="preserve">the risk of having </w:t>
      </w:r>
      <w:r w:rsidR="00DD4F1D" w:rsidRPr="0052413E">
        <w:t xml:space="preserve">potential </w:t>
      </w:r>
      <w:r w:rsidR="008A7DDD" w:rsidRPr="0052413E">
        <w:t>mis</w:t>
      </w:r>
      <w:r w:rsidR="00DD4F1D" w:rsidRPr="0052413E">
        <w:t>alignments with other SDOs and make</w:t>
      </w:r>
      <w:r w:rsidR="008A7DDD" w:rsidRPr="0052413E">
        <w:t>s</w:t>
      </w:r>
      <w:r w:rsidR="00DD4F1D" w:rsidRPr="0052413E">
        <w:t xml:space="preserve"> both </w:t>
      </w:r>
      <w:r w:rsidR="003E6B17" w:rsidRPr="0052413E">
        <w:t xml:space="preserve">effective </w:t>
      </w:r>
      <w:r w:rsidR="00DD4F1D" w:rsidRPr="0052413E">
        <w:t>coordination and collaboration more difficult.</w:t>
      </w:r>
    </w:p>
    <w:p w14:paraId="272C88FF" w14:textId="1D847906" w:rsidR="005A4C2D" w:rsidRDefault="005A4C2D" w:rsidP="00D47405">
      <w:pPr>
        <w:spacing w:before="120" w:after="120" w:line="240" w:lineRule="auto"/>
        <w:ind w:left="11" w:hanging="11"/>
      </w:pPr>
      <w:r>
        <w:t>In the case of security for Smart Cities, SG17 identifi</w:t>
      </w:r>
      <w:r w:rsidR="004D2CDF">
        <w:t>e</w:t>
      </w:r>
      <w:r w:rsidR="00957692">
        <w:t>s</w:t>
      </w:r>
      <w:r>
        <w:t xml:space="preserve"> gaps and agree</w:t>
      </w:r>
      <w:r w:rsidR="00957692">
        <w:t>s</w:t>
      </w:r>
      <w:r>
        <w:t xml:space="preserve"> to request TSAG to consider establishing the ITU-T level strategy that should help the demarcation of security related work between two Questions in SG17 and Q6/20. In addition, SG17 at its August/September meeting recognized the need to create clear guidance from TSAG to establish such an ITU-T strategy.</w:t>
      </w:r>
    </w:p>
    <w:p w14:paraId="1BA13A70" w14:textId="247294C0" w:rsidR="0047299A" w:rsidRPr="00EC4AF2" w:rsidRDefault="0047299A" w:rsidP="00132FD6">
      <w:pPr>
        <w:keepNext/>
        <w:keepLines/>
        <w:tabs>
          <w:tab w:val="center" w:pos="4819"/>
        </w:tabs>
        <w:spacing w:before="480" w:after="0" w:line="250" w:lineRule="auto"/>
        <w:rPr>
          <w:b/>
          <w:sz w:val="24"/>
        </w:rPr>
      </w:pPr>
      <w:r w:rsidRPr="00EC4AF2">
        <w:rPr>
          <w:b/>
          <w:sz w:val="24"/>
        </w:rPr>
        <w:lastRenderedPageBreak/>
        <w:t>Proposal</w:t>
      </w:r>
      <w:r w:rsidR="00132FD6">
        <w:rPr>
          <w:b/>
          <w:sz w:val="24"/>
        </w:rPr>
        <w:tab/>
      </w:r>
    </w:p>
    <w:p w14:paraId="3EE4E0FB" w14:textId="32B11145" w:rsidR="00A7377D" w:rsidRPr="00242264" w:rsidRDefault="00784727" w:rsidP="00D47405">
      <w:pPr>
        <w:keepNext/>
        <w:keepLines/>
        <w:spacing w:before="120" w:after="0" w:line="240" w:lineRule="auto"/>
        <w:rPr>
          <w:sz w:val="24"/>
        </w:rPr>
      </w:pPr>
      <w:r>
        <w:rPr>
          <w:sz w:val="24"/>
        </w:rPr>
        <w:t>With rationale above, w</w:t>
      </w:r>
      <w:r w:rsidR="00A27175" w:rsidRPr="00242264">
        <w:rPr>
          <w:sz w:val="24"/>
        </w:rPr>
        <w:t xml:space="preserve">e </w:t>
      </w:r>
      <w:r w:rsidR="002163BC">
        <w:rPr>
          <w:sz w:val="24"/>
        </w:rPr>
        <w:t xml:space="preserve">wish to initiate </w:t>
      </w:r>
      <w:r w:rsidR="002163BC" w:rsidRPr="00957692">
        <w:rPr>
          <w:sz w:val="24"/>
        </w:rPr>
        <w:t>discussion in</w:t>
      </w:r>
      <w:r w:rsidR="00A27175" w:rsidRPr="00957692">
        <w:rPr>
          <w:sz w:val="24"/>
        </w:rPr>
        <w:t xml:space="preserve"> </w:t>
      </w:r>
      <w:r w:rsidR="000C1738" w:rsidRPr="00957692">
        <w:rPr>
          <w:sz w:val="24"/>
        </w:rPr>
        <w:t xml:space="preserve">TSAG </w:t>
      </w:r>
      <w:r w:rsidR="002163BC" w:rsidRPr="00957692">
        <w:rPr>
          <w:sz w:val="24"/>
        </w:rPr>
        <w:t xml:space="preserve">regarding </w:t>
      </w:r>
      <w:r w:rsidR="005F572C" w:rsidRPr="00957692">
        <w:rPr>
          <w:sz w:val="24"/>
        </w:rPr>
        <w:t xml:space="preserve">the </w:t>
      </w:r>
      <w:r w:rsidR="000C1738" w:rsidRPr="00957692">
        <w:rPr>
          <w:sz w:val="24"/>
        </w:rPr>
        <w:t xml:space="preserve">potential </w:t>
      </w:r>
      <w:r w:rsidR="00584336" w:rsidRPr="00957692">
        <w:rPr>
          <w:sz w:val="24"/>
        </w:rPr>
        <w:t xml:space="preserve">transferring to SG17 of </w:t>
      </w:r>
      <w:r w:rsidR="00D2119E" w:rsidRPr="00957692">
        <w:rPr>
          <w:sz w:val="24"/>
        </w:rPr>
        <w:t xml:space="preserve">security related </w:t>
      </w:r>
      <w:r w:rsidR="00584336" w:rsidRPr="00957692">
        <w:rPr>
          <w:sz w:val="24"/>
        </w:rPr>
        <w:t>Questions, such as</w:t>
      </w:r>
      <w:r w:rsidR="00A27175" w:rsidRPr="00957692">
        <w:rPr>
          <w:sz w:val="24"/>
        </w:rPr>
        <w:t>:</w:t>
      </w:r>
    </w:p>
    <w:p w14:paraId="6D97E110" w14:textId="77777777" w:rsidR="00A7377D" w:rsidRPr="00242264" w:rsidRDefault="00A27175" w:rsidP="00D47405">
      <w:pPr>
        <w:keepNext/>
        <w:keepLines/>
        <w:numPr>
          <w:ilvl w:val="0"/>
          <w:numId w:val="1"/>
        </w:numPr>
        <w:spacing w:before="80" w:after="0" w:line="240" w:lineRule="auto"/>
        <w:ind w:left="680" w:hanging="340"/>
        <w:rPr>
          <w:sz w:val="24"/>
        </w:rPr>
      </w:pPr>
      <w:r w:rsidRPr="00242264">
        <w:rPr>
          <w:sz w:val="24"/>
        </w:rPr>
        <w:t>SG11 efforts related to Combating counterfeit and stolen telecommunicati</w:t>
      </w:r>
      <w:r w:rsidR="005F5ACA" w:rsidRPr="00242264">
        <w:rPr>
          <w:sz w:val="24"/>
        </w:rPr>
        <w:t>on/ICT devices (Q15/11 or M/11),</w:t>
      </w:r>
    </w:p>
    <w:p w14:paraId="1BA3240F" w14:textId="5FC7334D" w:rsidR="00870C8A" w:rsidRPr="00242264" w:rsidRDefault="00A27175" w:rsidP="00D47405">
      <w:pPr>
        <w:keepNext/>
        <w:keepLines/>
        <w:numPr>
          <w:ilvl w:val="0"/>
          <w:numId w:val="1"/>
        </w:numPr>
        <w:spacing w:before="80" w:after="0" w:line="240" w:lineRule="auto"/>
        <w:ind w:left="680" w:hanging="340"/>
        <w:rPr>
          <w:sz w:val="24"/>
        </w:rPr>
      </w:pPr>
      <w:r w:rsidRPr="00242264">
        <w:rPr>
          <w:sz w:val="24"/>
        </w:rPr>
        <w:t>The new proposed SG11 question on Combating counterfeit or tampered teleco</w:t>
      </w:r>
      <w:r w:rsidR="005F5ACA" w:rsidRPr="00242264">
        <w:rPr>
          <w:sz w:val="24"/>
        </w:rPr>
        <w:t xml:space="preserve">mmunication/ICT software (N/11), </w:t>
      </w:r>
    </w:p>
    <w:p w14:paraId="7A41FC0E" w14:textId="77777777" w:rsidR="00870C8A" w:rsidRDefault="00A27175" w:rsidP="00D47405">
      <w:pPr>
        <w:keepNext/>
        <w:keepLines/>
        <w:numPr>
          <w:ilvl w:val="0"/>
          <w:numId w:val="1"/>
        </w:numPr>
        <w:spacing w:before="80" w:after="0" w:line="240" w:lineRule="auto"/>
        <w:ind w:left="680" w:hanging="340"/>
        <w:rPr>
          <w:sz w:val="24"/>
        </w:rPr>
      </w:pPr>
      <w:r w:rsidRPr="00870C8A">
        <w:rPr>
          <w:sz w:val="24"/>
        </w:rPr>
        <w:t xml:space="preserve">SG13 studies on Trustworthy and quantum enhanced networking </w:t>
      </w:r>
      <w:r w:rsidR="005F5ACA" w:rsidRPr="00870C8A">
        <w:rPr>
          <w:sz w:val="24"/>
        </w:rPr>
        <w:t>and services (Q16/13 or Q.M/13), and</w:t>
      </w:r>
    </w:p>
    <w:p w14:paraId="29483D30" w14:textId="0F056918" w:rsidR="00870C8A" w:rsidRPr="00870C8A" w:rsidRDefault="00870C8A" w:rsidP="00D47405">
      <w:pPr>
        <w:keepNext/>
        <w:keepLines/>
        <w:numPr>
          <w:ilvl w:val="0"/>
          <w:numId w:val="1"/>
        </w:numPr>
        <w:spacing w:before="80" w:after="0" w:line="240" w:lineRule="auto"/>
        <w:ind w:left="680" w:hanging="340"/>
        <w:rPr>
          <w:sz w:val="24"/>
        </w:rPr>
      </w:pPr>
      <w:r w:rsidRPr="00870C8A">
        <w:rPr>
          <w:sz w:val="24"/>
        </w:rPr>
        <w:t>SG20 studies on Security, privacy, trust and identification for IoT and smart cities and communities (Q6/20).</w:t>
      </w:r>
    </w:p>
    <w:p w14:paraId="7C9505F6" w14:textId="4A1F3D3F" w:rsidR="00825B10" w:rsidRPr="00242264" w:rsidRDefault="00A27175" w:rsidP="00D47405">
      <w:pPr>
        <w:spacing w:before="240" w:after="0" w:line="240" w:lineRule="auto"/>
        <w:ind w:left="1" w:hanging="1"/>
        <w:rPr>
          <w:sz w:val="24"/>
        </w:rPr>
      </w:pPr>
      <w:r w:rsidRPr="00242264">
        <w:rPr>
          <w:sz w:val="24"/>
        </w:rPr>
        <w:t xml:space="preserve">By moving </w:t>
      </w:r>
      <w:r w:rsidR="002163BC">
        <w:rPr>
          <w:sz w:val="24"/>
        </w:rPr>
        <w:t>security related Questions</w:t>
      </w:r>
      <w:r w:rsidRPr="00242264">
        <w:rPr>
          <w:sz w:val="24"/>
        </w:rPr>
        <w:t xml:space="preserve"> into SG17 in the forthcoming Study Period, we would realize the following </w:t>
      </w:r>
      <w:r w:rsidR="001F6B52">
        <w:rPr>
          <w:sz w:val="24"/>
        </w:rPr>
        <w:t>principles</w:t>
      </w:r>
      <w:r w:rsidR="001F6B52" w:rsidRPr="00242264">
        <w:rPr>
          <w:sz w:val="24"/>
        </w:rPr>
        <w:t xml:space="preserve"> </w:t>
      </w:r>
      <w:r w:rsidRPr="00242264">
        <w:rPr>
          <w:sz w:val="24"/>
        </w:rPr>
        <w:t xml:space="preserve">for the ITU-T and ITU as a whole: </w:t>
      </w:r>
    </w:p>
    <w:p w14:paraId="7C129B03" w14:textId="77777777" w:rsidR="00825B10" w:rsidRPr="00BA7257" w:rsidRDefault="00825B10" w:rsidP="00D47405">
      <w:pPr>
        <w:numPr>
          <w:ilvl w:val="0"/>
          <w:numId w:val="1"/>
        </w:numPr>
        <w:spacing w:before="80" w:after="0" w:line="240" w:lineRule="auto"/>
        <w:ind w:left="676" w:hanging="338"/>
        <w:rPr>
          <w:sz w:val="24"/>
        </w:rPr>
      </w:pPr>
      <w:r w:rsidRPr="00BA7257">
        <w:rPr>
          <w:sz w:val="24"/>
        </w:rPr>
        <w:t>Strengthen the concept of lead study group,</w:t>
      </w:r>
    </w:p>
    <w:p w14:paraId="70D1AA9D" w14:textId="77777777" w:rsidR="00A7377D" w:rsidRPr="00BA7257" w:rsidRDefault="00A27175" w:rsidP="00D47405">
      <w:pPr>
        <w:numPr>
          <w:ilvl w:val="0"/>
          <w:numId w:val="1"/>
        </w:numPr>
        <w:spacing w:before="80" w:after="0" w:line="240" w:lineRule="auto"/>
        <w:ind w:left="680" w:hanging="340"/>
        <w:rPr>
          <w:sz w:val="24"/>
        </w:rPr>
      </w:pPr>
      <w:r w:rsidRPr="00BA7257">
        <w:rPr>
          <w:sz w:val="24"/>
        </w:rPr>
        <w:t xml:space="preserve">Strengthen the centre of expertise and make the investment of resources by Sector Members more cost effective, </w:t>
      </w:r>
    </w:p>
    <w:p w14:paraId="368B31DC" w14:textId="1D25643F" w:rsidR="0010438A" w:rsidRPr="00BA7257" w:rsidRDefault="008423EC" w:rsidP="00D47405">
      <w:pPr>
        <w:numPr>
          <w:ilvl w:val="0"/>
          <w:numId w:val="1"/>
        </w:numPr>
        <w:spacing w:before="80" w:after="0" w:line="240" w:lineRule="auto"/>
        <w:ind w:left="676" w:hanging="338"/>
        <w:rPr>
          <w:sz w:val="24"/>
        </w:rPr>
      </w:pPr>
      <w:r w:rsidRPr="00BA7257">
        <w:rPr>
          <w:sz w:val="24"/>
        </w:rPr>
        <w:t xml:space="preserve">A better </w:t>
      </w:r>
      <w:r w:rsidR="00A850BB" w:rsidRPr="00BA7257">
        <w:rPr>
          <w:sz w:val="24"/>
        </w:rPr>
        <w:t>workload</w:t>
      </w:r>
      <w:r w:rsidRPr="00BA7257">
        <w:rPr>
          <w:sz w:val="24"/>
        </w:rPr>
        <w:t xml:space="preserve"> rebalancing allowing other SGs to concentrate on fruitful areas and have better alignment with peer SDOs</w:t>
      </w:r>
      <w:r w:rsidR="008A7DDD" w:rsidRPr="00BA7257">
        <w:rPr>
          <w:sz w:val="24"/>
        </w:rPr>
        <w:t>,</w:t>
      </w:r>
      <w:r w:rsidR="0010438A" w:rsidRPr="00BA7257">
        <w:rPr>
          <w:sz w:val="24"/>
        </w:rPr>
        <w:t xml:space="preserve"> and a reduction in the level of coordination required between SGs to ensure awareness,</w:t>
      </w:r>
    </w:p>
    <w:p w14:paraId="1504A342" w14:textId="77777777" w:rsidR="0010438A" w:rsidRPr="00BA7257" w:rsidRDefault="0010438A" w:rsidP="00D47405">
      <w:pPr>
        <w:numPr>
          <w:ilvl w:val="0"/>
          <w:numId w:val="1"/>
        </w:numPr>
        <w:spacing w:before="80" w:after="0" w:line="240" w:lineRule="auto"/>
        <w:ind w:left="676" w:hanging="338"/>
        <w:rPr>
          <w:sz w:val="24"/>
        </w:rPr>
      </w:pPr>
      <w:r w:rsidRPr="00BA7257">
        <w:rPr>
          <w:sz w:val="24"/>
        </w:rPr>
        <w:t>Minimizing the fragmentation of key security principles that underpin the ITU’s key role in developing security standards</w:t>
      </w:r>
      <w:r w:rsidR="005F5ACA" w:rsidRPr="00BA7257">
        <w:rPr>
          <w:sz w:val="24"/>
        </w:rPr>
        <w:t>,</w:t>
      </w:r>
    </w:p>
    <w:p w14:paraId="6DF7E8C0" w14:textId="0E778309" w:rsidR="00A7377D" w:rsidRPr="00BA7257" w:rsidRDefault="008423EC" w:rsidP="00D47405">
      <w:pPr>
        <w:numPr>
          <w:ilvl w:val="0"/>
          <w:numId w:val="1"/>
        </w:numPr>
        <w:spacing w:before="80" w:after="0" w:line="240" w:lineRule="auto"/>
        <w:ind w:left="676" w:hanging="338"/>
        <w:rPr>
          <w:sz w:val="24"/>
        </w:rPr>
      </w:pPr>
      <w:r w:rsidRPr="00BA7257">
        <w:rPr>
          <w:sz w:val="24"/>
        </w:rPr>
        <w:t>L</w:t>
      </w:r>
      <w:r w:rsidR="00A27175" w:rsidRPr="00BA7257">
        <w:rPr>
          <w:sz w:val="24"/>
        </w:rPr>
        <w:t>ess duplication of effort within the security community, resulting in less wasted effort</w:t>
      </w:r>
      <w:r w:rsidRPr="00BA7257">
        <w:rPr>
          <w:sz w:val="24"/>
        </w:rPr>
        <w:t xml:space="preserve">, a </w:t>
      </w:r>
      <w:r w:rsidR="00825B10" w:rsidRPr="00BA7257">
        <w:rPr>
          <w:sz w:val="24"/>
        </w:rPr>
        <w:t xml:space="preserve">more efficient and effective standardization process, and a </w:t>
      </w:r>
      <w:r w:rsidRPr="00BA7257">
        <w:rPr>
          <w:sz w:val="24"/>
        </w:rPr>
        <w:t>better RoI and conditions for the industry</w:t>
      </w:r>
      <w:r w:rsidR="00825B10" w:rsidRPr="00BA7257">
        <w:rPr>
          <w:sz w:val="24"/>
        </w:rPr>
        <w:t>,</w:t>
      </w:r>
      <w:r w:rsidR="00A27175" w:rsidRPr="00BA7257">
        <w:rPr>
          <w:sz w:val="24"/>
        </w:rPr>
        <w:t xml:space="preserve"> and </w:t>
      </w:r>
      <w:r w:rsidRPr="00BA7257">
        <w:rPr>
          <w:sz w:val="24"/>
        </w:rPr>
        <w:t xml:space="preserve">ultimately a </w:t>
      </w:r>
      <w:r w:rsidR="00A27175" w:rsidRPr="00BA7257">
        <w:rPr>
          <w:sz w:val="24"/>
        </w:rPr>
        <w:t xml:space="preserve">higher quality </w:t>
      </w:r>
      <w:r w:rsidR="00F54D9F" w:rsidRPr="00BA7257">
        <w:rPr>
          <w:rFonts w:eastAsia="Malgun Gothic"/>
          <w:sz w:val="24"/>
          <w:lang w:eastAsia="ko-KR"/>
        </w:rPr>
        <w:t>R</w:t>
      </w:r>
      <w:r w:rsidR="00F54D9F" w:rsidRPr="00BA7257">
        <w:rPr>
          <w:sz w:val="24"/>
        </w:rPr>
        <w:t>ecommendations</w:t>
      </w:r>
      <w:r w:rsidR="00A27175" w:rsidRPr="00BA7257">
        <w:rPr>
          <w:sz w:val="24"/>
        </w:rPr>
        <w:t xml:space="preserve">. </w:t>
      </w:r>
    </w:p>
    <w:p w14:paraId="183D5C7D" w14:textId="75561A76" w:rsidR="00A7377D" w:rsidRPr="004075A3" w:rsidRDefault="00D47405" w:rsidP="00D47405">
      <w:pPr>
        <w:spacing w:before="240" w:after="120" w:line="259" w:lineRule="auto"/>
        <w:ind w:left="0" w:firstLine="0"/>
        <w:jc w:val="center"/>
      </w:pPr>
      <w:r>
        <w:t>___________________</w:t>
      </w:r>
    </w:p>
    <w:sectPr w:rsidR="00A7377D" w:rsidRPr="004075A3" w:rsidSect="00CD7B46">
      <w:headerReference w:type="default" r:id="rId17"/>
      <w:type w:val="continuous"/>
      <w:pgSz w:w="11906" w:h="16838"/>
      <w:pgMar w:top="1417" w:right="1134" w:bottom="1417" w:left="1134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C518A" w14:textId="77777777" w:rsidR="008F2997" w:rsidRDefault="008F2997" w:rsidP="001947E2">
      <w:pPr>
        <w:spacing w:after="0" w:line="240" w:lineRule="auto"/>
      </w:pPr>
      <w:r>
        <w:separator/>
      </w:r>
    </w:p>
  </w:endnote>
  <w:endnote w:type="continuationSeparator" w:id="0">
    <w:p w14:paraId="723E350E" w14:textId="77777777" w:rsidR="008F2997" w:rsidRDefault="008F2997" w:rsidP="0019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39E43" w14:textId="77777777" w:rsidR="008F2997" w:rsidRDefault="008F2997" w:rsidP="001947E2">
      <w:pPr>
        <w:spacing w:after="0" w:line="240" w:lineRule="auto"/>
      </w:pPr>
      <w:r>
        <w:separator/>
      </w:r>
    </w:p>
  </w:footnote>
  <w:footnote w:type="continuationSeparator" w:id="0">
    <w:p w14:paraId="0604B672" w14:textId="77777777" w:rsidR="008F2997" w:rsidRDefault="008F2997" w:rsidP="0019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22387" w14:textId="14A47FF4" w:rsidR="00D47405" w:rsidRPr="00D47405" w:rsidRDefault="00D47405" w:rsidP="00D47405">
    <w:pPr>
      <w:pStyle w:val="Header"/>
      <w:jc w:val="center"/>
      <w:rPr>
        <w:sz w:val="18"/>
      </w:rPr>
    </w:pPr>
    <w:r w:rsidRPr="00D47405">
      <w:rPr>
        <w:sz w:val="18"/>
      </w:rPr>
      <w:t xml:space="preserve">- </w:t>
    </w:r>
    <w:r w:rsidRPr="00D47405">
      <w:rPr>
        <w:sz w:val="18"/>
      </w:rPr>
      <w:fldChar w:fldCharType="begin"/>
    </w:r>
    <w:r w:rsidRPr="00D47405">
      <w:rPr>
        <w:sz w:val="18"/>
      </w:rPr>
      <w:instrText xml:space="preserve"> PAGE  \* MERGEFORMAT </w:instrText>
    </w:r>
    <w:r w:rsidRPr="00D47405">
      <w:rPr>
        <w:sz w:val="18"/>
      </w:rPr>
      <w:fldChar w:fldCharType="separate"/>
    </w:r>
    <w:r w:rsidRPr="00D47405">
      <w:rPr>
        <w:noProof/>
        <w:sz w:val="18"/>
      </w:rPr>
      <w:t>1</w:t>
    </w:r>
    <w:r w:rsidRPr="00D47405">
      <w:rPr>
        <w:sz w:val="18"/>
      </w:rPr>
      <w:fldChar w:fldCharType="end"/>
    </w:r>
    <w:r w:rsidRPr="00D47405">
      <w:rPr>
        <w:sz w:val="18"/>
      </w:rPr>
      <w:t xml:space="preserve"> -</w:t>
    </w:r>
    <w:r>
      <w:rPr>
        <w:sz w:val="18"/>
      </w:rPr>
      <w:br/>
    </w:r>
    <w:r w:rsidR="00132FD6">
      <w:rPr>
        <w:sz w:val="18"/>
      </w:rPr>
      <w:t>TSAG-TD896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F40"/>
    <w:multiLevelType w:val="hybridMultilevel"/>
    <w:tmpl w:val="5BB8F5A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EDC497E"/>
    <w:multiLevelType w:val="hybridMultilevel"/>
    <w:tmpl w:val="ABDE063A"/>
    <w:lvl w:ilvl="0" w:tplc="F6E079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2" w15:restartNumberingAfterBreak="0">
    <w:nsid w:val="189967D9"/>
    <w:multiLevelType w:val="hybridMultilevel"/>
    <w:tmpl w:val="572CA294"/>
    <w:lvl w:ilvl="0" w:tplc="A092A3EA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204336">
      <w:start w:val="1"/>
      <w:numFmt w:val="bullet"/>
      <w:lvlText w:val="-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3C7744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17246E2">
      <w:start w:val="1"/>
      <w:numFmt w:val="bullet"/>
      <w:lvlText w:val="•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01E42AC">
      <w:start w:val="1"/>
      <w:numFmt w:val="bullet"/>
      <w:lvlText w:val="o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4B2058C">
      <w:start w:val="1"/>
      <w:numFmt w:val="bullet"/>
      <w:lvlText w:val="▪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E640774">
      <w:start w:val="1"/>
      <w:numFmt w:val="bullet"/>
      <w:lvlText w:val="•"/>
      <w:lvlJc w:val="left"/>
      <w:pPr>
        <w:ind w:left="8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74CB5FE">
      <w:start w:val="1"/>
      <w:numFmt w:val="bullet"/>
      <w:lvlText w:val="o"/>
      <w:lvlJc w:val="left"/>
      <w:pPr>
        <w:ind w:left="9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2D2161A">
      <w:start w:val="1"/>
      <w:numFmt w:val="bullet"/>
      <w:lvlText w:val="▪"/>
      <w:lvlJc w:val="left"/>
      <w:pPr>
        <w:ind w:left="9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7D"/>
    <w:rsid w:val="000176CE"/>
    <w:rsid w:val="00086703"/>
    <w:rsid w:val="000C1738"/>
    <w:rsid w:val="000F2B5F"/>
    <w:rsid w:val="0010438A"/>
    <w:rsid w:val="00132FD6"/>
    <w:rsid w:val="00177524"/>
    <w:rsid w:val="001947E2"/>
    <w:rsid w:val="001A7B28"/>
    <w:rsid w:val="001D49DE"/>
    <w:rsid w:val="001D740C"/>
    <w:rsid w:val="001F6B52"/>
    <w:rsid w:val="002163BC"/>
    <w:rsid w:val="00242264"/>
    <w:rsid w:val="00294BED"/>
    <w:rsid w:val="00296CF0"/>
    <w:rsid w:val="002B37DD"/>
    <w:rsid w:val="002D7976"/>
    <w:rsid w:val="002F7CE0"/>
    <w:rsid w:val="00360234"/>
    <w:rsid w:val="0038364B"/>
    <w:rsid w:val="003E6B17"/>
    <w:rsid w:val="003F306E"/>
    <w:rsid w:val="00400116"/>
    <w:rsid w:val="004075A3"/>
    <w:rsid w:val="0047299A"/>
    <w:rsid w:val="00486DBE"/>
    <w:rsid w:val="00496FF9"/>
    <w:rsid w:val="004A4654"/>
    <w:rsid w:val="004D2CDF"/>
    <w:rsid w:val="004D4EE7"/>
    <w:rsid w:val="004E516B"/>
    <w:rsid w:val="0050583E"/>
    <w:rsid w:val="005135CB"/>
    <w:rsid w:val="0052413E"/>
    <w:rsid w:val="0056011D"/>
    <w:rsid w:val="00584336"/>
    <w:rsid w:val="00593F38"/>
    <w:rsid w:val="005A4C2D"/>
    <w:rsid w:val="005C50A3"/>
    <w:rsid w:val="005E2793"/>
    <w:rsid w:val="005F572C"/>
    <w:rsid w:val="005F5ACA"/>
    <w:rsid w:val="00610B7A"/>
    <w:rsid w:val="006110E1"/>
    <w:rsid w:val="00644EEB"/>
    <w:rsid w:val="006B662A"/>
    <w:rsid w:val="006B696E"/>
    <w:rsid w:val="00736940"/>
    <w:rsid w:val="00737B98"/>
    <w:rsid w:val="00784727"/>
    <w:rsid w:val="007A5AB8"/>
    <w:rsid w:val="007B3B74"/>
    <w:rsid w:val="00825B10"/>
    <w:rsid w:val="00836635"/>
    <w:rsid w:val="008423EC"/>
    <w:rsid w:val="008447FD"/>
    <w:rsid w:val="00870C8A"/>
    <w:rsid w:val="008A7DDD"/>
    <w:rsid w:val="008F2040"/>
    <w:rsid w:val="008F2997"/>
    <w:rsid w:val="009059B9"/>
    <w:rsid w:val="00916017"/>
    <w:rsid w:val="0092794F"/>
    <w:rsid w:val="00927E4B"/>
    <w:rsid w:val="00930718"/>
    <w:rsid w:val="00936D76"/>
    <w:rsid w:val="00941E46"/>
    <w:rsid w:val="00957692"/>
    <w:rsid w:val="009F0E80"/>
    <w:rsid w:val="00A02231"/>
    <w:rsid w:val="00A253E9"/>
    <w:rsid w:val="00A27175"/>
    <w:rsid w:val="00A3106F"/>
    <w:rsid w:val="00A47E5C"/>
    <w:rsid w:val="00A66E09"/>
    <w:rsid w:val="00A7377D"/>
    <w:rsid w:val="00A850BB"/>
    <w:rsid w:val="00AA3B26"/>
    <w:rsid w:val="00AE44B2"/>
    <w:rsid w:val="00AF71F9"/>
    <w:rsid w:val="00B0099E"/>
    <w:rsid w:val="00B06BA1"/>
    <w:rsid w:val="00B42ECD"/>
    <w:rsid w:val="00B51A2A"/>
    <w:rsid w:val="00B56D31"/>
    <w:rsid w:val="00B9407E"/>
    <w:rsid w:val="00BA30FE"/>
    <w:rsid w:val="00BA5E22"/>
    <w:rsid w:val="00BA7257"/>
    <w:rsid w:val="00BD55F7"/>
    <w:rsid w:val="00BE23AC"/>
    <w:rsid w:val="00C641A2"/>
    <w:rsid w:val="00CD7B46"/>
    <w:rsid w:val="00D2119E"/>
    <w:rsid w:val="00D221C8"/>
    <w:rsid w:val="00D47405"/>
    <w:rsid w:val="00D56BF2"/>
    <w:rsid w:val="00D97DBD"/>
    <w:rsid w:val="00DA11AA"/>
    <w:rsid w:val="00DC30E7"/>
    <w:rsid w:val="00DC6FA4"/>
    <w:rsid w:val="00DC6FEF"/>
    <w:rsid w:val="00DD1ABD"/>
    <w:rsid w:val="00DD4F1D"/>
    <w:rsid w:val="00DE347E"/>
    <w:rsid w:val="00E54457"/>
    <w:rsid w:val="00E63761"/>
    <w:rsid w:val="00E87006"/>
    <w:rsid w:val="00EC4AF2"/>
    <w:rsid w:val="00EE3BFC"/>
    <w:rsid w:val="00F049D5"/>
    <w:rsid w:val="00F40840"/>
    <w:rsid w:val="00F54CB0"/>
    <w:rsid w:val="00F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5E62"/>
  <w15:docId w15:val="{E3619302-6114-7F42-84D7-E53A0E8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8A"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" w:line="237" w:lineRule="auto"/>
      <w:ind w:left="1123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1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2A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2A"/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25B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35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5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5CB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5CB"/>
    <w:rPr>
      <w:rFonts w:ascii="Times New Roman" w:eastAsia="Times New Roman" w:hAnsi="Times New Roman" w:cs="Times New Roman"/>
      <w:b/>
      <w:bCs/>
      <w:color w:val="000000"/>
      <w:sz w:val="23"/>
      <w:lang w:val="en-US"/>
    </w:rPr>
  </w:style>
  <w:style w:type="paragraph" w:customStyle="1" w:styleId="Docnumber">
    <w:name w:val="Docnumber"/>
    <w:basedOn w:val="Normal"/>
    <w:link w:val="DocnumberChar"/>
    <w:qFormat/>
    <w:rsid w:val="00B56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0" w:firstLine="0"/>
      <w:jc w:val="right"/>
      <w:textAlignment w:val="baseline"/>
    </w:pPr>
    <w:rPr>
      <w:rFonts w:eastAsia="SimSun"/>
      <w:b/>
      <w:color w:val="auto"/>
      <w:sz w:val="40"/>
      <w:szCs w:val="20"/>
      <w:lang w:val="en-GB" w:eastAsia="en-US"/>
    </w:rPr>
  </w:style>
  <w:style w:type="character" w:customStyle="1" w:styleId="DocnumberChar">
    <w:name w:val="Docnumber Char"/>
    <w:link w:val="Docnumber"/>
    <w:rsid w:val="00B56D31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styleId="Hyperlink">
    <w:name w:val="Hyperlink"/>
    <w:aliases w:val="超级链接,Style 58,超?级链,超????,CEO_Hyperlink,하이퍼링크2,하이퍼링크21"/>
    <w:basedOn w:val="DefaultParagraphFont"/>
    <w:rsid w:val="00B56D31"/>
    <w:rPr>
      <w:rFonts w:asciiTheme="majorBidi" w:hAnsiTheme="majorBidi"/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B56D31"/>
    <w:rPr>
      <w:bCs w:val="0"/>
    </w:rPr>
  </w:style>
  <w:style w:type="paragraph" w:customStyle="1" w:styleId="LSForAction">
    <w:name w:val="LSForAction"/>
    <w:basedOn w:val="Normal"/>
    <w:rsid w:val="00B56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0" w:firstLine="0"/>
      <w:textAlignment w:val="baseline"/>
    </w:pPr>
    <w:rPr>
      <w:bCs/>
      <w:color w:val="auto"/>
      <w:sz w:val="24"/>
      <w:szCs w:val="20"/>
      <w:lang w:val="en-GB" w:eastAsia="en-US"/>
    </w:rPr>
  </w:style>
  <w:style w:type="paragraph" w:customStyle="1" w:styleId="LSForInfo">
    <w:name w:val="LSForInfo"/>
    <w:basedOn w:val="LSForAction"/>
    <w:next w:val="Normal"/>
    <w:rsid w:val="00B56D31"/>
  </w:style>
  <w:style w:type="paragraph" w:customStyle="1" w:styleId="LSForComment">
    <w:name w:val="LSForComment"/>
    <w:basedOn w:val="LSForAction"/>
    <w:next w:val="Normal"/>
    <w:rsid w:val="00B56D31"/>
  </w:style>
  <w:style w:type="character" w:styleId="PlaceholderText">
    <w:name w:val="Placeholder Text"/>
    <w:basedOn w:val="DefaultParagraphFont"/>
    <w:uiPriority w:val="99"/>
    <w:semiHidden/>
    <w:rsid w:val="00B56D31"/>
    <w:rPr>
      <w:rFonts w:ascii="Times New Roman" w:hAnsi="Times New Roman"/>
      <w:color w:val="808080"/>
    </w:rPr>
  </w:style>
  <w:style w:type="paragraph" w:styleId="Header">
    <w:name w:val="header"/>
    <w:basedOn w:val="Normal"/>
    <w:link w:val="HeaderChar"/>
    <w:unhideWhenUsed/>
    <w:rsid w:val="0019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47E2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2"/>
    <w:rPr>
      <w:rFonts w:ascii="Times New Roman" w:eastAsia="Times New Roman" w:hAnsi="Times New Roman" w:cs="Times New Roman"/>
      <w:color w:val="000000"/>
      <w:sz w:val="23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79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17-oLS-00269.docx" TargetMode="External"/><Relationship Id="rId13" Type="http://schemas.openxmlformats.org/officeDocument/2006/relationships/hyperlink" Target="mailto:hyyoum@sch.ac.k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SG17-200824-TD-PLEN-3391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md/meetingdoc.asp?lang=en&amp;parent=T17-SG17-200824-TD-PLEN-32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dle.itu.int/11.1002/ls/sp16-sg17-oLS-00269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meetingdoc.asp?lang=en&amp;parent=T17-SG17-C-0957" TargetMode="External"/><Relationship Id="rId10" Type="http://schemas.openxmlformats.org/officeDocument/2006/relationships/hyperlink" Target="https://www.itu.int/ifa/t/2017/ls/tsag/sp16-tsag-oLS-00027.z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yyoum@sch.ac.kr" TargetMode="External"/><Relationship Id="rId14" Type="http://schemas.openxmlformats.org/officeDocument/2006/relationships/hyperlink" Target="http://www.itu.int/md/meetingdoc.asp?lang=en&amp;parent=T17-SG17-C-08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Microsoft Word - OA-TD-Liason-TSAG.docx</vt:lpstr>
      <vt:lpstr>Microsoft Word - OA-TD-Liason-TSAG.docx</vt:lpstr>
      <vt:lpstr>Microsoft Word - OA-TD-Liason-TSAG.docx</vt:lpstr>
    </vt:vector>
  </TitlesOfParts>
  <Manager>ITU-T</Manager>
  <Company>International Telecommunication Union (ITU)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increasing efficiency of security work in ITU-T [to TSAG]</dc:title>
  <dc:subject/>
  <dc:creator>ITU-T Study Group 17</dc:creator>
  <cp:keywords>Security; lead study group; transfer; Question</cp:keywords>
  <dc:description>SG17-LS269  For: Virtual, 24 August - 3 September 2020_x000d_Document date: _x000d_Saved by ITU51014266 at 9:56:39 AM on 07-Sep-20</dc:description>
  <cp:lastModifiedBy>Al-Mnini, Lara</cp:lastModifiedBy>
  <cp:revision>3</cp:revision>
  <dcterms:created xsi:type="dcterms:W3CDTF">2020-09-08T07:13:00Z</dcterms:created>
  <dcterms:modified xsi:type="dcterms:W3CDTF">2020-09-08T07:24:00Z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SG17-LS269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Virtual, 24 August - 3 September 2020</vt:lpwstr>
  </property>
  <property fmtid="{D5CDD505-2E9C-101B-9397-08002B2CF9AE}" pid="7" name="Docauthor">
    <vt:lpwstr>ITU-T Study Group 17</vt:lpwstr>
  </property>
</Properties>
</file>