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4B27E4" w:rsidRPr="00DB0B7D" w14:paraId="1507CE40" w14:textId="77777777" w:rsidTr="00A906C9">
        <w:trPr>
          <w:cantSplit/>
          <w:jc w:val="center"/>
        </w:trPr>
        <w:tc>
          <w:tcPr>
            <w:tcW w:w="1189" w:type="dxa"/>
            <w:vMerge w:val="restart"/>
          </w:tcPr>
          <w:p w14:paraId="62C8DCDF" w14:textId="77777777" w:rsidR="004B27E4" w:rsidRPr="00DB0B7D" w:rsidRDefault="004B27E4" w:rsidP="00A906C9">
            <w:pPr>
              <w:rPr>
                <w:sz w:val="20"/>
              </w:rPr>
            </w:pPr>
            <w:r w:rsidRPr="00DB0B7D">
              <w:rPr>
                <w:noProof/>
                <w:sz w:val="20"/>
                <w:lang w:eastAsia="en-GB"/>
              </w:rPr>
              <w:drawing>
                <wp:inline distT="0" distB="0" distL="0" distR="0" wp14:anchorId="28AE9C1F" wp14:editId="4DA811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4ECE2FF3" w14:textId="77777777" w:rsidR="004B27E4" w:rsidRPr="00DB0B7D" w:rsidRDefault="004B27E4" w:rsidP="00A906C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B0B7D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57126E6B" w14:textId="77777777" w:rsidR="004B27E4" w:rsidRPr="00DB0B7D" w:rsidRDefault="004B27E4" w:rsidP="00A906C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922E359" w14:textId="77777777" w:rsidR="004B27E4" w:rsidRPr="00DB0B7D" w:rsidRDefault="004B27E4" w:rsidP="00A906C9">
            <w:pPr>
              <w:rPr>
                <w:rFonts w:asciiTheme="majorBidi" w:hAnsiTheme="majorBidi" w:cstheme="majorBidi"/>
                <w:sz w:val="20"/>
              </w:rPr>
            </w:pPr>
            <w:r w:rsidRPr="00DB0B7D">
              <w:rPr>
                <w:rFonts w:asciiTheme="majorBidi" w:hAnsiTheme="majorBidi" w:cstheme="majorBidi"/>
                <w:sz w:val="20"/>
              </w:rPr>
              <w:t xml:space="preserve">STUDY PERIOD </w:t>
            </w:r>
            <w:bookmarkStart w:id="0" w:name="dstudyperiod"/>
            <w:r w:rsidRPr="00DB0B7D">
              <w:rPr>
                <w:rFonts w:asciiTheme="majorBidi" w:hAnsiTheme="majorBidi" w:cstheme="majorBidi"/>
                <w:sz w:val="20"/>
              </w:rPr>
              <w:t>2017-2020</w:t>
            </w:r>
            <w:bookmarkEnd w:id="0"/>
          </w:p>
        </w:tc>
        <w:tc>
          <w:tcPr>
            <w:tcW w:w="4682" w:type="dxa"/>
            <w:vAlign w:val="center"/>
          </w:tcPr>
          <w:p w14:paraId="4A78BD6D" w14:textId="332DAFC3" w:rsidR="004B27E4" w:rsidRPr="00B97067" w:rsidRDefault="004B27E4" w:rsidP="004B27E4">
            <w:pPr>
              <w:jc w:val="right"/>
              <w:rPr>
                <w:rFonts w:asciiTheme="majorBidi" w:eastAsia="SimSun" w:hAnsiTheme="majorBidi" w:cstheme="majorBidi"/>
                <w:b/>
                <w:sz w:val="32"/>
                <w:szCs w:val="32"/>
              </w:rPr>
            </w:pPr>
            <w:r w:rsidRPr="00B97067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TSAG-TD</w:t>
            </w:r>
            <w:r w:rsidR="00545D2F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815</w:t>
            </w:r>
          </w:p>
        </w:tc>
      </w:tr>
      <w:tr w:rsidR="004B27E4" w:rsidRPr="00DB0B7D" w14:paraId="345EA7F4" w14:textId="77777777" w:rsidTr="00A906C9">
        <w:trPr>
          <w:cantSplit/>
          <w:jc w:val="center"/>
        </w:trPr>
        <w:tc>
          <w:tcPr>
            <w:tcW w:w="1189" w:type="dxa"/>
            <w:vMerge/>
          </w:tcPr>
          <w:p w14:paraId="678023F2" w14:textId="77777777" w:rsidR="004B27E4" w:rsidRPr="00DB0B7D" w:rsidRDefault="004B27E4" w:rsidP="00A906C9">
            <w:pPr>
              <w:rPr>
                <w:smallCaps/>
                <w:sz w:val="20"/>
              </w:rPr>
            </w:pPr>
          </w:p>
        </w:tc>
        <w:tc>
          <w:tcPr>
            <w:tcW w:w="4052" w:type="dxa"/>
            <w:gridSpan w:val="3"/>
            <w:vMerge/>
          </w:tcPr>
          <w:p w14:paraId="39EFEBAF" w14:textId="77777777" w:rsidR="004B27E4" w:rsidRPr="00DB0B7D" w:rsidRDefault="004B27E4" w:rsidP="00A906C9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682" w:type="dxa"/>
          </w:tcPr>
          <w:p w14:paraId="44315A36" w14:textId="77777777" w:rsidR="004B27E4" w:rsidRPr="00DB0B7D" w:rsidRDefault="004B27E4" w:rsidP="00A906C9">
            <w:pPr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</w:pPr>
            <w:r w:rsidRPr="00DB0B7D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4B27E4" w:rsidRPr="00DB0B7D" w14:paraId="242E4E5C" w14:textId="77777777" w:rsidTr="00A906C9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2E5E096B" w14:textId="77777777" w:rsidR="004B27E4" w:rsidRPr="00DB0B7D" w:rsidRDefault="004B27E4" w:rsidP="00A906C9">
            <w:pPr>
              <w:rPr>
                <w:b/>
                <w:bCs/>
                <w:sz w:val="26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689C162D" w14:textId="77777777" w:rsidR="004B27E4" w:rsidRPr="00DB0B7D" w:rsidRDefault="004B27E4" w:rsidP="00A906C9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470BA10D" w14:textId="77777777" w:rsidR="004B27E4" w:rsidRPr="00DB0B7D" w:rsidRDefault="004B27E4" w:rsidP="00A906C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4B27E4" w:rsidRPr="00B97067" w14:paraId="6BED24E0" w14:textId="77777777" w:rsidTr="00A906C9">
        <w:trPr>
          <w:cantSplit/>
          <w:jc w:val="center"/>
        </w:trPr>
        <w:tc>
          <w:tcPr>
            <w:tcW w:w="1615" w:type="dxa"/>
            <w:gridSpan w:val="3"/>
          </w:tcPr>
          <w:p w14:paraId="1F80E2B6" w14:textId="77777777" w:rsidR="004B27E4" w:rsidRPr="00B97067" w:rsidRDefault="004B27E4" w:rsidP="00A906C9">
            <w:pPr>
              <w:rPr>
                <w:rFonts w:asciiTheme="majorBidi" w:hAnsiTheme="majorBidi" w:cstheme="majorBidi"/>
                <w:b/>
                <w:bCs/>
              </w:rPr>
            </w:pPr>
            <w:r w:rsidRPr="00B97067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26" w:type="dxa"/>
          </w:tcPr>
          <w:p w14:paraId="2E8617F1" w14:textId="77777777" w:rsidR="004B27E4" w:rsidRPr="00B97067" w:rsidRDefault="004B27E4" w:rsidP="00A906C9">
            <w:pPr>
              <w:rPr>
                <w:rFonts w:asciiTheme="majorBidi" w:hAnsiTheme="majorBidi" w:cstheme="majorBidi"/>
              </w:rPr>
            </w:pPr>
            <w:r w:rsidRPr="00B97067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682" w:type="dxa"/>
          </w:tcPr>
          <w:p w14:paraId="69513863" w14:textId="11A72A8F" w:rsidR="004B27E4" w:rsidRPr="00B97067" w:rsidRDefault="00927EC1" w:rsidP="00A906C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E-Meeting</w:t>
            </w:r>
            <w:r w:rsidR="004B27E4" w:rsidRPr="00E20635">
              <w:rPr>
                <w:rFonts w:asciiTheme="majorBidi" w:hAnsiTheme="majorBidi" w:cstheme="majorBidi"/>
              </w:rPr>
              <w:t xml:space="preserve">, </w:t>
            </w:r>
            <w:r w:rsidR="00BA7278">
              <w:rPr>
                <w:rFonts w:asciiTheme="majorBidi" w:hAnsiTheme="majorBidi" w:cstheme="majorBidi"/>
              </w:rPr>
              <w:t>21</w:t>
            </w:r>
            <w:r w:rsidR="004B27E4">
              <w:rPr>
                <w:rFonts w:asciiTheme="majorBidi" w:hAnsiTheme="majorBidi" w:cstheme="majorBidi"/>
              </w:rPr>
              <w:t>-</w:t>
            </w:r>
            <w:r w:rsidR="00BA7278">
              <w:rPr>
                <w:rFonts w:asciiTheme="majorBidi" w:hAnsiTheme="majorBidi" w:cstheme="majorBidi"/>
              </w:rPr>
              <w:t>25</w:t>
            </w:r>
            <w:r w:rsidR="004B27E4">
              <w:rPr>
                <w:rFonts w:asciiTheme="majorBidi" w:hAnsiTheme="majorBidi" w:cstheme="majorBidi"/>
              </w:rPr>
              <w:t xml:space="preserve"> </w:t>
            </w:r>
            <w:r w:rsidR="00BA7278">
              <w:rPr>
                <w:rFonts w:asciiTheme="majorBidi" w:hAnsiTheme="majorBidi" w:cstheme="majorBidi"/>
              </w:rPr>
              <w:t>September</w:t>
            </w:r>
            <w:r w:rsidR="004B27E4">
              <w:rPr>
                <w:rFonts w:asciiTheme="majorBidi" w:hAnsiTheme="majorBidi" w:cstheme="majorBidi"/>
              </w:rPr>
              <w:t xml:space="preserve"> 2020</w:t>
            </w:r>
          </w:p>
        </w:tc>
      </w:tr>
      <w:tr w:rsidR="004B27E4" w:rsidRPr="00B97067" w14:paraId="0D1D4159" w14:textId="77777777" w:rsidTr="00A906C9">
        <w:trPr>
          <w:cantSplit/>
          <w:jc w:val="center"/>
        </w:trPr>
        <w:tc>
          <w:tcPr>
            <w:tcW w:w="9923" w:type="dxa"/>
            <w:gridSpan w:val="5"/>
          </w:tcPr>
          <w:p w14:paraId="03AC8955" w14:textId="77777777" w:rsidR="004B27E4" w:rsidRPr="00B97067" w:rsidRDefault="004B27E4" w:rsidP="00A906C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ddoctype" w:colFirst="0" w:colLast="0"/>
            <w:r w:rsidRPr="00B97067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bookmarkEnd w:id="1"/>
      <w:tr w:rsidR="004B27E4" w:rsidRPr="00B97067" w14:paraId="37217ED2" w14:textId="77777777" w:rsidTr="00A906C9">
        <w:trPr>
          <w:cantSplit/>
          <w:jc w:val="center"/>
        </w:trPr>
        <w:tc>
          <w:tcPr>
            <w:tcW w:w="1615" w:type="dxa"/>
            <w:gridSpan w:val="3"/>
          </w:tcPr>
          <w:p w14:paraId="3660A10A" w14:textId="77777777" w:rsidR="004B27E4" w:rsidRPr="00B97067" w:rsidRDefault="004B27E4" w:rsidP="00A906C9">
            <w:pPr>
              <w:rPr>
                <w:rFonts w:asciiTheme="majorBidi" w:hAnsiTheme="majorBidi" w:cstheme="majorBidi"/>
                <w:b/>
                <w:bCs/>
              </w:rPr>
            </w:pPr>
            <w:r w:rsidRPr="00B97067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8" w:type="dxa"/>
            <w:gridSpan w:val="2"/>
          </w:tcPr>
          <w:p w14:paraId="340ECED5" w14:textId="17DCA978" w:rsidR="004B27E4" w:rsidRPr="00B97067" w:rsidRDefault="004B27E4" w:rsidP="00A906C9">
            <w:pPr>
              <w:rPr>
                <w:rFonts w:asciiTheme="majorBidi" w:hAnsiTheme="majorBidi" w:cstheme="majorBidi"/>
              </w:rPr>
            </w:pPr>
            <w:r w:rsidRPr="004B27E4">
              <w:rPr>
                <w:rFonts w:asciiTheme="majorBidi" w:hAnsiTheme="majorBidi" w:cstheme="majorBidi"/>
              </w:rPr>
              <w:t>ISC</w:t>
            </w:r>
            <w:r w:rsidR="00AE4C06">
              <w:rPr>
                <w:rFonts w:asciiTheme="majorBidi" w:hAnsiTheme="majorBidi" w:cstheme="majorBidi"/>
              </w:rPr>
              <w:t>-TF</w:t>
            </w:r>
          </w:p>
        </w:tc>
      </w:tr>
      <w:tr w:rsidR="004B27E4" w:rsidRPr="00B97067" w14:paraId="584646D8" w14:textId="77777777" w:rsidTr="00A906C9">
        <w:trPr>
          <w:cantSplit/>
          <w:jc w:val="center"/>
        </w:trPr>
        <w:tc>
          <w:tcPr>
            <w:tcW w:w="1615" w:type="dxa"/>
            <w:gridSpan w:val="3"/>
          </w:tcPr>
          <w:p w14:paraId="1B0B1608" w14:textId="77777777" w:rsidR="004B27E4" w:rsidRPr="00B97067" w:rsidRDefault="004B27E4" w:rsidP="00A906C9">
            <w:pPr>
              <w:rPr>
                <w:rFonts w:asciiTheme="majorBidi" w:hAnsiTheme="majorBidi" w:cstheme="majorBidi"/>
              </w:rPr>
            </w:pPr>
            <w:r w:rsidRPr="00B97067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8" w:type="dxa"/>
            <w:gridSpan w:val="2"/>
          </w:tcPr>
          <w:p w14:paraId="1358FF49" w14:textId="7A01E37C" w:rsidR="004B27E4" w:rsidRPr="00B97067" w:rsidRDefault="004B27E4" w:rsidP="00A906C9">
            <w:pPr>
              <w:rPr>
                <w:rFonts w:asciiTheme="majorBidi" w:hAnsiTheme="majorBidi" w:cstheme="majorBidi"/>
              </w:rPr>
            </w:pPr>
            <w:r w:rsidRPr="004B27E4">
              <w:rPr>
                <w:rFonts w:asciiTheme="majorBidi" w:hAnsiTheme="majorBidi" w:cstheme="majorBidi"/>
              </w:rPr>
              <w:t>Report by the Inter-Sector</w:t>
            </w:r>
            <w:r w:rsidR="00AE4C06">
              <w:rPr>
                <w:rFonts w:asciiTheme="majorBidi" w:hAnsiTheme="majorBidi" w:cstheme="majorBidi"/>
              </w:rPr>
              <w:t>al</w:t>
            </w:r>
            <w:r w:rsidRPr="004B27E4">
              <w:rPr>
                <w:rFonts w:asciiTheme="majorBidi" w:hAnsiTheme="majorBidi" w:cstheme="majorBidi"/>
              </w:rPr>
              <w:t xml:space="preserve"> Coordination </w:t>
            </w:r>
            <w:r w:rsidR="00AE4C06">
              <w:rPr>
                <w:rFonts w:asciiTheme="majorBidi" w:hAnsiTheme="majorBidi" w:cstheme="majorBidi"/>
              </w:rPr>
              <w:t>Taskforce</w:t>
            </w:r>
          </w:p>
        </w:tc>
      </w:tr>
      <w:tr w:rsidR="004B27E4" w:rsidRPr="00B97067" w14:paraId="6898362C" w14:textId="77777777" w:rsidTr="00A906C9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1B18B692" w14:textId="77777777" w:rsidR="004B27E4" w:rsidRPr="00B97067" w:rsidRDefault="004B27E4" w:rsidP="00A906C9">
            <w:pPr>
              <w:rPr>
                <w:rFonts w:asciiTheme="majorBidi" w:hAnsiTheme="majorBidi" w:cstheme="majorBidi"/>
                <w:b/>
                <w:bCs/>
              </w:rPr>
            </w:pPr>
            <w:r w:rsidRPr="00B97067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14:paraId="1E20BA4F" w14:textId="7D9B1884" w:rsidR="004B27E4" w:rsidRPr="00B97067" w:rsidRDefault="004B27E4" w:rsidP="00A906C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Information</w:t>
            </w:r>
            <w:r w:rsidR="00581157">
              <w:rPr>
                <w:rFonts w:asciiTheme="majorBidi" w:hAnsiTheme="majorBidi" w:cstheme="majorBidi"/>
              </w:rPr>
              <w:t xml:space="preserve"> and discussion</w:t>
            </w:r>
          </w:p>
        </w:tc>
      </w:tr>
      <w:tr w:rsidR="001A7689" w:rsidRPr="00902830" w14:paraId="07FD577B" w14:textId="77777777" w:rsidTr="00A906C9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2632F25" w14:textId="77777777" w:rsidR="001A7689" w:rsidRPr="00B97067" w:rsidRDefault="001A7689" w:rsidP="001A7689">
            <w:pPr>
              <w:rPr>
                <w:rFonts w:asciiTheme="majorBidi" w:hAnsiTheme="majorBidi" w:cstheme="majorBidi"/>
                <w:b/>
                <w:bCs/>
              </w:rPr>
            </w:pPr>
            <w:r w:rsidRPr="00B97067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6D45" w14:textId="20DCF19B" w:rsidR="001A7689" w:rsidRPr="00AE4C06" w:rsidRDefault="00927EC1" w:rsidP="001A7689">
            <w:pPr>
              <w:rPr>
                <w:rFonts w:asciiTheme="majorBidi" w:hAnsiTheme="majorBidi" w:cstheme="majorBidi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2039996751"/>
                <w:placeholder>
                  <w:docPart w:val="01672AEFE42D4D459D7CA14A22AE9110"/>
                </w:placeholder>
                <w:text w:multiLine="1"/>
              </w:sdtPr>
              <w:sdtEndPr/>
              <w:sdtContent>
                <w:r w:rsidR="00AE4C06">
                  <w:rPr>
                    <w:lang w:val="en-US"/>
                  </w:rPr>
                  <w:t>Malcolm Johnson</w:t>
                </w:r>
                <w:r w:rsidR="001A7689" w:rsidRPr="00D87A50">
                  <w:rPr>
                    <w:lang w:val="en-US"/>
                  </w:rPr>
                  <w:br/>
                  <w:t>IS</w:t>
                </w:r>
                <w:r w:rsidR="00AE4C06">
                  <w:rPr>
                    <w:lang w:val="en-US"/>
                  </w:rPr>
                  <w:t xml:space="preserve">C-TF </w:t>
                </w:r>
                <w:r w:rsidR="001A7689">
                  <w:rPr>
                    <w:lang w:val="en-US"/>
                  </w:rPr>
                  <w:t>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315261585"/>
            <w:placeholder>
              <w:docPart w:val="962C73BE0C8C4620B223AFCEEBF3491E"/>
            </w:placeholder>
          </w:sdtPr>
          <w:sdtEndPr/>
          <w:sdtContent>
            <w:tc>
              <w:tcPr>
                <w:tcW w:w="4682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4B0A6D8" w14:textId="7C2B0611" w:rsidR="001A7689" w:rsidRPr="00902830" w:rsidRDefault="001A7689" w:rsidP="001A7689">
                <w:pPr>
                  <w:rPr>
                    <w:rFonts w:asciiTheme="majorBidi" w:hAnsiTheme="majorBidi" w:cstheme="majorBidi"/>
                    <w:lang w:val="fr-FR"/>
                  </w:rPr>
                </w:pPr>
                <w:r w:rsidRPr="00FF1151">
                  <w:rPr>
                    <w:lang w:val="pt-BR"/>
                  </w:rPr>
                  <w:t xml:space="preserve">E-mail: </w:t>
                </w:r>
                <w:hyperlink r:id="rId11" w:history="1">
                  <w:r w:rsidR="00902830" w:rsidRPr="008F7FA1">
                    <w:rPr>
                      <w:rStyle w:val="Hyperlink"/>
                      <w:rFonts w:ascii="Times New Roman" w:hAnsi="Times New Roman"/>
                      <w:lang w:val="fr-FR"/>
                    </w:rPr>
                    <w:t>dsg@itu.int</w:t>
                  </w:r>
                </w:hyperlink>
                <w:r w:rsidR="00902830">
                  <w:rPr>
                    <w:lang w:val="fr-FR"/>
                  </w:rPr>
                  <w:t xml:space="preserve"> </w:t>
                </w:r>
              </w:p>
            </w:tc>
          </w:sdtContent>
        </w:sdt>
      </w:tr>
    </w:tbl>
    <w:p w14:paraId="1D11C734" w14:textId="77777777" w:rsidR="004B27E4" w:rsidRPr="00902830" w:rsidRDefault="004B27E4" w:rsidP="004B27E4">
      <w:pPr>
        <w:rPr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4B27E4" w:rsidRPr="00B97067" w14:paraId="520AF092" w14:textId="77777777" w:rsidTr="00A906C9">
        <w:trPr>
          <w:cantSplit/>
          <w:jc w:val="center"/>
        </w:trPr>
        <w:tc>
          <w:tcPr>
            <w:tcW w:w="1615" w:type="dxa"/>
          </w:tcPr>
          <w:p w14:paraId="4E13CE3C" w14:textId="77777777" w:rsidR="004B27E4" w:rsidRPr="00B97067" w:rsidRDefault="004B27E4" w:rsidP="00A906C9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308" w:type="dxa"/>
          </w:tcPr>
          <w:p w14:paraId="68DBC469" w14:textId="2C400403" w:rsidR="004B27E4" w:rsidRPr="00B97067" w:rsidRDefault="00694B5A" w:rsidP="00A906C9">
            <w:pPr>
              <w:rPr>
                <w:rFonts w:asciiTheme="majorBidi" w:hAnsiTheme="majorBidi" w:cstheme="majorBidi"/>
              </w:rPr>
            </w:pPr>
            <w:r w:rsidRPr="00694B5A">
              <w:rPr>
                <w:rFonts w:asciiTheme="majorBidi" w:hAnsiTheme="majorBidi" w:cstheme="majorBidi"/>
              </w:rPr>
              <w:t>ISC</w:t>
            </w:r>
            <w:r w:rsidR="00AE4C06">
              <w:rPr>
                <w:rFonts w:asciiTheme="majorBidi" w:hAnsiTheme="majorBidi" w:cstheme="majorBidi"/>
              </w:rPr>
              <w:t>-TF</w:t>
            </w:r>
            <w:r w:rsidRPr="00694B5A">
              <w:rPr>
                <w:rFonts w:asciiTheme="majorBidi" w:hAnsiTheme="majorBidi" w:cstheme="majorBidi"/>
              </w:rPr>
              <w:t>; Inter-Sector Coordination</w:t>
            </w:r>
            <w:r w:rsidR="00902830">
              <w:rPr>
                <w:rFonts w:asciiTheme="majorBidi" w:hAnsiTheme="majorBidi" w:cstheme="majorBidi"/>
              </w:rPr>
              <w:t>;</w:t>
            </w:r>
          </w:p>
        </w:tc>
      </w:tr>
      <w:tr w:rsidR="004B27E4" w:rsidRPr="00B97067" w14:paraId="4B6965F2" w14:textId="77777777" w:rsidTr="00A906C9">
        <w:trPr>
          <w:cantSplit/>
          <w:jc w:val="center"/>
        </w:trPr>
        <w:tc>
          <w:tcPr>
            <w:tcW w:w="1615" w:type="dxa"/>
          </w:tcPr>
          <w:p w14:paraId="08BBF79F" w14:textId="77777777" w:rsidR="004B27E4" w:rsidRPr="00B97067" w:rsidRDefault="004B27E4" w:rsidP="00A906C9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308" w:type="dxa"/>
          </w:tcPr>
          <w:p w14:paraId="2E17356D" w14:textId="398B464A" w:rsidR="004B27E4" w:rsidRPr="00B97067" w:rsidRDefault="00694B5A" w:rsidP="00A906C9">
            <w:pPr>
              <w:rPr>
                <w:rFonts w:asciiTheme="majorBidi" w:hAnsiTheme="majorBidi" w:cstheme="majorBidi"/>
              </w:rPr>
            </w:pPr>
            <w:r w:rsidRPr="00694B5A">
              <w:rPr>
                <w:rFonts w:asciiTheme="majorBidi" w:hAnsiTheme="majorBidi" w:cstheme="majorBidi"/>
              </w:rPr>
              <w:t xml:space="preserve">This TD presents the report of the </w:t>
            </w:r>
            <w:r w:rsidR="001128AE">
              <w:t>Inter-Sector Coordination Task Force (</w:t>
            </w:r>
            <w:r w:rsidR="001128AE" w:rsidRPr="00DA3FF0">
              <w:t>ISC-TF</w:t>
            </w:r>
            <w:r w:rsidR="001128AE">
              <w:t>)</w:t>
            </w:r>
            <w:r w:rsidRPr="00694B5A">
              <w:rPr>
                <w:rFonts w:asciiTheme="majorBidi" w:hAnsiTheme="majorBidi" w:cstheme="majorBidi"/>
              </w:rPr>
              <w:t>. Last meeting of the ISC</w:t>
            </w:r>
            <w:r w:rsidR="001128AE">
              <w:rPr>
                <w:rFonts w:asciiTheme="majorBidi" w:hAnsiTheme="majorBidi" w:cstheme="majorBidi"/>
              </w:rPr>
              <w:t>-TF</w:t>
            </w:r>
            <w:r w:rsidRPr="00694B5A">
              <w:rPr>
                <w:rFonts w:asciiTheme="majorBidi" w:hAnsiTheme="majorBidi" w:cstheme="majorBidi"/>
              </w:rPr>
              <w:t xml:space="preserve"> was held on </w:t>
            </w:r>
            <w:r w:rsidR="00BA7278">
              <w:rPr>
                <w:rFonts w:asciiTheme="majorBidi" w:hAnsiTheme="majorBidi" w:cstheme="majorBidi"/>
              </w:rPr>
              <w:t>August</w:t>
            </w:r>
            <w:r w:rsidR="001128AE">
              <w:rPr>
                <w:rFonts w:asciiTheme="majorBidi" w:hAnsiTheme="majorBidi" w:cstheme="majorBidi"/>
              </w:rPr>
              <w:t xml:space="preserve"> </w:t>
            </w:r>
            <w:r w:rsidR="00BA7278">
              <w:rPr>
                <w:rFonts w:asciiTheme="majorBidi" w:hAnsiTheme="majorBidi" w:cstheme="majorBidi"/>
              </w:rPr>
              <w:t>3</w:t>
            </w:r>
            <w:r w:rsidRPr="00694B5A">
              <w:rPr>
                <w:rFonts w:asciiTheme="majorBidi" w:hAnsiTheme="majorBidi" w:cstheme="majorBidi"/>
              </w:rPr>
              <w:t>, 20</w:t>
            </w:r>
            <w:r w:rsidR="001128AE">
              <w:rPr>
                <w:rFonts w:asciiTheme="majorBidi" w:hAnsiTheme="majorBidi" w:cstheme="majorBidi"/>
              </w:rPr>
              <w:t>20</w:t>
            </w:r>
            <w:r w:rsidRPr="00694B5A">
              <w:rPr>
                <w:rFonts w:asciiTheme="majorBidi" w:hAnsiTheme="majorBidi" w:cstheme="majorBidi"/>
              </w:rPr>
              <w:t>.</w:t>
            </w:r>
            <w:r w:rsidR="00BA7278">
              <w:rPr>
                <w:rFonts w:asciiTheme="majorBidi" w:hAnsiTheme="majorBidi" w:cstheme="majorBidi"/>
              </w:rPr>
              <w:br/>
            </w:r>
            <w:r w:rsidR="003F1E96">
              <w:rPr>
                <w:rFonts w:asciiTheme="majorBidi" w:hAnsiTheme="majorBidi" w:cstheme="majorBidi"/>
              </w:rPr>
              <w:t xml:space="preserve">The ISC-TF </w:t>
            </w:r>
            <w:r w:rsidR="003F1E96" w:rsidRPr="003F1E96">
              <w:rPr>
                <w:rFonts w:asciiTheme="majorBidi" w:hAnsiTheme="majorBidi" w:cstheme="majorBidi"/>
              </w:rPr>
              <w:t>was established to enhance the coordination and collaboration among the three Bureaux and the General Secretariat, with a view to avoid internal duplication of effort and optimize the use of resources</w:t>
            </w:r>
            <w:r w:rsidR="003F1E96">
              <w:rPr>
                <w:rFonts w:asciiTheme="majorBidi" w:hAnsiTheme="majorBidi" w:cstheme="majorBidi"/>
              </w:rPr>
              <w:t>.</w:t>
            </w:r>
          </w:p>
        </w:tc>
      </w:tr>
    </w:tbl>
    <w:p w14:paraId="2BBA4E93" w14:textId="4BE3CFBE" w:rsidR="00581157" w:rsidRDefault="004B27E4" w:rsidP="004B27E4">
      <w:pPr>
        <w:rPr>
          <w:rFonts w:asciiTheme="majorBidi" w:hAnsiTheme="majorBidi" w:cstheme="majorBidi"/>
        </w:rPr>
      </w:pPr>
      <w:r w:rsidRPr="00B97067">
        <w:rPr>
          <w:rFonts w:asciiTheme="majorBidi" w:hAnsiTheme="majorBidi" w:cstheme="majorBidi"/>
          <w:b/>
          <w:bCs/>
        </w:rPr>
        <w:t>Action</w:t>
      </w:r>
      <w:r w:rsidRPr="00B97067">
        <w:rPr>
          <w:rFonts w:asciiTheme="majorBidi" w:hAnsiTheme="majorBidi" w:cstheme="majorBidi"/>
        </w:rPr>
        <w:t>:</w:t>
      </w:r>
    </w:p>
    <w:p w14:paraId="2578DC78" w14:textId="75B977E1" w:rsidR="004B27E4" w:rsidRPr="00B97067" w:rsidRDefault="00581157" w:rsidP="00581157">
      <w:pPr>
        <w:ind w:left="720"/>
        <w:rPr>
          <w:rFonts w:asciiTheme="majorBidi" w:hAnsiTheme="majorBidi" w:cstheme="majorBidi"/>
        </w:rPr>
      </w:pPr>
      <w:r>
        <w:t xml:space="preserve">TSAG is invited to </w:t>
      </w:r>
      <w:r w:rsidR="001128AE">
        <w:t>note</w:t>
      </w:r>
      <w:r>
        <w:t xml:space="preserve"> this document and </w:t>
      </w:r>
      <w:r w:rsidR="001128AE">
        <w:t>provide feedback</w:t>
      </w:r>
      <w:r w:rsidR="004B27E4" w:rsidRPr="00B97067">
        <w:rPr>
          <w:rFonts w:asciiTheme="majorBidi" w:hAnsiTheme="majorBidi" w:cstheme="majorBidi"/>
        </w:rPr>
        <w:t>.</w:t>
      </w:r>
    </w:p>
    <w:p w14:paraId="0626EB54" w14:textId="040668D2" w:rsidR="00BA7278" w:rsidRPr="00BA7278" w:rsidRDefault="00BA7278" w:rsidP="00BA7278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 w:after="120"/>
        <w:ind w:left="0" w:firstLine="0"/>
        <w:jc w:val="both"/>
        <w:rPr>
          <w:bCs/>
        </w:rPr>
      </w:pPr>
      <w:bookmarkStart w:id="2" w:name="_Hlk31114351"/>
      <w:r>
        <w:t xml:space="preserve">Coordination within the secretariat: </w:t>
      </w:r>
      <w:r w:rsidRPr="00BA7278">
        <w:rPr>
          <w:bCs/>
        </w:rPr>
        <w:t>Inter-Sectoral Coordination Task Force (ISC-TF)</w:t>
      </w:r>
    </w:p>
    <w:p w14:paraId="1E1EBC7A" w14:textId="77777777" w:rsidR="00BA7278" w:rsidRDefault="00BA7278" w:rsidP="00BA7278">
      <w:pPr>
        <w:pStyle w:val="ListParagraph"/>
        <w:keepNext/>
        <w:keepLines/>
        <w:numPr>
          <w:ilvl w:val="1"/>
          <w:numId w:val="16"/>
        </w:numPr>
        <w:snapToGrid w:val="0"/>
        <w:spacing w:after="120"/>
        <w:ind w:left="0" w:firstLine="0"/>
        <w:contextualSpacing w:val="0"/>
        <w:jc w:val="both"/>
      </w:pPr>
      <w:r w:rsidRPr="003A0613">
        <w:t>The Inter-Sector</w:t>
      </w:r>
      <w:r>
        <w:t>al</w:t>
      </w:r>
      <w:r w:rsidRPr="003A0613">
        <w:t xml:space="preserve"> Coordination Task Force (ISC-TF) was established to enhance the coordination and collaboration among the three Bureaux and the General Secretariat, with a view to avoid internal duplication of effort and optimize the use of resources. The Terms of Reference of the ISC-TF were specified in</w:t>
      </w:r>
      <w:r>
        <w:t xml:space="preserve"> </w:t>
      </w:r>
      <w:hyperlink r:id="rId12" w:history="1">
        <w:r w:rsidRPr="003A0613">
          <w:rPr>
            <w:rStyle w:val="Hyperlink"/>
          </w:rPr>
          <w:t>Service Order No. 16/13</w:t>
        </w:r>
      </w:hyperlink>
      <w:r>
        <w:t>.</w:t>
      </w:r>
    </w:p>
    <w:p w14:paraId="1C314853" w14:textId="28985C28" w:rsidR="00BA7278" w:rsidRDefault="00BA7278" w:rsidP="00BA7278">
      <w:pPr>
        <w:pStyle w:val="ListParagraph"/>
        <w:numPr>
          <w:ilvl w:val="1"/>
          <w:numId w:val="16"/>
        </w:numPr>
        <w:snapToGrid w:val="0"/>
        <w:spacing w:after="120"/>
        <w:ind w:left="0" w:firstLine="0"/>
        <w:contextualSpacing w:val="0"/>
        <w:jc w:val="both"/>
      </w:pPr>
      <w:r w:rsidRPr="003A0613">
        <w:t xml:space="preserve">The ISC-TF held </w:t>
      </w:r>
      <w:r>
        <w:t>its last meeting (36</w:t>
      </w:r>
      <w:r w:rsidRPr="00BA7278">
        <w:rPr>
          <w:vertAlign w:val="superscript"/>
        </w:rPr>
        <w:t>th</w:t>
      </w:r>
      <w:r>
        <w:t xml:space="preserve">) on 3 August 2020. The ISC-TF is chaired by the Deputy Secretary-General, with the participation of: </w:t>
      </w:r>
      <w:r w:rsidRPr="003A0613">
        <w:rPr>
          <w:i/>
          <w:iCs/>
        </w:rPr>
        <w:t>a)</w:t>
      </w:r>
      <w:r>
        <w:t xml:space="preserve"> the Deputies to the Directors of the three Bureaux and the Chief of the Strategic Planning and Membership Department; </w:t>
      </w:r>
      <w:r w:rsidRPr="003A0613">
        <w:rPr>
          <w:i/>
          <w:iCs/>
        </w:rPr>
        <w:t>b)</w:t>
      </w:r>
      <w:r>
        <w:t xml:space="preserve"> the Inter-sectoral Focal Points responsible for specific thematic areas; </w:t>
      </w:r>
      <w:r w:rsidRPr="003A0613">
        <w:rPr>
          <w:i/>
          <w:iCs/>
        </w:rPr>
        <w:t>c)</w:t>
      </w:r>
      <w:r>
        <w:t xml:space="preserve"> the Regional Directors; </w:t>
      </w:r>
      <w:r w:rsidRPr="003A0613">
        <w:rPr>
          <w:i/>
          <w:iCs/>
        </w:rPr>
        <w:t>d)</w:t>
      </w:r>
      <w:r>
        <w:t xml:space="preserve"> the Chiefs of Departments of the General Secretariat; </w:t>
      </w:r>
      <w:r w:rsidRPr="003A0613">
        <w:rPr>
          <w:i/>
          <w:iCs/>
        </w:rPr>
        <w:t>e)</w:t>
      </w:r>
      <w:r>
        <w:t xml:space="preserve"> as an observer, the Head of the Internal Audit Unit, and </w:t>
      </w:r>
      <w:r w:rsidRPr="003A0613">
        <w:rPr>
          <w:i/>
          <w:iCs/>
        </w:rPr>
        <w:t>f)</w:t>
      </w:r>
      <w:r>
        <w:t xml:space="preserve"> at the invitation of the Chairman, the Chiefs of Departments of the Bureaux.</w:t>
      </w:r>
    </w:p>
    <w:p w14:paraId="29B04DE1" w14:textId="43F23CC4" w:rsidR="00BA7278" w:rsidRDefault="00BA7278" w:rsidP="00BA7278">
      <w:pPr>
        <w:pStyle w:val="ListParagraph"/>
        <w:numPr>
          <w:ilvl w:val="1"/>
          <w:numId w:val="16"/>
        </w:numPr>
        <w:snapToGrid w:val="0"/>
        <w:spacing w:after="120"/>
        <w:ind w:left="0" w:firstLine="0"/>
        <w:contextualSpacing w:val="0"/>
        <w:jc w:val="both"/>
      </w:pPr>
      <w:r>
        <w:t xml:space="preserve">The areas of inter-sectoral interest coordinated by ISC-TF include the topics of Accessibility, Artificial Intelligence, Bridging the Standards Gap, Communications and Web Editorial, Emerging Trends, Emergency Telecommunications, Environment and Smart Sustainable </w:t>
      </w:r>
      <w:r w:rsidR="007A377D">
        <w:t>Communities</w:t>
      </w:r>
      <w:r>
        <w:t xml:space="preserve">, Events Coordination, Gender, Geospatial activities (since 2019), </w:t>
      </w:r>
      <w:r w:rsidR="007A377D">
        <w:t xml:space="preserve">and </w:t>
      </w:r>
      <w:r>
        <w:t>Membership, Resource Mobilization and SMEs. The group continues to:</w:t>
      </w:r>
    </w:p>
    <w:p w14:paraId="6BA86D47" w14:textId="3F11F66E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t>facilitate the exchange of information among the Sectors and the General Secretariat on the above-mentioned thematic areas on the developments and the progress achieved in each area;</w:t>
      </w:r>
    </w:p>
    <w:p w14:paraId="37753401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t>discuss and propose solutions for the key issues raised by the focal points, escalating the issues if decisions could not be taken or resolved at the focal point level;</w:t>
      </w:r>
    </w:p>
    <w:p w14:paraId="2658E3E8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t>leverage the participation and contribution of the Regional Offices, which have been participating through remote participation to the ISC-TF discussions;</w:t>
      </w:r>
    </w:p>
    <w:p w14:paraId="3B2BF115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lastRenderedPageBreak/>
        <w:t>coordinate the process of publishing and updating information on ITU’s work on the thematic areas on the relevant ITU webpages, in an open and transparent way;</w:t>
      </w:r>
    </w:p>
    <w:p w14:paraId="1FCC7624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t>coordinate ITU’s participation in conferences and fora with the aim to rationalize ITU’s delegation/presence whilst ensuring inter-sectoral interests are represented; and</w:t>
      </w:r>
    </w:p>
    <w:p w14:paraId="01DD0FCF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t>facilitate better coordination in the organization of ITU events and meetings, through the work carried out in that particular area.</w:t>
      </w:r>
    </w:p>
    <w:p w14:paraId="18B42BAD" w14:textId="0B4CB5B9" w:rsidR="00BA7278" w:rsidRDefault="00BA7278" w:rsidP="00BA7278">
      <w:pPr>
        <w:pStyle w:val="ListParagraph"/>
        <w:keepNext/>
        <w:numPr>
          <w:ilvl w:val="1"/>
          <w:numId w:val="16"/>
        </w:numPr>
        <w:snapToGrid w:val="0"/>
        <w:spacing w:after="120"/>
        <w:ind w:left="0" w:firstLine="0"/>
        <w:contextualSpacing w:val="0"/>
        <w:jc w:val="both"/>
      </w:pPr>
      <w:r>
        <w:t>In addition, the group achieved the following outcomes during the previous year (</w:t>
      </w:r>
      <w:r w:rsidR="002B2E33">
        <w:t>highlighted</w:t>
      </w:r>
      <w:r>
        <w:t xml:space="preserve"> also in Doc. </w:t>
      </w:r>
      <w:hyperlink r:id="rId13" w:history="1">
        <w:r w:rsidRPr="00BA7278">
          <w:rPr>
            <w:rStyle w:val="Hyperlink"/>
            <w:rFonts w:ascii="Times New Roman" w:hAnsi="Times New Roman"/>
          </w:rPr>
          <w:t>C20/38</w:t>
        </w:r>
      </w:hyperlink>
      <w:r w:rsidR="002B2E33">
        <w:t xml:space="preserve"> , which was prepared for the postponed physical session of Council 2020</w:t>
      </w:r>
      <w:r>
        <w:t>):</w:t>
      </w:r>
    </w:p>
    <w:p w14:paraId="52FC5D85" w14:textId="287A9526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 w:rsidRPr="003662D1">
        <w:rPr>
          <w:i/>
          <w:iCs/>
        </w:rPr>
        <w:t>Inter-sectoral coordination strategy</w:t>
      </w:r>
      <w:r>
        <w:t>:</w:t>
      </w:r>
      <w:r w:rsidRPr="000906A9">
        <w:rPr>
          <w:lang w:val="en-US"/>
        </w:rPr>
        <w:t xml:space="preserve"> </w:t>
      </w:r>
      <w:r>
        <w:rPr>
          <w:lang w:val="en-US"/>
        </w:rPr>
        <w:t>the secretariat continued the efforts in this area, presenting further improvements to the current model, focusing more on the common thematic areas of work</w:t>
      </w:r>
      <w:r w:rsidRPr="000906A9">
        <w:t>.</w:t>
      </w:r>
      <w:r>
        <w:t xml:space="preserve"> As a result, the ITU Annual Report (Doc. C20/35) is structured around “themes”/areas of work, while in coordination with the ISCG membership, some “pilot themes” were identified where all actors c</w:t>
      </w:r>
      <w:r w:rsidRPr="000906A9">
        <w:t>ould be involved in identifying methods of improved collaboration.</w:t>
      </w:r>
    </w:p>
    <w:p w14:paraId="369CA7B6" w14:textId="57E3463D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 w:rsidRPr="004B63C1">
        <w:rPr>
          <w:i/>
          <w:iCs/>
        </w:rPr>
        <w:t>Webpage and</w:t>
      </w:r>
      <w:r>
        <w:rPr>
          <w:i/>
          <w:iCs/>
        </w:rPr>
        <w:t xml:space="preserve"> consolidated</w:t>
      </w:r>
      <w:r w:rsidRPr="004B63C1">
        <w:rPr>
          <w:i/>
          <w:iCs/>
        </w:rPr>
        <w:t xml:space="preserve"> information on Inter-sectoral coordination</w:t>
      </w:r>
      <w:r>
        <w:t xml:space="preserve">: the group </w:t>
      </w:r>
      <w:r w:rsidR="00A86BD2">
        <w:t xml:space="preserve">worked to </w:t>
      </w:r>
      <w:r>
        <w:t xml:space="preserve">consolidate all information on inter-sectoral activities under the common </w:t>
      </w:r>
      <w:hyperlink r:id="rId14" w:history="1">
        <w:r w:rsidRPr="004B63C1">
          <w:rPr>
            <w:rStyle w:val="Hyperlink"/>
          </w:rPr>
          <w:t>Webpage on Inter-Sectoral Coordination</w:t>
        </w:r>
      </w:hyperlink>
      <w:r>
        <w:t>, in collaboration with the Chair of ISCG.</w:t>
      </w:r>
    </w:p>
    <w:p w14:paraId="32DAB647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 w:rsidRPr="004B63C1">
        <w:rPr>
          <w:i/>
          <w:iCs/>
        </w:rPr>
        <w:t xml:space="preserve">Strengthening ITU </w:t>
      </w:r>
      <w:r>
        <w:rPr>
          <w:i/>
          <w:iCs/>
        </w:rPr>
        <w:t>r</w:t>
      </w:r>
      <w:r w:rsidRPr="004B63C1">
        <w:rPr>
          <w:i/>
          <w:iCs/>
        </w:rPr>
        <w:t xml:space="preserve">isk </w:t>
      </w:r>
      <w:r>
        <w:rPr>
          <w:i/>
          <w:iCs/>
        </w:rPr>
        <w:t>m</w:t>
      </w:r>
      <w:r w:rsidRPr="004B63C1">
        <w:rPr>
          <w:i/>
          <w:iCs/>
        </w:rPr>
        <w:t xml:space="preserve">anagement </w:t>
      </w:r>
      <w:r>
        <w:rPr>
          <w:i/>
          <w:iCs/>
        </w:rPr>
        <w:t>f</w:t>
      </w:r>
      <w:r w:rsidRPr="004B63C1">
        <w:rPr>
          <w:i/>
          <w:iCs/>
        </w:rPr>
        <w:t>ramework</w:t>
      </w:r>
      <w:r>
        <w:t xml:space="preserve">: a self-assessment for ITU against the UN Risk Maturity Model developed by the UN High-Level Committee on Management (HLCM) was conducted, and the results, as well as the proposed Action Plan to strengthen the ITU Risk Management framework were presented to the CWG-FHR. </w:t>
      </w:r>
      <w:hyperlink r:id="rId15" w:history="1">
        <w:r w:rsidRPr="008058BC">
          <w:rPr>
            <w:rStyle w:val="Hyperlink"/>
          </w:rPr>
          <w:t>Document C20/61</w:t>
        </w:r>
      </w:hyperlink>
      <w:r w:rsidRPr="00044619">
        <w:t xml:space="preserve"> reports</w:t>
      </w:r>
      <w:r>
        <w:t xml:space="preserve"> on the implementation of the risk management Action Plan.</w:t>
      </w:r>
    </w:p>
    <w:p w14:paraId="0B8F8E60" w14:textId="1C68F88B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rPr>
          <w:i/>
          <w:iCs/>
        </w:rPr>
        <w:t>Joint Inspection Unit of the UN System (</w:t>
      </w:r>
      <w:r w:rsidRPr="000906A9">
        <w:rPr>
          <w:i/>
          <w:iCs/>
        </w:rPr>
        <w:t>JIU</w:t>
      </w:r>
      <w:r>
        <w:rPr>
          <w:i/>
          <w:iCs/>
        </w:rPr>
        <w:t>)</w:t>
      </w:r>
      <w:r>
        <w:t>: the group reviewed and endorsed acceptance and implementation status, where appropriate, of recommendations in JIU system-wide reports</w:t>
      </w:r>
      <w:r w:rsidR="0070559D">
        <w:t xml:space="preserve">; </w:t>
      </w:r>
      <w:r>
        <w:t xml:space="preserve">noted the JIU’s </w:t>
      </w:r>
      <w:r w:rsidRPr="000906A9">
        <w:rPr>
          <w:i/>
          <w:iCs/>
        </w:rPr>
        <w:t xml:space="preserve">Programme of Work </w:t>
      </w:r>
      <w:r>
        <w:rPr>
          <w:i/>
          <w:iCs/>
        </w:rPr>
        <w:t xml:space="preserve">for </w:t>
      </w:r>
      <w:r w:rsidRPr="000906A9">
        <w:rPr>
          <w:i/>
          <w:iCs/>
        </w:rPr>
        <w:t>20</w:t>
      </w:r>
      <w:r>
        <w:rPr>
          <w:i/>
          <w:iCs/>
        </w:rPr>
        <w:t>20</w:t>
      </w:r>
      <w:r>
        <w:t xml:space="preserve"> and designated the respective ITU focal points for each of the system-wide thematic reviews</w:t>
      </w:r>
      <w:r w:rsidR="0070559D">
        <w:t>;</w:t>
      </w:r>
      <w:r w:rsidR="00B80185">
        <w:t xml:space="preserve"> and </w:t>
      </w:r>
      <w:r w:rsidR="0070559D">
        <w:t xml:space="preserve">provided inputs in the development of </w:t>
      </w:r>
      <w:r w:rsidR="00B80185">
        <w:t xml:space="preserve">the </w:t>
      </w:r>
      <w:r w:rsidR="0070559D">
        <w:t>2021 JIU’s Programme of Work</w:t>
      </w:r>
      <w:r>
        <w:t>;</w:t>
      </w:r>
    </w:p>
    <w:p w14:paraId="4776B369" w14:textId="4A8BBA74" w:rsidR="0070559D" w:rsidRPr="0070559D" w:rsidRDefault="0070559D" w:rsidP="0070559D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 w:rsidRPr="0070559D">
        <w:rPr>
          <w:i/>
          <w:iCs/>
        </w:rPr>
        <w:t>Geospatial activities</w:t>
      </w:r>
      <w:r>
        <w:t xml:space="preserve">: </w:t>
      </w:r>
      <w:r w:rsidR="00A86BD2">
        <w:t>a</w:t>
      </w:r>
      <w:r w:rsidRPr="0070559D">
        <w:rPr>
          <w:lang w:val="en-US"/>
        </w:rPr>
        <w:t xml:space="preserve">n internal group </w:t>
      </w:r>
      <w:r w:rsidR="00A86BD2">
        <w:rPr>
          <w:lang w:val="en-US"/>
        </w:rPr>
        <w:t xml:space="preserve">has been </w:t>
      </w:r>
      <w:r w:rsidRPr="0070559D">
        <w:rPr>
          <w:lang w:val="en-US"/>
        </w:rPr>
        <w:t>formed aim</w:t>
      </w:r>
      <w:r w:rsidR="00A86BD2">
        <w:rPr>
          <w:lang w:val="en-US"/>
        </w:rPr>
        <w:t>ing</w:t>
      </w:r>
      <w:r w:rsidRPr="0070559D">
        <w:rPr>
          <w:lang w:val="en-US"/>
        </w:rPr>
        <w:t xml:space="preserve"> to: </w:t>
      </w:r>
      <w:r w:rsidRPr="00A86BD2">
        <w:rPr>
          <w:i/>
          <w:iCs/>
          <w:lang w:val="en-US"/>
        </w:rPr>
        <w:t>a)</w:t>
      </w:r>
      <w:r w:rsidRPr="0070559D">
        <w:rPr>
          <w:lang w:val="en-US"/>
        </w:rPr>
        <w:t xml:space="preserve"> raise awareness of the importance of geospatial to a wide range of ITU activities; </w:t>
      </w:r>
      <w:r w:rsidRPr="00A86BD2">
        <w:rPr>
          <w:i/>
          <w:iCs/>
          <w:lang w:val="en-US"/>
        </w:rPr>
        <w:t>b)</w:t>
      </w:r>
      <w:r w:rsidRPr="0070559D">
        <w:rPr>
          <w:lang w:val="en-US"/>
        </w:rPr>
        <w:t xml:space="preserve"> leverage the strategic role of geospatial data for efficient development of telecommunication infrastructure and systems; and </w:t>
      </w:r>
      <w:r w:rsidRPr="00A86BD2">
        <w:rPr>
          <w:i/>
          <w:iCs/>
          <w:lang w:val="en-US"/>
        </w:rPr>
        <w:t>c)</w:t>
      </w:r>
      <w:r w:rsidRPr="0070559D">
        <w:rPr>
          <w:lang w:val="en-US"/>
        </w:rPr>
        <w:t xml:space="preserve"> harmonize GIS activities in ITU in terms of geospatial knowledge sharing, data and software</w:t>
      </w:r>
      <w:r w:rsidR="00B4749C">
        <w:rPr>
          <w:lang w:val="en-US"/>
        </w:rPr>
        <w:t xml:space="preserve"> tools</w:t>
      </w:r>
      <w:r w:rsidRPr="0070559D">
        <w:rPr>
          <w:lang w:val="en-US"/>
        </w:rPr>
        <w:t>.</w:t>
      </w:r>
    </w:p>
    <w:p w14:paraId="1D559E6B" w14:textId="0213AA3E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 w:rsidRPr="000906A9">
        <w:rPr>
          <w:i/>
          <w:iCs/>
        </w:rPr>
        <w:t>Membership reporting</w:t>
      </w:r>
      <w:r>
        <w:t>: the group reviewed the detailed reporting on the status of Membership by Sector and Region;</w:t>
      </w:r>
    </w:p>
    <w:p w14:paraId="78AB226B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>
        <w:rPr>
          <w:i/>
          <w:iCs/>
        </w:rPr>
        <w:t>Participation of SMEs in the work of the Union</w:t>
      </w:r>
      <w:r w:rsidRPr="000906A9">
        <w:t>:</w:t>
      </w:r>
      <w:r>
        <w:t xml:space="preserve"> the group continued assessing the participation of SMEs;</w:t>
      </w:r>
    </w:p>
    <w:p w14:paraId="585461E0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 w:rsidRPr="009E60F2">
        <w:rPr>
          <w:i/>
          <w:iCs/>
        </w:rPr>
        <w:t>ITU Focal Point</w:t>
      </w:r>
      <w:r>
        <w:rPr>
          <w:i/>
          <w:iCs/>
        </w:rPr>
        <w:t>s</w:t>
      </w:r>
      <w:r w:rsidRPr="009E60F2">
        <w:rPr>
          <w:i/>
          <w:iCs/>
        </w:rPr>
        <w:t xml:space="preserve"> in UN system coordination mechanisms</w:t>
      </w:r>
      <w:r>
        <w:t xml:space="preserve">: the group </w:t>
      </w:r>
      <w:r w:rsidRPr="009E60F2">
        <w:t>reviewed</w:t>
      </w:r>
      <w:r>
        <w:t xml:space="preserve"> </w:t>
      </w:r>
      <w:r w:rsidRPr="009E60F2">
        <w:t xml:space="preserve">the list of </w:t>
      </w:r>
      <w:r>
        <w:t>f</w:t>
      </w:r>
      <w:r w:rsidRPr="009E60F2">
        <w:t>ocal points</w:t>
      </w:r>
      <w:r>
        <w:t xml:space="preserve"> and ITU’s participation in the different UN-wide coordination mechanisms;</w:t>
      </w:r>
    </w:p>
    <w:p w14:paraId="383BA3B8" w14:textId="77777777" w:rsidR="00BA7278" w:rsidRDefault="00BA7278" w:rsidP="00BA7278">
      <w:pPr>
        <w:pStyle w:val="ListParagraph"/>
        <w:numPr>
          <w:ilvl w:val="0"/>
          <w:numId w:val="18"/>
        </w:numPr>
        <w:snapToGrid w:val="0"/>
        <w:spacing w:after="120"/>
        <w:contextualSpacing w:val="0"/>
        <w:jc w:val="both"/>
      </w:pPr>
      <w:r w:rsidRPr="003F1B4E">
        <w:rPr>
          <w:i/>
          <w:iCs/>
        </w:rPr>
        <w:t>Mechanisms on inter-sectoral coordination in response to CoVid-19</w:t>
      </w:r>
      <w:r>
        <w:t xml:space="preserve">: ISC-TF agreed on two new mechanisms created on CoVid-related inter-sectoral coordination: </w:t>
      </w:r>
      <w:r w:rsidRPr="003F1B4E">
        <w:rPr>
          <w:i/>
          <w:iCs/>
        </w:rPr>
        <w:t>a)</w:t>
      </w:r>
      <w:r>
        <w:t xml:space="preserve"> an Inter-sectoral group on CoVid-related activities, the “ITU-CoVid response team”, and </w:t>
      </w:r>
      <w:r w:rsidRPr="003F1B4E">
        <w:rPr>
          <w:i/>
          <w:iCs/>
        </w:rPr>
        <w:t>b)</w:t>
      </w:r>
      <w:r>
        <w:t xml:space="preserve"> an Inter-sectoral group on coordination for virtual meetings and remote participation for the upcoming ITU events.</w:t>
      </w:r>
    </w:p>
    <w:p w14:paraId="4920344D" w14:textId="04EFF81D" w:rsidR="00195AA4" w:rsidRPr="00195AA4" w:rsidRDefault="00195AA4" w:rsidP="00144AD1">
      <w:pPr>
        <w:jc w:val="both"/>
      </w:pPr>
    </w:p>
    <w:p w14:paraId="4C7B8BB5" w14:textId="358CF0BE" w:rsidR="001365C2" w:rsidRPr="001365C2" w:rsidRDefault="001365C2" w:rsidP="00511D9F">
      <w:pPr>
        <w:keepNext/>
        <w:keepLines/>
        <w:spacing w:before="240"/>
        <w:jc w:val="both"/>
        <w:rPr>
          <w:b/>
          <w:bCs/>
        </w:rPr>
      </w:pPr>
      <w:bookmarkStart w:id="3" w:name="_Hlk31114367"/>
      <w:bookmarkEnd w:id="2"/>
      <w:r w:rsidRPr="001365C2">
        <w:rPr>
          <w:b/>
          <w:bCs/>
        </w:rPr>
        <w:lastRenderedPageBreak/>
        <w:t>Conclusion</w:t>
      </w:r>
    </w:p>
    <w:p w14:paraId="33238F71" w14:textId="7A48B61E" w:rsidR="00702E4C" w:rsidRDefault="006D3155" w:rsidP="00C53D23">
      <w:pPr>
        <w:keepNext/>
        <w:keepLines/>
        <w:jc w:val="both"/>
      </w:pPr>
      <w:r>
        <w:t xml:space="preserve">TSAG is invited to </w:t>
      </w:r>
      <w:r w:rsidR="004F0AFF">
        <w:t>provide feedback on the work/results of the ISC-TF</w:t>
      </w:r>
      <w:r>
        <w:t>.</w:t>
      </w:r>
      <w:bookmarkEnd w:id="3"/>
    </w:p>
    <w:p w14:paraId="527F9C93" w14:textId="44932357" w:rsidR="00902830" w:rsidRDefault="00902830" w:rsidP="00C53D23">
      <w:pPr>
        <w:keepNext/>
        <w:keepLines/>
        <w:jc w:val="both"/>
      </w:pPr>
    </w:p>
    <w:p w14:paraId="5BBFA9BA" w14:textId="646641DF" w:rsidR="00902830" w:rsidRDefault="00902830" w:rsidP="00902830">
      <w:pPr>
        <w:keepNext/>
        <w:keepLines/>
        <w:jc w:val="center"/>
      </w:pPr>
      <w:r>
        <w:t>_______________</w:t>
      </w:r>
    </w:p>
    <w:sectPr w:rsidR="00902830" w:rsidSect="00C53D23">
      <w:headerReference w:type="default" r:id="rId16"/>
      <w:pgSz w:w="11907" w:h="16840" w:code="9"/>
      <w:pgMar w:top="1021" w:right="1134" w:bottom="102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5AD0E" w14:textId="77777777" w:rsidR="003D6A49" w:rsidRDefault="003D6A49" w:rsidP="00C42125">
      <w:pPr>
        <w:spacing w:before="0"/>
      </w:pPr>
      <w:r>
        <w:separator/>
      </w:r>
    </w:p>
  </w:endnote>
  <w:endnote w:type="continuationSeparator" w:id="0">
    <w:p w14:paraId="1C53D678" w14:textId="77777777" w:rsidR="003D6A49" w:rsidRDefault="003D6A4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B42B2" w14:textId="77777777" w:rsidR="003D6A49" w:rsidRDefault="003D6A49" w:rsidP="00C42125">
      <w:pPr>
        <w:spacing w:before="0"/>
      </w:pPr>
      <w:r>
        <w:separator/>
      </w:r>
    </w:p>
  </w:footnote>
  <w:footnote w:type="continuationSeparator" w:id="0">
    <w:p w14:paraId="11988DB5" w14:textId="77777777" w:rsidR="003D6A49" w:rsidRDefault="003D6A4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1BC4" w14:textId="77435AAE" w:rsidR="00C055F6" w:rsidRPr="00C42125" w:rsidRDefault="00C0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511D9F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placeholder>
        <w:docPart w:val="6D0FDD57E00E4FF994426B513F9C0CB9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25FC0A97" w14:textId="26ECE055" w:rsidR="00C055F6" w:rsidRPr="00C42125" w:rsidRDefault="00694B5A" w:rsidP="007E53E4">
        <w:pPr>
          <w:pStyle w:val="Header"/>
        </w:pPr>
        <w:r w:rsidRPr="00F40BA0">
          <w:t>TSAG-TD</w:t>
        </w:r>
        <w:r w:rsidR="00F40BA0" w:rsidRPr="00F40BA0">
          <w:t>815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E3"/>
    <w:multiLevelType w:val="hybridMultilevel"/>
    <w:tmpl w:val="6BEE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66F9C"/>
    <w:multiLevelType w:val="hybridMultilevel"/>
    <w:tmpl w:val="FD28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56C9"/>
    <w:multiLevelType w:val="hybridMultilevel"/>
    <w:tmpl w:val="25B6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B0268D"/>
    <w:multiLevelType w:val="hybridMultilevel"/>
    <w:tmpl w:val="5C18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D87AE3"/>
    <w:multiLevelType w:val="hybridMultilevel"/>
    <w:tmpl w:val="6C3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14F69"/>
    <w:rsid w:val="000171DB"/>
    <w:rsid w:val="00023D9A"/>
    <w:rsid w:val="000266BD"/>
    <w:rsid w:val="0003582E"/>
    <w:rsid w:val="00043D75"/>
    <w:rsid w:val="00057000"/>
    <w:rsid w:val="000640E0"/>
    <w:rsid w:val="00086D80"/>
    <w:rsid w:val="000966A8"/>
    <w:rsid w:val="000A0A5C"/>
    <w:rsid w:val="000A5CA2"/>
    <w:rsid w:val="000B6C83"/>
    <w:rsid w:val="000E3C61"/>
    <w:rsid w:val="000E3E55"/>
    <w:rsid w:val="000E6083"/>
    <w:rsid w:val="000E6125"/>
    <w:rsid w:val="00100BAF"/>
    <w:rsid w:val="001128AE"/>
    <w:rsid w:val="00113DBE"/>
    <w:rsid w:val="001200A6"/>
    <w:rsid w:val="001251DA"/>
    <w:rsid w:val="00125432"/>
    <w:rsid w:val="001365C2"/>
    <w:rsid w:val="00136DDD"/>
    <w:rsid w:val="00137F40"/>
    <w:rsid w:val="00144AD1"/>
    <w:rsid w:val="00144BDF"/>
    <w:rsid w:val="00155DDC"/>
    <w:rsid w:val="001635BB"/>
    <w:rsid w:val="001871EC"/>
    <w:rsid w:val="00195AA4"/>
    <w:rsid w:val="001A20C3"/>
    <w:rsid w:val="001A670F"/>
    <w:rsid w:val="001A7689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14DE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B2E33"/>
    <w:rsid w:val="002C26C0"/>
    <w:rsid w:val="002C2BC5"/>
    <w:rsid w:val="002D4733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6595C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51A6"/>
    <w:rsid w:val="003D6A49"/>
    <w:rsid w:val="003E39A2"/>
    <w:rsid w:val="003E57AB"/>
    <w:rsid w:val="003F1E96"/>
    <w:rsid w:val="003F2BED"/>
    <w:rsid w:val="00400B49"/>
    <w:rsid w:val="00443878"/>
    <w:rsid w:val="004539A8"/>
    <w:rsid w:val="004712CA"/>
    <w:rsid w:val="0047422E"/>
    <w:rsid w:val="0049674B"/>
    <w:rsid w:val="004B27E4"/>
    <w:rsid w:val="004C0673"/>
    <w:rsid w:val="004C4E4E"/>
    <w:rsid w:val="004E1D8A"/>
    <w:rsid w:val="004F0AFF"/>
    <w:rsid w:val="004F3816"/>
    <w:rsid w:val="004F500A"/>
    <w:rsid w:val="00511D9F"/>
    <w:rsid w:val="005126A0"/>
    <w:rsid w:val="00531A96"/>
    <w:rsid w:val="00543D41"/>
    <w:rsid w:val="00545472"/>
    <w:rsid w:val="00545D2F"/>
    <w:rsid w:val="005571A4"/>
    <w:rsid w:val="00566EDA"/>
    <w:rsid w:val="0057081A"/>
    <w:rsid w:val="00572654"/>
    <w:rsid w:val="00581157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01848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4B5A"/>
    <w:rsid w:val="00695DD7"/>
    <w:rsid w:val="006A0985"/>
    <w:rsid w:val="006A4055"/>
    <w:rsid w:val="006A7C27"/>
    <w:rsid w:val="006B2FE4"/>
    <w:rsid w:val="006B37B0"/>
    <w:rsid w:val="006C5641"/>
    <w:rsid w:val="006D1089"/>
    <w:rsid w:val="006D1B86"/>
    <w:rsid w:val="006D3155"/>
    <w:rsid w:val="006D4B37"/>
    <w:rsid w:val="006D7355"/>
    <w:rsid w:val="006E1BE9"/>
    <w:rsid w:val="006F7DEE"/>
    <w:rsid w:val="00702E4C"/>
    <w:rsid w:val="0070559D"/>
    <w:rsid w:val="00715CA6"/>
    <w:rsid w:val="00731135"/>
    <w:rsid w:val="007324AF"/>
    <w:rsid w:val="007409B4"/>
    <w:rsid w:val="00741974"/>
    <w:rsid w:val="0075525E"/>
    <w:rsid w:val="00756D3D"/>
    <w:rsid w:val="00761389"/>
    <w:rsid w:val="007806C2"/>
    <w:rsid w:val="00781FEE"/>
    <w:rsid w:val="007903F8"/>
    <w:rsid w:val="00794F4F"/>
    <w:rsid w:val="007974BE"/>
    <w:rsid w:val="007A0916"/>
    <w:rsid w:val="007A0DFD"/>
    <w:rsid w:val="007A377D"/>
    <w:rsid w:val="007B08C8"/>
    <w:rsid w:val="007C7122"/>
    <w:rsid w:val="007D3F11"/>
    <w:rsid w:val="007E2C69"/>
    <w:rsid w:val="007E53E4"/>
    <w:rsid w:val="007E656A"/>
    <w:rsid w:val="007F3CAA"/>
    <w:rsid w:val="007F664D"/>
    <w:rsid w:val="008365E9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B5FAE"/>
    <w:rsid w:val="008E0172"/>
    <w:rsid w:val="00902830"/>
    <w:rsid w:val="00927EC1"/>
    <w:rsid w:val="00936852"/>
    <w:rsid w:val="0094045D"/>
    <w:rsid w:val="009406B5"/>
    <w:rsid w:val="00946166"/>
    <w:rsid w:val="00953900"/>
    <w:rsid w:val="00983164"/>
    <w:rsid w:val="0099106B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6F9"/>
    <w:rsid w:val="00A45FEE"/>
    <w:rsid w:val="00A4600B"/>
    <w:rsid w:val="00A46186"/>
    <w:rsid w:val="00A50506"/>
    <w:rsid w:val="00A51EF0"/>
    <w:rsid w:val="00A67A81"/>
    <w:rsid w:val="00A730A6"/>
    <w:rsid w:val="00A86BD2"/>
    <w:rsid w:val="00A96899"/>
    <w:rsid w:val="00A971A0"/>
    <w:rsid w:val="00AA1186"/>
    <w:rsid w:val="00AA120B"/>
    <w:rsid w:val="00AA1F22"/>
    <w:rsid w:val="00AE4C06"/>
    <w:rsid w:val="00B05821"/>
    <w:rsid w:val="00B100D6"/>
    <w:rsid w:val="00B164C9"/>
    <w:rsid w:val="00B26C28"/>
    <w:rsid w:val="00B4174C"/>
    <w:rsid w:val="00B453F5"/>
    <w:rsid w:val="00B4749C"/>
    <w:rsid w:val="00B61624"/>
    <w:rsid w:val="00B66481"/>
    <w:rsid w:val="00B7189C"/>
    <w:rsid w:val="00B718A5"/>
    <w:rsid w:val="00B80185"/>
    <w:rsid w:val="00BA4FA4"/>
    <w:rsid w:val="00BA7278"/>
    <w:rsid w:val="00BA788A"/>
    <w:rsid w:val="00BB4983"/>
    <w:rsid w:val="00BB7597"/>
    <w:rsid w:val="00BC58F0"/>
    <w:rsid w:val="00BC62E2"/>
    <w:rsid w:val="00C055F6"/>
    <w:rsid w:val="00C42125"/>
    <w:rsid w:val="00C53D23"/>
    <w:rsid w:val="00C62814"/>
    <w:rsid w:val="00C67B25"/>
    <w:rsid w:val="00C748F7"/>
    <w:rsid w:val="00C74937"/>
    <w:rsid w:val="00CB2599"/>
    <w:rsid w:val="00CC386F"/>
    <w:rsid w:val="00CD2139"/>
    <w:rsid w:val="00CE5986"/>
    <w:rsid w:val="00D05764"/>
    <w:rsid w:val="00D26477"/>
    <w:rsid w:val="00D40D1B"/>
    <w:rsid w:val="00D52B1C"/>
    <w:rsid w:val="00D647EF"/>
    <w:rsid w:val="00D73137"/>
    <w:rsid w:val="00D87A50"/>
    <w:rsid w:val="00D977A2"/>
    <w:rsid w:val="00DA1D47"/>
    <w:rsid w:val="00DB0706"/>
    <w:rsid w:val="00DB229F"/>
    <w:rsid w:val="00DC0777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DE7"/>
    <w:rsid w:val="00F35F57"/>
    <w:rsid w:val="00F40BA0"/>
    <w:rsid w:val="00F50467"/>
    <w:rsid w:val="00F562A0"/>
    <w:rsid w:val="00F57FA4"/>
    <w:rsid w:val="00FA02CB"/>
    <w:rsid w:val="00FA2177"/>
    <w:rsid w:val="00FB0783"/>
    <w:rsid w:val="00FB7A8B"/>
    <w:rsid w:val="00FC199D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8FE73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5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365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098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02E4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E4C06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A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-C-0038/e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INF-0019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g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0-CL-C-0061/en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general-secretariat/Pages/intersectoral-coordin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0FDD57E00E4FF994426B513F9C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2D92-7CD5-4BDF-90EA-C3AE6E5AAC2C}"/>
      </w:docPartPr>
      <w:docPartBody>
        <w:p w:rsidR="00616BA5" w:rsidRDefault="00FE399B">
          <w:pPr>
            <w:pStyle w:val="6D0FDD57E00E4FF994426B513F9C0CB9"/>
          </w:pPr>
          <w:r w:rsidRPr="007F7415">
            <w:rPr>
              <w:rStyle w:val="PlaceholderText"/>
            </w:rPr>
            <w:t>[S</w:t>
          </w:r>
          <w:r>
            <w:rPr>
              <w:rStyle w:val="PlaceholderText"/>
            </w:rPr>
            <w:t>tudy Group/TSAG</w:t>
          </w:r>
          <w:r w:rsidRPr="007F7415">
            <w:rPr>
              <w:rStyle w:val="PlaceholderText"/>
            </w:rPr>
            <w:t>]</w:t>
          </w:r>
        </w:p>
      </w:docPartBody>
    </w:docPart>
    <w:docPart>
      <w:docPartPr>
        <w:name w:val="01672AEFE42D4D459D7CA14A22AE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D389-2B5A-4266-A514-292C7F1107BA}"/>
      </w:docPartPr>
      <w:docPartBody>
        <w:p w:rsidR="00D148FF" w:rsidRDefault="00F0617B" w:rsidP="00F0617B">
          <w:pPr>
            <w:pStyle w:val="01672AEFE42D4D459D7CA14A22AE91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62C73BE0C8C4620B223AFCEEBF3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2D121-2371-453C-B427-52A89DD95F7E}"/>
      </w:docPartPr>
      <w:docPartBody>
        <w:p w:rsidR="00D148FF" w:rsidRDefault="00F0617B" w:rsidP="00F0617B">
          <w:pPr>
            <w:pStyle w:val="962C73BE0C8C4620B223AFCEEBF3491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70D3D"/>
    <w:rsid w:val="000E1587"/>
    <w:rsid w:val="001C2876"/>
    <w:rsid w:val="00204E21"/>
    <w:rsid w:val="00466E2C"/>
    <w:rsid w:val="004D4268"/>
    <w:rsid w:val="00565335"/>
    <w:rsid w:val="006168BA"/>
    <w:rsid w:val="00616BA5"/>
    <w:rsid w:val="008F4C01"/>
    <w:rsid w:val="0095043F"/>
    <w:rsid w:val="00AC6188"/>
    <w:rsid w:val="00BA3480"/>
    <w:rsid w:val="00D07467"/>
    <w:rsid w:val="00D148FF"/>
    <w:rsid w:val="00F0617B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17B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01672AEFE42D4D459D7CA14A22AE9110">
    <w:name w:val="01672AEFE42D4D459D7CA14A22AE9110"/>
    <w:rsid w:val="00F0617B"/>
    <w:rPr>
      <w:lang w:val="en-GB" w:eastAsia="en-GB"/>
    </w:rPr>
  </w:style>
  <w:style w:type="paragraph" w:customStyle="1" w:styleId="962C73BE0C8C4620B223AFCEEBF3491E">
    <w:name w:val="962C73BE0C8C4620B223AFCEEBF3491E"/>
    <w:rsid w:val="00F0617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N/A</SgText>
    <IsRevision xmlns="3f6fad35-1f81-480e-a4e5-6e5474dcfb96">false</IsRevision>
    <Purpose1 xmlns="3f6fad35-1f81-480e-a4e5-6e5474dcfb96">Information</Purpose1>
    <Abstract xmlns="3f6fad35-1f81-480e-a4e5-6e5474dcfb96">This TD presents the report of the Inter-Sector Coordination Group (ISCG) on Issues of Mutual Interest. Last meeting of the ISCG was held on September 25th, 2019, in Geneva, during the TSAG meeting.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TSAG-TD815</ShortName>
    <Place xmlns="3f6fad35-1f81-480e-a4e5-6e5474dcfb96">Geneva, 10-14 February 2020</Place>
    <IsTooLateSubmitted xmlns="3f6fad35-1f81-480e-a4e5-6e5474dcfb96">false</IsTooLateSubmitted>
    <Observations xmlns="3f6fad35-1f81-480e-a4e5-6e5474dcfb96" xsi:nil="true"/>
    <DocumentSource xmlns="3f6fad35-1f81-480e-a4e5-6e5474dcfb96">ISCG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schemas.openxmlformats.org/package/2006/metadata/core-properties"/>
    <ds:schemaRef ds:uri="http://purl.org/dc/terms/"/>
    <ds:schemaRef ds:uri="3f6fad35-1f81-480e-a4e5-6e5474dcfb96"/>
    <ds:schemaRef ds:uri="http://schemas.microsoft.com/office/2006/documentManagement/types"/>
    <ds:schemaRef ds:uri="http://schemas.microsoft.com/sharepoint.v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Inter-Sector Coordination Group (ISCG) on Issues of Mutual Interest</vt:lpstr>
    </vt:vector>
  </TitlesOfParts>
  <Company>ITU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Inter-Sector Coordination Group (ISCG) on Issues of Mutual Interest</dc:title>
  <dc:subject/>
  <dc:creator>Simão Campos-Neto</dc:creator>
  <cp:keywords>ISCG; Inter-Sector Coordination.</cp:keywords>
  <dc:description/>
  <cp:lastModifiedBy>Al-Mnini, Lara</cp:lastModifiedBy>
  <cp:revision>3</cp:revision>
  <cp:lastPrinted>2016-12-23T12:52:00Z</cp:lastPrinted>
  <dcterms:created xsi:type="dcterms:W3CDTF">2020-09-11T07:35:00Z</dcterms:created>
  <dcterms:modified xsi:type="dcterms:W3CDTF">2020-09-11T07:36:00Z</dcterms:modified>
  <cp:category/>
  <cp:contentStatus/>
</cp:coreProperties>
</file>