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B59C7" w14:textId="320D1865" w:rsidR="00F0236A" w:rsidRPr="0042750D" w:rsidRDefault="007E5480" w:rsidP="00F0236A">
      <w:pPr>
        <w:jc w:val="center"/>
        <w:rPr>
          <w:sz w:val="44"/>
        </w:rPr>
      </w:pPr>
      <w:bookmarkStart w:id="0" w:name="_GoBack"/>
      <w:bookmarkEnd w:id="0"/>
      <w:r w:rsidRPr="0042750D">
        <w:rPr>
          <w:sz w:val="44"/>
        </w:rPr>
        <w:t>PP</w:t>
      </w:r>
      <w:r w:rsidR="00F0236A" w:rsidRPr="0042750D">
        <w:rPr>
          <w:sz w:val="44"/>
        </w:rPr>
        <w:t xml:space="preserve"> Action Plan</w:t>
      </w:r>
      <w:r w:rsidR="00C10A67" w:rsidRPr="0042750D">
        <w:rPr>
          <w:sz w:val="44"/>
        </w:rPr>
        <w:t xml:space="preserve"> for ITU-T</w:t>
      </w:r>
      <w:r w:rsidR="00F0236A" w:rsidRPr="0042750D">
        <w:rPr>
          <w:sz w:val="44"/>
        </w:rPr>
        <w:t>, V0.</w:t>
      </w:r>
      <w:r w:rsidR="00C85F77" w:rsidRPr="0042750D">
        <w:rPr>
          <w:sz w:val="44"/>
        </w:rPr>
        <w:t>3</w:t>
      </w:r>
    </w:p>
    <w:p w14:paraId="56F00FD1" w14:textId="40E2E007" w:rsidR="00F0236A" w:rsidRPr="0042750D" w:rsidRDefault="00F0236A" w:rsidP="006E2E16">
      <w:pPr>
        <w:jc w:val="center"/>
        <w:rPr>
          <w:sz w:val="44"/>
        </w:rPr>
      </w:pPr>
      <w:r w:rsidRPr="0042750D">
        <w:rPr>
          <w:sz w:val="44"/>
        </w:rPr>
        <w:t>(</w:t>
      </w:r>
      <w:r w:rsidR="00D94E72" w:rsidRPr="0042750D">
        <w:rPr>
          <w:sz w:val="44"/>
        </w:rPr>
        <w:t>2</w:t>
      </w:r>
      <w:r w:rsidR="0042750D" w:rsidRPr="0042750D">
        <w:rPr>
          <w:sz w:val="44"/>
        </w:rPr>
        <w:t>4</w:t>
      </w:r>
      <w:r w:rsidR="00140CC7" w:rsidRPr="0042750D">
        <w:rPr>
          <w:sz w:val="44"/>
        </w:rPr>
        <w:t xml:space="preserve"> </w:t>
      </w:r>
      <w:r w:rsidR="00D94E72" w:rsidRPr="0042750D">
        <w:rPr>
          <w:sz w:val="44"/>
        </w:rPr>
        <w:t>January</w:t>
      </w:r>
      <w:r w:rsidRPr="0042750D">
        <w:rPr>
          <w:sz w:val="44"/>
        </w:rPr>
        <w:t xml:space="preserve"> 20</w:t>
      </w:r>
      <w:r w:rsidR="00D94E72" w:rsidRPr="0042750D">
        <w:rPr>
          <w:sz w:val="44"/>
        </w:rPr>
        <w:t>20</w:t>
      </w:r>
      <w:r w:rsidRPr="0042750D">
        <w:rPr>
          <w:sz w:val="44"/>
        </w:rPr>
        <w:t>)</w:t>
      </w:r>
    </w:p>
    <w:bookmarkStart w:id="1" w:name="_Section_I_-" w:displacedByCustomXml="next"/>
    <w:bookmarkEnd w:id="1" w:displacedByCustomXml="next"/>
    <w:bookmarkStart w:id="2" w:name="_Toc304236409" w:displacedByCustomXml="next"/>
    <w:bookmarkStart w:id="3" w:name="_Toc471715351" w:displacedByCustomXml="next"/>
    <w:sdt>
      <w:sdtPr>
        <w:rPr>
          <w:rFonts w:ascii="Times New Roman" w:eastAsiaTheme="minorEastAsia" w:hAnsi="Times New Roman"/>
          <w:b w:val="0"/>
          <w:bCs w:val="0"/>
          <w:color w:val="auto"/>
          <w:sz w:val="22"/>
          <w:szCs w:val="24"/>
          <w:lang w:val="en-GB" w:eastAsia="ja-JP"/>
        </w:rPr>
        <w:id w:val="1944652221"/>
        <w:docPartObj>
          <w:docPartGallery w:val="Table of Contents"/>
          <w:docPartUnique/>
        </w:docPartObj>
      </w:sdtPr>
      <w:sdtEndPr/>
      <w:sdtContent>
        <w:p w14:paraId="727B26C8" w14:textId="77777777" w:rsidR="00F0236A" w:rsidRPr="0042750D" w:rsidRDefault="00F0236A" w:rsidP="00E263B8">
          <w:pPr>
            <w:pStyle w:val="TOCHeading"/>
            <w:keepNext w:val="0"/>
            <w:keepLines w:val="0"/>
            <w:rPr>
              <w:lang w:val="en-GB"/>
            </w:rPr>
          </w:pPr>
          <w:r w:rsidRPr="0042750D">
            <w:rPr>
              <w:lang w:val="en-GB"/>
            </w:rPr>
            <w:t>Contents</w:t>
          </w:r>
        </w:p>
        <w:p w14:paraId="5FDCAE05" w14:textId="57C3AA03" w:rsidR="00875636" w:rsidRDefault="00F0236A">
          <w:pPr>
            <w:pStyle w:val="TOC1"/>
            <w:rPr>
              <w:rFonts w:asciiTheme="minorHAnsi" w:eastAsiaTheme="minorEastAsia" w:hAnsiTheme="minorHAnsi" w:cstheme="minorBidi"/>
              <w:szCs w:val="22"/>
              <w:lang w:eastAsia="en-GB"/>
            </w:rPr>
          </w:pPr>
          <w:r w:rsidRPr="0042750D">
            <w:rPr>
              <w:noProof w:val="0"/>
            </w:rPr>
            <w:fldChar w:fldCharType="begin"/>
          </w:r>
          <w:r w:rsidRPr="0042750D">
            <w:rPr>
              <w:noProof w:val="0"/>
            </w:rPr>
            <w:instrText xml:space="preserve"> TOC \o "1-3" \h \z \u </w:instrText>
          </w:r>
          <w:r w:rsidRPr="0042750D">
            <w:rPr>
              <w:noProof w:val="0"/>
            </w:rPr>
            <w:fldChar w:fldCharType="separate"/>
          </w:r>
          <w:hyperlink w:anchor="_Toc30749143" w:history="1">
            <w:r w:rsidR="00875636" w:rsidRPr="00FC3E55">
              <w:rPr>
                <w:rStyle w:val="Hyperlink"/>
              </w:rPr>
              <w:t>Section I - List of PP Resolutions, Decisions and Recommendations, and executive summary of action plan for implementation by ITU-T</w:t>
            </w:r>
            <w:r w:rsidR="00875636">
              <w:rPr>
                <w:webHidden/>
              </w:rPr>
              <w:tab/>
            </w:r>
            <w:r w:rsidR="00875636">
              <w:rPr>
                <w:webHidden/>
              </w:rPr>
              <w:fldChar w:fldCharType="begin"/>
            </w:r>
            <w:r w:rsidR="00875636">
              <w:rPr>
                <w:webHidden/>
              </w:rPr>
              <w:instrText xml:space="preserve"> PAGEREF _Toc30749143 \h </w:instrText>
            </w:r>
            <w:r w:rsidR="00875636">
              <w:rPr>
                <w:webHidden/>
              </w:rPr>
            </w:r>
            <w:r w:rsidR="00875636">
              <w:rPr>
                <w:webHidden/>
              </w:rPr>
              <w:fldChar w:fldCharType="separate"/>
            </w:r>
            <w:r w:rsidR="00875636">
              <w:rPr>
                <w:webHidden/>
              </w:rPr>
              <w:t>6</w:t>
            </w:r>
            <w:r w:rsidR="00875636">
              <w:rPr>
                <w:webHidden/>
              </w:rPr>
              <w:fldChar w:fldCharType="end"/>
            </w:r>
          </w:hyperlink>
        </w:p>
        <w:p w14:paraId="300CCEDF" w14:textId="14A3AE70" w:rsidR="00875636" w:rsidRDefault="00DD025B">
          <w:pPr>
            <w:pStyle w:val="TOC1"/>
            <w:rPr>
              <w:rFonts w:asciiTheme="minorHAnsi" w:eastAsiaTheme="minorEastAsia" w:hAnsiTheme="minorHAnsi" w:cstheme="minorBidi"/>
              <w:szCs w:val="22"/>
              <w:lang w:eastAsia="en-GB"/>
            </w:rPr>
          </w:pPr>
          <w:hyperlink w:anchor="_Toc30749144" w:history="1">
            <w:r w:rsidR="00875636" w:rsidRPr="00FC3E55">
              <w:rPr>
                <w:rStyle w:val="Hyperlink"/>
              </w:rPr>
              <w:t>Section II - Progress reports on implementation of the PP Resolutions, Decisions and Recommendations</w:t>
            </w:r>
            <w:r w:rsidR="00875636">
              <w:rPr>
                <w:webHidden/>
              </w:rPr>
              <w:tab/>
            </w:r>
            <w:r w:rsidR="00875636">
              <w:rPr>
                <w:webHidden/>
              </w:rPr>
              <w:fldChar w:fldCharType="begin"/>
            </w:r>
            <w:r w:rsidR="00875636">
              <w:rPr>
                <w:webHidden/>
              </w:rPr>
              <w:instrText xml:space="preserve"> PAGEREF _Toc30749144 \h </w:instrText>
            </w:r>
            <w:r w:rsidR="00875636">
              <w:rPr>
                <w:webHidden/>
              </w:rPr>
            </w:r>
            <w:r w:rsidR="00875636">
              <w:rPr>
                <w:webHidden/>
              </w:rPr>
              <w:fldChar w:fldCharType="separate"/>
            </w:r>
            <w:r w:rsidR="00875636">
              <w:rPr>
                <w:webHidden/>
              </w:rPr>
              <w:t>22</w:t>
            </w:r>
            <w:r w:rsidR="00875636">
              <w:rPr>
                <w:webHidden/>
              </w:rPr>
              <w:fldChar w:fldCharType="end"/>
            </w:r>
          </w:hyperlink>
        </w:p>
        <w:p w14:paraId="76690318" w14:textId="5BD16CA8" w:rsidR="00875636" w:rsidRDefault="00DD025B">
          <w:pPr>
            <w:pStyle w:val="TOC1"/>
            <w:rPr>
              <w:rFonts w:asciiTheme="minorHAnsi" w:eastAsiaTheme="minorEastAsia" w:hAnsiTheme="minorHAnsi" w:cstheme="minorBidi"/>
              <w:szCs w:val="22"/>
              <w:lang w:eastAsia="en-GB"/>
            </w:rPr>
          </w:pPr>
          <w:hyperlink w:anchor="_Toc30749145" w:history="1">
            <w:r w:rsidR="00875636" w:rsidRPr="00FC3E55">
              <w:rPr>
                <w:rStyle w:val="Hyperlink"/>
              </w:rPr>
              <w:t>1.</w:t>
            </w:r>
            <w:r w:rsidR="00875636">
              <w:rPr>
                <w:rFonts w:asciiTheme="minorHAnsi" w:eastAsiaTheme="minorEastAsia" w:hAnsiTheme="minorHAnsi" w:cstheme="minorBidi"/>
                <w:szCs w:val="22"/>
                <w:lang w:eastAsia="en-GB"/>
              </w:rPr>
              <w:tab/>
            </w:r>
            <w:r w:rsidR="00875636" w:rsidRPr="00FC3E55">
              <w:rPr>
                <w:rStyle w:val="Hyperlink"/>
              </w:rPr>
              <w:t>RESOLUTION 14 (Rev. Antalya, 2006) – Recognition of the rights and obligations of all Sector Members of the Union</w:t>
            </w:r>
            <w:r w:rsidR="00875636">
              <w:rPr>
                <w:webHidden/>
              </w:rPr>
              <w:tab/>
            </w:r>
            <w:r w:rsidR="00875636">
              <w:rPr>
                <w:webHidden/>
              </w:rPr>
              <w:fldChar w:fldCharType="begin"/>
            </w:r>
            <w:r w:rsidR="00875636">
              <w:rPr>
                <w:webHidden/>
              </w:rPr>
              <w:instrText xml:space="preserve"> PAGEREF _Toc30749145 \h </w:instrText>
            </w:r>
            <w:r w:rsidR="00875636">
              <w:rPr>
                <w:webHidden/>
              </w:rPr>
            </w:r>
            <w:r w:rsidR="00875636">
              <w:rPr>
                <w:webHidden/>
              </w:rPr>
              <w:fldChar w:fldCharType="separate"/>
            </w:r>
            <w:r w:rsidR="00875636">
              <w:rPr>
                <w:webHidden/>
              </w:rPr>
              <w:t>22</w:t>
            </w:r>
            <w:r w:rsidR="00875636">
              <w:rPr>
                <w:webHidden/>
              </w:rPr>
              <w:fldChar w:fldCharType="end"/>
            </w:r>
          </w:hyperlink>
        </w:p>
        <w:p w14:paraId="35A8B7DD" w14:textId="275B42C7" w:rsidR="00875636" w:rsidRDefault="00DD025B">
          <w:pPr>
            <w:pStyle w:val="TOC1"/>
            <w:rPr>
              <w:rFonts w:asciiTheme="minorHAnsi" w:eastAsiaTheme="minorEastAsia" w:hAnsiTheme="minorHAnsi" w:cstheme="minorBidi"/>
              <w:szCs w:val="22"/>
              <w:lang w:eastAsia="en-GB"/>
            </w:rPr>
          </w:pPr>
          <w:hyperlink w:anchor="_Toc30749146" w:history="1">
            <w:r w:rsidR="00875636" w:rsidRPr="00FC3E55">
              <w:rPr>
                <w:rStyle w:val="Hyperlink"/>
              </w:rPr>
              <w:t>2.</w:t>
            </w:r>
            <w:r w:rsidR="00875636">
              <w:rPr>
                <w:rFonts w:asciiTheme="minorHAnsi" w:eastAsiaTheme="minorEastAsia" w:hAnsiTheme="minorHAnsi" w:cstheme="minorBidi"/>
                <w:szCs w:val="22"/>
                <w:lang w:eastAsia="en-GB"/>
              </w:rPr>
              <w:tab/>
            </w:r>
            <w:r w:rsidR="00875636" w:rsidRPr="00FC3E55">
              <w:rPr>
                <w:rStyle w:val="Hyperlink"/>
              </w:rPr>
              <w:t>RESOLUTION 21 (REV. DUBAI, 2018) – Measures concerning alternative calling procedures on international telecommunication networks</w:t>
            </w:r>
            <w:r w:rsidR="00875636">
              <w:rPr>
                <w:webHidden/>
              </w:rPr>
              <w:tab/>
            </w:r>
            <w:r w:rsidR="00875636">
              <w:rPr>
                <w:webHidden/>
              </w:rPr>
              <w:fldChar w:fldCharType="begin"/>
            </w:r>
            <w:r w:rsidR="00875636">
              <w:rPr>
                <w:webHidden/>
              </w:rPr>
              <w:instrText xml:space="preserve"> PAGEREF _Toc30749146 \h </w:instrText>
            </w:r>
            <w:r w:rsidR="00875636">
              <w:rPr>
                <w:webHidden/>
              </w:rPr>
            </w:r>
            <w:r w:rsidR="00875636">
              <w:rPr>
                <w:webHidden/>
              </w:rPr>
              <w:fldChar w:fldCharType="separate"/>
            </w:r>
            <w:r w:rsidR="00875636">
              <w:rPr>
                <w:webHidden/>
              </w:rPr>
              <w:t>22</w:t>
            </w:r>
            <w:r w:rsidR="00875636">
              <w:rPr>
                <w:webHidden/>
              </w:rPr>
              <w:fldChar w:fldCharType="end"/>
            </w:r>
          </w:hyperlink>
        </w:p>
        <w:p w14:paraId="24A274C6" w14:textId="4D62ACEE" w:rsidR="00875636" w:rsidRDefault="00DD025B">
          <w:pPr>
            <w:pStyle w:val="TOC1"/>
            <w:rPr>
              <w:rFonts w:asciiTheme="minorHAnsi" w:eastAsiaTheme="minorEastAsia" w:hAnsiTheme="minorHAnsi" w:cstheme="minorBidi"/>
              <w:szCs w:val="22"/>
              <w:lang w:eastAsia="en-GB"/>
            </w:rPr>
          </w:pPr>
          <w:hyperlink w:anchor="_Toc30749147" w:history="1">
            <w:r w:rsidR="00875636" w:rsidRPr="00FC3E55">
              <w:rPr>
                <w:rStyle w:val="Hyperlink"/>
              </w:rPr>
              <w:t>3.</w:t>
            </w:r>
            <w:r w:rsidR="00875636">
              <w:rPr>
                <w:rFonts w:asciiTheme="minorHAnsi" w:eastAsiaTheme="minorEastAsia" w:hAnsiTheme="minorHAnsi" w:cstheme="minorBidi"/>
                <w:szCs w:val="22"/>
                <w:lang w:eastAsia="en-GB"/>
              </w:rPr>
              <w:tab/>
            </w:r>
            <w:r w:rsidR="00875636" w:rsidRPr="00FC3E55">
              <w:rPr>
                <w:rStyle w:val="Hyperlink"/>
              </w:rPr>
              <w:t>RESOLUTION 22 (Rev. Antalya, 2006) – Apportionment of revenues in providing international telecommunication services</w:t>
            </w:r>
            <w:r w:rsidR="00875636">
              <w:rPr>
                <w:webHidden/>
              </w:rPr>
              <w:tab/>
            </w:r>
            <w:r w:rsidR="00875636">
              <w:rPr>
                <w:webHidden/>
              </w:rPr>
              <w:fldChar w:fldCharType="begin"/>
            </w:r>
            <w:r w:rsidR="00875636">
              <w:rPr>
                <w:webHidden/>
              </w:rPr>
              <w:instrText xml:space="preserve"> PAGEREF _Toc30749147 \h </w:instrText>
            </w:r>
            <w:r w:rsidR="00875636">
              <w:rPr>
                <w:webHidden/>
              </w:rPr>
            </w:r>
            <w:r w:rsidR="00875636">
              <w:rPr>
                <w:webHidden/>
              </w:rPr>
              <w:fldChar w:fldCharType="separate"/>
            </w:r>
            <w:r w:rsidR="00875636">
              <w:rPr>
                <w:webHidden/>
              </w:rPr>
              <w:t>24</w:t>
            </w:r>
            <w:r w:rsidR="00875636">
              <w:rPr>
                <w:webHidden/>
              </w:rPr>
              <w:fldChar w:fldCharType="end"/>
            </w:r>
          </w:hyperlink>
        </w:p>
        <w:p w14:paraId="0766A175" w14:textId="3C06DAD0" w:rsidR="00875636" w:rsidRDefault="00DD025B">
          <w:pPr>
            <w:pStyle w:val="TOC1"/>
            <w:rPr>
              <w:rFonts w:asciiTheme="minorHAnsi" w:eastAsiaTheme="minorEastAsia" w:hAnsiTheme="minorHAnsi" w:cstheme="minorBidi"/>
              <w:szCs w:val="22"/>
              <w:lang w:eastAsia="en-GB"/>
            </w:rPr>
          </w:pPr>
          <w:hyperlink w:anchor="_Toc30749148" w:history="1">
            <w:r w:rsidR="00875636" w:rsidRPr="00FC3E55">
              <w:rPr>
                <w:rStyle w:val="Hyperlink"/>
              </w:rPr>
              <w:t>4.</w:t>
            </w:r>
            <w:r w:rsidR="00875636">
              <w:rPr>
                <w:rFonts w:asciiTheme="minorHAnsi" w:eastAsiaTheme="minorEastAsia" w:hAnsiTheme="minorHAnsi" w:cstheme="minorBidi"/>
                <w:szCs w:val="22"/>
                <w:lang w:eastAsia="en-GB"/>
              </w:rPr>
              <w:tab/>
            </w:r>
            <w:r w:rsidR="00875636" w:rsidRPr="00FC3E55">
              <w:rPr>
                <w:rStyle w:val="Hyperlink"/>
              </w:rPr>
              <w:t>RESOLUTION 25 (REV. DUBAI, 2018) – Strengthening the regional presence</w:t>
            </w:r>
            <w:r w:rsidR="00875636">
              <w:rPr>
                <w:webHidden/>
              </w:rPr>
              <w:tab/>
            </w:r>
            <w:r w:rsidR="00875636">
              <w:rPr>
                <w:webHidden/>
              </w:rPr>
              <w:fldChar w:fldCharType="begin"/>
            </w:r>
            <w:r w:rsidR="00875636">
              <w:rPr>
                <w:webHidden/>
              </w:rPr>
              <w:instrText xml:space="preserve"> PAGEREF _Toc30749148 \h </w:instrText>
            </w:r>
            <w:r w:rsidR="00875636">
              <w:rPr>
                <w:webHidden/>
              </w:rPr>
            </w:r>
            <w:r w:rsidR="00875636">
              <w:rPr>
                <w:webHidden/>
              </w:rPr>
              <w:fldChar w:fldCharType="separate"/>
            </w:r>
            <w:r w:rsidR="00875636">
              <w:rPr>
                <w:webHidden/>
              </w:rPr>
              <w:t>25</w:t>
            </w:r>
            <w:r w:rsidR="00875636">
              <w:rPr>
                <w:webHidden/>
              </w:rPr>
              <w:fldChar w:fldCharType="end"/>
            </w:r>
          </w:hyperlink>
        </w:p>
        <w:p w14:paraId="074CAA99" w14:textId="4B144B04" w:rsidR="00875636" w:rsidRDefault="00DD025B">
          <w:pPr>
            <w:pStyle w:val="TOC1"/>
            <w:rPr>
              <w:rFonts w:asciiTheme="minorHAnsi" w:eastAsiaTheme="minorEastAsia" w:hAnsiTheme="minorHAnsi" w:cstheme="minorBidi"/>
              <w:szCs w:val="22"/>
              <w:lang w:eastAsia="en-GB"/>
            </w:rPr>
          </w:pPr>
          <w:hyperlink w:anchor="_Toc30749149" w:history="1">
            <w:r w:rsidR="00875636" w:rsidRPr="00FC3E55">
              <w:rPr>
                <w:rStyle w:val="Hyperlink"/>
              </w:rPr>
              <w:t>5.</w:t>
            </w:r>
            <w:r w:rsidR="00875636">
              <w:rPr>
                <w:rFonts w:asciiTheme="minorHAnsi" w:eastAsiaTheme="minorEastAsia" w:hAnsiTheme="minorHAnsi" w:cstheme="minorBidi"/>
                <w:szCs w:val="22"/>
                <w:lang w:eastAsia="en-GB"/>
              </w:rPr>
              <w:tab/>
            </w:r>
            <w:r w:rsidR="00875636" w:rsidRPr="00FC3E55">
              <w:rPr>
                <w:rStyle w:val="Hyperlink"/>
              </w:rPr>
              <w:t>RESOLUTION 58 (REV. BUSAN, 2014) – Strengthening of relations between ITU and regional telecommunication organizations and regional preparations for the Plenipotentiary Conference</w:t>
            </w:r>
            <w:r w:rsidR="00875636">
              <w:rPr>
                <w:webHidden/>
              </w:rPr>
              <w:tab/>
            </w:r>
            <w:r w:rsidR="00875636">
              <w:rPr>
                <w:webHidden/>
              </w:rPr>
              <w:fldChar w:fldCharType="begin"/>
            </w:r>
            <w:r w:rsidR="00875636">
              <w:rPr>
                <w:webHidden/>
              </w:rPr>
              <w:instrText xml:space="preserve"> PAGEREF _Toc30749149 \h </w:instrText>
            </w:r>
            <w:r w:rsidR="00875636">
              <w:rPr>
                <w:webHidden/>
              </w:rPr>
            </w:r>
            <w:r w:rsidR="00875636">
              <w:rPr>
                <w:webHidden/>
              </w:rPr>
              <w:fldChar w:fldCharType="separate"/>
            </w:r>
            <w:r w:rsidR="00875636">
              <w:rPr>
                <w:webHidden/>
              </w:rPr>
              <w:t>29</w:t>
            </w:r>
            <w:r w:rsidR="00875636">
              <w:rPr>
                <w:webHidden/>
              </w:rPr>
              <w:fldChar w:fldCharType="end"/>
            </w:r>
          </w:hyperlink>
        </w:p>
        <w:p w14:paraId="23395FB0" w14:textId="5A8A076E" w:rsidR="00875636" w:rsidRDefault="00DD025B">
          <w:pPr>
            <w:pStyle w:val="TOC1"/>
            <w:rPr>
              <w:rFonts w:asciiTheme="minorHAnsi" w:eastAsiaTheme="minorEastAsia" w:hAnsiTheme="minorHAnsi" w:cstheme="minorBidi"/>
              <w:szCs w:val="22"/>
              <w:lang w:eastAsia="en-GB"/>
            </w:rPr>
          </w:pPr>
          <w:hyperlink w:anchor="_Toc30749150" w:history="1">
            <w:r w:rsidR="00875636" w:rsidRPr="00FC3E55">
              <w:rPr>
                <w:rStyle w:val="Hyperlink"/>
              </w:rPr>
              <w:t>6.</w:t>
            </w:r>
            <w:r w:rsidR="00875636">
              <w:rPr>
                <w:rFonts w:asciiTheme="minorHAnsi" w:eastAsiaTheme="minorEastAsia" w:hAnsiTheme="minorHAnsi" w:cstheme="minorBidi"/>
                <w:szCs w:val="22"/>
                <w:lang w:eastAsia="en-GB"/>
              </w:rPr>
              <w:tab/>
            </w:r>
            <w:r w:rsidR="00875636" w:rsidRPr="00FC3E55">
              <w:rPr>
                <w:rStyle w:val="Hyperlink"/>
              </w:rPr>
              <w:t>RESOLUTION 64 (REV. DUBAI, 2018) – Non-discriminatory access to modern telecommunication/information and communication technology facilities, services and applications, including applied research and transfer of technology, and e meetings, on mutually agreed terms</w:t>
            </w:r>
            <w:r w:rsidR="00875636">
              <w:rPr>
                <w:webHidden/>
              </w:rPr>
              <w:tab/>
            </w:r>
            <w:r w:rsidR="00875636">
              <w:rPr>
                <w:webHidden/>
              </w:rPr>
              <w:fldChar w:fldCharType="begin"/>
            </w:r>
            <w:r w:rsidR="00875636">
              <w:rPr>
                <w:webHidden/>
              </w:rPr>
              <w:instrText xml:space="preserve"> PAGEREF _Toc30749150 \h </w:instrText>
            </w:r>
            <w:r w:rsidR="00875636">
              <w:rPr>
                <w:webHidden/>
              </w:rPr>
            </w:r>
            <w:r w:rsidR="00875636">
              <w:rPr>
                <w:webHidden/>
              </w:rPr>
              <w:fldChar w:fldCharType="separate"/>
            </w:r>
            <w:r w:rsidR="00875636">
              <w:rPr>
                <w:webHidden/>
              </w:rPr>
              <w:t>30</w:t>
            </w:r>
            <w:r w:rsidR="00875636">
              <w:rPr>
                <w:webHidden/>
              </w:rPr>
              <w:fldChar w:fldCharType="end"/>
            </w:r>
          </w:hyperlink>
        </w:p>
        <w:p w14:paraId="6B18ADF0" w14:textId="422C9003" w:rsidR="00875636" w:rsidRDefault="00DD025B">
          <w:pPr>
            <w:pStyle w:val="TOC1"/>
            <w:rPr>
              <w:rFonts w:asciiTheme="minorHAnsi" w:eastAsiaTheme="minorEastAsia" w:hAnsiTheme="minorHAnsi" w:cstheme="minorBidi"/>
              <w:szCs w:val="22"/>
              <w:lang w:eastAsia="en-GB"/>
            </w:rPr>
          </w:pPr>
          <w:hyperlink w:anchor="_Toc30749151" w:history="1">
            <w:r w:rsidR="00875636" w:rsidRPr="00FC3E55">
              <w:rPr>
                <w:rStyle w:val="Hyperlink"/>
              </w:rPr>
              <w:t>7.</w:t>
            </w:r>
            <w:r w:rsidR="00875636">
              <w:rPr>
                <w:rFonts w:asciiTheme="minorHAnsi" w:eastAsiaTheme="minorEastAsia" w:hAnsiTheme="minorHAnsi" w:cstheme="minorBidi"/>
                <w:szCs w:val="22"/>
                <w:lang w:eastAsia="en-GB"/>
              </w:rPr>
              <w:tab/>
            </w:r>
            <w:r w:rsidR="00875636" w:rsidRPr="00FC3E55">
              <w:rPr>
                <w:rStyle w:val="Hyperlink"/>
              </w:rPr>
              <w:t>RESOLUTION 66 (REV. DUBAI, 2018) – Documents and publications of the Union</w:t>
            </w:r>
            <w:r w:rsidR="00875636">
              <w:rPr>
                <w:webHidden/>
              </w:rPr>
              <w:tab/>
            </w:r>
            <w:r w:rsidR="00875636">
              <w:rPr>
                <w:webHidden/>
              </w:rPr>
              <w:fldChar w:fldCharType="begin"/>
            </w:r>
            <w:r w:rsidR="00875636">
              <w:rPr>
                <w:webHidden/>
              </w:rPr>
              <w:instrText xml:space="preserve"> PAGEREF _Toc30749151 \h </w:instrText>
            </w:r>
            <w:r w:rsidR="00875636">
              <w:rPr>
                <w:webHidden/>
              </w:rPr>
            </w:r>
            <w:r w:rsidR="00875636">
              <w:rPr>
                <w:webHidden/>
              </w:rPr>
              <w:fldChar w:fldCharType="separate"/>
            </w:r>
            <w:r w:rsidR="00875636">
              <w:rPr>
                <w:webHidden/>
              </w:rPr>
              <w:t>31</w:t>
            </w:r>
            <w:r w:rsidR="00875636">
              <w:rPr>
                <w:webHidden/>
              </w:rPr>
              <w:fldChar w:fldCharType="end"/>
            </w:r>
          </w:hyperlink>
        </w:p>
        <w:p w14:paraId="2CD5C993" w14:textId="4A15EA99" w:rsidR="00875636" w:rsidRDefault="00DD025B">
          <w:pPr>
            <w:pStyle w:val="TOC1"/>
            <w:rPr>
              <w:rFonts w:asciiTheme="minorHAnsi" w:eastAsiaTheme="minorEastAsia" w:hAnsiTheme="minorHAnsi" w:cstheme="minorBidi"/>
              <w:szCs w:val="22"/>
              <w:lang w:eastAsia="en-GB"/>
            </w:rPr>
          </w:pPr>
          <w:hyperlink w:anchor="_Toc30749152" w:history="1">
            <w:r w:rsidR="00875636" w:rsidRPr="00FC3E55">
              <w:rPr>
                <w:rStyle w:val="Hyperlink"/>
              </w:rPr>
              <w:t>8.</w:t>
            </w:r>
            <w:r w:rsidR="00875636">
              <w:rPr>
                <w:rFonts w:asciiTheme="minorHAnsi" w:eastAsiaTheme="minorEastAsia" w:hAnsiTheme="minorHAnsi" w:cstheme="minorBidi"/>
                <w:szCs w:val="22"/>
                <w:lang w:eastAsia="en-GB"/>
              </w:rPr>
              <w:tab/>
            </w:r>
            <w:r w:rsidR="00875636" w:rsidRPr="00FC3E55">
              <w:rPr>
                <w:rStyle w:val="Hyperlink"/>
              </w:rPr>
              <w:t>RESOLUTION 70 (REV. DUBAI, 2018) – Mainstreaming a gender perspective in ITU and promotion of gender equality and the empowerment of women through telecommunications/information and communication technologies</w:t>
            </w:r>
            <w:r w:rsidR="00875636">
              <w:rPr>
                <w:webHidden/>
              </w:rPr>
              <w:tab/>
            </w:r>
            <w:r w:rsidR="00875636">
              <w:rPr>
                <w:webHidden/>
              </w:rPr>
              <w:fldChar w:fldCharType="begin"/>
            </w:r>
            <w:r w:rsidR="00875636">
              <w:rPr>
                <w:webHidden/>
              </w:rPr>
              <w:instrText xml:space="preserve"> PAGEREF _Toc30749152 \h </w:instrText>
            </w:r>
            <w:r w:rsidR="00875636">
              <w:rPr>
                <w:webHidden/>
              </w:rPr>
            </w:r>
            <w:r w:rsidR="00875636">
              <w:rPr>
                <w:webHidden/>
              </w:rPr>
              <w:fldChar w:fldCharType="separate"/>
            </w:r>
            <w:r w:rsidR="00875636">
              <w:rPr>
                <w:webHidden/>
              </w:rPr>
              <w:t>32</w:t>
            </w:r>
            <w:r w:rsidR="00875636">
              <w:rPr>
                <w:webHidden/>
              </w:rPr>
              <w:fldChar w:fldCharType="end"/>
            </w:r>
          </w:hyperlink>
        </w:p>
        <w:p w14:paraId="20A2C9C5" w14:textId="1575A9C7" w:rsidR="00875636" w:rsidRDefault="00DD025B">
          <w:pPr>
            <w:pStyle w:val="TOC1"/>
            <w:rPr>
              <w:rFonts w:asciiTheme="minorHAnsi" w:eastAsiaTheme="minorEastAsia" w:hAnsiTheme="minorHAnsi" w:cstheme="minorBidi"/>
              <w:szCs w:val="22"/>
              <w:lang w:eastAsia="en-GB"/>
            </w:rPr>
          </w:pPr>
          <w:hyperlink w:anchor="_Toc30749153" w:history="1">
            <w:r w:rsidR="00875636" w:rsidRPr="00FC3E55">
              <w:rPr>
                <w:rStyle w:val="Hyperlink"/>
              </w:rPr>
              <w:t>9.</w:t>
            </w:r>
            <w:r w:rsidR="00875636">
              <w:rPr>
                <w:rFonts w:asciiTheme="minorHAnsi" w:eastAsiaTheme="minorEastAsia" w:hAnsiTheme="minorHAnsi" w:cstheme="minorBidi"/>
                <w:szCs w:val="22"/>
                <w:lang w:eastAsia="en-GB"/>
              </w:rPr>
              <w:tab/>
            </w:r>
            <w:r w:rsidR="00875636" w:rsidRPr="00FC3E55">
              <w:rPr>
                <w:rStyle w:val="Hyperlink"/>
              </w:rPr>
              <w:t>RESOLUTION 71 (REV. DUBAI, 2018) – Strategic plan for the Union for 2020-2023</w:t>
            </w:r>
            <w:r w:rsidR="00875636">
              <w:rPr>
                <w:webHidden/>
              </w:rPr>
              <w:tab/>
            </w:r>
            <w:r w:rsidR="00875636">
              <w:rPr>
                <w:webHidden/>
              </w:rPr>
              <w:fldChar w:fldCharType="begin"/>
            </w:r>
            <w:r w:rsidR="00875636">
              <w:rPr>
                <w:webHidden/>
              </w:rPr>
              <w:instrText xml:space="preserve"> PAGEREF _Toc30749153 \h </w:instrText>
            </w:r>
            <w:r w:rsidR="00875636">
              <w:rPr>
                <w:webHidden/>
              </w:rPr>
            </w:r>
            <w:r w:rsidR="00875636">
              <w:rPr>
                <w:webHidden/>
              </w:rPr>
              <w:fldChar w:fldCharType="separate"/>
            </w:r>
            <w:r w:rsidR="00875636">
              <w:rPr>
                <w:webHidden/>
              </w:rPr>
              <w:t>33</w:t>
            </w:r>
            <w:r w:rsidR="00875636">
              <w:rPr>
                <w:webHidden/>
              </w:rPr>
              <w:fldChar w:fldCharType="end"/>
            </w:r>
          </w:hyperlink>
        </w:p>
        <w:p w14:paraId="20235B57" w14:textId="2ADFE217" w:rsidR="00875636" w:rsidRDefault="00DD025B">
          <w:pPr>
            <w:pStyle w:val="TOC1"/>
            <w:rPr>
              <w:rFonts w:asciiTheme="minorHAnsi" w:eastAsiaTheme="minorEastAsia" w:hAnsiTheme="minorHAnsi" w:cstheme="minorBidi"/>
              <w:szCs w:val="22"/>
              <w:lang w:eastAsia="en-GB"/>
            </w:rPr>
          </w:pPr>
          <w:hyperlink w:anchor="_Toc30749154" w:history="1">
            <w:r w:rsidR="00875636" w:rsidRPr="00FC3E55">
              <w:rPr>
                <w:rStyle w:val="Hyperlink"/>
              </w:rPr>
              <w:t>10.</w:t>
            </w:r>
            <w:r w:rsidR="00875636">
              <w:rPr>
                <w:rFonts w:asciiTheme="minorHAnsi" w:eastAsiaTheme="minorEastAsia" w:hAnsiTheme="minorHAnsi" w:cstheme="minorBidi"/>
                <w:szCs w:val="22"/>
                <w:lang w:eastAsia="en-GB"/>
              </w:rPr>
              <w:tab/>
            </w:r>
            <w:r w:rsidR="00875636" w:rsidRPr="00FC3E55">
              <w:rPr>
                <w:rStyle w:val="Hyperlink"/>
              </w:rPr>
              <w:t>RESOLUTION 77 (REV. DUBAI, 2018) – Scheduling and duration of conferences, forums, assemblies and Council sessions of the Union (2019-2023)</w:t>
            </w:r>
            <w:r w:rsidR="00875636">
              <w:rPr>
                <w:webHidden/>
              </w:rPr>
              <w:tab/>
            </w:r>
            <w:r w:rsidR="00875636">
              <w:rPr>
                <w:webHidden/>
              </w:rPr>
              <w:fldChar w:fldCharType="begin"/>
            </w:r>
            <w:r w:rsidR="00875636">
              <w:rPr>
                <w:webHidden/>
              </w:rPr>
              <w:instrText xml:space="preserve"> PAGEREF _Toc30749154 \h </w:instrText>
            </w:r>
            <w:r w:rsidR="00875636">
              <w:rPr>
                <w:webHidden/>
              </w:rPr>
            </w:r>
            <w:r w:rsidR="00875636">
              <w:rPr>
                <w:webHidden/>
              </w:rPr>
              <w:fldChar w:fldCharType="separate"/>
            </w:r>
            <w:r w:rsidR="00875636">
              <w:rPr>
                <w:webHidden/>
              </w:rPr>
              <w:t>34</w:t>
            </w:r>
            <w:r w:rsidR="00875636">
              <w:rPr>
                <w:webHidden/>
              </w:rPr>
              <w:fldChar w:fldCharType="end"/>
            </w:r>
          </w:hyperlink>
        </w:p>
        <w:p w14:paraId="0773EB1B" w14:textId="3D6F9CF8" w:rsidR="00875636" w:rsidRDefault="00DD025B">
          <w:pPr>
            <w:pStyle w:val="TOC1"/>
            <w:rPr>
              <w:rFonts w:asciiTheme="minorHAnsi" w:eastAsiaTheme="minorEastAsia" w:hAnsiTheme="minorHAnsi" w:cstheme="minorBidi"/>
              <w:szCs w:val="22"/>
              <w:lang w:eastAsia="en-GB"/>
            </w:rPr>
          </w:pPr>
          <w:hyperlink w:anchor="_Toc30749155" w:history="1">
            <w:r w:rsidR="00875636" w:rsidRPr="00FC3E55">
              <w:rPr>
                <w:rStyle w:val="Hyperlink"/>
              </w:rPr>
              <w:t>11.</w:t>
            </w:r>
            <w:r w:rsidR="00875636">
              <w:rPr>
                <w:rFonts w:asciiTheme="minorHAnsi" w:eastAsiaTheme="minorEastAsia" w:hAnsiTheme="minorHAnsi" w:cstheme="minorBidi"/>
                <w:szCs w:val="22"/>
                <w:lang w:eastAsia="en-GB"/>
              </w:rPr>
              <w:tab/>
            </w:r>
            <w:r w:rsidR="00875636" w:rsidRPr="00FC3E55">
              <w:rPr>
                <w:rStyle w:val="Hyperlink"/>
              </w:rPr>
              <w:t>RESOLUTION 101 (REV. DUBAI, 2018) – Internet Protocol-based networks</w:t>
            </w:r>
            <w:r w:rsidR="00875636">
              <w:rPr>
                <w:webHidden/>
              </w:rPr>
              <w:tab/>
            </w:r>
            <w:r w:rsidR="00875636">
              <w:rPr>
                <w:webHidden/>
              </w:rPr>
              <w:fldChar w:fldCharType="begin"/>
            </w:r>
            <w:r w:rsidR="00875636">
              <w:rPr>
                <w:webHidden/>
              </w:rPr>
              <w:instrText xml:space="preserve"> PAGEREF _Toc30749155 \h </w:instrText>
            </w:r>
            <w:r w:rsidR="00875636">
              <w:rPr>
                <w:webHidden/>
              </w:rPr>
            </w:r>
            <w:r w:rsidR="00875636">
              <w:rPr>
                <w:webHidden/>
              </w:rPr>
              <w:fldChar w:fldCharType="separate"/>
            </w:r>
            <w:r w:rsidR="00875636">
              <w:rPr>
                <w:webHidden/>
              </w:rPr>
              <w:t>35</w:t>
            </w:r>
            <w:r w:rsidR="00875636">
              <w:rPr>
                <w:webHidden/>
              </w:rPr>
              <w:fldChar w:fldCharType="end"/>
            </w:r>
          </w:hyperlink>
        </w:p>
        <w:p w14:paraId="050F1DC4" w14:textId="314C52E3" w:rsidR="00875636" w:rsidRDefault="00DD025B">
          <w:pPr>
            <w:pStyle w:val="TOC1"/>
            <w:rPr>
              <w:rFonts w:asciiTheme="minorHAnsi" w:eastAsiaTheme="minorEastAsia" w:hAnsiTheme="minorHAnsi" w:cstheme="minorBidi"/>
              <w:szCs w:val="22"/>
              <w:lang w:eastAsia="en-GB"/>
            </w:rPr>
          </w:pPr>
          <w:hyperlink w:anchor="_Toc30749156" w:history="1">
            <w:r w:rsidR="00875636" w:rsidRPr="00FC3E55">
              <w:rPr>
                <w:rStyle w:val="Hyperlink"/>
              </w:rPr>
              <w:t>12.</w:t>
            </w:r>
            <w:r w:rsidR="00875636">
              <w:rPr>
                <w:rFonts w:asciiTheme="minorHAnsi" w:eastAsiaTheme="minorEastAsia" w:hAnsiTheme="minorHAnsi" w:cstheme="minorBidi"/>
                <w:szCs w:val="22"/>
                <w:lang w:eastAsia="en-GB"/>
              </w:rPr>
              <w:tab/>
            </w:r>
            <w:r w:rsidR="00875636" w:rsidRPr="00FC3E55">
              <w:rPr>
                <w:rStyle w:val="Hyperlink"/>
              </w:rPr>
              <w:t>RESOLUTION 102 (REV. DUBAI, 2018) – ITU's role with regard to international public policy issues pertaining to the Internet and the management of Internet resources, including domain names and addresses</w:t>
            </w:r>
            <w:r w:rsidR="00875636">
              <w:rPr>
                <w:webHidden/>
              </w:rPr>
              <w:tab/>
            </w:r>
            <w:r w:rsidR="00875636">
              <w:rPr>
                <w:webHidden/>
              </w:rPr>
              <w:fldChar w:fldCharType="begin"/>
            </w:r>
            <w:r w:rsidR="00875636">
              <w:rPr>
                <w:webHidden/>
              </w:rPr>
              <w:instrText xml:space="preserve"> PAGEREF _Toc30749156 \h </w:instrText>
            </w:r>
            <w:r w:rsidR="00875636">
              <w:rPr>
                <w:webHidden/>
              </w:rPr>
            </w:r>
            <w:r w:rsidR="00875636">
              <w:rPr>
                <w:webHidden/>
              </w:rPr>
              <w:fldChar w:fldCharType="separate"/>
            </w:r>
            <w:r w:rsidR="00875636">
              <w:rPr>
                <w:webHidden/>
              </w:rPr>
              <w:t>38</w:t>
            </w:r>
            <w:r w:rsidR="00875636">
              <w:rPr>
                <w:webHidden/>
              </w:rPr>
              <w:fldChar w:fldCharType="end"/>
            </w:r>
          </w:hyperlink>
        </w:p>
        <w:p w14:paraId="2FF58919" w14:textId="2CE26D62" w:rsidR="00875636" w:rsidRDefault="00DD025B">
          <w:pPr>
            <w:pStyle w:val="TOC1"/>
            <w:rPr>
              <w:rFonts w:asciiTheme="minorHAnsi" w:eastAsiaTheme="minorEastAsia" w:hAnsiTheme="minorHAnsi" w:cstheme="minorBidi"/>
              <w:szCs w:val="22"/>
              <w:lang w:eastAsia="en-GB"/>
            </w:rPr>
          </w:pPr>
          <w:hyperlink w:anchor="_Toc30749157" w:history="1">
            <w:r w:rsidR="00875636" w:rsidRPr="00FC3E55">
              <w:rPr>
                <w:rStyle w:val="Hyperlink"/>
              </w:rPr>
              <w:t>13.</w:t>
            </w:r>
            <w:r w:rsidR="00875636">
              <w:rPr>
                <w:rFonts w:asciiTheme="minorHAnsi" w:eastAsiaTheme="minorEastAsia" w:hAnsiTheme="minorHAnsi" w:cstheme="minorBidi"/>
                <w:szCs w:val="22"/>
                <w:lang w:eastAsia="en-GB"/>
              </w:rPr>
              <w:tab/>
            </w:r>
            <w:r w:rsidR="00875636" w:rsidRPr="00FC3E55">
              <w:rPr>
                <w:rStyle w:val="Hyperlink"/>
              </w:rPr>
              <w:t>RESOLUTION 111 (REV. BUSAN, 2014) – Considering major religious periods in the scheduling of ITU conferences, assemblies and Council sessions</w:t>
            </w:r>
            <w:r w:rsidR="00875636">
              <w:rPr>
                <w:webHidden/>
              </w:rPr>
              <w:tab/>
            </w:r>
            <w:r w:rsidR="00875636">
              <w:rPr>
                <w:webHidden/>
              </w:rPr>
              <w:fldChar w:fldCharType="begin"/>
            </w:r>
            <w:r w:rsidR="00875636">
              <w:rPr>
                <w:webHidden/>
              </w:rPr>
              <w:instrText xml:space="preserve"> PAGEREF _Toc30749157 \h </w:instrText>
            </w:r>
            <w:r w:rsidR="00875636">
              <w:rPr>
                <w:webHidden/>
              </w:rPr>
            </w:r>
            <w:r w:rsidR="00875636">
              <w:rPr>
                <w:webHidden/>
              </w:rPr>
              <w:fldChar w:fldCharType="separate"/>
            </w:r>
            <w:r w:rsidR="00875636">
              <w:rPr>
                <w:webHidden/>
              </w:rPr>
              <w:t>41</w:t>
            </w:r>
            <w:r w:rsidR="00875636">
              <w:rPr>
                <w:webHidden/>
              </w:rPr>
              <w:fldChar w:fldCharType="end"/>
            </w:r>
          </w:hyperlink>
        </w:p>
        <w:p w14:paraId="799953F4" w14:textId="0A7E9233" w:rsidR="00875636" w:rsidRDefault="00DD025B">
          <w:pPr>
            <w:pStyle w:val="TOC1"/>
            <w:rPr>
              <w:rFonts w:asciiTheme="minorHAnsi" w:eastAsiaTheme="minorEastAsia" w:hAnsiTheme="minorHAnsi" w:cstheme="minorBidi"/>
              <w:szCs w:val="22"/>
              <w:lang w:eastAsia="en-GB"/>
            </w:rPr>
          </w:pPr>
          <w:hyperlink w:anchor="_Toc30749158" w:history="1">
            <w:r w:rsidR="00875636" w:rsidRPr="00FC3E55">
              <w:rPr>
                <w:rStyle w:val="Hyperlink"/>
              </w:rPr>
              <w:t>14.</w:t>
            </w:r>
            <w:r w:rsidR="00875636">
              <w:rPr>
                <w:rFonts w:asciiTheme="minorHAnsi" w:eastAsiaTheme="minorEastAsia" w:hAnsiTheme="minorHAnsi" w:cstheme="minorBidi"/>
                <w:szCs w:val="22"/>
                <w:lang w:eastAsia="en-GB"/>
              </w:rPr>
              <w:tab/>
            </w:r>
            <w:r w:rsidR="00875636" w:rsidRPr="00FC3E55">
              <w:rPr>
                <w:rStyle w:val="Hyperlink"/>
              </w:rPr>
              <w:t>RESOLUTION 122 (Rev. Guadalajara, 2010) – The evolving role of the World Telecommunication Standardization Assembly</w:t>
            </w:r>
            <w:r w:rsidR="00875636">
              <w:rPr>
                <w:webHidden/>
              </w:rPr>
              <w:tab/>
            </w:r>
            <w:r w:rsidR="00875636">
              <w:rPr>
                <w:webHidden/>
              </w:rPr>
              <w:fldChar w:fldCharType="begin"/>
            </w:r>
            <w:r w:rsidR="00875636">
              <w:rPr>
                <w:webHidden/>
              </w:rPr>
              <w:instrText xml:space="preserve"> PAGEREF _Toc30749158 \h </w:instrText>
            </w:r>
            <w:r w:rsidR="00875636">
              <w:rPr>
                <w:webHidden/>
              </w:rPr>
            </w:r>
            <w:r w:rsidR="00875636">
              <w:rPr>
                <w:webHidden/>
              </w:rPr>
              <w:fldChar w:fldCharType="separate"/>
            </w:r>
            <w:r w:rsidR="00875636">
              <w:rPr>
                <w:webHidden/>
              </w:rPr>
              <w:t>42</w:t>
            </w:r>
            <w:r w:rsidR="00875636">
              <w:rPr>
                <w:webHidden/>
              </w:rPr>
              <w:fldChar w:fldCharType="end"/>
            </w:r>
          </w:hyperlink>
        </w:p>
        <w:p w14:paraId="0A36A99C" w14:textId="19A532E7" w:rsidR="00875636" w:rsidRDefault="00DD025B">
          <w:pPr>
            <w:pStyle w:val="TOC1"/>
            <w:rPr>
              <w:rFonts w:asciiTheme="minorHAnsi" w:eastAsiaTheme="minorEastAsia" w:hAnsiTheme="minorHAnsi" w:cstheme="minorBidi"/>
              <w:szCs w:val="22"/>
              <w:lang w:eastAsia="en-GB"/>
            </w:rPr>
          </w:pPr>
          <w:hyperlink w:anchor="_Toc30749159" w:history="1">
            <w:r w:rsidR="00875636" w:rsidRPr="00FC3E55">
              <w:rPr>
                <w:rStyle w:val="Hyperlink"/>
              </w:rPr>
              <w:t>15.</w:t>
            </w:r>
            <w:r w:rsidR="00875636">
              <w:rPr>
                <w:rFonts w:asciiTheme="minorHAnsi" w:eastAsiaTheme="minorEastAsia" w:hAnsiTheme="minorHAnsi" w:cstheme="minorBidi"/>
                <w:szCs w:val="22"/>
                <w:lang w:eastAsia="en-GB"/>
              </w:rPr>
              <w:tab/>
            </w:r>
            <w:r w:rsidR="00875636" w:rsidRPr="00FC3E55">
              <w:rPr>
                <w:rStyle w:val="Hyperlink"/>
              </w:rPr>
              <w:t>RESOLUTION 123 (REV. DUBAI, 2018) – Bridging the standardization gap between developing</w:t>
            </w:r>
            <w:r w:rsidR="00875636" w:rsidRPr="00FC3E55">
              <w:rPr>
                <w:rStyle w:val="Hyperlink"/>
                <w:vertAlign w:val="superscript"/>
              </w:rPr>
              <w:t>1</w:t>
            </w:r>
            <w:r w:rsidR="00875636" w:rsidRPr="00FC3E55">
              <w:rPr>
                <w:rStyle w:val="Hyperlink"/>
              </w:rPr>
              <w:t xml:space="preserve"> and developed countries</w:t>
            </w:r>
            <w:r w:rsidR="00875636">
              <w:rPr>
                <w:webHidden/>
              </w:rPr>
              <w:tab/>
            </w:r>
            <w:r w:rsidR="00875636">
              <w:rPr>
                <w:webHidden/>
              </w:rPr>
              <w:fldChar w:fldCharType="begin"/>
            </w:r>
            <w:r w:rsidR="00875636">
              <w:rPr>
                <w:webHidden/>
              </w:rPr>
              <w:instrText xml:space="preserve"> PAGEREF _Toc30749159 \h </w:instrText>
            </w:r>
            <w:r w:rsidR="00875636">
              <w:rPr>
                <w:webHidden/>
              </w:rPr>
            </w:r>
            <w:r w:rsidR="00875636">
              <w:rPr>
                <w:webHidden/>
              </w:rPr>
              <w:fldChar w:fldCharType="separate"/>
            </w:r>
            <w:r w:rsidR="00875636">
              <w:rPr>
                <w:webHidden/>
              </w:rPr>
              <w:t>44</w:t>
            </w:r>
            <w:r w:rsidR="00875636">
              <w:rPr>
                <w:webHidden/>
              </w:rPr>
              <w:fldChar w:fldCharType="end"/>
            </w:r>
          </w:hyperlink>
        </w:p>
        <w:p w14:paraId="6E1583C9" w14:textId="5A36E582" w:rsidR="00875636" w:rsidRDefault="00DD025B">
          <w:pPr>
            <w:pStyle w:val="TOC1"/>
            <w:rPr>
              <w:rFonts w:asciiTheme="minorHAnsi" w:eastAsiaTheme="minorEastAsia" w:hAnsiTheme="minorHAnsi" w:cstheme="minorBidi"/>
              <w:szCs w:val="22"/>
              <w:lang w:eastAsia="en-GB"/>
            </w:rPr>
          </w:pPr>
          <w:hyperlink w:anchor="_Toc30749160" w:history="1">
            <w:r w:rsidR="00875636" w:rsidRPr="00FC3E55">
              <w:rPr>
                <w:rStyle w:val="Hyperlink"/>
              </w:rPr>
              <w:t>16.</w:t>
            </w:r>
            <w:r w:rsidR="00875636">
              <w:rPr>
                <w:rFonts w:asciiTheme="minorHAnsi" w:eastAsiaTheme="minorEastAsia" w:hAnsiTheme="minorHAnsi" w:cstheme="minorBidi"/>
                <w:szCs w:val="22"/>
                <w:lang w:eastAsia="en-GB"/>
              </w:rPr>
              <w:tab/>
            </w:r>
            <w:r w:rsidR="00875636" w:rsidRPr="00FC3E55">
              <w:rPr>
                <w:rStyle w:val="Hyperlink"/>
              </w:rPr>
              <w:t>RESOLUTION 130 (REV. DUBAI, 2018) – Strengthening the role of ITU in building confidence and security in the use of information and communication technologies</w:t>
            </w:r>
            <w:r w:rsidR="00875636">
              <w:rPr>
                <w:webHidden/>
              </w:rPr>
              <w:tab/>
            </w:r>
            <w:r w:rsidR="00875636">
              <w:rPr>
                <w:webHidden/>
              </w:rPr>
              <w:fldChar w:fldCharType="begin"/>
            </w:r>
            <w:r w:rsidR="00875636">
              <w:rPr>
                <w:webHidden/>
              </w:rPr>
              <w:instrText xml:space="preserve"> PAGEREF _Toc30749160 \h </w:instrText>
            </w:r>
            <w:r w:rsidR="00875636">
              <w:rPr>
                <w:webHidden/>
              </w:rPr>
            </w:r>
            <w:r w:rsidR="00875636">
              <w:rPr>
                <w:webHidden/>
              </w:rPr>
              <w:fldChar w:fldCharType="separate"/>
            </w:r>
            <w:r w:rsidR="00875636">
              <w:rPr>
                <w:webHidden/>
              </w:rPr>
              <w:t>47</w:t>
            </w:r>
            <w:r w:rsidR="00875636">
              <w:rPr>
                <w:webHidden/>
              </w:rPr>
              <w:fldChar w:fldCharType="end"/>
            </w:r>
          </w:hyperlink>
        </w:p>
        <w:p w14:paraId="4A6DA61D" w14:textId="416000CA" w:rsidR="00875636" w:rsidRDefault="00DD025B">
          <w:pPr>
            <w:pStyle w:val="TOC1"/>
            <w:rPr>
              <w:rFonts w:asciiTheme="minorHAnsi" w:eastAsiaTheme="minorEastAsia" w:hAnsiTheme="minorHAnsi" w:cstheme="minorBidi"/>
              <w:szCs w:val="22"/>
              <w:lang w:eastAsia="en-GB"/>
            </w:rPr>
          </w:pPr>
          <w:hyperlink w:anchor="_Toc30749161" w:history="1">
            <w:r w:rsidR="00875636" w:rsidRPr="00FC3E55">
              <w:rPr>
                <w:rStyle w:val="Hyperlink"/>
              </w:rPr>
              <w:t>17.</w:t>
            </w:r>
            <w:r w:rsidR="00875636">
              <w:rPr>
                <w:rFonts w:asciiTheme="minorHAnsi" w:eastAsiaTheme="minorEastAsia" w:hAnsiTheme="minorHAnsi" w:cstheme="minorBidi"/>
                <w:szCs w:val="22"/>
                <w:lang w:eastAsia="en-GB"/>
              </w:rPr>
              <w:tab/>
            </w:r>
            <w:r w:rsidR="00875636" w:rsidRPr="00FC3E55">
              <w:rPr>
                <w:rStyle w:val="Hyperlink"/>
              </w:rPr>
              <w:t>RESOLUTION 133 (REV. DUBAI, 2018) – Role of administrations of Member States in the management of internationalized (multilingual) domain names</w:t>
            </w:r>
            <w:r w:rsidR="00875636">
              <w:rPr>
                <w:webHidden/>
              </w:rPr>
              <w:tab/>
            </w:r>
            <w:r w:rsidR="00875636">
              <w:rPr>
                <w:webHidden/>
              </w:rPr>
              <w:fldChar w:fldCharType="begin"/>
            </w:r>
            <w:r w:rsidR="00875636">
              <w:rPr>
                <w:webHidden/>
              </w:rPr>
              <w:instrText xml:space="preserve"> PAGEREF _Toc30749161 \h </w:instrText>
            </w:r>
            <w:r w:rsidR="00875636">
              <w:rPr>
                <w:webHidden/>
              </w:rPr>
            </w:r>
            <w:r w:rsidR="00875636">
              <w:rPr>
                <w:webHidden/>
              </w:rPr>
              <w:fldChar w:fldCharType="separate"/>
            </w:r>
            <w:r w:rsidR="00875636">
              <w:rPr>
                <w:webHidden/>
              </w:rPr>
              <w:t>53</w:t>
            </w:r>
            <w:r w:rsidR="00875636">
              <w:rPr>
                <w:webHidden/>
              </w:rPr>
              <w:fldChar w:fldCharType="end"/>
            </w:r>
          </w:hyperlink>
        </w:p>
        <w:p w14:paraId="6B8A762E" w14:textId="0426510E" w:rsidR="00875636" w:rsidRDefault="00DD025B">
          <w:pPr>
            <w:pStyle w:val="TOC1"/>
            <w:rPr>
              <w:rFonts w:asciiTheme="minorHAnsi" w:eastAsiaTheme="minorEastAsia" w:hAnsiTheme="minorHAnsi" w:cstheme="minorBidi"/>
              <w:szCs w:val="22"/>
              <w:lang w:eastAsia="en-GB"/>
            </w:rPr>
          </w:pPr>
          <w:hyperlink w:anchor="_Toc30749162" w:history="1">
            <w:r w:rsidR="00875636" w:rsidRPr="00FC3E55">
              <w:rPr>
                <w:rStyle w:val="Hyperlink"/>
              </w:rPr>
              <w:t>18.</w:t>
            </w:r>
            <w:r w:rsidR="00875636">
              <w:rPr>
                <w:rFonts w:asciiTheme="minorHAnsi" w:eastAsiaTheme="minorEastAsia" w:hAnsiTheme="minorHAnsi" w:cstheme="minorBidi"/>
                <w:szCs w:val="22"/>
                <w:lang w:eastAsia="en-GB"/>
              </w:rPr>
              <w:tab/>
            </w:r>
            <w:r w:rsidR="00875636" w:rsidRPr="00FC3E55">
              <w:rPr>
                <w:rStyle w:val="Hyperlink"/>
              </w:rPr>
              <w:t>RESOLUTION 136 (REV. DUBAI, 2018) – The use of telecommunications/information and communication technologies for humanitarian assistance and for monitoring and management in emergency and disaster situations, including health-related emergencies, for early warning, prevention, mitigation and relief</w:t>
            </w:r>
            <w:r w:rsidR="00875636">
              <w:rPr>
                <w:webHidden/>
              </w:rPr>
              <w:tab/>
            </w:r>
            <w:r w:rsidR="00875636">
              <w:rPr>
                <w:webHidden/>
              </w:rPr>
              <w:fldChar w:fldCharType="begin"/>
            </w:r>
            <w:r w:rsidR="00875636">
              <w:rPr>
                <w:webHidden/>
              </w:rPr>
              <w:instrText xml:space="preserve"> PAGEREF _Toc30749162 \h </w:instrText>
            </w:r>
            <w:r w:rsidR="00875636">
              <w:rPr>
                <w:webHidden/>
              </w:rPr>
            </w:r>
            <w:r w:rsidR="00875636">
              <w:rPr>
                <w:webHidden/>
              </w:rPr>
              <w:fldChar w:fldCharType="separate"/>
            </w:r>
            <w:r w:rsidR="00875636">
              <w:rPr>
                <w:webHidden/>
              </w:rPr>
              <w:t>56</w:t>
            </w:r>
            <w:r w:rsidR="00875636">
              <w:rPr>
                <w:webHidden/>
              </w:rPr>
              <w:fldChar w:fldCharType="end"/>
            </w:r>
          </w:hyperlink>
        </w:p>
        <w:p w14:paraId="39E4C623" w14:textId="6384CADA" w:rsidR="00875636" w:rsidRDefault="00DD025B">
          <w:pPr>
            <w:pStyle w:val="TOC1"/>
            <w:rPr>
              <w:rFonts w:asciiTheme="minorHAnsi" w:eastAsiaTheme="minorEastAsia" w:hAnsiTheme="minorHAnsi" w:cstheme="minorBidi"/>
              <w:szCs w:val="22"/>
              <w:lang w:eastAsia="en-GB"/>
            </w:rPr>
          </w:pPr>
          <w:hyperlink w:anchor="_Toc30749163" w:history="1">
            <w:r w:rsidR="00875636" w:rsidRPr="00FC3E55">
              <w:rPr>
                <w:rStyle w:val="Hyperlink"/>
              </w:rPr>
              <w:t>19.</w:t>
            </w:r>
            <w:r w:rsidR="00875636">
              <w:rPr>
                <w:rFonts w:asciiTheme="minorHAnsi" w:eastAsiaTheme="minorEastAsia" w:hAnsiTheme="minorHAnsi" w:cstheme="minorBidi"/>
                <w:szCs w:val="22"/>
                <w:lang w:eastAsia="en-GB"/>
              </w:rPr>
              <w:tab/>
            </w:r>
            <w:r w:rsidR="00875636" w:rsidRPr="00FC3E55">
              <w:rPr>
                <w:rStyle w:val="Hyperlink"/>
              </w:rPr>
              <w:t>RESOLUTION 137 (REV. DUBAI, 2018) – Deployment of future networks in developing countries</w:t>
            </w:r>
            <w:r w:rsidR="00875636">
              <w:rPr>
                <w:webHidden/>
              </w:rPr>
              <w:tab/>
            </w:r>
            <w:r w:rsidR="00875636">
              <w:rPr>
                <w:webHidden/>
              </w:rPr>
              <w:fldChar w:fldCharType="begin"/>
            </w:r>
            <w:r w:rsidR="00875636">
              <w:rPr>
                <w:webHidden/>
              </w:rPr>
              <w:instrText xml:space="preserve"> PAGEREF _Toc30749163 \h </w:instrText>
            </w:r>
            <w:r w:rsidR="00875636">
              <w:rPr>
                <w:webHidden/>
              </w:rPr>
            </w:r>
            <w:r w:rsidR="00875636">
              <w:rPr>
                <w:webHidden/>
              </w:rPr>
              <w:fldChar w:fldCharType="separate"/>
            </w:r>
            <w:r w:rsidR="00875636">
              <w:rPr>
                <w:webHidden/>
              </w:rPr>
              <w:t>59</w:t>
            </w:r>
            <w:r w:rsidR="00875636">
              <w:rPr>
                <w:webHidden/>
              </w:rPr>
              <w:fldChar w:fldCharType="end"/>
            </w:r>
          </w:hyperlink>
        </w:p>
        <w:p w14:paraId="1891F745" w14:textId="115C5773" w:rsidR="00875636" w:rsidRDefault="00DD025B">
          <w:pPr>
            <w:pStyle w:val="TOC1"/>
            <w:rPr>
              <w:rFonts w:asciiTheme="minorHAnsi" w:eastAsiaTheme="minorEastAsia" w:hAnsiTheme="minorHAnsi" w:cstheme="minorBidi"/>
              <w:szCs w:val="22"/>
              <w:lang w:eastAsia="en-GB"/>
            </w:rPr>
          </w:pPr>
          <w:hyperlink w:anchor="_Toc30749164" w:history="1">
            <w:r w:rsidR="00875636" w:rsidRPr="00FC3E55">
              <w:rPr>
                <w:rStyle w:val="Hyperlink"/>
              </w:rPr>
              <w:t>20.</w:t>
            </w:r>
            <w:r w:rsidR="00875636">
              <w:rPr>
                <w:rFonts w:asciiTheme="minorHAnsi" w:eastAsiaTheme="minorEastAsia" w:hAnsiTheme="minorHAnsi" w:cstheme="minorBidi"/>
                <w:szCs w:val="22"/>
                <w:lang w:eastAsia="en-GB"/>
              </w:rPr>
              <w:tab/>
            </w:r>
            <w:r w:rsidR="00875636" w:rsidRPr="00FC3E55">
              <w:rPr>
                <w:rStyle w:val="Hyperlink"/>
              </w:rPr>
              <w:t>RESOLUTION 139 (REV. DUBAI, 2018) – Use of telecommunications/information and communication technologies to bridge the digital divide and build an inclusive information society</w:t>
            </w:r>
            <w:r w:rsidR="00875636">
              <w:rPr>
                <w:webHidden/>
              </w:rPr>
              <w:tab/>
            </w:r>
            <w:r w:rsidR="00875636">
              <w:rPr>
                <w:webHidden/>
              </w:rPr>
              <w:fldChar w:fldCharType="begin"/>
            </w:r>
            <w:r w:rsidR="00875636">
              <w:rPr>
                <w:webHidden/>
              </w:rPr>
              <w:instrText xml:space="preserve"> PAGEREF _Toc30749164 \h </w:instrText>
            </w:r>
            <w:r w:rsidR="00875636">
              <w:rPr>
                <w:webHidden/>
              </w:rPr>
            </w:r>
            <w:r w:rsidR="00875636">
              <w:rPr>
                <w:webHidden/>
              </w:rPr>
              <w:fldChar w:fldCharType="separate"/>
            </w:r>
            <w:r w:rsidR="00875636">
              <w:rPr>
                <w:webHidden/>
              </w:rPr>
              <w:t>60</w:t>
            </w:r>
            <w:r w:rsidR="00875636">
              <w:rPr>
                <w:webHidden/>
              </w:rPr>
              <w:fldChar w:fldCharType="end"/>
            </w:r>
          </w:hyperlink>
        </w:p>
        <w:p w14:paraId="32C7E1A4" w14:textId="6679CFB8" w:rsidR="00875636" w:rsidRDefault="00DD025B">
          <w:pPr>
            <w:pStyle w:val="TOC1"/>
            <w:rPr>
              <w:rFonts w:asciiTheme="minorHAnsi" w:eastAsiaTheme="minorEastAsia" w:hAnsiTheme="minorHAnsi" w:cstheme="minorBidi"/>
              <w:szCs w:val="22"/>
              <w:lang w:eastAsia="en-GB"/>
            </w:rPr>
          </w:pPr>
          <w:hyperlink w:anchor="_Toc30749165" w:history="1">
            <w:r w:rsidR="00875636" w:rsidRPr="00FC3E55">
              <w:rPr>
                <w:rStyle w:val="Hyperlink"/>
              </w:rPr>
              <w:t>21.</w:t>
            </w:r>
            <w:r w:rsidR="00875636">
              <w:rPr>
                <w:rFonts w:asciiTheme="minorHAnsi" w:eastAsiaTheme="minorEastAsia" w:hAnsiTheme="minorHAnsi" w:cstheme="minorBidi"/>
                <w:szCs w:val="22"/>
                <w:lang w:eastAsia="en-GB"/>
              </w:rPr>
              <w:tab/>
            </w:r>
            <w:r w:rsidR="00875636" w:rsidRPr="00FC3E55">
              <w:rPr>
                <w:rStyle w:val="Hyperlink"/>
              </w:rPr>
              <w:t>RESOLUTION 140 (REV. DUBAI, 2018) – ITU's role in implementing the outcomes of the World Summit on the Information Society and the 2030 Agenda for Sustainable Development, as well as in their follow-up and review processes</w:t>
            </w:r>
            <w:r w:rsidR="00875636">
              <w:rPr>
                <w:webHidden/>
              </w:rPr>
              <w:tab/>
            </w:r>
            <w:r w:rsidR="00875636">
              <w:rPr>
                <w:webHidden/>
              </w:rPr>
              <w:fldChar w:fldCharType="begin"/>
            </w:r>
            <w:r w:rsidR="00875636">
              <w:rPr>
                <w:webHidden/>
              </w:rPr>
              <w:instrText xml:space="preserve"> PAGEREF _Toc30749165 \h </w:instrText>
            </w:r>
            <w:r w:rsidR="00875636">
              <w:rPr>
                <w:webHidden/>
              </w:rPr>
            </w:r>
            <w:r w:rsidR="00875636">
              <w:rPr>
                <w:webHidden/>
              </w:rPr>
              <w:fldChar w:fldCharType="separate"/>
            </w:r>
            <w:r w:rsidR="00875636">
              <w:rPr>
                <w:webHidden/>
              </w:rPr>
              <w:t>61</w:t>
            </w:r>
            <w:r w:rsidR="00875636">
              <w:rPr>
                <w:webHidden/>
              </w:rPr>
              <w:fldChar w:fldCharType="end"/>
            </w:r>
          </w:hyperlink>
        </w:p>
        <w:p w14:paraId="392826AC" w14:textId="79FA93C5" w:rsidR="00875636" w:rsidRDefault="00DD025B">
          <w:pPr>
            <w:pStyle w:val="TOC1"/>
            <w:rPr>
              <w:rFonts w:asciiTheme="minorHAnsi" w:eastAsiaTheme="minorEastAsia" w:hAnsiTheme="minorHAnsi" w:cstheme="minorBidi"/>
              <w:szCs w:val="22"/>
              <w:lang w:eastAsia="en-GB"/>
            </w:rPr>
          </w:pPr>
          <w:hyperlink w:anchor="_Toc30749166" w:history="1">
            <w:r w:rsidR="00875636" w:rsidRPr="00FC3E55">
              <w:rPr>
                <w:rStyle w:val="Hyperlink"/>
              </w:rPr>
              <w:t>22.</w:t>
            </w:r>
            <w:r w:rsidR="00875636">
              <w:rPr>
                <w:rFonts w:asciiTheme="minorHAnsi" w:eastAsiaTheme="minorEastAsia" w:hAnsiTheme="minorHAnsi" w:cstheme="minorBidi"/>
                <w:szCs w:val="22"/>
                <w:lang w:eastAsia="en-GB"/>
              </w:rPr>
              <w:tab/>
            </w:r>
            <w:r w:rsidR="00875636" w:rsidRPr="00FC3E55">
              <w:rPr>
                <w:rStyle w:val="Hyperlink"/>
              </w:rPr>
              <w:t>RESOLUTION 146 (REV. DUBAI, 2018) – Periodic review and revision of the International Telecommunication Regulations</w:t>
            </w:r>
            <w:r w:rsidR="00875636">
              <w:rPr>
                <w:webHidden/>
              </w:rPr>
              <w:tab/>
            </w:r>
            <w:r w:rsidR="00875636">
              <w:rPr>
                <w:webHidden/>
              </w:rPr>
              <w:fldChar w:fldCharType="begin"/>
            </w:r>
            <w:r w:rsidR="00875636">
              <w:rPr>
                <w:webHidden/>
              </w:rPr>
              <w:instrText xml:space="preserve"> PAGEREF _Toc30749166 \h </w:instrText>
            </w:r>
            <w:r w:rsidR="00875636">
              <w:rPr>
                <w:webHidden/>
              </w:rPr>
            </w:r>
            <w:r w:rsidR="00875636">
              <w:rPr>
                <w:webHidden/>
              </w:rPr>
              <w:fldChar w:fldCharType="separate"/>
            </w:r>
            <w:r w:rsidR="00875636">
              <w:rPr>
                <w:webHidden/>
              </w:rPr>
              <w:t>65</w:t>
            </w:r>
            <w:r w:rsidR="00875636">
              <w:rPr>
                <w:webHidden/>
              </w:rPr>
              <w:fldChar w:fldCharType="end"/>
            </w:r>
          </w:hyperlink>
        </w:p>
        <w:p w14:paraId="54606302" w14:textId="2D353786" w:rsidR="00875636" w:rsidRDefault="00DD025B">
          <w:pPr>
            <w:pStyle w:val="TOC1"/>
            <w:rPr>
              <w:rFonts w:asciiTheme="minorHAnsi" w:eastAsiaTheme="minorEastAsia" w:hAnsiTheme="minorHAnsi" w:cstheme="minorBidi"/>
              <w:szCs w:val="22"/>
              <w:lang w:eastAsia="en-GB"/>
            </w:rPr>
          </w:pPr>
          <w:hyperlink w:anchor="_Toc30749167" w:history="1">
            <w:r w:rsidR="00875636" w:rsidRPr="00FC3E55">
              <w:rPr>
                <w:rStyle w:val="Hyperlink"/>
              </w:rPr>
              <w:t>23.</w:t>
            </w:r>
            <w:r w:rsidR="00875636">
              <w:rPr>
                <w:rFonts w:asciiTheme="minorHAnsi" w:eastAsiaTheme="minorEastAsia" w:hAnsiTheme="minorHAnsi" w:cstheme="minorBidi"/>
                <w:szCs w:val="22"/>
                <w:lang w:eastAsia="en-GB"/>
              </w:rPr>
              <w:tab/>
            </w:r>
            <w:r w:rsidR="00875636" w:rsidRPr="00FC3E55">
              <w:rPr>
                <w:rStyle w:val="Hyperlink"/>
              </w:rPr>
              <w:t>RESOLUTION 151 (REV.DUBAI, 2018) – Improvement of results-based management in ITU</w:t>
            </w:r>
            <w:r w:rsidR="00875636">
              <w:rPr>
                <w:webHidden/>
              </w:rPr>
              <w:tab/>
            </w:r>
            <w:r w:rsidR="00875636">
              <w:rPr>
                <w:webHidden/>
              </w:rPr>
              <w:fldChar w:fldCharType="begin"/>
            </w:r>
            <w:r w:rsidR="00875636">
              <w:rPr>
                <w:webHidden/>
              </w:rPr>
              <w:instrText xml:space="preserve"> PAGEREF _Toc30749167 \h </w:instrText>
            </w:r>
            <w:r w:rsidR="00875636">
              <w:rPr>
                <w:webHidden/>
              </w:rPr>
            </w:r>
            <w:r w:rsidR="00875636">
              <w:rPr>
                <w:webHidden/>
              </w:rPr>
              <w:fldChar w:fldCharType="separate"/>
            </w:r>
            <w:r w:rsidR="00875636">
              <w:rPr>
                <w:webHidden/>
              </w:rPr>
              <w:t>66</w:t>
            </w:r>
            <w:r w:rsidR="00875636">
              <w:rPr>
                <w:webHidden/>
              </w:rPr>
              <w:fldChar w:fldCharType="end"/>
            </w:r>
          </w:hyperlink>
        </w:p>
        <w:p w14:paraId="10C32B5B" w14:textId="39F277AF" w:rsidR="00875636" w:rsidRDefault="00DD025B">
          <w:pPr>
            <w:pStyle w:val="TOC1"/>
            <w:rPr>
              <w:rFonts w:asciiTheme="minorHAnsi" w:eastAsiaTheme="minorEastAsia" w:hAnsiTheme="minorHAnsi" w:cstheme="minorBidi"/>
              <w:szCs w:val="22"/>
              <w:lang w:eastAsia="en-GB"/>
            </w:rPr>
          </w:pPr>
          <w:hyperlink w:anchor="_Toc30749168" w:history="1">
            <w:r w:rsidR="00875636" w:rsidRPr="00FC3E55">
              <w:rPr>
                <w:rStyle w:val="Hyperlink"/>
              </w:rPr>
              <w:t>24.</w:t>
            </w:r>
            <w:r w:rsidR="00875636">
              <w:rPr>
                <w:rFonts w:asciiTheme="minorHAnsi" w:eastAsiaTheme="minorEastAsia" w:hAnsiTheme="minorHAnsi" w:cstheme="minorBidi"/>
                <w:szCs w:val="22"/>
                <w:lang w:eastAsia="en-GB"/>
              </w:rPr>
              <w:tab/>
            </w:r>
            <w:r w:rsidR="00875636" w:rsidRPr="00FC3E55">
              <w:rPr>
                <w:rStyle w:val="Hyperlink"/>
              </w:rPr>
              <w:t>RESOLUTION 154 (REV. DUBAI, 2018) – Use of the six official languages of the Union on an equal footing</w:t>
            </w:r>
            <w:r w:rsidR="00875636">
              <w:rPr>
                <w:webHidden/>
              </w:rPr>
              <w:tab/>
            </w:r>
            <w:r w:rsidR="00875636">
              <w:rPr>
                <w:webHidden/>
              </w:rPr>
              <w:fldChar w:fldCharType="begin"/>
            </w:r>
            <w:r w:rsidR="00875636">
              <w:rPr>
                <w:webHidden/>
              </w:rPr>
              <w:instrText xml:space="preserve"> PAGEREF _Toc30749168 \h </w:instrText>
            </w:r>
            <w:r w:rsidR="00875636">
              <w:rPr>
                <w:webHidden/>
              </w:rPr>
            </w:r>
            <w:r w:rsidR="00875636">
              <w:rPr>
                <w:webHidden/>
              </w:rPr>
              <w:fldChar w:fldCharType="separate"/>
            </w:r>
            <w:r w:rsidR="00875636">
              <w:rPr>
                <w:webHidden/>
              </w:rPr>
              <w:t>67</w:t>
            </w:r>
            <w:r w:rsidR="00875636">
              <w:rPr>
                <w:webHidden/>
              </w:rPr>
              <w:fldChar w:fldCharType="end"/>
            </w:r>
          </w:hyperlink>
        </w:p>
        <w:p w14:paraId="2A62FD8E" w14:textId="3A44B308" w:rsidR="00875636" w:rsidRDefault="00DD025B">
          <w:pPr>
            <w:pStyle w:val="TOC1"/>
            <w:rPr>
              <w:rFonts w:asciiTheme="minorHAnsi" w:eastAsiaTheme="minorEastAsia" w:hAnsiTheme="minorHAnsi" w:cstheme="minorBidi"/>
              <w:szCs w:val="22"/>
              <w:lang w:eastAsia="en-GB"/>
            </w:rPr>
          </w:pPr>
          <w:hyperlink w:anchor="_Toc30749169" w:history="1">
            <w:r w:rsidR="00875636" w:rsidRPr="00FC3E55">
              <w:rPr>
                <w:rStyle w:val="Hyperlink"/>
              </w:rPr>
              <w:t>25.</w:t>
            </w:r>
            <w:r w:rsidR="00875636">
              <w:rPr>
                <w:rFonts w:asciiTheme="minorHAnsi" w:eastAsiaTheme="minorEastAsia" w:hAnsiTheme="minorHAnsi" w:cstheme="minorBidi"/>
                <w:szCs w:val="22"/>
                <w:lang w:eastAsia="en-GB"/>
              </w:rPr>
              <w:tab/>
            </w:r>
            <w:r w:rsidR="00875636" w:rsidRPr="00FC3E55">
              <w:rPr>
                <w:rStyle w:val="Hyperlink"/>
              </w:rPr>
              <w:t>RESOLUTION 165 (REV. DUBAI, 2018) – Deadlines for the submission of proposals and procedures for the registration of participants for conferences and assemblies of the Union</w:t>
            </w:r>
            <w:r w:rsidR="00875636">
              <w:rPr>
                <w:webHidden/>
              </w:rPr>
              <w:tab/>
            </w:r>
            <w:r w:rsidR="00875636">
              <w:rPr>
                <w:webHidden/>
              </w:rPr>
              <w:fldChar w:fldCharType="begin"/>
            </w:r>
            <w:r w:rsidR="00875636">
              <w:rPr>
                <w:webHidden/>
              </w:rPr>
              <w:instrText xml:space="preserve"> PAGEREF _Toc30749169 \h </w:instrText>
            </w:r>
            <w:r w:rsidR="00875636">
              <w:rPr>
                <w:webHidden/>
              </w:rPr>
            </w:r>
            <w:r w:rsidR="00875636">
              <w:rPr>
                <w:webHidden/>
              </w:rPr>
              <w:fldChar w:fldCharType="separate"/>
            </w:r>
            <w:r w:rsidR="00875636">
              <w:rPr>
                <w:webHidden/>
              </w:rPr>
              <w:t>68</w:t>
            </w:r>
            <w:r w:rsidR="00875636">
              <w:rPr>
                <w:webHidden/>
              </w:rPr>
              <w:fldChar w:fldCharType="end"/>
            </w:r>
          </w:hyperlink>
        </w:p>
        <w:p w14:paraId="32A5EC9B" w14:textId="6C460547" w:rsidR="00875636" w:rsidRDefault="00DD025B">
          <w:pPr>
            <w:pStyle w:val="TOC1"/>
            <w:rPr>
              <w:rFonts w:asciiTheme="minorHAnsi" w:eastAsiaTheme="minorEastAsia" w:hAnsiTheme="minorHAnsi" w:cstheme="minorBidi"/>
              <w:szCs w:val="22"/>
              <w:lang w:eastAsia="en-GB"/>
            </w:rPr>
          </w:pPr>
          <w:hyperlink w:anchor="_Toc30749170" w:history="1">
            <w:r w:rsidR="00875636" w:rsidRPr="00FC3E55">
              <w:rPr>
                <w:rStyle w:val="Hyperlink"/>
              </w:rPr>
              <w:t>26.</w:t>
            </w:r>
            <w:r w:rsidR="00875636">
              <w:rPr>
                <w:rFonts w:asciiTheme="minorHAnsi" w:eastAsiaTheme="minorEastAsia" w:hAnsiTheme="minorHAnsi" w:cstheme="minorBidi"/>
                <w:szCs w:val="22"/>
                <w:lang w:eastAsia="en-GB"/>
              </w:rPr>
              <w:tab/>
            </w:r>
            <w:r w:rsidR="00875636" w:rsidRPr="00FC3E55">
              <w:rPr>
                <w:rStyle w:val="Hyperlink"/>
              </w:rPr>
              <w:t>RESOLUTION 167 (REV. DUBAI, 2018) – Strengthening and developing ITU capabilities for electronic meetings and means to advance the work of the Union</w:t>
            </w:r>
            <w:r w:rsidR="00875636">
              <w:rPr>
                <w:webHidden/>
              </w:rPr>
              <w:tab/>
            </w:r>
            <w:r w:rsidR="00875636">
              <w:rPr>
                <w:webHidden/>
              </w:rPr>
              <w:fldChar w:fldCharType="begin"/>
            </w:r>
            <w:r w:rsidR="00875636">
              <w:rPr>
                <w:webHidden/>
              </w:rPr>
              <w:instrText xml:space="preserve"> PAGEREF _Toc30749170 \h </w:instrText>
            </w:r>
            <w:r w:rsidR="00875636">
              <w:rPr>
                <w:webHidden/>
              </w:rPr>
            </w:r>
            <w:r w:rsidR="00875636">
              <w:rPr>
                <w:webHidden/>
              </w:rPr>
              <w:fldChar w:fldCharType="separate"/>
            </w:r>
            <w:r w:rsidR="00875636">
              <w:rPr>
                <w:webHidden/>
              </w:rPr>
              <w:t>69</w:t>
            </w:r>
            <w:r w:rsidR="00875636">
              <w:rPr>
                <w:webHidden/>
              </w:rPr>
              <w:fldChar w:fldCharType="end"/>
            </w:r>
          </w:hyperlink>
        </w:p>
        <w:p w14:paraId="2272BCBE" w14:textId="7FDDCB8B" w:rsidR="00875636" w:rsidRDefault="00DD025B">
          <w:pPr>
            <w:pStyle w:val="TOC1"/>
            <w:rPr>
              <w:rFonts w:asciiTheme="minorHAnsi" w:eastAsiaTheme="minorEastAsia" w:hAnsiTheme="minorHAnsi" w:cstheme="minorBidi"/>
              <w:szCs w:val="22"/>
              <w:lang w:eastAsia="en-GB"/>
            </w:rPr>
          </w:pPr>
          <w:hyperlink w:anchor="_Toc30749171" w:history="1">
            <w:r w:rsidR="00875636" w:rsidRPr="00FC3E55">
              <w:rPr>
                <w:rStyle w:val="Hyperlink"/>
              </w:rPr>
              <w:t>27.</w:t>
            </w:r>
            <w:r w:rsidR="00875636">
              <w:rPr>
                <w:rFonts w:asciiTheme="minorHAnsi" w:eastAsiaTheme="minorEastAsia" w:hAnsiTheme="minorHAnsi" w:cstheme="minorBidi"/>
                <w:szCs w:val="22"/>
                <w:lang w:eastAsia="en-GB"/>
              </w:rPr>
              <w:tab/>
            </w:r>
            <w:r w:rsidR="00875636" w:rsidRPr="00FC3E55">
              <w:rPr>
                <w:rStyle w:val="Hyperlink"/>
              </w:rPr>
              <w:t>RESOLUTION 169 (REV. DUBAI, 2018) – Admission of academia to participate in the work of the Union</w:t>
            </w:r>
            <w:r w:rsidR="00875636">
              <w:rPr>
                <w:webHidden/>
              </w:rPr>
              <w:tab/>
            </w:r>
            <w:r w:rsidR="00875636">
              <w:rPr>
                <w:webHidden/>
              </w:rPr>
              <w:fldChar w:fldCharType="begin"/>
            </w:r>
            <w:r w:rsidR="00875636">
              <w:rPr>
                <w:webHidden/>
              </w:rPr>
              <w:instrText xml:space="preserve"> PAGEREF _Toc30749171 \h </w:instrText>
            </w:r>
            <w:r w:rsidR="00875636">
              <w:rPr>
                <w:webHidden/>
              </w:rPr>
            </w:r>
            <w:r w:rsidR="00875636">
              <w:rPr>
                <w:webHidden/>
              </w:rPr>
              <w:fldChar w:fldCharType="separate"/>
            </w:r>
            <w:r w:rsidR="00875636">
              <w:rPr>
                <w:webHidden/>
              </w:rPr>
              <w:t>70</w:t>
            </w:r>
            <w:r w:rsidR="00875636">
              <w:rPr>
                <w:webHidden/>
              </w:rPr>
              <w:fldChar w:fldCharType="end"/>
            </w:r>
          </w:hyperlink>
        </w:p>
        <w:p w14:paraId="26BF94F9" w14:textId="6776D3C8" w:rsidR="00875636" w:rsidRDefault="00DD025B">
          <w:pPr>
            <w:pStyle w:val="TOC1"/>
            <w:rPr>
              <w:rFonts w:asciiTheme="minorHAnsi" w:eastAsiaTheme="minorEastAsia" w:hAnsiTheme="minorHAnsi" w:cstheme="minorBidi"/>
              <w:szCs w:val="22"/>
              <w:lang w:eastAsia="en-GB"/>
            </w:rPr>
          </w:pPr>
          <w:hyperlink w:anchor="_Toc30749172" w:history="1">
            <w:r w:rsidR="00875636" w:rsidRPr="00FC3E55">
              <w:rPr>
                <w:rStyle w:val="Hyperlink"/>
              </w:rPr>
              <w:t>28.</w:t>
            </w:r>
            <w:r w:rsidR="00875636">
              <w:rPr>
                <w:rFonts w:asciiTheme="minorHAnsi" w:eastAsiaTheme="minorEastAsia" w:hAnsiTheme="minorHAnsi" w:cstheme="minorBidi"/>
                <w:szCs w:val="22"/>
                <w:lang w:eastAsia="en-GB"/>
              </w:rPr>
              <w:tab/>
            </w:r>
            <w:r w:rsidR="00875636" w:rsidRPr="00FC3E55">
              <w:rPr>
                <w:rStyle w:val="Hyperlink"/>
              </w:rPr>
              <w:t>RESOLUTION 170 (REV. BUSAN, 2014) – Admission of Sector Members from developing countries to participate in the work of the ITU Radiocommunication Sector and the ITU Telecommunication Standardization Sector</w:t>
            </w:r>
            <w:r w:rsidR="00875636">
              <w:rPr>
                <w:webHidden/>
              </w:rPr>
              <w:tab/>
            </w:r>
            <w:r w:rsidR="00875636">
              <w:rPr>
                <w:webHidden/>
              </w:rPr>
              <w:fldChar w:fldCharType="begin"/>
            </w:r>
            <w:r w:rsidR="00875636">
              <w:rPr>
                <w:webHidden/>
              </w:rPr>
              <w:instrText xml:space="preserve"> PAGEREF _Toc30749172 \h </w:instrText>
            </w:r>
            <w:r w:rsidR="00875636">
              <w:rPr>
                <w:webHidden/>
              </w:rPr>
            </w:r>
            <w:r w:rsidR="00875636">
              <w:rPr>
                <w:webHidden/>
              </w:rPr>
              <w:fldChar w:fldCharType="separate"/>
            </w:r>
            <w:r w:rsidR="00875636">
              <w:rPr>
                <w:webHidden/>
              </w:rPr>
              <w:t>72</w:t>
            </w:r>
            <w:r w:rsidR="00875636">
              <w:rPr>
                <w:webHidden/>
              </w:rPr>
              <w:fldChar w:fldCharType="end"/>
            </w:r>
          </w:hyperlink>
        </w:p>
        <w:p w14:paraId="1EC2E708" w14:textId="4A8F7949" w:rsidR="00875636" w:rsidRDefault="00DD025B">
          <w:pPr>
            <w:pStyle w:val="TOC1"/>
            <w:rPr>
              <w:rFonts w:asciiTheme="minorHAnsi" w:eastAsiaTheme="minorEastAsia" w:hAnsiTheme="minorHAnsi" w:cstheme="minorBidi"/>
              <w:szCs w:val="22"/>
              <w:lang w:eastAsia="en-GB"/>
            </w:rPr>
          </w:pPr>
          <w:hyperlink w:anchor="_Toc30749173" w:history="1">
            <w:r w:rsidR="00875636" w:rsidRPr="00FC3E55">
              <w:rPr>
                <w:rStyle w:val="Hyperlink"/>
              </w:rPr>
              <w:t>29.</w:t>
            </w:r>
            <w:r w:rsidR="00875636">
              <w:rPr>
                <w:rFonts w:asciiTheme="minorHAnsi" w:eastAsiaTheme="minorEastAsia" w:hAnsiTheme="minorHAnsi" w:cstheme="minorBidi"/>
                <w:szCs w:val="22"/>
                <w:lang w:eastAsia="en-GB"/>
              </w:rPr>
              <w:tab/>
            </w:r>
            <w:r w:rsidR="00875636" w:rsidRPr="00FC3E55">
              <w:rPr>
                <w:rStyle w:val="Hyperlink"/>
              </w:rPr>
              <w:t>RESOLUTION 174 (REV. BUSAN, 2014) – ITU's role with regard to international public policy issues relating to the risk of illicit use of information and communication technologies</w:t>
            </w:r>
            <w:r w:rsidR="00875636">
              <w:rPr>
                <w:webHidden/>
              </w:rPr>
              <w:tab/>
            </w:r>
            <w:r w:rsidR="00875636">
              <w:rPr>
                <w:webHidden/>
              </w:rPr>
              <w:fldChar w:fldCharType="begin"/>
            </w:r>
            <w:r w:rsidR="00875636">
              <w:rPr>
                <w:webHidden/>
              </w:rPr>
              <w:instrText xml:space="preserve"> PAGEREF _Toc30749173 \h </w:instrText>
            </w:r>
            <w:r w:rsidR="00875636">
              <w:rPr>
                <w:webHidden/>
              </w:rPr>
            </w:r>
            <w:r w:rsidR="00875636">
              <w:rPr>
                <w:webHidden/>
              </w:rPr>
              <w:fldChar w:fldCharType="separate"/>
            </w:r>
            <w:r w:rsidR="00875636">
              <w:rPr>
                <w:webHidden/>
              </w:rPr>
              <w:t>73</w:t>
            </w:r>
            <w:r w:rsidR="00875636">
              <w:rPr>
                <w:webHidden/>
              </w:rPr>
              <w:fldChar w:fldCharType="end"/>
            </w:r>
          </w:hyperlink>
        </w:p>
        <w:p w14:paraId="3625D7D4" w14:textId="0D311A9A" w:rsidR="00875636" w:rsidRDefault="00DD025B">
          <w:pPr>
            <w:pStyle w:val="TOC1"/>
            <w:rPr>
              <w:rFonts w:asciiTheme="minorHAnsi" w:eastAsiaTheme="minorEastAsia" w:hAnsiTheme="minorHAnsi" w:cstheme="minorBidi"/>
              <w:szCs w:val="22"/>
              <w:lang w:eastAsia="en-GB"/>
            </w:rPr>
          </w:pPr>
          <w:hyperlink w:anchor="_Toc30749174" w:history="1">
            <w:r w:rsidR="00875636" w:rsidRPr="00FC3E55">
              <w:rPr>
                <w:rStyle w:val="Hyperlink"/>
              </w:rPr>
              <w:t>30.</w:t>
            </w:r>
            <w:r w:rsidR="00875636">
              <w:rPr>
                <w:rFonts w:asciiTheme="minorHAnsi" w:eastAsiaTheme="minorEastAsia" w:hAnsiTheme="minorHAnsi" w:cstheme="minorBidi"/>
                <w:szCs w:val="22"/>
                <w:lang w:eastAsia="en-GB"/>
              </w:rPr>
              <w:tab/>
            </w:r>
            <w:r w:rsidR="00875636" w:rsidRPr="00FC3E55">
              <w:rPr>
                <w:rStyle w:val="Hyperlink"/>
              </w:rPr>
              <w:t>RESOLUTION 175 (REV. DUBAI, 2018) – Telecommunication/information and communication technology accessibility for persons with disabilities and persons with specific needs</w:t>
            </w:r>
            <w:r w:rsidR="00875636">
              <w:rPr>
                <w:webHidden/>
              </w:rPr>
              <w:tab/>
            </w:r>
            <w:r w:rsidR="00875636">
              <w:rPr>
                <w:webHidden/>
              </w:rPr>
              <w:fldChar w:fldCharType="begin"/>
            </w:r>
            <w:r w:rsidR="00875636">
              <w:rPr>
                <w:webHidden/>
              </w:rPr>
              <w:instrText xml:space="preserve"> PAGEREF _Toc30749174 \h </w:instrText>
            </w:r>
            <w:r w:rsidR="00875636">
              <w:rPr>
                <w:webHidden/>
              </w:rPr>
            </w:r>
            <w:r w:rsidR="00875636">
              <w:rPr>
                <w:webHidden/>
              </w:rPr>
              <w:fldChar w:fldCharType="separate"/>
            </w:r>
            <w:r w:rsidR="00875636">
              <w:rPr>
                <w:webHidden/>
              </w:rPr>
              <w:t>74</w:t>
            </w:r>
            <w:r w:rsidR="00875636">
              <w:rPr>
                <w:webHidden/>
              </w:rPr>
              <w:fldChar w:fldCharType="end"/>
            </w:r>
          </w:hyperlink>
        </w:p>
        <w:p w14:paraId="64D5A326" w14:textId="6FC87C4C" w:rsidR="00875636" w:rsidRDefault="00DD025B">
          <w:pPr>
            <w:pStyle w:val="TOC1"/>
            <w:rPr>
              <w:rFonts w:asciiTheme="minorHAnsi" w:eastAsiaTheme="minorEastAsia" w:hAnsiTheme="minorHAnsi" w:cstheme="minorBidi"/>
              <w:szCs w:val="22"/>
              <w:lang w:eastAsia="en-GB"/>
            </w:rPr>
          </w:pPr>
          <w:hyperlink w:anchor="_Toc30749175" w:history="1">
            <w:r w:rsidR="00875636" w:rsidRPr="00FC3E55">
              <w:rPr>
                <w:rStyle w:val="Hyperlink"/>
              </w:rPr>
              <w:t>31.</w:t>
            </w:r>
            <w:r w:rsidR="00875636">
              <w:rPr>
                <w:rFonts w:asciiTheme="minorHAnsi" w:eastAsiaTheme="minorEastAsia" w:hAnsiTheme="minorHAnsi" w:cstheme="minorBidi"/>
                <w:szCs w:val="22"/>
                <w:lang w:eastAsia="en-GB"/>
              </w:rPr>
              <w:tab/>
            </w:r>
            <w:r w:rsidR="00875636" w:rsidRPr="00FC3E55">
              <w:rPr>
                <w:rStyle w:val="Hyperlink"/>
              </w:rPr>
              <w:t>RESOLUTION 176 (REV. DUBAI, 2018) – Measurement and assessment concerns related to human exposure to electromagnetic fields</w:t>
            </w:r>
            <w:r w:rsidR="00875636">
              <w:rPr>
                <w:webHidden/>
              </w:rPr>
              <w:tab/>
            </w:r>
            <w:r w:rsidR="00875636">
              <w:rPr>
                <w:webHidden/>
              </w:rPr>
              <w:fldChar w:fldCharType="begin"/>
            </w:r>
            <w:r w:rsidR="00875636">
              <w:rPr>
                <w:webHidden/>
              </w:rPr>
              <w:instrText xml:space="preserve"> PAGEREF _Toc30749175 \h </w:instrText>
            </w:r>
            <w:r w:rsidR="00875636">
              <w:rPr>
                <w:webHidden/>
              </w:rPr>
            </w:r>
            <w:r w:rsidR="00875636">
              <w:rPr>
                <w:webHidden/>
              </w:rPr>
              <w:fldChar w:fldCharType="separate"/>
            </w:r>
            <w:r w:rsidR="00875636">
              <w:rPr>
                <w:webHidden/>
              </w:rPr>
              <w:t>77</w:t>
            </w:r>
            <w:r w:rsidR="00875636">
              <w:rPr>
                <w:webHidden/>
              </w:rPr>
              <w:fldChar w:fldCharType="end"/>
            </w:r>
          </w:hyperlink>
        </w:p>
        <w:p w14:paraId="72E0DF6A" w14:textId="775A3F7C" w:rsidR="00875636" w:rsidRDefault="00DD025B">
          <w:pPr>
            <w:pStyle w:val="TOC1"/>
            <w:rPr>
              <w:rFonts w:asciiTheme="minorHAnsi" w:eastAsiaTheme="minorEastAsia" w:hAnsiTheme="minorHAnsi" w:cstheme="minorBidi"/>
              <w:szCs w:val="22"/>
              <w:lang w:eastAsia="en-GB"/>
            </w:rPr>
          </w:pPr>
          <w:hyperlink w:anchor="_Toc30749176" w:history="1">
            <w:r w:rsidR="00875636" w:rsidRPr="00FC3E55">
              <w:rPr>
                <w:rStyle w:val="Hyperlink"/>
              </w:rPr>
              <w:t>32.</w:t>
            </w:r>
            <w:r w:rsidR="00875636">
              <w:rPr>
                <w:rFonts w:asciiTheme="minorHAnsi" w:eastAsiaTheme="minorEastAsia" w:hAnsiTheme="minorHAnsi" w:cstheme="minorBidi"/>
                <w:szCs w:val="22"/>
                <w:lang w:eastAsia="en-GB"/>
              </w:rPr>
              <w:tab/>
            </w:r>
            <w:r w:rsidR="00875636" w:rsidRPr="00FC3E55">
              <w:rPr>
                <w:rStyle w:val="Hyperlink"/>
              </w:rPr>
              <w:t>RESOLUTION 177 (REV. DUBAI, 2018) – Conformance and interoperability</w:t>
            </w:r>
            <w:r w:rsidR="00875636">
              <w:rPr>
                <w:webHidden/>
              </w:rPr>
              <w:tab/>
            </w:r>
            <w:r w:rsidR="00875636">
              <w:rPr>
                <w:webHidden/>
              </w:rPr>
              <w:fldChar w:fldCharType="begin"/>
            </w:r>
            <w:r w:rsidR="00875636">
              <w:rPr>
                <w:webHidden/>
              </w:rPr>
              <w:instrText xml:space="preserve"> PAGEREF _Toc30749176 \h </w:instrText>
            </w:r>
            <w:r w:rsidR="00875636">
              <w:rPr>
                <w:webHidden/>
              </w:rPr>
            </w:r>
            <w:r w:rsidR="00875636">
              <w:rPr>
                <w:webHidden/>
              </w:rPr>
              <w:fldChar w:fldCharType="separate"/>
            </w:r>
            <w:r w:rsidR="00875636">
              <w:rPr>
                <w:webHidden/>
              </w:rPr>
              <w:t>79</w:t>
            </w:r>
            <w:r w:rsidR="00875636">
              <w:rPr>
                <w:webHidden/>
              </w:rPr>
              <w:fldChar w:fldCharType="end"/>
            </w:r>
          </w:hyperlink>
        </w:p>
        <w:p w14:paraId="37E7D3F4" w14:textId="0531E544" w:rsidR="00875636" w:rsidRDefault="00DD025B">
          <w:pPr>
            <w:pStyle w:val="TOC1"/>
            <w:rPr>
              <w:rFonts w:asciiTheme="minorHAnsi" w:eastAsiaTheme="minorEastAsia" w:hAnsiTheme="minorHAnsi" w:cstheme="minorBidi"/>
              <w:szCs w:val="22"/>
              <w:lang w:eastAsia="en-GB"/>
            </w:rPr>
          </w:pPr>
          <w:hyperlink w:anchor="_Toc30749177" w:history="1">
            <w:r w:rsidR="00875636" w:rsidRPr="00FC3E55">
              <w:rPr>
                <w:rStyle w:val="Hyperlink"/>
              </w:rPr>
              <w:t>33.</w:t>
            </w:r>
            <w:r w:rsidR="00875636">
              <w:rPr>
                <w:rFonts w:asciiTheme="minorHAnsi" w:eastAsiaTheme="minorEastAsia" w:hAnsiTheme="minorHAnsi" w:cstheme="minorBidi"/>
                <w:szCs w:val="22"/>
                <w:lang w:eastAsia="en-GB"/>
              </w:rPr>
              <w:tab/>
            </w:r>
            <w:r w:rsidR="00875636" w:rsidRPr="00FC3E55">
              <w:rPr>
                <w:rStyle w:val="Hyperlink"/>
              </w:rPr>
              <w:t>RESOLUTION 178 (Guadalajara, 2010) – ITU role in organizing the work on technical aspects of telecommunication networks to support the Internet</w:t>
            </w:r>
            <w:r w:rsidR="00875636">
              <w:rPr>
                <w:webHidden/>
              </w:rPr>
              <w:tab/>
            </w:r>
            <w:r w:rsidR="00875636">
              <w:rPr>
                <w:webHidden/>
              </w:rPr>
              <w:fldChar w:fldCharType="begin"/>
            </w:r>
            <w:r w:rsidR="00875636">
              <w:rPr>
                <w:webHidden/>
              </w:rPr>
              <w:instrText xml:space="preserve"> PAGEREF _Toc30749177 \h </w:instrText>
            </w:r>
            <w:r w:rsidR="00875636">
              <w:rPr>
                <w:webHidden/>
              </w:rPr>
            </w:r>
            <w:r w:rsidR="00875636">
              <w:rPr>
                <w:webHidden/>
              </w:rPr>
              <w:fldChar w:fldCharType="separate"/>
            </w:r>
            <w:r w:rsidR="00875636">
              <w:rPr>
                <w:webHidden/>
              </w:rPr>
              <w:t>83</w:t>
            </w:r>
            <w:r w:rsidR="00875636">
              <w:rPr>
                <w:webHidden/>
              </w:rPr>
              <w:fldChar w:fldCharType="end"/>
            </w:r>
          </w:hyperlink>
        </w:p>
        <w:p w14:paraId="53BB0797" w14:textId="1EE781B2" w:rsidR="00875636" w:rsidRDefault="00DD025B">
          <w:pPr>
            <w:pStyle w:val="TOC1"/>
            <w:rPr>
              <w:rFonts w:asciiTheme="minorHAnsi" w:eastAsiaTheme="minorEastAsia" w:hAnsiTheme="minorHAnsi" w:cstheme="minorBidi"/>
              <w:szCs w:val="22"/>
              <w:lang w:eastAsia="en-GB"/>
            </w:rPr>
          </w:pPr>
          <w:hyperlink w:anchor="_Toc30749178" w:history="1">
            <w:r w:rsidR="00875636" w:rsidRPr="00FC3E55">
              <w:rPr>
                <w:rStyle w:val="Hyperlink"/>
              </w:rPr>
              <w:t>34.</w:t>
            </w:r>
            <w:r w:rsidR="00875636">
              <w:rPr>
                <w:rFonts w:asciiTheme="minorHAnsi" w:eastAsiaTheme="minorEastAsia" w:hAnsiTheme="minorHAnsi" w:cstheme="minorBidi"/>
                <w:szCs w:val="22"/>
                <w:lang w:eastAsia="en-GB"/>
              </w:rPr>
              <w:tab/>
            </w:r>
            <w:r w:rsidR="00875636" w:rsidRPr="00FC3E55">
              <w:rPr>
                <w:rStyle w:val="Hyperlink"/>
              </w:rPr>
              <w:t>RESOLUTION 179 (REV. DUBAI, 2018) – ITU's role in child online protection</w:t>
            </w:r>
            <w:r w:rsidR="00875636">
              <w:rPr>
                <w:webHidden/>
              </w:rPr>
              <w:tab/>
            </w:r>
            <w:r w:rsidR="00875636">
              <w:rPr>
                <w:webHidden/>
              </w:rPr>
              <w:fldChar w:fldCharType="begin"/>
            </w:r>
            <w:r w:rsidR="00875636">
              <w:rPr>
                <w:webHidden/>
              </w:rPr>
              <w:instrText xml:space="preserve"> PAGEREF _Toc30749178 \h </w:instrText>
            </w:r>
            <w:r w:rsidR="00875636">
              <w:rPr>
                <w:webHidden/>
              </w:rPr>
            </w:r>
            <w:r w:rsidR="00875636">
              <w:rPr>
                <w:webHidden/>
              </w:rPr>
              <w:fldChar w:fldCharType="separate"/>
            </w:r>
            <w:r w:rsidR="00875636">
              <w:rPr>
                <w:webHidden/>
              </w:rPr>
              <w:t>84</w:t>
            </w:r>
            <w:r w:rsidR="00875636">
              <w:rPr>
                <w:webHidden/>
              </w:rPr>
              <w:fldChar w:fldCharType="end"/>
            </w:r>
          </w:hyperlink>
        </w:p>
        <w:p w14:paraId="491EFE6D" w14:textId="2D431BDA" w:rsidR="00875636" w:rsidRDefault="00DD025B">
          <w:pPr>
            <w:pStyle w:val="TOC1"/>
            <w:rPr>
              <w:rFonts w:asciiTheme="minorHAnsi" w:eastAsiaTheme="minorEastAsia" w:hAnsiTheme="minorHAnsi" w:cstheme="minorBidi"/>
              <w:szCs w:val="22"/>
              <w:lang w:eastAsia="en-GB"/>
            </w:rPr>
          </w:pPr>
          <w:hyperlink w:anchor="_Toc30749179" w:history="1">
            <w:r w:rsidR="00875636" w:rsidRPr="00FC3E55">
              <w:rPr>
                <w:rStyle w:val="Hyperlink"/>
              </w:rPr>
              <w:t>35.</w:t>
            </w:r>
            <w:r w:rsidR="00875636">
              <w:rPr>
                <w:rFonts w:asciiTheme="minorHAnsi" w:eastAsiaTheme="minorEastAsia" w:hAnsiTheme="minorHAnsi" w:cstheme="minorBidi"/>
                <w:szCs w:val="22"/>
                <w:lang w:eastAsia="en-GB"/>
              </w:rPr>
              <w:tab/>
            </w:r>
            <w:r w:rsidR="00875636" w:rsidRPr="00FC3E55">
              <w:rPr>
                <w:rStyle w:val="Hyperlink"/>
              </w:rPr>
              <w:t>RESOLUTION 180 (REV. DUBAI, 2018) – Promoting deployment and adoption of IPv6 to facilitate the transition from IPv4 to IPv6</w:t>
            </w:r>
            <w:r w:rsidR="00875636">
              <w:rPr>
                <w:webHidden/>
              </w:rPr>
              <w:tab/>
            </w:r>
            <w:r w:rsidR="00875636">
              <w:rPr>
                <w:webHidden/>
              </w:rPr>
              <w:fldChar w:fldCharType="begin"/>
            </w:r>
            <w:r w:rsidR="00875636">
              <w:rPr>
                <w:webHidden/>
              </w:rPr>
              <w:instrText xml:space="preserve"> PAGEREF _Toc30749179 \h </w:instrText>
            </w:r>
            <w:r w:rsidR="00875636">
              <w:rPr>
                <w:webHidden/>
              </w:rPr>
            </w:r>
            <w:r w:rsidR="00875636">
              <w:rPr>
                <w:webHidden/>
              </w:rPr>
              <w:fldChar w:fldCharType="separate"/>
            </w:r>
            <w:r w:rsidR="00875636">
              <w:rPr>
                <w:webHidden/>
              </w:rPr>
              <w:t>85</w:t>
            </w:r>
            <w:r w:rsidR="00875636">
              <w:rPr>
                <w:webHidden/>
              </w:rPr>
              <w:fldChar w:fldCharType="end"/>
            </w:r>
          </w:hyperlink>
        </w:p>
        <w:p w14:paraId="45137BE1" w14:textId="3E7F9BEB" w:rsidR="00875636" w:rsidRDefault="00DD025B">
          <w:pPr>
            <w:pStyle w:val="TOC1"/>
            <w:rPr>
              <w:rFonts w:asciiTheme="minorHAnsi" w:eastAsiaTheme="minorEastAsia" w:hAnsiTheme="minorHAnsi" w:cstheme="minorBidi"/>
              <w:szCs w:val="22"/>
              <w:lang w:eastAsia="en-GB"/>
            </w:rPr>
          </w:pPr>
          <w:hyperlink w:anchor="_Toc30749180" w:history="1">
            <w:r w:rsidR="00875636" w:rsidRPr="00FC3E55">
              <w:rPr>
                <w:rStyle w:val="Hyperlink"/>
              </w:rPr>
              <w:t>36.</w:t>
            </w:r>
            <w:r w:rsidR="00875636">
              <w:rPr>
                <w:rFonts w:asciiTheme="minorHAnsi" w:eastAsiaTheme="minorEastAsia" w:hAnsiTheme="minorHAnsi" w:cstheme="minorBidi"/>
                <w:szCs w:val="22"/>
                <w:lang w:eastAsia="en-GB"/>
              </w:rPr>
              <w:tab/>
            </w:r>
            <w:r w:rsidR="00875636" w:rsidRPr="00FC3E55">
              <w:rPr>
                <w:rStyle w:val="Hyperlink"/>
              </w:rPr>
              <w:t>RESOLUTION 181 (Guadalajara, 2010) – Definitions and terminology relating to building confidence and security in the use of information and communication technologies</w:t>
            </w:r>
            <w:r w:rsidR="00875636">
              <w:rPr>
                <w:webHidden/>
              </w:rPr>
              <w:tab/>
            </w:r>
            <w:r w:rsidR="00875636">
              <w:rPr>
                <w:webHidden/>
              </w:rPr>
              <w:fldChar w:fldCharType="begin"/>
            </w:r>
            <w:r w:rsidR="00875636">
              <w:rPr>
                <w:webHidden/>
              </w:rPr>
              <w:instrText xml:space="preserve"> PAGEREF _Toc30749180 \h </w:instrText>
            </w:r>
            <w:r w:rsidR="00875636">
              <w:rPr>
                <w:webHidden/>
              </w:rPr>
            </w:r>
            <w:r w:rsidR="00875636">
              <w:rPr>
                <w:webHidden/>
              </w:rPr>
              <w:fldChar w:fldCharType="separate"/>
            </w:r>
            <w:r w:rsidR="00875636">
              <w:rPr>
                <w:webHidden/>
              </w:rPr>
              <w:t>87</w:t>
            </w:r>
            <w:r w:rsidR="00875636">
              <w:rPr>
                <w:webHidden/>
              </w:rPr>
              <w:fldChar w:fldCharType="end"/>
            </w:r>
          </w:hyperlink>
        </w:p>
        <w:p w14:paraId="1784503D" w14:textId="255DF67F" w:rsidR="00875636" w:rsidRDefault="00DD025B">
          <w:pPr>
            <w:pStyle w:val="TOC1"/>
            <w:rPr>
              <w:rFonts w:asciiTheme="minorHAnsi" w:eastAsiaTheme="minorEastAsia" w:hAnsiTheme="minorHAnsi" w:cstheme="minorBidi"/>
              <w:szCs w:val="22"/>
              <w:lang w:eastAsia="en-GB"/>
            </w:rPr>
          </w:pPr>
          <w:hyperlink w:anchor="_Toc30749181" w:history="1">
            <w:r w:rsidR="00875636" w:rsidRPr="00FC3E55">
              <w:rPr>
                <w:rStyle w:val="Hyperlink"/>
              </w:rPr>
              <w:t>37.</w:t>
            </w:r>
            <w:r w:rsidR="00875636">
              <w:rPr>
                <w:rFonts w:asciiTheme="minorHAnsi" w:eastAsiaTheme="minorEastAsia" w:hAnsiTheme="minorHAnsi" w:cstheme="minorBidi"/>
                <w:szCs w:val="22"/>
                <w:lang w:eastAsia="en-GB"/>
              </w:rPr>
              <w:tab/>
            </w:r>
            <w:r w:rsidR="00875636" w:rsidRPr="00FC3E55">
              <w:rPr>
                <w:rStyle w:val="Hyperlink"/>
              </w:rPr>
              <w:t>RESOLUTION 182 (REV. BUSAN, 2014) – The role of telecommunications/information and communication technologies in regard to climate change and the protection of the environment</w:t>
            </w:r>
            <w:r w:rsidR="00875636">
              <w:rPr>
                <w:webHidden/>
              </w:rPr>
              <w:tab/>
            </w:r>
            <w:r w:rsidR="00875636">
              <w:rPr>
                <w:webHidden/>
              </w:rPr>
              <w:fldChar w:fldCharType="begin"/>
            </w:r>
            <w:r w:rsidR="00875636">
              <w:rPr>
                <w:webHidden/>
              </w:rPr>
              <w:instrText xml:space="preserve"> PAGEREF _Toc30749181 \h </w:instrText>
            </w:r>
            <w:r w:rsidR="00875636">
              <w:rPr>
                <w:webHidden/>
              </w:rPr>
            </w:r>
            <w:r w:rsidR="00875636">
              <w:rPr>
                <w:webHidden/>
              </w:rPr>
              <w:fldChar w:fldCharType="separate"/>
            </w:r>
            <w:r w:rsidR="00875636">
              <w:rPr>
                <w:webHidden/>
              </w:rPr>
              <w:t>88</w:t>
            </w:r>
            <w:r w:rsidR="00875636">
              <w:rPr>
                <w:webHidden/>
              </w:rPr>
              <w:fldChar w:fldCharType="end"/>
            </w:r>
          </w:hyperlink>
        </w:p>
        <w:p w14:paraId="4A070468" w14:textId="34F26D1A" w:rsidR="00875636" w:rsidRDefault="00DD025B">
          <w:pPr>
            <w:pStyle w:val="TOC1"/>
            <w:rPr>
              <w:rFonts w:asciiTheme="minorHAnsi" w:eastAsiaTheme="minorEastAsia" w:hAnsiTheme="minorHAnsi" w:cstheme="minorBidi"/>
              <w:szCs w:val="22"/>
              <w:lang w:eastAsia="en-GB"/>
            </w:rPr>
          </w:pPr>
          <w:hyperlink w:anchor="_Toc30749182" w:history="1">
            <w:r w:rsidR="00875636" w:rsidRPr="00FC3E55">
              <w:rPr>
                <w:rStyle w:val="Hyperlink"/>
              </w:rPr>
              <w:t>38.</w:t>
            </w:r>
            <w:r w:rsidR="00875636">
              <w:rPr>
                <w:rFonts w:asciiTheme="minorHAnsi" w:eastAsiaTheme="minorEastAsia" w:hAnsiTheme="minorHAnsi" w:cstheme="minorBidi"/>
                <w:szCs w:val="22"/>
                <w:lang w:eastAsia="en-GB"/>
              </w:rPr>
              <w:tab/>
            </w:r>
            <w:r w:rsidR="00875636" w:rsidRPr="00FC3E55">
              <w:rPr>
                <w:rStyle w:val="Hyperlink"/>
              </w:rPr>
              <w:t>RESOLUTION 183 (REV. BUSAN, 2014) – Telecommunication/Information and Communication Technology applications for e-health</w:t>
            </w:r>
            <w:r w:rsidR="00875636">
              <w:rPr>
                <w:webHidden/>
              </w:rPr>
              <w:tab/>
            </w:r>
            <w:r w:rsidR="00875636">
              <w:rPr>
                <w:webHidden/>
              </w:rPr>
              <w:fldChar w:fldCharType="begin"/>
            </w:r>
            <w:r w:rsidR="00875636">
              <w:rPr>
                <w:webHidden/>
              </w:rPr>
              <w:instrText xml:space="preserve"> PAGEREF _Toc30749182 \h </w:instrText>
            </w:r>
            <w:r w:rsidR="00875636">
              <w:rPr>
                <w:webHidden/>
              </w:rPr>
            </w:r>
            <w:r w:rsidR="00875636">
              <w:rPr>
                <w:webHidden/>
              </w:rPr>
              <w:fldChar w:fldCharType="separate"/>
            </w:r>
            <w:r w:rsidR="00875636">
              <w:rPr>
                <w:webHidden/>
              </w:rPr>
              <w:t>93</w:t>
            </w:r>
            <w:r w:rsidR="00875636">
              <w:rPr>
                <w:webHidden/>
              </w:rPr>
              <w:fldChar w:fldCharType="end"/>
            </w:r>
          </w:hyperlink>
        </w:p>
        <w:p w14:paraId="0A40F83B" w14:textId="2F693FAC" w:rsidR="00875636" w:rsidRDefault="00DD025B">
          <w:pPr>
            <w:pStyle w:val="TOC1"/>
            <w:rPr>
              <w:rFonts w:asciiTheme="minorHAnsi" w:eastAsiaTheme="minorEastAsia" w:hAnsiTheme="minorHAnsi" w:cstheme="minorBidi"/>
              <w:szCs w:val="22"/>
              <w:lang w:eastAsia="en-GB"/>
            </w:rPr>
          </w:pPr>
          <w:hyperlink w:anchor="_Toc30749183" w:history="1">
            <w:r w:rsidR="00875636" w:rsidRPr="00FC3E55">
              <w:rPr>
                <w:rStyle w:val="Hyperlink"/>
              </w:rPr>
              <w:t>39.</w:t>
            </w:r>
            <w:r w:rsidR="00875636">
              <w:rPr>
                <w:rFonts w:asciiTheme="minorHAnsi" w:eastAsiaTheme="minorEastAsia" w:hAnsiTheme="minorHAnsi" w:cstheme="minorBidi"/>
                <w:szCs w:val="22"/>
                <w:lang w:eastAsia="en-GB"/>
              </w:rPr>
              <w:tab/>
            </w:r>
            <w:r w:rsidR="00875636" w:rsidRPr="00FC3E55">
              <w:rPr>
                <w:rStyle w:val="Hyperlink"/>
              </w:rPr>
              <w:t>RESOLUTION 184 (Guadalajara, 2010) – Facilitating digital inclusion initiatives for indigenous peoples</w:t>
            </w:r>
            <w:r w:rsidR="00875636">
              <w:rPr>
                <w:webHidden/>
              </w:rPr>
              <w:tab/>
            </w:r>
            <w:r w:rsidR="00875636">
              <w:rPr>
                <w:webHidden/>
              </w:rPr>
              <w:fldChar w:fldCharType="begin"/>
            </w:r>
            <w:r w:rsidR="00875636">
              <w:rPr>
                <w:webHidden/>
              </w:rPr>
              <w:instrText xml:space="preserve"> PAGEREF _Toc30749183 \h </w:instrText>
            </w:r>
            <w:r w:rsidR="00875636">
              <w:rPr>
                <w:webHidden/>
              </w:rPr>
            </w:r>
            <w:r w:rsidR="00875636">
              <w:rPr>
                <w:webHidden/>
              </w:rPr>
              <w:fldChar w:fldCharType="separate"/>
            </w:r>
            <w:r w:rsidR="00875636">
              <w:rPr>
                <w:webHidden/>
              </w:rPr>
              <w:t>94</w:t>
            </w:r>
            <w:r w:rsidR="00875636">
              <w:rPr>
                <w:webHidden/>
              </w:rPr>
              <w:fldChar w:fldCharType="end"/>
            </w:r>
          </w:hyperlink>
        </w:p>
        <w:p w14:paraId="797F98DE" w14:textId="533943A7" w:rsidR="00875636" w:rsidRDefault="00DD025B">
          <w:pPr>
            <w:pStyle w:val="TOC1"/>
            <w:rPr>
              <w:rFonts w:asciiTheme="minorHAnsi" w:eastAsiaTheme="minorEastAsia" w:hAnsiTheme="minorHAnsi" w:cstheme="minorBidi"/>
              <w:szCs w:val="22"/>
              <w:lang w:eastAsia="en-GB"/>
            </w:rPr>
          </w:pPr>
          <w:hyperlink w:anchor="_Toc30749184" w:history="1">
            <w:r w:rsidR="00875636" w:rsidRPr="00FC3E55">
              <w:rPr>
                <w:rStyle w:val="Hyperlink"/>
              </w:rPr>
              <w:t>40.</w:t>
            </w:r>
            <w:r w:rsidR="00875636">
              <w:rPr>
                <w:rFonts w:asciiTheme="minorHAnsi" w:eastAsiaTheme="minorEastAsia" w:hAnsiTheme="minorHAnsi" w:cstheme="minorBidi"/>
                <w:szCs w:val="22"/>
                <w:lang w:eastAsia="en-GB"/>
              </w:rPr>
              <w:tab/>
            </w:r>
            <w:r w:rsidR="00875636" w:rsidRPr="00FC3E55">
              <w:rPr>
                <w:rStyle w:val="Hyperlink"/>
              </w:rPr>
              <w:t>RESOLUTION 189 (REV. DUBAI, 2018) – Assisting Member States to combat and deter mobile device theft</w:t>
            </w:r>
            <w:r w:rsidR="00875636">
              <w:rPr>
                <w:webHidden/>
              </w:rPr>
              <w:tab/>
            </w:r>
            <w:r w:rsidR="00875636">
              <w:rPr>
                <w:webHidden/>
              </w:rPr>
              <w:fldChar w:fldCharType="begin"/>
            </w:r>
            <w:r w:rsidR="00875636">
              <w:rPr>
                <w:webHidden/>
              </w:rPr>
              <w:instrText xml:space="preserve"> PAGEREF _Toc30749184 \h </w:instrText>
            </w:r>
            <w:r w:rsidR="00875636">
              <w:rPr>
                <w:webHidden/>
              </w:rPr>
            </w:r>
            <w:r w:rsidR="00875636">
              <w:rPr>
                <w:webHidden/>
              </w:rPr>
              <w:fldChar w:fldCharType="separate"/>
            </w:r>
            <w:r w:rsidR="00875636">
              <w:rPr>
                <w:webHidden/>
              </w:rPr>
              <w:t>96</w:t>
            </w:r>
            <w:r w:rsidR="00875636">
              <w:rPr>
                <w:webHidden/>
              </w:rPr>
              <w:fldChar w:fldCharType="end"/>
            </w:r>
          </w:hyperlink>
        </w:p>
        <w:p w14:paraId="2F1867A6" w14:textId="33FF2768" w:rsidR="00875636" w:rsidRDefault="00DD025B">
          <w:pPr>
            <w:pStyle w:val="TOC1"/>
            <w:rPr>
              <w:rFonts w:asciiTheme="minorHAnsi" w:eastAsiaTheme="minorEastAsia" w:hAnsiTheme="minorHAnsi" w:cstheme="minorBidi"/>
              <w:szCs w:val="22"/>
              <w:lang w:eastAsia="en-GB"/>
            </w:rPr>
          </w:pPr>
          <w:hyperlink w:anchor="_Toc30749185" w:history="1">
            <w:r w:rsidR="00875636" w:rsidRPr="00FC3E55">
              <w:rPr>
                <w:rStyle w:val="Hyperlink"/>
              </w:rPr>
              <w:t>41.</w:t>
            </w:r>
            <w:r w:rsidR="00875636">
              <w:rPr>
                <w:rFonts w:asciiTheme="minorHAnsi" w:eastAsiaTheme="minorEastAsia" w:hAnsiTheme="minorHAnsi" w:cstheme="minorBidi"/>
                <w:szCs w:val="22"/>
                <w:lang w:eastAsia="en-GB"/>
              </w:rPr>
              <w:tab/>
            </w:r>
            <w:r w:rsidR="00875636" w:rsidRPr="00FC3E55">
              <w:rPr>
                <w:rStyle w:val="Hyperlink"/>
              </w:rPr>
              <w:t>RESOLUTION 190 (BUSAN, 2014) – Countering misappropriation and misuse of international telecommunication numbering resources</w:t>
            </w:r>
            <w:r w:rsidR="00875636">
              <w:rPr>
                <w:webHidden/>
              </w:rPr>
              <w:tab/>
            </w:r>
            <w:r w:rsidR="00875636">
              <w:rPr>
                <w:webHidden/>
              </w:rPr>
              <w:fldChar w:fldCharType="begin"/>
            </w:r>
            <w:r w:rsidR="00875636">
              <w:rPr>
                <w:webHidden/>
              </w:rPr>
              <w:instrText xml:space="preserve"> PAGEREF _Toc30749185 \h </w:instrText>
            </w:r>
            <w:r w:rsidR="00875636">
              <w:rPr>
                <w:webHidden/>
              </w:rPr>
            </w:r>
            <w:r w:rsidR="00875636">
              <w:rPr>
                <w:webHidden/>
              </w:rPr>
              <w:fldChar w:fldCharType="separate"/>
            </w:r>
            <w:r w:rsidR="00875636">
              <w:rPr>
                <w:webHidden/>
              </w:rPr>
              <w:t>97</w:t>
            </w:r>
            <w:r w:rsidR="00875636">
              <w:rPr>
                <w:webHidden/>
              </w:rPr>
              <w:fldChar w:fldCharType="end"/>
            </w:r>
          </w:hyperlink>
        </w:p>
        <w:p w14:paraId="564D0D77" w14:textId="2E594639" w:rsidR="00875636" w:rsidRDefault="00DD025B">
          <w:pPr>
            <w:pStyle w:val="TOC1"/>
            <w:rPr>
              <w:rFonts w:asciiTheme="minorHAnsi" w:eastAsiaTheme="minorEastAsia" w:hAnsiTheme="minorHAnsi" w:cstheme="minorBidi"/>
              <w:szCs w:val="22"/>
              <w:lang w:eastAsia="en-GB"/>
            </w:rPr>
          </w:pPr>
          <w:hyperlink w:anchor="_Toc30749186" w:history="1">
            <w:r w:rsidR="00875636" w:rsidRPr="00FC3E55">
              <w:rPr>
                <w:rStyle w:val="Hyperlink"/>
              </w:rPr>
              <w:t>42.</w:t>
            </w:r>
            <w:r w:rsidR="00875636">
              <w:rPr>
                <w:rFonts w:asciiTheme="minorHAnsi" w:eastAsiaTheme="minorEastAsia" w:hAnsiTheme="minorHAnsi" w:cstheme="minorBidi"/>
                <w:szCs w:val="22"/>
                <w:lang w:eastAsia="en-GB"/>
              </w:rPr>
              <w:tab/>
            </w:r>
            <w:r w:rsidR="00875636" w:rsidRPr="00FC3E55">
              <w:rPr>
                <w:rStyle w:val="Hyperlink"/>
              </w:rPr>
              <w:t>RESOLUTION 191 (REV. DUBAI, 2018) – Strategy for the coordination of efforts among the three Sectors of the Union</w:t>
            </w:r>
            <w:r w:rsidR="00875636">
              <w:rPr>
                <w:webHidden/>
              </w:rPr>
              <w:tab/>
            </w:r>
            <w:r w:rsidR="00875636">
              <w:rPr>
                <w:webHidden/>
              </w:rPr>
              <w:fldChar w:fldCharType="begin"/>
            </w:r>
            <w:r w:rsidR="00875636">
              <w:rPr>
                <w:webHidden/>
              </w:rPr>
              <w:instrText xml:space="preserve"> PAGEREF _Toc30749186 \h </w:instrText>
            </w:r>
            <w:r w:rsidR="00875636">
              <w:rPr>
                <w:webHidden/>
              </w:rPr>
            </w:r>
            <w:r w:rsidR="00875636">
              <w:rPr>
                <w:webHidden/>
              </w:rPr>
              <w:fldChar w:fldCharType="separate"/>
            </w:r>
            <w:r w:rsidR="00875636">
              <w:rPr>
                <w:webHidden/>
              </w:rPr>
              <w:t>99</w:t>
            </w:r>
            <w:r w:rsidR="00875636">
              <w:rPr>
                <w:webHidden/>
              </w:rPr>
              <w:fldChar w:fldCharType="end"/>
            </w:r>
          </w:hyperlink>
        </w:p>
        <w:p w14:paraId="650A76FA" w14:textId="61D99DF1" w:rsidR="00875636" w:rsidRDefault="00DD025B">
          <w:pPr>
            <w:pStyle w:val="TOC1"/>
            <w:rPr>
              <w:rFonts w:asciiTheme="minorHAnsi" w:eastAsiaTheme="minorEastAsia" w:hAnsiTheme="minorHAnsi" w:cstheme="minorBidi"/>
              <w:szCs w:val="22"/>
              <w:lang w:eastAsia="en-GB"/>
            </w:rPr>
          </w:pPr>
          <w:hyperlink w:anchor="_Toc30749187" w:history="1">
            <w:r w:rsidR="00875636" w:rsidRPr="00FC3E55">
              <w:rPr>
                <w:rStyle w:val="Hyperlink"/>
              </w:rPr>
              <w:t>43.</w:t>
            </w:r>
            <w:r w:rsidR="00875636">
              <w:rPr>
                <w:rFonts w:asciiTheme="minorHAnsi" w:eastAsiaTheme="minorEastAsia" w:hAnsiTheme="minorHAnsi" w:cstheme="minorBidi"/>
                <w:szCs w:val="22"/>
                <w:lang w:eastAsia="en-GB"/>
              </w:rPr>
              <w:tab/>
            </w:r>
            <w:r w:rsidR="00875636" w:rsidRPr="00FC3E55">
              <w:rPr>
                <w:rStyle w:val="Hyperlink"/>
              </w:rPr>
              <w:t>RESOLUTION 196 (REV. DUBAI, 2018) – Protecting telecommunication service users/consumers</w:t>
            </w:r>
            <w:r w:rsidR="00875636">
              <w:rPr>
                <w:webHidden/>
              </w:rPr>
              <w:tab/>
            </w:r>
            <w:r w:rsidR="00875636">
              <w:rPr>
                <w:webHidden/>
              </w:rPr>
              <w:fldChar w:fldCharType="begin"/>
            </w:r>
            <w:r w:rsidR="00875636">
              <w:rPr>
                <w:webHidden/>
              </w:rPr>
              <w:instrText xml:space="preserve"> PAGEREF _Toc30749187 \h </w:instrText>
            </w:r>
            <w:r w:rsidR="00875636">
              <w:rPr>
                <w:webHidden/>
              </w:rPr>
            </w:r>
            <w:r w:rsidR="00875636">
              <w:rPr>
                <w:webHidden/>
              </w:rPr>
              <w:fldChar w:fldCharType="separate"/>
            </w:r>
            <w:r w:rsidR="00875636">
              <w:rPr>
                <w:webHidden/>
              </w:rPr>
              <w:t>101</w:t>
            </w:r>
            <w:r w:rsidR="00875636">
              <w:rPr>
                <w:webHidden/>
              </w:rPr>
              <w:fldChar w:fldCharType="end"/>
            </w:r>
          </w:hyperlink>
        </w:p>
        <w:p w14:paraId="5D835279" w14:textId="7C5F56EC" w:rsidR="00875636" w:rsidRDefault="00DD025B">
          <w:pPr>
            <w:pStyle w:val="TOC1"/>
            <w:rPr>
              <w:rFonts w:asciiTheme="minorHAnsi" w:eastAsiaTheme="minorEastAsia" w:hAnsiTheme="minorHAnsi" w:cstheme="minorBidi"/>
              <w:szCs w:val="22"/>
              <w:lang w:eastAsia="en-GB"/>
            </w:rPr>
          </w:pPr>
          <w:hyperlink w:anchor="_Toc30749188" w:history="1">
            <w:r w:rsidR="00875636" w:rsidRPr="00FC3E55">
              <w:rPr>
                <w:rStyle w:val="Hyperlink"/>
              </w:rPr>
              <w:t>44.</w:t>
            </w:r>
            <w:r w:rsidR="00875636">
              <w:rPr>
                <w:rFonts w:asciiTheme="minorHAnsi" w:eastAsiaTheme="minorEastAsia" w:hAnsiTheme="minorHAnsi" w:cstheme="minorBidi"/>
                <w:szCs w:val="22"/>
                <w:lang w:eastAsia="en-GB"/>
              </w:rPr>
              <w:tab/>
            </w:r>
            <w:r w:rsidR="00875636" w:rsidRPr="00FC3E55">
              <w:rPr>
                <w:rStyle w:val="Hyperlink"/>
              </w:rPr>
              <w:t>RESOLUTION 197 (REV. DUBAI, 2018) – Facilitating the Internet of Things and smart sustainable cities and communities</w:t>
            </w:r>
            <w:r w:rsidR="00875636">
              <w:rPr>
                <w:webHidden/>
              </w:rPr>
              <w:tab/>
            </w:r>
            <w:r w:rsidR="00875636">
              <w:rPr>
                <w:webHidden/>
              </w:rPr>
              <w:fldChar w:fldCharType="begin"/>
            </w:r>
            <w:r w:rsidR="00875636">
              <w:rPr>
                <w:webHidden/>
              </w:rPr>
              <w:instrText xml:space="preserve"> PAGEREF _Toc30749188 \h </w:instrText>
            </w:r>
            <w:r w:rsidR="00875636">
              <w:rPr>
                <w:webHidden/>
              </w:rPr>
            </w:r>
            <w:r w:rsidR="00875636">
              <w:rPr>
                <w:webHidden/>
              </w:rPr>
              <w:fldChar w:fldCharType="separate"/>
            </w:r>
            <w:r w:rsidR="00875636">
              <w:rPr>
                <w:webHidden/>
              </w:rPr>
              <w:t>102</w:t>
            </w:r>
            <w:r w:rsidR="00875636">
              <w:rPr>
                <w:webHidden/>
              </w:rPr>
              <w:fldChar w:fldCharType="end"/>
            </w:r>
          </w:hyperlink>
        </w:p>
        <w:p w14:paraId="11FFDD40" w14:textId="6FDA3E09" w:rsidR="00875636" w:rsidRDefault="00DD025B">
          <w:pPr>
            <w:pStyle w:val="TOC1"/>
            <w:rPr>
              <w:rFonts w:asciiTheme="minorHAnsi" w:eastAsiaTheme="minorEastAsia" w:hAnsiTheme="minorHAnsi" w:cstheme="minorBidi"/>
              <w:szCs w:val="22"/>
              <w:lang w:eastAsia="en-GB"/>
            </w:rPr>
          </w:pPr>
          <w:hyperlink w:anchor="_Toc30749189" w:history="1">
            <w:r w:rsidR="00875636" w:rsidRPr="00FC3E55">
              <w:rPr>
                <w:rStyle w:val="Hyperlink"/>
              </w:rPr>
              <w:t>45.</w:t>
            </w:r>
            <w:r w:rsidR="00875636">
              <w:rPr>
                <w:rFonts w:asciiTheme="minorHAnsi" w:eastAsiaTheme="minorEastAsia" w:hAnsiTheme="minorHAnsi" w:cstheme="minorBidi"/>
                <w:szCs w:val="22"/>
                <w:lang w:eastAsia="en-GB"/>
              </w:rPr>
              <w:tab/>
            </w:r>
            <w:r w:rsidR="00875636" w:rsidRPr="00FC3E55">
              <w:rPr>
                <w:rStyle w:val="Hyperlink"/>
              </w:rPr>
              <w:t>RESOLUTION 198 (REV. DUBAI, 2018) – Empowerment of youth through telecommunication/information and communication technology</w:t>
            </w:r>
            <w:r w:rsidR="00875636">
              <w:rPr>
                <w:webHidden/>
              </w:rPr>
              <w:tab/>
            </w:r>
            <w:r w:rsidR="00875636">
              <w:rPr>
                <w:webHidden/>
              </w:rPr>
              <w:fldChar w:fldCharType="begin"/>
            </w:r>
            <w:r w:rsidR="00875636">
              <w:rPr>
                <w:webHidden/>
              </w:rPr>
              <w:instrText xml:space="preserve"> PAGEREF _Toc30749189 \h </w:instrText>
            </w:r>
            <w:r w:rsidR="00875636">
              <w:rPr>
                <w:webHidden/>
              </w:rPr>
            </w:r>
            <w:r w:rsidR="00875636">
              <w:rPr>
                <w:webHidden/>
              </w:rPr>
              <w:fldChar w:fldCharType="separate"/>
            </w:r>
            <w:r w:rsidR="00875636">
              <w:rPr>
                <w:webHidden/>
              </w:rPr>
              <w:t>108</w:t>
            </w:r>
            <w:r w:rsidR="00875636">
              <w:rPr>
                <w:webHidden/>
              </w:rPr>
              <w:fldChar w:fldCharType="end"/>
            </w:r>
          </w:hyperlink>
        </w:p>
        <w:p w14:paraId="1FD7AC4E" w14:textId="3DDF46DB" w:rsidR="00875636" w:rsidRDefault="00DD025B">
          <w:pPr>
            <w:pStyle w:val="TOC1"/>
            <w:rPr>
              <w:rFonts w:asciiTheme="minorHAnsi" w:eastAsiaTheme="minorEastAsia" w:hAnsiTheme="minorHAnsi" w:cstheme="minorBidi"/>
              <w:szCs w:val="22"/>
              <w:lang w:eastAsia="en-GB"/>
            </w:rPr>
          </w:pPr>
          <w:hyperlink w:anchor="_Toc30749190" w:history="1">
            <w:r w:rsidR="00875636" w:rsidRPr="00FC3E55">
              <w:rPr>
                <w:rStyle w:val="Hyperlink"/>
              </w:rPr>
              <w:t>46.</w:t>
            </w:r>
            <w:r w:rsidR="00875636">
              <w:rPr>
                <w:rFonts w:asciiTheme="minorHAnsi" w:eastAsiaTheme="minorEastAsia" w:hAnsiTheme="minorHAnsi" w:cstheme="minorBidi"/>
                <w:szCs w:val="22"/>
                <w:lang w:eastAsia="en-GB"/>
              </w:rPr>
              <w:tab/>
            </w:r>
            <w:r w:rsidR="00875636" w:rsidRPr="00FC3E55">
              <w:rPr>
                <w:rStyle w:val="Hyperlink"/>
              </w:rPr>
              <w:t>RESOLUTION 199 (BUSAN, 2014) – Promoting efforts for capacity building on software-defined networking in developing countries</w:t>
            </w:r>
            <w:r w:rsidR="00875636">
              <w:rPr>
                <w:webHidden/>
              </w:rPr>
              <w:tab/>
            </w:r>
            <w:r w:rsidR="00875636">
              <w:rPr>
                <w:webHidden/>
              </w:rPr>
              <w:fldChar w:fldCharType="begin"/>
            </w:r>
            <w:r w:rsidR="00875636">
              <w:rPr>
                <w:webHidden/>
              </w:rPr>
              <w:instrText xml:space="preserve"> PAGEREF _Toc30749190 \h </w:instrText>
            </w:r>
            <w:r w:rsidR="00875636">
              <w:rPr>
                <w:webHidden/>
              </w:rPr>
            </w:r>
            <w:r w:rsidR="00875636">
              <w:rPr>
                <w:webHidden/>
              </w:rPr>
              <w:fldChar w:fldCharType="separate"/>
            </w:r>
            <w:r w:rsidR="00875636">
              <w:rPr>
                <w:webHidden/>
              </w:rPr>
              <w:t>110</w:t>
            </w:r>
            <w:r w:rsidR="00875636">
              <w:rPr>
                <w:webHidden/>
              </w:rPr>
              <w:fldChar w:fldCharType="end"/>
            </w:r>
          </w:hyperlink>
        </w:p>
        <w:p w14:paraId="2FF9EDD3" w14:textId="3D4E5D84" w:rsidR="00875636" w:rsidRDefault="00DD025B">
          <w:pPr>
            <w:pStyle w:val="TOC1"/>
            <w:rPr>
              <w:rFonts w:asciiTheme="minorHAnsi" w:eastAsiaTheme="minorEastAsia" w:hAnsiTheme="minorHAnsi" w:cstheme="minorBidi"/>
              <w:szCs w:val="22"/>
              <w:lang w:eastAsia="en-GB"/>
            </w:rPr>
          </w:pPr>
          <w:hyperlink w:anchor="_Toc30749191" w:history="1">
            <w:r w:rsidR="00875636" w:rsidRPr="00FC3E55">
              <w:rPr>
                <w:rStyle w:val="Hyperlink"/>
              </w:rPr>
              <w:t>47.</w:t>
            </w:r>
            <w:r w:rsidR="00875636">
              <w:rPr>
                <w:rFonts w:asciiTheme="minorHAnsi" w:eastAsiaTheme="minorEastAsia" w:hAnsiTheme="minorHAnsi" w:cstheme="minorBidi"/>
                <w:szCs w:val="22"/>
                <w:lang w:eastAsia="en-GB"/>
              </w:rPr>
              <w:tab/>
            </w:r>
            <w:r w:rsidR="00875636" w:rsidRPr="00FC3E55">
              <w:rPr>
                <w:rStyle w:val="Hyperlink"/>
              </w:rPr>
              <w:t>RESOLUTION 200 (REV. DUBAI, 2018) – Connect 2030 Agenda for global telecommunication/information and communication technology, including broadband, for sustainable development</w:t>
            </w:r>
            <w:r w:rsidR="00875636">
              <w:rPr>
                <w:webHidden/>
              </w:rPr>
              <w:tab/>
            </w:r>
            <w:r w:rsidR="00875636">
              <w:rPr>
                <w:webHidden/>
              </w:rPr>
              <w:fldChar w:fldCharType="begin"/>
            </w:r>
            <w:r w:rsidR="00875636">
              <w:rPr>
                <w:webHidden/>
              </w:rPr>
              <w:instrText xml:space="preserve"> PAGEREF _Toc30749191 \h </w:instrText>
            </w:r>
            <w:r w:rsidR="00875636">
              <w:rPr>
                <w:webHidden/>
              </w:rPr>
            </w:r>
            <w:r w:rsidR="00875636">
              <w:rPr>
                <w:webHidden/>
              </w:rPr>
              <w:fldChar w:fldCharType="separate"/>
            </w:r>
            <w:r w:rsidR="00875636">
              <w:rPr>
                <w:webHidden/>
              </w:rPr>
              <w:t>110</w:t>
            </w:r>
            <w:r w:rsidR="00875636">
              <w:rPr>
                <w:webHidden/>
              </w:rPr>
              <w:fldChar w:fldCharType="end"/>
            </w:r>
          </w:hyperlink>
        </w:p>
        <w:p w14:paraId="2225880D" w14:textId="262C8F1E" w:rsidR="00875636" w:rsidRDefault="00DD025B">
          <w:pPr>
            <w:pStyle w:val="TOC1"/>
            <w:rPr>
              <w:rFonts w:asciiTheme="minorHAnsi" w:eastAsiaTheme="minorEastAsia" w:hAnsiTheme="minorHAnsi" w:cstheme="minorBidi"/>
              <w:szCs w:val="22"/>
              <w:lang w:eastAsia="en-GB"/>
            </w:rPr>
          </w:pPr>
          <w:hyperlink w:anchor="_Toc30749192" w:history="1">
            <w:r w:rsidR="00875636" w:rsidRPr="00FC3E55">
              <w:rPr>
                <w:rStyle w:val="Hyperlink"/>
              </w:rPr>
              <w:t>48.</w:t>
            </w:r>
            <w:r w:rsidR="00875636">
              <w:rPr>
                <w:rFonts w:asciiTheme="minorHAnsi" w:eastAsiaTheme="minorEastAsia" w:hAnsiTheme="minorHAnsi" w:cstheme="minorBidi"/>
                <w:szCs w:val="22"/>
                <w:lang w:eastAsia="en-GB"/>
              </w:rPr>
              <w:tab/>
            </w:r>
            <w:r w:rsidR="00875636" w:rsidRPr="00FC3E55">
              <w:rPr>
                <w:rStyle w:val="Hyperlink"/>
              </w:rPr>
              <w:t>RESOLUTION 203 (REV. DUBAI, 2018) – Connectivity to broadband networks</w:t>
            </w:r>
            <w:r w:rsidR="00875636">
              <w:rPr>
                <w:webHidden/>
              </w:rPr>
              <w:tab/>
            </w:r>
            <w:r w:rsidR="00875636">
              <w:rPr>
                <w:webHidden/>
              </w:rPr>
              <w:fldChar w:fldCharType="begin"/>
            </w:r>
            <w:r w:rsidR="00875636">
              <w:rPr>
                <w:webHidden/>
              </w:rPr>
              <w:instrText xml:space="preserve"> PAGEREF _Toc30749192 \h </w:instrText>
            </w:r>
            <w:r w:rsidR="00875636">
              <w:rPr>
                <w:webHidden/>
              </w:rPr>
            </w:r>
            <w:r w:rsidR="00875636">
              <w:rPr>
                <w:webHidden/>
              </w:rPr>
              <w:fldChar w:fldCharType="separate"/>
            </w:r>
            <w:r w:rsidR="00875636">
              <w:rPr>
                <w:webHidden/>
              </w:rPr>
              <w:t>111</w:t>
            </w:r>
            <w:r w:rsidR="00875636">
              <w:rPr>
                <w:webHidden/>
              </w:rPr>
              <w:fldChar w:fldCharType="end"/>
            </w:r>
          </w:hyperlink>
        </w:p>
        <w:p w14:paraId="14E130BE" w14:textId="43159F82" w:rsidR="00875636" w:rsidRDefault="00DD025B">
          <w:pPr>
            <w:pStyle w:val="TOC1"/>
            <w:rPr>
              <w:rFonts w:asciiTheme="minorHAnsi" w:eastAsiaTheme="minorEastAsia" w:hAnsiTheme="minorHAnsi" w:cstheme="minorBidi"/>
              <w:szCs w:val="22"/>
              <w:lang w:eastAsia="en-GB"/>
            </w:rPr>
          </w:pPr>
          <w:hyperlink w:anchor="_Toc30749193" w:history="1">
            <w:r w:rsidR="00875636" w:rsidRPr="00FC3E55">
              <w:rPr>
                <w:rStyle w:val="Hyperlink"/>
              </w:rPr>
              <w:t>49.</w:t>
            </w:r>
            <w:r w:rsidR="00875636">
              <w:rPr>
                <w:rFonts w:asciiTheme="minorHAnsi" w:eastAsiaTheme="minorEastAsia" w:hAnsiTheme="minorHAnsi" w:cstheme="minorBidi"/>
                <w:szCs w:val="22"/>
                <w:lang w:eastAsia="en-GB"/>
              </w:rPr>
              <w:tab/>
            </w:r>
            <w:r w:rsidR="00875636" w:rsidRPr="00FC3E55">
              <w:rPr>
                <w:rStyle w:val="Hyperlink"/>
              </w:rPr>
              <w:t>RESOLUTION 204 (DUBAI, 2018) – Use of information and communication technologies to bridge the financial inclusion gap</w:t>
            </w:r>
            <w:r w:rsidR="00875636">
              <w:rPr>
                <w:webHidden/>
              </w:rPr>
              <w:tab/>
            </w:r>
            <w:r w:rsidR="00875636">
              <w:rPr>
                <w:webHidden/>
              </w:rPr>
              <w:fldChar w:fldCharType="begin"/>
            </w:r>
            <w:r w:rsidR="00875636">
              <w:rPr>
                <w:webHidden/>
              </w:rPr>
              <w:instrText xml:space="preserve"> PAGEREF _Toc30749193 \h </w:instrText>
            </w:r>
            <w:r w:rsidR="00875636">
              <w:rPr>
                <w:webHidden/>
              </w:rPr>
            </w:r>
            <w:r w:rsidR="00875636">
              <w:rPr>
                <w:webHidden/>
              </w:rPr>
              <w:fldChar w:fldCharType="separate"/>
            </w:r>
            <w:r w:rsidR="00875636">
              <w:rPr>
                <w:webHidden/>
              </w:rPr>
              <w:t>112</w:t>
            </w:r>
            <w:r w:rsidR="00875636">
              <w:rPr>
                <w:webHidden/>
              </w:rPr>
              <w:fldChar w:fldCharType="end"/>
            </w:r>
          </w:hyperlink>
        </w:p>
        <w:p w14:paraId="1E17B095" w14:textId="44B1AB2C" w:rsidR="00875636" w:rsidRDefault="00DD025B">
          <w:pPr>
            <w:pStyle w:val="TOC1"/>
            <w:rPr>
              <w:rFonts w:asciiTheme="minorHAnsi" w:eastAsiaTheme="minorEastAsia" w:hAnsiTheme="minorHAnsi" w:cstheme="minorBidi"/>
              <w:szCs w:val="22"/>
              <w:lang w:eastAsia="en-GB"/>
            </w:rPr>
          </w:pPr>
          <w:hyperlink w:anchor="_Toc30749194" w:history="1">
            <w:r w:rsidR="00875636" w:rsidRPr="00FC3E55">
              <w:rPr>
                <w:rStyle w:val="Hyperlink"/>
              </w:rPr>
              <w:t>50.</w:t>
            </w:r>
            <w:r w:rsidR="00875636">
              <w:rPr>
                <w:rFonts w:asciiTheme="minorHAnsi" w:eastAsiaTheme="minorEastAsia" w:hAnsiTheme="minorHAnsi" w:cstheme="minorBidi"/>
                <w:szCs w:val="22"/>
                <w:lang w:eastAsia="en-GB"/>
              </w:rPr>
              <w:tab/>
            </w:r>
            <w:r w:rsidR="00875636" w:rsidRPr="00FC3E55">
              <w:rPr>
                <w:rStyle w:val="Hyperlink"/>
              </w:rPr>
              <w:t>RESOLUTION 205 (DUBAI, 2018) – ITU's role in fostering telecommunication/information and communication technology-centric innovation to support the digital economy and society</w:t>
            </w:r>
            <w:r w:rsidR="00875636">
              <w:rPr>
                <w:webHidden/>
              </w:rPr>
              <w:tab/>
            </w:r>
            <w:r w:rsidR="00875636">
              <w:rPr>
                <w:webHidden/>
              </w:rPr>
              <w:fldChar w:fldCharType="begin"/>
            </w:r>
            <w:r w:rsidR="00875636">
              <w:rPr>
                <w:webHidden/>
              </w:rPr>
              <w:instrText xml:space="preserve"> PAGEREF _Toc30749194 \h </w:instrText>
            </w:r>
            <w:r w:rsidR="00875636">
              <w:rPr>
                <w:webHidden/>
              </w:rPr>
            </w:r>
            <w:r w:rsidR="00875636">
              <w:rPr>
                <w:webHidden/>
              </w:rPr>
              <w:fldChar w:fldCharType="separate"/>
            </w:r>
            <w:r w:rsidR="00875636">
              <w:rPr>
                <w:webHidden/>
              </w:rPr>
              <w:t>115</w:t>
            </w:r>
            <w:r w:rsidR="00875636">
              <w:rPr>
                <w:webHidden/>
              </w:rPr>
              <w:fldChar w:fldCharType="end"/>
            </w:r>
          </w:hyperlink>
        </w:p>
        <w:p w14:paraId="0DDE0984" w14:textId="6149723B" w:rsidR="00875636" w:rsidRDefault="00DD025B">
          <w:pPr>
            <w:pStyle w:val="TOC1"/>
            <w:rPr>
              <w:rFonts w:asciiTheme="minorHAnsi" w:eastAsiaTheme="minorEastAsia" w:hAnsiTheme="minorHAnsi" w:cstheme="minorBidi"/>
              <w:szCs w:val="22"/>
              <w:lang w:eastAsia="en-GB"/>
            </w:rPr>
          </w:pPr>
          <w:hyperlink w:anchor="_Toc30749195" w:history="1">
            <w:r w:rsidR="00875636" w:rsidRPr="00FC3E55">
              <w:rPr>
                <w:rStyle w:val="Hyperlink"/>
              </w:rPr>
              <w:t>51.</w:t>
            </w:r>
            <w:r w:rsidR="00875636">
              <w:rPr>
                <w:rFonts w:asciiTheme="minorHAnsi" w:eastAsiaTheme="minorEastAsia" w:hAnsiTheme="minorHAnsi" w:cstheme="minorBidi"/>
                <w:szCs w:val="22"/>
                <w:lang w:eastAsia="en-GB"/>
              </w:rPr>
              <w:tab/>
            </w:r>
            <w:r w:rsidR="00875636" w:rsidRPr="00FC3E55">
              <w:rPr>
                <w:rStyle w:val="Hyperlink"/>
              </w:rPr>
              <w:t>RESOLUTION 206 (DUBAI, 2018) – OTTs</w:t>
            </w:r>
            <w:r w:rsidR="00875636">
              <w:rPr>
                <w:webHidden/>
              </w:rPr>
              <w:tab/>
            </w:r>
            <w:r w:rsidR="00875636">
              <w:rPr>
                <w:webHidden/>
              </w:rPr>
              <w:fldChar w:fldCharType="begin"/>
            </w:r>
            <w:r w:rsidR="00875636">
              <w:rPr>
                <w:webHidden/>
              </w:rPr>
              <w:instrText xml:space="preserve"> PAGEREF _Toc30749195 \h </w:instrText>
            </w:r>
            <w:r w:rsidR="00875636">
              <w:rPr>
                <w:webHidden/>
              </w:rPr>
            </w:r>
            <w:r w:rsidR="00875636">
              <w:rPr>
                <w:webHidden/>
              </w:rPr>
              <w:fldChar w:fldCharType="separate"/>
            </w:r>
            <w:r w:rsidR="00875636">
              <w:rPr>
                <w:webHidden/>
              </w:rPr>
              <w:t>117</w:t>
            </w:r>
            <w:r w:rsidR="00875636">
              <w:rPr>
                <w:webHidden/>
              </w:rPr>
              <w:fldChar w:fldCharType="end"/>
            </w:r>
          </w:hyperlink>
        </w:p>
        <w:p w14:paraId="1A1FC813" w14:textId="4302D983" w:rsidR="00875636" w:rsidRDefault="00DD025B">
          <w:pPr>
            <w:pStyle w:val="TOC1"/>
            <w:rPr>
              <w:rFonts w:asciiTheme="minorHAnsi" w:eastAsiaTheme="minorEastAsia" w:hAnsiTheme="minorHAnsi" w:cstheme="minorBidi"/>
              <w:szCs w:val="22"/>
              <w:lang w:eastAsia="en-GB"/>
            </w:rPr>
          </w:pPr>
          <w:hyperlink w:anchor="_Toc30749196" w:history="1">
            <w:r w:rsidR="00875636" w:rsidRPr="00FC3E55">
              <w:rPr>
                <w:rStyle w:val="Hyperlink"/>
              </w:rPr>
              <w:t>52.</w:t>
            </w:r>
            <w:r w:rsidR="00875636">
              <w:rPr>
                <w:rFonts w:asciiTheme="minorHAnsi" w:eastAsiaTheme="minorEastAsia" w:hAnsiTheme="minorHAnsi" w:cstheme="minorBidi"/>
                <w:szCs w:val="22"/>
                <w:lang w:eastAsia="en-GB"/>
              </w:rPr>
              <w:tab/>
            </w:r>
            <w:r w:rsidR="00875636" w:rsidRPr="00FC3E55">
              <w:rPr>
                <w:rStyle w:val="Hyperlink"/>
              </w:rPr>
              <w:t>RESOLUTION 207 (DUBAI, 2018) – ITU Journal: ICT Discoveries</w:t>
            </w:r>
            <w:r w:rsidR="00875636">
              <w:rPr>
                <w:webHidden/>
              </w:rPr>
              <w:tab/>
            </w:r>
            <w:r w:rsidR="00875636">
              <w:rPr>
                <w:webHidden/>
              </w:rPr>
              <w:fldChar w:fldCharType="begin"/>
            </w:r>
            <w:r w:rsidR="00875636">
              <w:rPr>
                <w:webHidden/>
              </w:rPr>
              <w:instrText xml:space="preserve"> PAGEREF _Toc30749196 \h </w:instrText>
            </w:r>
            <w:r w:rsidR="00875636">
              <w:rPr>
                <w:webHidden/>
              </w:rPr>
            </w:r>
            <w:r w:rsidR="00875636">
              <w:rPr>
                <w:webHidden/>
              </w:rPr>
              <w:fldChar w:fldCharType="separate"/>
            </w:r>
            <w:r w:rsidR="00875636">
              <w:rPr>
                <w:webHidden/>
              </w:rPr>
              <w:t>119</w:t>
            </w:r>
            <w:r w:rsidR="00875636">
              <w:rPr>
                <w:webHidden/>
              </w:rPr>
              <w:fldChar w:fldCharType="end"/>
            </w:r>
          </w:hyperlink>
        </w:p>
        <w:p w14:paraId="504B4071" w14:textId="17E3F07B" w:rsidR="00875636" w:rsidRDefault="00DD025B">
          <w:pPr>
            <w:pStyle w:val="TOC1"/>
            <w:rPr>
              <w:rFonts w:asciiTheme="minorHAnsi" w:eastAsiaTheme="minorEastAsia" w:hAnsiTheme="minorHAnsi" w:cstheme="minorBidi"/>
              <w:szCs w:val="22"/>
              <w:lang w:eastAsia="en-GB"/>
            </w:rPr>
          </w:pPr>
          <w:hyperlink w:anchor="_Toc30749197" w:history="1">
            <w:r w:rsidR="00875636" w:rsidRPr="00FC3E55">
              <w:rPr>
                <w:rStyle w:val="Hyperlink"/>
              </w:rPr>
              <w:t>53.</w:t>
            </w:r>
            <w:r w:rsidR="00875636">
              <w:rPr>
                <w:rFonts w:asciiTheme="minorHAnsi" w:eastAsiaTheme="minorEastAsia" w:hAnsiTheme="minorHAnsi" w:cstheme="minorBidi"/>
                <w:szCs w:val="22"/>
                <w:lang w:eastAsia="en-GB"/>
              </w:rPr>
              <w:tab/>
            </w:r>
            <w:r w:rsidR="00875636" w:rsidRPr="00FC3E55">
              <w:rPr>
                <w:rStyle w:val="Hyperlink"/>
              </w:rPr>
              <w:t>RESOLUTION 208 (DUBAI, 2018) – Appointment and maximum term of office for chairmen and vice-chairmen of Sector advisory groups, study groups and other groups</w:t>
            </w:r>
            <w:r w:rsidR="00875636">
              <w:rPr>
                <w:webHidden/>
              </w:rPr>
              <w:tab/>
            </w:r>
            <w:r w:rsidR="00875636">
              <w:rPr>
                <w:webHidden/>
              </w:rPr>
              <w:fldChar w:fldCharType="begin"/>
            </w:r>
            <w:r w:rsidR="00875636">
              <w:rPr>
                <w:webHidden/>
              </w:rPr>
              <w:instrText xml:space="preserve"> PAGEREF _Toc30749197 \h </w:instrText>
            </w:r>
            <w:r w:rsidR="00875636">
              <w:rPr>
                <w:webHidden/>
              </w:rPr>
            </w:r>
            <w:r w:rsidR="00875636">
              <w:rPr>
                <w:webHidden/>
              </w:rPr>
              <w:fldChar w:fldCharType="separate"/>
            </w:r>
            <w:r w:rsidR="00875636">
              <w:rPr>
                <w:webHidden/>
              </w:rPr>
              <w:t>120</w:t>
            </w:r>
            <w:r w:rsidR="00875636">
              <w:rPr>
                <w:webHidden/>
              </w:rPr>
              <w:fldChar w:fldCharType="end"/>
            </w:r>
          </w:hyperlink>
        </w:p>
        <w:p w14:paraId="71F40A16" w14:textId="18753392" w:rsidR="00875636" w:rsidRDefault="00DD025B">
          <w:pPr>
            <w:pStyle w:val="TOC1"/>
            <w:rPr>
              <w:rFonts w:asciiTheme="minorHAnsi" w:eastAsiaTheme="minorEastAsia" w:hAnsiTheme="minorHAnsi" w:cstheme="minorBidi"/>
              <w:szCs w:val="22"/>
              <w:lang w:eastAsia="en-GB"/>
            </w:rPr>
          </w:pPr>
          <w:hyperlink w:anchor="_Toc30749198" w:history="1">
            <w:r w:rsidR="00875636" w:rsidRPr="00FC3E55">
              <w:rPr>
                <w:rStyle w:val="Hyperlink"/>
              </w:rPr>
              <w:t>54.</w:t>
            </w:r>
            <w:r w:rsidR="00875636">
              <w:rPr>
                <w:rFonts w:asciiTheme="minorHAnsi" w:eastAsiaTheme="minorEastAsia" w:hAnsiTheme="minorHAnsi" w:cstheme="minorBidi"/>
                <w:szCs w:val="22"/>
                <w:lang w:eastAsia="en-GB"/>
              </w:rPr>
              <w:tab/>
            </w:r>
            <w:r w:rsidR="00875636" w:rsidRPr="00FC3E55">
              <w:rPr>
                <w:rStyle w:val="Hyperlink"/>
              </w:rPr>
              <w:t>RESOLUTION 209 (DUBAI, 2018) – Encouraging the participation of small and medium enterprises in the work of the Union</w:t>
            </w:r>
            <w:r w:rsidR="00875636">
              <w:rPr>
                <w:webHidden/>
              </w:rPr>
              <w:tab/>
            </w:r>
            <w:r w:rsidR="00875636">
              <w:rPr>
                <w:webHidden/>
              </w:rPr>
              <w:fldChar w:fldCharType="begin"/>
            </w:r>
            <w:r w:rsidR="00875636">
              <w:rPr>
                <w:webHidden/>
              </w:rPr>
              <w:instrText xml:space="preserve"> PAGEREF _Toc30749198 \h </w:instrText>
            </w:r>
            <w:r w:rsidR="00875636">
              <w:rPr>
                <w:webHidden/>
              </w:rPr>
            </w:r>
            <w:r w:rsidR="00875636">
              <w:rPr>
                <w:webHidden/>
              </w:rPr>
              <w:fldChar w:fldCharType="separate"/>
            </w:r>
            <w:r w:rsidR="00875636">
              <w:rPr>
                <w:webHidden/>
              </w:rPr>
              <w:t>122</w:t>
            </w:r>
            <w:r w:rsidR="00875636">
              <w:rPr>
                <w:webHidden/>
              </w:rPr>
              <w:fldChar w:fldCharType="end"/>
            </w:r>
          </w:hyperlink>
        </w:p>
        <w:p w14:paraId="3A33E26E" w14:textId="5EDCFF6F" w:rsidR="00875636" w:rsidRDefault="00DD025B">
          <w:pPr>
            <w:pStyle w:val="TOC1"/>
            <w:rPr>
              <w:rFonts w:asciiTheme="minorHAnsi" w:eastAsiaTheme="minorEastAsia" w:hAnsiTheme="minorHAnsi" w:cstheme="minorBidi"/>
              <w:szCs w:val="22"/>
              <w:lang w:eastAsia="en-GB"/>
            </w:rPr>
          </w:pPr>
          <w:hyperlink w:anchor="_Toc30749199" w:history="1">
            <w:r w:rsidR="00875636" w:rsidRPr="00FC3E55">
              <w:rPr>
                <w:rStyle w:val="Hyperlink"/>
              </w:rPr>
              <w:t>55.</w:t>
            </w:r>
            <w:r w:rsidR="00875636">
              <w:rPr>
                <w:rFonts w:asciiTheme="minorHAnsi" w:eastAsiaTheme="minorEastAsia" w:hAnsiTheme="minorHAnsi" w:cstheme="minorBidi"/>
                <w:szCs w:val="22"/>
                <w:lang w:eastAsia="en-GB"/>
              </w:rPr>
              <w:tab/>
            </w:r>
            <w:r w:rsidR="00875636" w:rsidRPr="00FC3E55">
              <w:rPr>
                <w:rStyle w:val="Hyperlink"/>
              </w:rPr>
              <w:t>RESOLUTION 211 (DUBAI, 2018) – Support for the Iraqi Du3M 2025 initiative for advancement of the telecommunication and information technology sectors</w:t>
            </w:r>
            <w:r w:rsidR="00875636">
              <w:rPr>
                <w:webHidden/>
              </w:rPr>
              <w:tab/>
            </w:r>
            <w:r w:rsidR="00875636">
              <w:rPr>
                <w:webHidden/>
              </w:rPr>
              <w:fldChar w:fldCharType="begin"/>
            </w:r>
            <w:r w:rsidR="00875636">
              <w:rPr>
                <w:webHidden/>
              </w:rPr>
              <w:instrText xml:space="preserve"> PAGEREF _Toc30749199 \h </w:instrText>
            </w:r>
            <w:r w:rsidR="00875636">
              <w:rPr>
                <w:webHidden/>
              </w:rPr>
            </w:r>
            <w:r w:rsidR="00875636">
              <w:rPr>
                <w:webHidden/>
              </w:rPr>
              <w:fldChar w:fldCharType="separate"/>
            </w:r>
            <w:r w:rsidR="00875636">
              <w:rPr>
                <w:webHidden/>
              </w:rPr>
              <w:t>123</w:t>
            </w:r>
            <w:r w:rsidR="00875636">
              <w:rPr>
                <w:webHidden/>
              </w:rPr>
              <w:fldChar w:fldCharType="end"/>
            </w:r>
          </w:hyperlink>
        </w:p>
        <w:p w14:paraId="73827A49" w14:textId="6E45BB7C" w:rsidR="00875636" w:rsidRDefault="00DD025B">
          <w:pPr>
            <w:pStyle w:val="TOC1"/>
            <w:rPr>
              <w:rFonts w:asciiTheme="minorHAnsi" w:eastAsiaTheme="minorEastAsia" w:hAnsiTheme="minorHAnsi" w:cstheme="minorBidi"/>
              <w:szCs w:val="22"/>
              <w:lang w:eastAsia="en-GB"/>
            </w:rPr>
          </w:pPr>
          <w:hyperlink w:anchor="_Toc30749200" w:history="1">
            <w:r w:rsidR="00875636" w:rsidRPr="00FC3E55">
              <w:rPr>
                <w:rStyle w:val="Hyperlink"/>
              </w:rPr>
              <w:t>56.</w:t>
            </w:r>
            <w:r w:rsidR="00875636">
              <w:rPr>
                <w:rFonts w:asciiTheme="minorHAnsi" w:eastAsiaTheme="minorEastAsia" w:hAnsiTheme="minorHAnsi" w:cstheme="minorBidi"/>
                <w:szCs w:val="22"/>
                <w:lang w:eastAsia="en-GB"/>
              </w:rPr>
              <w:tab/>
            </w:r>
            <w:r w:rsidR="00875636" w:rsidRPr="00FC3E55">
              <w:rPr>
                <w:rStyle w:val="Hyperlink"/>
              </w:rPr>
              <w:t>RESOLUTION 213 (DUBAI, 2018) – Measures to improve, promote and strengthen ITU fellowships</w:t>
            </w:r>
            <w:r w:rsidR="00875636">
              <w:rPr>
                <w:webHidden/>
              </w:rPr>
              <w:tab/>
            </w:r>
            <w:r w:rsidR="00875636">
              <w:rPr>
                <w:webHidden/>
              </w:rPr>
              <w:fldChar w:fldCharType="begin"/>
            </w:r>
            <w:r w:rsidR="00875636">
              <w:rPr>
                <w:webHidden/>
              </w:rPr>
              <w:instrText xml:space="preserve"> PAGEREF _Toc30749200 \h </w:instrText>
            </w:r>
            <w:r w:rsidR="00875636">
              <w:rPr>
                <w:webHidden/>
              </w:rPr>
            </w:r>
            <w:r w:rsidR="00875636">
              <w:rPr>
                <w:webHidden/>
              </w:rPr>
              <w:fldChar w:fldCharType="separate"/>
            </w:r>
            <w:r w:rsidR="00875636">
              <w:rPr>
                <w:webHidden/>
              </w:rPr>
              <w:t>124</w:t>
            </w:r>
            <w:r w:rsidR="00875636">
              <w:rPr>
                <w:webHidden/>
              </w:rPr>
              <w:fldChar w:fldCharType="end"/>
            </w:r>
          </w:hyperlink>
        </w:p>
        <w:p w14:paraId="6F9A4B09" w14:textId="46366A09" w:rsidR="00875636" w:rsidRDefault="00DD025B">
          <w:pPr>
            <w:pStyle w:val="TOC1"/>
            <w:rPr>
              <w:rFonts w:asciiTheme="minorHAnsi" w:eastAsiaTheme="minorEastAsia" w:hAnsiTheme="minorHAnsi" w:cstheme="minorBidi"/>
              <w:szCs w:val="22"/>
              <w:lang w:eastAsia="en-GB"/>
            </w:rPr>
          </w:pPr>
          <w:hyperlink w:anchor="_Toc30749201" w:history="1">
            <w:r w:rsidR="00875636" w:rsidRPr="00FC3E55">
              <w:rPr>
                <w:rStyle w:val="Hyperlink"/>
              </w:rPr>
              <w:t>57.</w:t>
            </w:r>
            <w:r w:rsidR="00875636">
              <w:rPr>
                <w:rFonts w:asciiTheme="minorHAnsi" w:eastAsiaTheme="minorEastAsia" w:hAnsiTheme="minorHAnsi" w:cstheme="minorBidi"/>
                <w:szCs w:val="22"/>
                <w:lang w:eastAsia="en-GB"/>
              </w:rPr>
              <w:tab/>
            </w:r>
            <w:r w:rsidR="00875636" w:rsidRPr="00FC3E55">
              <w:rPr>
                <w:rStyle w:val="Hyperlink"/>
              </w:rPr>
              <w:t>DECISION 12 (REV. BUSAN, 2014) – Free online access to ITU publications</w:t>
            </w:r>
            <w:r w:rsidR="00875636">
              <w:rPr>
                <w:webHidden/>
              </w:rPr>
              <w:tab/>
            </w:r>
            <w:r w:rsidR="00875636">
              <w:rPr>
                <w:webHidden/>
              </w:rPr>
              <w:fldChar w:fldCharType="begin"/>
            </w:r>
            <w:r w:rsidR="00875636">
              <w:rPr>
                <w:webHidden/>
              </w:rPr>
              <w:instrText xml:space="preserve"> PAGEREF _Toc30749201 \h </w:instrText>
            </w:r>
            <w:r w:rsidR="00875636">
              <w:rPr>
                <w:webHidden/>
              </w:rPr>
            </w:r>
            <w:r w:rsidR="00875636">
              <w:rPr>
                <w:webHidden/>
              </w:rPr>
              <w:fldChar w:fldCharType="separate"/>
            </w:r>
            <w:r w:rsidR="00875636">
              <w:rPr>
                <w:webHidden/>
              </w:rPr>
              <w:t>125</w:t>
            </w:r>
            <w:r w:rsidR="00875636">
              <w:rPr>
                <w:webHidden/>
              </w:rPr>
              <w:fldChar w:fldCharType="end"/>
            </w:r>
          </w:hyperlink>
        </w:p>
        <w:p w14:paraId="0D3D96AD" w14:textId="63E64B2D" w:rsidR="00875636" w:rsidRDefault="00DD025B">
          <w:pPr>
            <w:pStyle w:val="TOC1"/>
            <w:rPr>
              <w:rFonts w:asciiTheme="minorHAnsi" w:eastAsiaTheme="minorEastAsia" w:hAnsiTheme="minorHAnsi" w:cstheme="minorBidi"/>
              <w:szCs w:val="22"/>
              <w:lang w:eastAsia="en-GB"/>
            </w:rPr>
          </w:pPr>
          <w:hyperlink w:anchor="_Toc30749202" w:history="1">
            <w:r w:rsidR="00875636" w:rsidRPr="00FC3E55">
              <w:rPr>
                <w:rStyle w:val="Hyperlink"/>
              </w:rPr>
              <w:t>58.</w:t>
            </w:r>
            <w:r w:rsidR="00875636">
              <w:rPr>
                <w:rFonts w:asciiTheme="minorHAnsi" w:eastAsiaTheme="minorEastAsia" w:hAnsiTheme="minorHAnsi" w:cstheme="minorBidi"/>
                <w:szCs w:val="22"/>
                <w:lang w:eastAsia="en-GB"/>
              </w:rPr>
              <w:tab/>
            </w:r>
            <w:r w:rsidR="00875636" w:rsidRPr="00FC3E55">
              <w:rPr>
                <w:rStyle w:val="Hyperlink"/>
              </w:rPr>
              <w:t>DECISION 14 (BUSAN, 2014) – Use of hyperlinks in ITU documents</w:t>
            </w:r>
            <w:r w:rsidR="00875636">
              <w:rPr>
                <w:webHidden/>
              </w:rPr>
              <w:tab/>
            </w:r>
            <w:r w:rsidR="00875636">
              <w:rPr>
                <w:webHidden/>
              </w:rPr>
              <w:fldChar w:fldCharType="begin"/>
            </w:r>
            <w:r w:rsidR="00875636">
              <w:rPr>
                <w:webHidden/>
              </w:rPr>
              <w:instrText xml:space="preserve"> PAGEREF _Toc30749202 \h </w:instrText>
            </w:r>
            <w:r w:rsidR="00875636">
              <w:rPr>
                <w:webHidden/>
              </w:rPr>
            </w:r>
            <w:r w:rsidR="00875636">
              <w:rPr>
                <w:webHidden/>
              </w:rPr>
              <w:fldChar w:fldCharType="separate"/>
            </w:r>
            <w:r w:rsidR="00875636">
              <w:rPr>
                <w:webHidden/>
              </w:rPr>
              <w:t>126</w:t>
            </w:r>
            <w:r w:rsidR="00875636">
              <w:rPr>
                <w:webHidden/>
              </w:rPr>
              <w:fldChar w:fldCharType="end"/>
            </w:r>
          </w:hyperlink>
        </w:p>
        <w:p w14:paraId="0ECA2ED0" w14:textId="16344664" w:rsidR="00875636" w:rsidRDefault="00DD025B">
          <w:pPr>
            <w:pStyle w:val="TOC1"/>
            <w:rPr>
              <w:rFonts w:asciiTheme="minorHAnsi" w:eastAsiaTheme="minorEastAsia" w:hAnsiTheme="minorHAnsi" w:cstheme="minorBidi"/>
              <w:szCs w:val="22"/>
              <w:lang w:eastAsia="en-GB"/>
            </w:rPr>
          </w:pPr>
          <w:hyperlink w:anchor="_Toc30749203" w:history="1">
            <w:r w:rsidR="00875636" w:rsidRPr="00FC3E55">
              <w:rPr>
                <w:rStyle w:val="Hyperlink"/>
              </w:rPr>
              <w:t>59.</w:t>
            </w:r>
            <w:r w:rsidR="00875636">
              <w:rPr>
                <w:rFonts w:asciiTheme="minorHAnsi" w:eastAsiaTheme="minorEastAsia" w:hAnsiTheme="minorHAnsi" w:cstheme="minorBidi"/>
                <w:szCs w:val="22"/>
                <w:lang w:eastAsia="en-GB"/>
              </w:rPr>
              <w:tab/>
            </w:r>
            <w:r w:rsidR="00875636" w:rsidRPr="00FC3E55">
              <w:rPr>
                <w:rStyle w:val="Hyperlink"/>
              </w:rPr>
              <w:t>COM5 RECOMMENDATION 3 (DUBAI, 2018) – Streamlining</w:t>
            </w:r>
            <w:r w:rsidR="00875636">
              <w:rPr>
                <w:webHidden/>
              </w:rPr>
              <w:tab/>
            </w:r>
            <w:r w:rsidR="00875636">
              <w:rPr>
                <w:webHidden/>
              </w:rPr>
              <w:fldChar w:fldCharType="begin"/>
            </w:r>
            <w:r w:rsidR="00875636">
              <w:rPr>
                <w:webHidden/>
              </w:rPr>
              <w:instrText xml:space="preserve"> PAGEREF _Toc30749203 \h </w:instrText>
            </w:r>
            <w:r w:rsidR="00875636">
              <w:rPr>
                <w:webHidden/>
              </w:rPr>
            </w:r>
            <w:r w:rsidR="00875636">
              <w:rPr>
                <w:webHidden/>
              </w:rPr>
              <w:fldChar w:fldCharType="separate"/>
            </w:r>
            <w:r w:rsidR="00875636">
              <w:rPr>
                <w:webHidden/>
              </w:rPr>
              <w:t>126</w:t>
            </w:r>
            <w:r w:rsidR="00875636">
              <w:rPr>
                <w:webHidden/>
              </w:rPr>
              <w:fldChar w:fldCharType="end"/>
            </w:r>
          </w:hyperlink>
        </w:p>
        <w:p w14:paraId="7D728B5E" w14:textId="353496C7" w:rsidR="00875636" w:rsidRDefault="00DD025B">
          <w:pPr>
            <w:pStyle w:val="TOC1"/>
            <w:rPr>
              <w:rFonts w:asciiTheme="minorHAnsi" w:eastAsiaTheme="minorEastAsia" w:hAnsiTheme="minorHAnsi" w:cstheme="minorBidi"/>
              <w:szCs w:val="22"/>
              <w:lang w:eastAsia="en-GB"/>
            </w:rPr>
          </w:pPr>
          <w:hyperlink w:anchor="_Toc30749204" w:history="1">
            <w:r w:rsidR="00875636" w:rsidRPr="00FC3E55">
              <w:rPr>
                <w:rStyle w:val="Hyperlink"/>
              </w:rPr>
              <w:t>60.</w:t>
            </w:r>
            <w:r w:rsidR="00875636">
              <w:rPr>
                <w:rFonts w:asciiTheme="minorHAnsi" w:eastAsiaTheme="minorEastAsia" w:hAnsiTheme="minorHAnsi" w:cstheme="minorBidi"/>
                <w:szCs w:val="22"/>
                <w:lang w:eastAsia="en-GB"/>
              </w:rPr>
              <w:tab/>
            </w:r>
            <w:r w:rsidR="00875636" w:rsidRPr="00FC3E55">
              <w:rPr>
                <w:rStyle w:val="Hyperlink"/>
              </w:rPr>
              <w:t>COM6 RECOMMENDATION 33 (DUBAI, 2018) – Non-discriminatory international standards</w:t>
            </w:r>
            <w:r w:rsidR="00875636">
              <w:rPr>
                <w:webHidden/>
              </w:rPr>
              <w:tab/>
            </w:r>
            <w:r w:rsidR="00875636">
              <w:rPr>
                <w:webHidden/>
              </w:rPr>
              <w:fldChar w:fldCharType="begin"/>
            </w:r>
            <w:r w:rsidR="00875636">
              <w:rPr>
                <w:webHidden/>
              </w:rPr>
              <w:instrText xml:space="preserve"> PAGEREF _Toc30749204 \h </w:instrText>
            </w:r>
            <w:r w:rsidR="00875636">
              <w:rPr>
                <w:webHidden/>
              </w:rPr>
            </w:r>
            <w:r w:rsidR="00875636">
              <w:rPr>
                <w:webHidden/>
              </w:rPr>
              <w:fldChar w:fldCharType="separate"/>
            </w:r>
            <w:r w:rsidR="00875636">
              <w:rPr>
                <w:webHidden/>
              </w:rPr>
              <w:t>127</w:t>
            </w:r>
            <w:r w:rsidR="00875636">
              <w:rPr>
                <w:webHidden/>
              </w:rPr>
              <w:fldChar w:fldCharType="end"/>
            </w:r>
          </w:hyperlink>
        </w:p>
        <w:p w14:paraId="2E59A2FD" w14:textId="23C12427" w:rsidR="00875636" w:rsidRDefault="00DD025B">
          <w:pPr>
            <w:pStyle w:val="TOC1"/>
            <w:rPr>
              <w:rFonts w:asciiTheme="minorHAnsi" w:eastAsiaTheme="minorEastAsia" w:hAnsiTheme="minorHAnsi" w:cstheme="minorBidi"/>
              <w:szCs w:val="22"/>
              <w:lang w:eastAsia="en-GB"/>
            </w:rPr>
          </w:pPr>
          <w:hyperlink w:anchor="_Toc30749205" w:history="1">
            <w:r w:rsidR="00875636" w:rsidRPr="00FC3E55">
              <w:rPr>
                <w:rStyle w:val="Hyperlink"/>
              </w:rPr>
              <w:t>61.</w:t>
            </w:r>
            <w:r w:rsidR="00875636">
              <w:rPr>
                <w:rFonts w:asciiTheme="minorHAnsi" w:eastAsiaTheme="minorEastAsia" w:hAnsiTheme="minorHAnsi" w:cstheme="minorBidi"/>
                <w:szCs w:val="22"/>
                <w:lang w:eastAsia="en-GB"/>
              </w:rPr>
              <w:tab/>
            </w:r>
            <w:r w:rsidR="00875636" w:rsidRPr="00FC3E55">
              <w:rPr>
                <w:rStyle w:val="Hyperlink"/>
              </w:rPr>
              <w:t>COM5 RECOMMENDATION 8 (DUBAI, 2018) – Regional Groups</w:t>
            </w:r>
            <w:r w:rsidR="00875636">
              <w:rPr>
                <w:webHidden/>
              </w:rPr>
              <w:tab/>
            </w:r>
            <w:r w:rsidR="00875636">
              <w:rPr>
                <w:webHidden/>
              </w:rPr>
              <w:fldChar w:fldCharType="begin"/>
            </w:r>
            <w:r w:rsidR="00875636">
              <w:rPr>
                <w:webHidden/>
              </w:rPr>
              <w:instrText xml:space="preserve"> PAGEREF _Toc30749205 \h </w:instrText>
            </w:r>
            <w:r w:rsidR="00875636">
              <w:rPr>
                <w:webHidden/>
              </w:rPr>
            </w:r>
            <w:r w:rsidR="00875636">
              <w:rPr>
                <w:webHidden/>
              </w:rPr>
              <w:fldChar w:fldCharType="separate"/>
            </w:r>
            <w:r w:rsidR="00875636">
              <w:rPr>
                <w:webHidden/>
              </w:rPr>
              <w:t>128</w:t>
            </w:r>
            <w:r w:rsidR="00875636">
              <w:rPr>
                <w:webHidden/>
              </w:rPr>
              <w:fldChar w:fldCharType="end"/>
            </w:r>
          </w:hyperlink>
        </w:p>
        <w:p w14:paraId="3FCE97E8" w14:textId="52DB8743" w:rsidR="00875636" w:rsidRDefault="00DD025B">
          <w:pPr>
            <w:pStyle w:val="TOC1"/>
            <w:rPr>
              <w:rFonts w:asciiTheme="minorHAnsi" w:eastAsiaTheme="minorEastAsia" w:hAnsiTheme="minorHAnsi" w:cstheme="minorBidi"/>
              <w:szCs w:val="22"/>
              <w:lang w:eastAsia="en-GB"/>
            </w:rPr>
          </w:pPr>
          <w:hyperlink w:anchor="_Toc30749206" w:history="1">
            <w:r w:rsidR="00875636" w:rsidRPr="00FC3E55">
              <w:rPr>
                <w:rStyle w:val="Hyperlink"/>
              </w:rPr>
              <w:t>62.</w:t>
            </w:r>
            <w:r w:rsidR="00875636">
              <w:rPr>
                <w:rFonts w:asciiTheme="minorHAnsi" w:eastAsiaTheme="minorEastAsia" w:hAnsiTheme="minorHAnsi" w:cstheme="minorBidi"/>
                <w:szCs w:val="22"/>
                <w:lang w:eastAsia="en-GB"/>
              </w:rPr>
              <w:tab/>
            </w:r>
            <w:r w:rsidR="00875636" w:rsidRPr="00FC3E55">
              <w:rPr>
                <w:rStyle w:val="Hyperlink"/>
              </w:rPr>
              <w:t>PP18 decision PP18dec2.13 (DUBAI, 2018) – MoUs with substantial financial and/or strategic implications</w:t>
            </w:r>
            <w:r w:rsidR="00875636">
              <w:rPr>
                <w:webHidden/>
              </w:rPr>
              <w:tab/>
            </w:r>
            <w:r w:rsidR="00875636">
              <w:rPr>
                <w:webHidden/>
              </w:rPr>
              <w:fldChar w:fldCharType="begin"/>
            </w:r>
            <w:r w:rsidR="00875636">
              <w:rPr>
                <w:webHidden/>
              </w:rPr>
              <w:instrText xml:space="preserve"> PAGEREF _Toc30749206 \h </w:instrText>
            </w:r>
            <w:r w:rsidR="00875636">
              <w:rPr>
                <w:webHidden/>
              </w:rPr>
            </w:r>
            <w:r w:rsidR="00875636">
              <w:rPr>
                <w:webHidden/>
              </w:rPr>
              <w:fldChar w:fldCharType="separate"/>
            </w:r>
            <w:r w:rsidR="00875636">
              <w:rPr>
                <w:webHidden/>
              </w:rPr>
              <w:t>128</w:t>
            </w:r>
            <w:r w:rsidR="00875636">
              <w:rPr>
                <w:webHidden/>
              </w:rPr>
              <w:fldChar w:fldCharType="end"/>
            </w:r>
          </w:hyperlink>
        </w:p>
        <w:p w14:paraId="58AC80F2" w14:textId="1D7D02AF" w:rsidR="00F0236A" w:rsidRPr="0042750D" w:rsidRDefault="00F0236A" w:rsidP="00F0236A">
          <w:pPr>
            <w:rPr>
              <w:b/>
              <w:bCs/>
            </w:rPr>
          </w:pPr>
          <w:r w:rsidRPr="0042750D">
            <w:rPr>
              <w:b/>
              <w:bCs/>
            </w:rPr>
            <w:fldChar w:fldCharType="end"/>
          </w:r>
        </w:p>
      </w:sdtContent>
    </w:sdt>
    <w:p w14:paraId="6CDBB9EC" w14:textId="30CF072C" w:rsidR="00F0236A" w:rsidRPr="0042750D" w:rsidRDefault="00F0236A" w:rsidP="00F0236A">
      <w:pPr>
        <w:pStyle w:val="Heading1"/>
        <w:keepNext/>
        <w:pageBreakBefore/>
        <w:numPr>
          <w:ilvl w:val="0"/>
          <w:numId w:val="0"/>
        </w:numPr>
        <w:rPr>
          <w:lang w:val="en-GB"/>
        </w:rPr>
      </w:pPr>
      <w:bookmarkStart w:id="4" w:name="_Toc30749143"/>
      <w:r w:rsidRPr="0042750D">
        <w:rPr>
          <w:lang w:val="en-GB"/>
        </w:rPr>
        <w:t xml:space="preserve">Section I - List of </w:t>
      </w:r>
      <w:r w:rsidR="007E5480" w:rsidRPr="0042750D">
        <w:rPr>
          <w:lang w:val="en-GB"/>
        </w:rPr>
        <w:t>PP</w:t>
      </w:r>
      <w:r w:rsidRPr="0042750D">
        <w:rPr>
          <w:lang w:val="en-GB"/>
        </w:rPr>
        <w:t xml:space="preserve"> Resolutions</w:t>
      </w:r>
      <w:bookmarkEnd w:id="2"/>
      <w:r w:rsidR="00B97257" w:rsidRPr="0042750D">
        <w:rPr>
          <w:lang w:val="en-GB"/>
        </w:rPr>
        <w:t>, Decisions and Recommendations</w:t>
      </w:r>
      <w:r w:rsidRPr="0042750D">
        <w:rPr>
          <w:lang w:val="en-GB"/>
        </w:rPr>
        <w:t>, and executive summary of action plan for implementation</w:t>
      </w:r>
      <w:bookmarkEnd w:id="3"/>
      <w:r w:rsidR="00C10A67" w:rsidRPr="0042750D">
        <w:rPr>
          <w:lang w:val="en-GB"/>
        </w:rPr>
        <w:t xml:space="preserve"> by ITU-T</w:t>
      </w:r>
      <w:bookmarkEnd w:id="4"/>
    </w:p>
    <w:p w14:paraId="44789629" w14:textId="31B7C991" w:rsidR="00F0236A" w:rsidRPr="0042750D" w:rsidRDefault="00F0236A" w:rsidP="00F0236A">
      <w:pPr>
        <w:pStyle w:val="TableNotitle"/>
      </w:pPr>
      <w:r w:rsidRPr="0042750D">
        <w:t>Table 1</w:t>
      </w:r>
      <w:r w:rsidRPr="0042750D">
        <w:br/>
        <w:t xml:space="preserve">List of </w:t>
      </w:r>
      <w:r w:rsidR="007E5480" w:rsidRPr="0042750D">
        <w:t>PP</w:t>
      </w:r>
      <w:r w:rsidRPr="0042750D">
        <w:t xml:space="preserve"> Resolutions</w:t>
      </w:r>
      <w:r w:rsidR="00B97257" w:rsidRPr="0042750D">
        <w:t>, Decisions and Recommendations</w:t>
      </w:r>
      <w:r w:rsidRPr="0042750D">
        <w:t>, and executive summary of act</w:t>
      </w:r>
      <w:r w:rsidR="007E5480" w:rsidRPr="0042750D">
        <w:t>ion plan for</w:t>
      </w:r>
      <w:r w:rsidR="00B97257" w:rsidRPr="0042750D">
        <w:t xml:space="preserve"> implementation</w:t>
      </w:r>
      <w:r w:rsidR="00C10A67" w:rsidRPr="0042750D">
        <w:t xml:space="preserve"> by ITU-T</w:t>
      </w:r>
    </w:p>
    <w:tbl>
      <w:tblPr>
        <w:tblW w:w="143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8"/>
        <w:gridCol w:w="882"/>
        <w:gridCol w:w="855"/>
        <w:gridCol w:w="843"/>
        <w:gridCol w:w="1075"/>
        <w:gridCol w:w="1634"/>
        <w:gridCol w:w="866"/>
        <w:gridCol w:w="725"/>
        <w:gridCol w:w="723"/>
        <w:gridCol w:w="974"/>
        <w:gridCol w:w="1084"/>
        <w:gridCol w:w="976"/>
        <w:gridCol w:w="657"/>
      </w:tblGrid>
      <w:tr w:rsidR="00F0236A" w:rsidRPr="0042750D" w14:paraId="527608C7" w14:textId="77777777" w:rsidTr="00E65A97">
        <w:trPr>
          <w:cantSplit/>
          <w:tblHeader/>
          <w:jc w:val="center"/>
        </w:trPr>
        <w:tc>
          <w:tcPr>
            <w:tcW w:w="3088" w:type="dxa"/>
            <w:vMerge w:val="restart"/>
            <w:tcBorders>
              <w:top w:val="single" w:sz="12" w:space="0" w:color="auto"/>
              <w:right w:val="single" w:sz="12" w:space="0" w:color="auto"/>
            </w:tcBorders>
            <w:shd w:val="clear" w:color="auto" w:fill="DAEEF3" w:themeFill="accent5" w:themeFillTint="33"/>
            <w:vAlign w:val="center"/>
          </w:tcPr>
          <w:p w14:paraId="61256D72" w14:textId="77777777" w:rsidR="00F0236A" w:rsidRPr="0042750D"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Resolution - Title**</w:t>
            </w:r>
          </w:p>
        </w:tc>
        <w:tc>
          <w:tcPr>
            <w:tcW w:w="5289" w:type="dxa"/>
            <w:gridSpan w:val="5"/>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3E4A459" w14:textId="6804C1F4" w:rsidR="00F0236A" w:rsidRPr="0042750D" w:rsidRDefault="00F0236A" w:rsidP="005B022D">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 xml:space="preserve">Action </w:t>
            </w:r>
            <w:r w:rsidR="005B022D" w:rsidRPr="0042750D">
              <w:t>for</w:t>
            </w:r>
          </w:p>
        </w:tc>
        <w:tc>
          <w:tcPr>
            <w:tcW w:w="2314"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581E6CA" w14:textId="77777777" w:rsidR="00F0236A" w:rsidRPr="0042750D"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Collaboration with</w:t>
            </w:r>
          </w:p>
        </w:tc>
        <w:tc>
          <w:tcPr>
            <w:tcW w:w="3691"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037FA1FD" w14:textId="77777777" w:rsidR="00F0236A" w:rsidRPr="0042750D"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Report to</w:t>
            </w:r>
          </w:p>
        </w:tc>
      </w:tr>
      <w:tr w:rsidR="00B90815" w:rsidRPr="0042750D" w14:paraId="6FB83454" w14:textId="77777777" w:rsidTr="00E65A97">
        <w:trPr>
          <w:cantSplit/>
          <w:tblHeader/>
          <w:jc w:val="center"/>
        </w:trPr>
        <w:tc>
          <w:tcPr>
            <w:tcW w:w="3088" w:type="dxa"/>
            <w:vMerge/>
            <w:tcBorders>
              <w:bottom w:val="single" w:sz="12" w:space="0" w:color="auto"/>
              <w:right w:val="single" w:sz="12" w:space="0" w:color="auto"/>
            </w:tcBorders>
            <w:shd w:val="clear" w:color="auto" w:fill="DAEEF3" w:themeFill="accent5" w:themeFillTint="33"/>
          </w:tcPr>
          <w:p w14:paraId="153B9808" w14:textId="77777777" w:rsidR="00F0236A" w:rsidRPr="0042750D"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882" w:type="dxa"/>
            <w:tcBorders>
              <w:top w:val="single" w:sz="12" w:space="0" w:color="auto"/>
              <w:left w:val="single" w:sz="12" w:space="0" w:color="auto"/>
              <w:bottom w:val="single" w:sz="12" w:space="0" w:color="auto"/>
            </w:tcBorders>
            <w:shd w:val="clear" w:color="auto" w:fill="DAEEF3" w:themeFill="accent5" w:themeFillTint="33"/>
            <w:vAlign w:val="center"/>
          </w:tcPr>
          <w:p w14:paraId="2A44274D" w14:textId="672751C1" w:rsidR="00F0236A" w:rsidRPr="0042750D"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WTSA</w:t>
            </w:r>
          </w:p>
        </w:tc>
        <w:tc>
          <w:tcPr>
            <w:tcW w:w="855" w:type="dxa"/>
            <w:tcBorders>
              <w:top w:val="single" w:sz="12" w:space="0" w:color="auto"/>
              <w:bottom w:val="single" w:sz="12" w:space="0" w:color="auto"/>
            </w:tcBorders>
            <w:shd w:val="clear" w:color="auto" w:fill="DAEEF3" w:themeFill="accent5" w:themeFillTint="33"/>
            <w:vAlign w:val="center"/>
          </w:tcPr>
          <w:p w14:paraId="13A477E3" w14:textId="77777777" w:rsidR="00F0236A" w:rsidRPr="0042750D"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TSAG</w:t>
            </w:r>
          </w:p>
        </w:tc>
        <w:tc>
          <w:tcPr>
            <w:tcW w:w="843" w:type="dxa"/>
            <w:tcBorders>
              <w:top w:val="single" w:sz="12" w:space="0" w:color="auto"/>
              <w:bottom w:val="single" w:sz="12" w:space="0" w:color="auto"/>
            </w:tcBorders>
            <w:shd w:val="clear" w:color="auto" w:fill="DAEEF3" w:themeFill="accent5" w:themeFillTint="33"/>
            <w:vAlign w:val="center"/>
          </w:tcPr>
          <w:p w14:paraId="2797FACF" w14:textId="520821DD" w:rsidR="00F0236A" w:rsidRPr="0042750D"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ITU-T study groups</w:t>
            </w:r>
          </w:p>
        </w:tc>
        <w:tc>
          <w:tcPr>
            <w:tcW w:w="1075" w:type="dxa"/>
            <w:tcBorders>
              <w:top w:val="single" w:sz="12" w:space="0" w:color="auto"/>
              <w:bottom w:val="single" w:sz="12" w:space="0" w:color="auto"/>
              <w:right w:val="single" w:sz="4" w:space="0" w:color="auto"/>
            </w:tcBorders>
            <w:shd w:val="clear" w:color="auto" w:fill="DAEEF3" w:themeFill="accent5" w:themeFillTint="33"/>
            <w:vAlign w:val="center"/>
          </w:tcPr>
          <w:p w14:paraId="0C7DABA6" w14:textId="30D71952" w:rsidR="00F0236A" w:rsidRPr="0042750D"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TSBDir</w:t>
            </w:r>
          </w:p>
        </w:tc>
        <w:tc>
          <w:tcPr>
            <w:tcW w:w="1634" w:type="dxa"/>
            <w:tcBorders>
              <w:top w:val="single" w:sz="12" w:space="0" w:color="auto"/>
              <w:left w:val="single" w:sz="4" w:space="0" w:color="auto"/>
              <w:bottom w:val="single" w:sz="12" w:space="0" w:color="auto"/>
              <w:right w:val="single" w:sz="12" w:space="0" w:color="auto"/>
            </w:tcBorders>
            <w:shd w:val="clear" w:color="auto" w:fill="DAEEF3" w:themeFill="accent5" w:themeFillTint="33"/>
            <w:vAlign w:val="center"/>
          </w:tcPr>
          <w:p w14:paraId="4C2EA79E" w14:textId="4B122D77" w:rsidR="00F0236A" w:rsidRPr="0042750D" w:rsidRDefault="005B022D"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others</w:t>
            </w:r>
          </w:p>
        </w:tc>
        <w:tc>
          <w:tcPr>
            <w:tcW w:w="866" w:type="dxa"/>
            <w:tcBorders>
              <w:top w:val="single" w:sz="12" w:space="0" w:color="auto"/>
              <w:left w:val="single" w:sz="12" w:space="0" w:color="auto"/>
              <w:bottom w:val="single" w:sz="12" w:space="0" w:color="auto"/>
            </w:tcBorders>
            <w:shd w:val="clear" w:color="auto" w:fill="DAEEF3" w:themeFill="accent5" w:themeFillTint="33"/>
            <w:vAlign w:val="center"/>
          </w:tcPr>
          <w:p w14:paraId="34E12799" w14:textId="77777777" w:rsidR="00F0236A" w:rsidRPr="0042750D"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GenSec</w:t>
            </w:r>
          </w:p>
        </w:tc>
        <w:tc>
          <w:tcPr>
            <w:tcW w:w="725" w:type="dxa"/>
            <w:tcBorders>
              <w:top w:val="single" w:sz="12" w:space="0" w:color="auto"/>
              <w:bottom w:val="single" w:sz="12" w:space="0" w:color="auto"/>
            </w:tcBorders>
            <w:shd w:val="clear" w:color="auto" w:fill="DAEEF3" w:themeFill="accent5" w:themeFillTint="33"/>
            <w:vAlign w:val="center"/>
          </w:tcPr>
          <w:p w14:paraId="3CB8F232" w14:textId="77777777" w:rsidR="00F0236A" w:rsidRPr="0042750D"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BDT</w:t>
            </w:r>
            <w:r w:rsidRPr="0042750D">
              <w:br/>
              <w:t>ITU-D</w:t>
            </w:r>
          </w:p>
        </w:tc>
        <w:tc>
          <w:tcPr>
            <w:tcW w:w="723" w:type="dxa"/>
            <w:tcBorders>
              <w:top w:val="single" w:sz="12" w:space="0" w:color="auto"/>
              <w:bottom w:val="single" w:sz="12" w:space="0" w:color="auto"/>
              <w:right w:val="single" w:sz="12" w:space="0" w:color="auto"/>
            </w:tcBorders>
            <w:shd w:val="clear" w:color="auto" w:fill="DAEEF3" w:themeFill="accent5" w:themeFillTint="33"/>
            <w:vAlign w:val="center"/>
          </w:tcPr>
          <w:p w14:paraId="1E304B4C" w14:textId="77777777" w:rsidR="00F0236A" w:rsidRPr="0042750D"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BR</w:t>
            </w:r>
            <w:r w:rsidRPr="0042750D">
              <w:br/>
              <w:t>ITU-R</w:t>
            </w:r>
          </w:p>
        </w:tc>
        <w:tc>
          <w:tcPr>
            <w:tcW w:w="974" w:type="dxa"/>
            <w:tcBorders>
              <w:top w:val="single" w:sz="12" w:space="0" w:color="auto"/>
              <w:left w:val="single" w:sz="12" w:space="0" w:color="auto"/>
              <w:bottom w:val="single" w:sz="12" w:space="0" w:color="auto"/>
            </w:tcBorders>
            <w:shd w:val="clear" w:color="auto" w:fill="DAEEF3" w:themeFill="accent5" w:themeFillTint="33"/>
            <w:vAlign w:val="center"/>
          </w:tcPr>
          <w:p w14:paraId="3DC56200" w14:textId="77777777" w:rsidR="00F0236A" w:rsidRPr="0042750D"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TSAG</w:t>
            </w:r>
          </w:p>
        </w:tc>
        <w:tc>
          <w:tcPr>
            <w:tcW w:w="1084" w:type="dxa"/>
            <w:tcBorders>
              <w:top w:val="single" w:sz="12" w:space="0" w:color="auto"/>
              <w:bottom w:val="single" w:sz="12" w:space="0" w:color="auto"/>
            </w:tcBorders>
            <w:shd w:val="clear" w:color="auto" w:fill="DAEEF3" w:themeFill="accent5" w:themeFillTint="33"/>
            <w:vAlign w:val="center"/>
          </w:tcPr>
          <w:p w14:paraId="584D671A" w14:textId="77777777" w:rsidR="00F0236A" w:rsidRPr="0042750D"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Council</w:t>
            </w:r>
          </w:p>
        </w:tc>
        <w:tc>
          <w:tcPr>
            <w:tcW w:w="976" w:type="dxa"/>
            <w:tcBorders>
              <w:top w:val="single" w:sz="12" w:space="0" w:color="auto"/>
              <w:bottom w:val="single" w:sz="12" w:space="0" w:color="auto"/>
            </w:tcBorders>
            <w:shd w:val="clear" w:color="auto" w:fill="DAEEF3" w:themeFill="accent5" w:themeFillTint="33"/>
            <w:vAlign w:val="center"/>
          </w:tcPr>
          <w:p w14:paraId="2C7926C4" w14:textId="77777777" w:rsidR="00F0236A" w:rsidRPr="0042750D"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WTSA-20</w:t>
            </w:r>
          </w:p>
        </w:tc>
        <w:tc>
          <w:tcPr>
            <w:tcW w:w="657" w:type="dxa"/>
            <w:tcBorders>
              <w:top w:val="single" w:sz="12" w:space="0" w:color="auto"/>
              <w:bottom w:val="single" w:sz="12" w:space="0" w:color="auto"/>
            </w:tcBorders>
            <w:shd w:val="clear" w:color="auto" w:fill="DAEEF3" w:themeFill="accent5" w:themeFillTint="33"/>
            <w:vAlign w:val="center"/>
          </w:tcPr>
          <w:p w14:paraId="3ED0EA45" w14:textId="58C8CDF8" w:rsidR="00F0236A" w:rsidRPr="0042750D" w:rsidRDefault="00F0236A" w:rsidP="00BD362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42750D">
              <w:t>PP-</w:t>
            </w:r>
            <w:r w:rsidR="00BD3628" w:rsidRPr="0042750D">
              <w:t>22</w:t>
            </w:r>
          </w:p>
        </w:tc>
      </w:tr>
      <w:tr w:rsidR="000476C9" w:rsidRPr="0042750D" w14:paraId="5095DDB6" w14:textId="77777777" w:rsidTr="00E65A97">
        <w:trPr>
          <w:cantSplit/>
          <w:jc w:val="center"/>
        </w:trPr>
        <w:tc>
          <w:tcPr>
            <w:tcW w:w="3088" w:type="dxa"/>
            <w:tcBorders>
              <w:right w:val="single" w:sz="12" w:space="0" w:color="auto"/>
            </w:tcBorders>
            <w:shd w:val="clear" w:color="auto" w:fill="auto"/>
          </w:tcPr>
          <w:p w14:paraId="4CF51B92" w14:textId="64C6BA0A" w:rsidR="00F0236A" w:rsidRPr="0042750D" w:rsidRDefault="004C231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14 (Rev. Antalya, 2006) – Recognition of the rights and obligations of all Sector Members of the Union</w:t>
            </w:r>
          </w:p>
        </w:tc>
        <w:tc>
          <w:tcPr>
            <w:tcW w:w="882" w:type="dxa"/>
            <w:tcBorders>
              <w:left w:val="single" w:sz="12" w:space="0" w:color="auto"/>
            </w:tcBorders>
          </w:tcPr>
          <w:p w14:paraId="722F854E" w14:textId="36DC0B9E" w:rsidR="00F0236A" w:rsidRPr="0042750D" w:rsidRDefault="004C231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855" w:type="dxa"/>
          </w:tcPr>
          <w:p w14:paraId="2419F64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30AB048" w14:textId="7D6213CD" w:rsidR="00F0236A" w:rsidRPr="0042750D" w:rsidRDefault="004C231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075" w:type="dxa"/>
            <w:tcBorders>
              <w:right w:val="single" w:sz="4" w:space="0" w:color="auto"/>
            </w:tcBorders>
          </w:tcPr>
          <w:p w14:paraId="1C197880" w14:textId="68220D38" w:rsidR="00F0236A" w:rsidRPr="0042750D" w:rsidRDefault="004C231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0A2B37F3" w14:textId="77777777" w:rsidR="002920C9" w:rsidRPr="0042750D" w:rsidRDefault="002920C9"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WTDC, RA</w:t>
            </w:r>
          </w:p>
          <w:p w14:paraId="18307EC6" w14:textId="370E2CAF" w:rsidR="00F0236A" w:rsidRPr="0042750D" w:rsidRDefault="002920C9" w:rsidP="002920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Administrations of MS</w:t>
            </w:r>
          </w:p>
        </w:tc>
        <w:tc>
          <w:tcPr>
            <w:tcW w:w="866" w:type="dxa"/>
            <w:tcBorders>
              <w:left w:val="single" w:sz="12" w:space="0" w:color="auto"/>
            </w:tcBorders>
          </w:tcPr>
          <w:p w14:paraId="177C353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3125D2B" w14:textId="477D2E4A"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428CFA7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571516B" w14:textId="2843AE29"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74D337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7BC1B8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16798FFF"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53DC84B5" w14:textId="77777777" w:rsidTr="00E65A97">
        <w:trPr>
          <w:cantSplit/>
          <w:jc w:val="center"/>
        </w:trPr>
        <w:tc>
          <w:tcPr>
            <w:tcW w:w="3088" w:type="dxa"/>
            <w:tcBorders>
              <w:right w:val="single" w:sz="12" w:space="0" w:color="auto"/>
            </w:tcBorders>
            <w:shd w:val="clear" w:color="auto" w:fill="auto"/>
          </w:tcPr>
          <w:p w14:paraId="2067722D" w14:textId="0EF3237D" w:rsidR="00F0236A" w:rsidRPr="0042750D" w:rsidRDefault="00EB2E4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21 (REV. DUBAI, 2018) – Measures concerning alternative calling procedures on international telecommunication networks</w:t>
            </w:r>
          </w:p>
        </w:tc>
        <w:tc>
          <w:tcPr>
            <w:tcW w:w="882" w:type="dxa"/>
            <w:tcBorders>
              <w:left w:val="single" w:sz="12" w:space="0" w:color="auto"/>
            </w:tcBorders>
          </w:tcPr>
          <w:p w14:paraId="3B93E0C5" w14:textId="1D376D71"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322B6CA" w14:textId="3E996152"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5CB3953" w14:textId="33E758B4" w:rsidR="00F0236A" w:rsidRPr="0042750D" w:rsidRDefault="00CA267B"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(SG2, SG3, SG12)</w:t>
            </w:r>
          </w:p>
        </w:tc>
        <w:tc>
          <w:tcPr>
            <w:tcW w:w="1075" w:type="dxa"/>
            <w:tcBorders>
              <w:right w:val="single" w:sz="4" w:space="0" w:color="auto"/>
            </w:tcBorders>
          </w:tcPr>
          <w:p w14:paraId="70630C1A" w14:textId="4D42C695" w:rsidR="00F0236A" w:rsidRPr="0042750D" w:rsidRDefault="00CA267B"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4B207973" w14:textId="77777777" w:rsidR="002920C9" w:rsidRPr="0042750D" w:rsidRDefault="002920C9"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 TSB &amp; BDT,</w:t>
            </w:r>
          </w:p>
          <w:p w14:paraId="22D43151" w14:textId="37E00080" w:rsidR="00F0236A" w:rsidRPr="0042750D" w:rsidRDefault="002920C9" w:rsidP="002920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SM</w:t>
            </w:r>
          </w:p>
        </w:tc>
        <w:tc>
          <w:tcPr>
            <w:tcW w:w="866" w:type="dxa"/>
            <w:tcBorders>
              <w:left w:val="single" w:sz="12" w:space="0" w:color="auto"/>
            </w:tcBorders>
          </w:tcPr>
          <w:p w14:paraId="4174AB3F"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3DA59E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AB8518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6C1C9AF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072817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3DCF2C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E5A28D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04E8BB0B" w14:textId="77777777" w:rsidTr="00E65A97">
        <w:trPr>
          <w:cantSplit/>
          <w:jc w:val="center"/>
        </w:trPr>
        <w:tc>
          <w:tcPr>
            <w:tcW w:w="3088" w:type="dxa"/>
            <w:tcBorders>
              <w:right w:val="single" w:sz="12" w:space="0" w:color="auto"/>
            </w:tcBorders>
            <w:shd w:val="clear" w:color="auto" w:fill="auto"/>
          </w:tcPr>
          <w:p w14:paraId="4DDC0917" w14:textId="66ABEC31" w:rsidR="00F0236A" w:rsidRPr="0042750D" w:rsidRDefault="00CA267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22 (Rev. Antalya, 2006) – Apportionment of revenues in providing international telecommunication services</w:t>
            </w:r>
          </w:p>
        </w:tc>
        <w:tc>
          <w:tcPr>
            <w:tcW w:w="882" w:type="dxa"/>
            <w:tcBorders>
              <w:left w:val="single" w:sz="12" w:space="0" w:color="auto"/>
            </w:tcBorders>
          </w:tcPr>
          <w:p w14:paraId="0D55A26E" w14:textId="106C796C"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29451F1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BC699FC" w14:textId="7FA3281A" w:rsidR="00F0236A" w:rsidRPr="0042750D" w:rsidRDefault="0018112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075" w:type="dxa"/>
            <w:tcBorders>
              <w:right w:val="single" w:sz="4" w:space="0" w:color="auto"/>
            </w:tcBorders>
          </w:tcPr>
          <w:p w14:paraId="6D0E3036" w14:textId="31465D2A" w:rsidR="00F0236A" w:rsidRPr="0042750D" w:rsidRDefault="0018112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006C6FF9" w14:textId="77777777" w:rsidR="002920C9" w:rsidRPr="0042750D" w:rsidRDefault="002920C9"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w:t>
            </w:r>
          </w:p>
          <w:p w14:paraId="5B10415A" w14:textId="1052FA9D" w:rsidR="002920C9" w:rsidRPr="0042750D" w:rsidRDefault="00980691" w:rsidP="002920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r w:rsidR="002920C9" w:rsidRPr="0042750D">
              <w:t xml:space="preserve"> &amp; Director, TSB</w:t>
            </w:r>
          </w:p>
          <w:p w14:paraId="545C7563" w14:textId="19A805BF" w:rsidR="00F0236A" w:rsidRPr="0042750D" w:rsidRDefault="002920C9" w:rsidP="002920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tc>
        <w:tc>
          <w:tcPr>
            <w:tcW w:w="866" w:type="dxa"/>
            <w:tcBorders>
              <w:left w:val="single" w:sz="12" w:space="0" w:color="auto"/>
            </w:tcBorders>
          </w:tcPr>
          <w:p w14:paraId="7A1034D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AC8598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31F4AB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2820A9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01DC76CF" w14:textId="5CA0A8E1" w:rsidR="00F0236A" w:rsidRPr="0042750D" w:rsidRDefault="00802DD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976" w:type="dxa"/>
          </w:tcPr>
          <w:p w14:paraId="01C688B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878949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12C6EF65" w14:textId="77777777" w:rsidTr="00E65A97">
        <w:trPr>
          <w:cantSplit/>
          <w:jc w:val="center"/>
        </w:trPr>
        <w:tc>
          <w:tcPr>
            <w:tcW w:w="3088" w:type="dxa"/>
            <w:tcBorders>
              <w:right w:val="single" w:sz="12" w:space="0" w:color="auto"/>
            </w:tcBorders>
            <w:shd w:val="clear" w:color="auto" w:fill="auto"/>
          </w:tcPr>
          <w:p w14:paraId="6F5C598E" w14:textId="13FB5300" w:rsidR="00F0236A" w:rsidRPr="0042750D" w:rsidRDefault="005D360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25 (REV. DUBAI, 2018) – Strengthening the regional presence</w:t>
            </w:r>
          </w:p>
        </w:tc>
        <w:tc>
          <w:tcPr>
            <w:tcW w:w="882" w:type="dxa"/>
            <w:tcBorders>
              <w:left w:val="single" w:sz="12" w:space="0" w:color="auto"/>
            </w:tcBorders>
          </w:tcPr>
          <w:p w14:paraId="44E47E25" w14:textId="0EF733ED"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CC8181A" w14:textId="4004B096"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73515BEF" w14:textId="646CE11B"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340CC66" w14:textId="0091C4F0" w:rsidR="00F0236A" w:rsidRPr="0042750D" w:rsidRDefault="004F726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36B69386" w14:textId="36415087" w:rsidR="005D3609" w:rsidRPr="0042750D" w:rsidRDefault="00980691" w:rsidP="005D360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154647BC" w14:textId="77777777" w:rsidR="005D3609" w:rsidRPr="0042750D" w:rsidRDefault="005D3609" w:rsidP="005D360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ROs, AOs</w:t>
            </w:r>
          </w:p>
          <w:p w14:paraId="443AB8C9" w14:textId="77777777" w:rsidR="005D3609" w:rsidRPr="0042750D" w:rsidRDefault="005D3609" w:rsidP="005D360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 BDT, SG &amp; Directors, BR &amp; TSB</w:t>
            </w:r>
          </w:p>
          <w:p w14:paraId="37EE202D" w14:textId="1BCFC76C" w:rsidR="00F0236A" w:rsidRPr="0042750D" w:rsidRDefault="005D3609" w:rsidP="005D360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tc>
        <w:tc>
          <w:tcPr>
            <w:tcW w:w="866" w:type="dxa"/>
            <w:tcBorders>
              <w:left w:val="single" w:sz="12" w:space="0" w:color="auto"/>
            </w:tcBorders>
          </w:tcPr>
          <w:p w14:paraId="45551DE3"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97DEAF0" w14:textId="733CCDCD" w:rsidR="00F0236A" w:rsidRPr="0042750D" w:rsidRDefault="004F726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723" w:type="dxa"/>
            <w:tcBorders>
              <w:right w:val="single" w:sz="12" w:space="0" w:color="auto"/>
            </w:tcBorders>
          </w:tcPr>
          <w:p w14:paraId="0C00F31D" w14:textId="3B3FA262"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1083013" w14:textId="603F89AE" w:rsidR="00F0236A" w:rsidRPr="0042750D" w:rsidRDefault="004F726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ROs and AOs annually</w:t>
            </w:r>
          </w:p>
        </w:tc>
        <w:tc>
          <w:tcPr>
            <w:tcW w:w="1084" w:type="dxa"/>
          </w:tcPr>
          <w:p w14:paraId="72290D62" w14:textId="350D4FD8" w:rsidR="00F0236A" w:rsidRPr="0042750D" w:rsidRDefault="00E97CF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 annually</w:t>
            </w:r>
          </w:p>
        </w:tc>
        <w:tc>
          <w:tcPr>
            <w:tcW w:w="976" w:type="dxa"/>
          </w:tcPr>
          <w:p w14:paraId="2BF3698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425374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183BCE5F" w14:textId="77777777" w:rsidTr="00E65A97">
        <w:trPr>
          <w:cantSplit/>
          <w:jc w:val="center"/>
        </w:trPr>
        <w:tc>
          <w:tcPr>
            <w:tcW w:w="3088" w:type="dxa"/>
            <w:tcBorders>
              <w:right w:val="single" w:sz="12" w:space="0" w:color="auto"/>
            </w:tcBorders>
            <w:shd w:val="clear" w:color="auto" w:fill="auto"/>
          </w:tcPr>
          <w:p w14:paraId="74DAC38A" w14:textId="11E93BB8" w:rsidR="00F0236A" w:rsidRPr="0042750D" w:rsidRDefault="007F458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58 (REV. BUSAN, 2014) – Strengthening of relations between ITU and regional telecommunication organizations and regional preparations for the Plenipotentiary Conference</w:t>
            </w:r>
          </w:p>
        </w:tc>
        <w:tc>
          <w:tcPr>
            <w:tcW w:w="882" w:type="dxa"/>
            <w:tcBorders>
              <w:left w:val="single" w:sz="12" w:space="0" w:color="auto"/>
            </w:tcBorders>
          </w:tcPr>
          <w:p w14:paraId="078C7AC6" w14:textId="56390D5B"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34EB84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E01288D" w14:textId="4A2A5CDB"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D7DAD79" w14:textId="5B1BE11C" w:rsidR="00F0236A" w:rsidRPr="0042750D" w:rsidRDefault="00A66C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14A3041B" w14:textId="194A1D19" w:rsidR="00A66CE9" w:rsidRPr="0042750D" w:rsidRDefault="00980691" w:rsidP="00A66CE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r w:rsidR="00A66CE9" w:rsidRPr="0042750D">
              <w:t xml:space="preserve"> &amp; Directors, Bureaux</w:t>
            </w:r>
          </w:p>
          <w:p w14:paraId="4CE131EF" w14:textId="77777777" w:rsidR="00A66CE9" w:rsidRPr="0042750D" w:rsidRDefault="00A66CE9" w:rsidP="00A66CE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p w14:paraId="1974C55D" w14:textId="76458B84" w:rsidR="00F0236A" w:rsidRPr="0042750D" w:rsidRDefault="00A66CE9" w:rsidP="00A66CE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w:t>
            </w:r>
          </w:p>
        </w:tc>
        <w:tc>
          <w:tcPr>
            <w:tcW w:w="866" w:type="dxa"/>
            <w:tcBorders>
              <w:left w:val="single" w:sz="12" w:space="0" w:color="auto"/>
            </w:tcBorders>
          </w:tcPr>
          <w:p w14:paraId="2FC4426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735079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87039D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466CF3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728EF23" w14:textId="158B5BBB" w:rsidR="00F0236A" w:rsidRPr="0042750D" w:rsidRDefault="00F0236A" w:rsidP="00A66CE9">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286AF05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9936FF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5537219F" w14:textId="77777777" w:rsidTr="00E65A97">
        <w:trPr>
          <w:cantSplit/>
          <w:jc w:val="center"/>
        </w:trPr>
        <w:tc>
          <w:tcPr>
            <w:tcW w:w="3088" w:type="dxa"/>
            <w:tcBorders>
              <w:right w:val="single" w:sz="12" w:space="0" w:color="auto"/>
            </w:tcBorders>
            <w:shd w:val="clear" w:color="auto" w:fill="auto"/>
          </w:tcPr>
          <w:p w14:paraId="4968D25A" w14:textId="37DBC492" w:rsidR="00F0236A" w:rsidRPr="0042750D" w:rsidRDefault="00D07EFB"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64 (REV. DUBAI, 2018) – Non-discriminatory access to modern telecommunication/information and communication technology facilities, services and applications, including applied research and transfer of technology, and e meetings, on mutually agreed terms</w:t>
            </w:r>
          </w:p>
        </w:tc>
        <w:tc>
          <w:tcPr>
            <w:tcW w:w="882" w:type="dxa"/>
            <w:tcBorders>
              <w:left w:val="single" w:sz="12" w:space="0" w:color="auto"/>
            </w:tcBorders>
          </w:tcPr>
          <w:p w14:paraId="555A973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F69097B" w14:textId="0532810D"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4B9D72FF" w14:textId="34E9B78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72518D21" w14:textId="0510E6F1" w:rsidR="00F0236A" w:rsidRPr="0042750D" w:rsidRDefault="00D07EFB"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50CAB709" w14:textId="35596EA7" w:rsidR="00D07EFB" w:rsidRPr="0042750D" w:rsidRDefault="00980691" w:rsidP="00D07EFB">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r w:rsidR="00D07EFB" w:rsidRPr="0042750D">
              <w:t xml:space="preserve"> &amp; Directors of Bureaux</w:t>
            </w:r>
          </w:p>
          <w:p w14:paraId="3DA02BCA" w14:textId="53D343B9" w:rsidR="00F0236A" w:rsidRPr="0042750D" w:rsidRDefault="00D07EFB"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Governments of MS</w:t>
            </w:r>
          </w:p>
        </w:tc>
        <w:tc>
          <w:tcPr>
            <w:tcW w:w="866" w:type="dxa"/>
            <w:tcBorders>
              <w:left w:val="single" w:sz="12" w:space="0" w:color="auto"/>
            </w:tcBorders>
          </w:tcPr>
          <w:p w14:paraId="44BCC783"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93ED25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A184713"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06B53DC" w14:textId="76B2656B"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07CDBFE" w14:textId="213C6D7A" w:rsidR="00D07EFB" w:rsidRPr="0042750D" w:rsidRDefault="00D07EFB" w:rsidP="00960E6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110542C" w14:textId="692CCC9C"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1A79FEF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391FDB9A" w14:textId="77777777" w:rsidTr="00E65A97">
        <w:trPr>
          <w:cantSplit/>
          <w:jc w:val="center"/>
        </w:trPr>
        <w:tc>
          <w:tcPr>
            <w:tcW w:w="3088" w:type="dxa"/>
            <w:tcBorders>
              <w:right w:val="single" w:sz="12" w:space="0" w:color="auto"/>
            </w:tcBorders>
            <w:shd w:val="clear" w:color="auto" w:fill="auto"/>
          </w:tcPr>
          <w:p w14:paraId="3F11AD13" w14:textId="0068168C" w:rsidR="00F0236A" w:rsidRPr="0042750D" w:rsidRDefault="00B9081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66 (REV. DUBAI, 2018) – Documents and publications of the Union</w:t>
            </w:r>
          </w:p>
        </w:tc>
        <w:tc>
          <w:tcPr>
            <w:tcW w:w="882" w:type="dxa"/>
            <w:tcBorders>
              <w:left w:val="single" w:sz="12" w:space="0" w:color="auto"/>
            </w:tcBorders>
          </w:tcPr>
          <w:p w14:paraId="2429835A" w14:textId="6B9FCBA5"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7A0D82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092374D" w14:textId="335C0104"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4604F9A" w14:textId="2A0E505F" w:rsidR="00F0236A" w:rsidRPr="0042750D" w:rsidRDefault="006D578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54E83A62" w14:textId="42994E19" w:rsidR="00C27C57" w:rsidRPr="0042750D" w:rsidRDefault="00980691" w:rsidP="00C27C57">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1DDA9D7D" w14:textId="6C14B3B7" w:rsidR="00F0236A" w:rsidRPr="0042750D" w:rsidRDefault="00C27C57" w:rsidP="00C27C57">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 BDT</w:t>
            </w:r>
          </w:p>
        </w:tc>
        <w:tc>
          <w:tcPr>
            <w:tcW w:w="866" w:type="dxa"/>
            <w:tcBorders>
              <w:left w:val="single" w:sz="12" w:space="0" w:color="auto"/>
            </w:tcBorders>
          </w:tcPr>
          <w:p w14:paraId="66D8966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E0DFC81" w14:textId="37E978F8"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99C9E9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287D6D9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EE0EB33" w14:textId="1FD597B0" w:rsidR="00F0236A" w:rsidRPr="0042750D" w:rsidRDefault="0099193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 annually</w:t>
            </w:r>
          </w:p>
        </w:tc>
        <w:tc>
          <w:tcPr>
            <w:tcW w:w="976" w:type="dxa"/>
          </w:tcPr>
          <w:p w14:paraId="45AC051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34BAC5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011ED545" w14:textId="77777777" w:rsidTr="00E65A97">
        <w:trPr>
          <w:cantSplit/>
          <w:jc w:val="center"/>
        </w:trPr>
        <w:tc>
          <w:tcPr>
            <w:tcW w:w="3088" w:type="dxa"/>
            <w:tcBorders>
              <w:right w:val="single" w:sz="12" w:space="0" w:color="auto"/>
            </w:tcBorders>
            <w:shd w:val="clear" w:color="auto" w:fill="auto"/>
          </w:tcPr>
          <w:p w14:paraId="163873CC" w14:textId="5B2D50E0" w:rsidR="00F0236A" w:rsidRPr="0042750D" w:rsidRDefault="0099193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70 (REV. DUBAI, 2018) – Mainstreaming a gender perspective in ITU and promotion of gender equality and the empowerment of women through telecommunications/information and communication technologies</w:t>
            </w:r>
          </w:p>
        </w:tc>
        <w:tc>
          <w:tcPr>
            <w:tcW w:w="882" w:type="dxa"/>
            <w:tcBorders>
              <w:left w:val="single" w:sz="12" w:space="0" w:color="auto"/>
            </w:tcBorders>
          </w:tcPr>
          <w:p w14:paraId="0EBF0C3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24448CF"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0AA1B3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8E21984" w14:textId="74848E8B" w:rsidR="00F0236A" w:rsidRPr="0042750D" w:rsidRDefault="0099193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6356BCFA" w14:textId="77258772" w:rsidR="00991932" w:rsidRPr="0042750D" w:rsidRDefault="00980691" w:rsidP="0099193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119CBB29" w14:textId="77777777" w:rsidR="00991932" w:rsidRPr="0042750D" w:rsidRDefault="00991932" w:rsidP="0099193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TSBDir</w:t>
            </w:r>
          </w:p>
          <w:p w14:paraId="54F9BA50" w14:textId="44C4BC6E" w:rsidR="00F0236A" w:rsidRPr="0042750D" w:rsidRDefault="00991932" w:rsidP="0099193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SM, MS</w:t>
            </w:r>
          </w:p>
        </w:tc>
        <w:tc>
          <w:tcPr>
            <w:tcW w:w="866" w:type="dxa"/>
            <w:tcBorders>
              <w:left w:val="single" w:sz="12" w:space="0" w:color="auto"/>
            </w:tcBorders>
          </w:tcPr>
          <w:p w14:paraId="0B6D755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013B622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E301F1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725C1C5"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E87970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32B8E5B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A50998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11A216BE" w14:textId="77777777" w:rsidTr="00E65A97">
        <w:trPr>
          <w:cantSplit/>
          <w:jc w:val="center"/>
        </w:trPr>
        <w:tc>
          <w:tcPr>
            <w:tcW w:w="3088" w:type="dxa"/>
            <w:tcBorders>
              <w:right w:val="single" w:sz="12" w:space="0" w:color="auto"/>
            </w:tcBorders>
            <w:shd w:val="clear" w:color="auto" w:fill="auto"/>
          </w:tcPr>
          <w:p w14:paraId="16E86A0C" w14:textId="26EBA713" w:rsidR="00F0236A" w:rsidRPr="0042750D" w:rsidRDefault="0003060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71 (REV. DUBAI, 2018) – Strategic plan for the Union for 2020-2023</w:t>
            </w:r>
          </w:p>
        </w:tc>
        <w:tc>
          <w:tcPr>
            <w:tcW w:w="882" w:type="dxa"/>
            <w:tcBorders>
              <w:left w:val="single" w:sz="12" w:space="0" w:color="auto"/>
            </w:tcBorders>
          </w:tcPr>
          <w:p w14:paraId="6D3907C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FEB61B3" w14:textId="252E801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440FE585" w14:textId="60C5F400"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0E502D3" w14:textId="39754A69" w:rsidR="00F0236A" w:rsidRPr="0042750D"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7B964858" w14:textId="5825432F" w:rsidR="00030608" w:rsidRPr="0042750D" w:rsidRDefault="00980691" w:rsidP="00030608">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4F6254E0" w14:textId="77777777" w:rsidR="00030608" w:rsidRPr="0042750D" w:rsidRDefault="00030608" w:rsidP="00030608">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p w14:paraId="0A5EE76D" w14:textId="77777777" w:rsidR="00030608" w:rsidRPr="0042750D" w:rsidRDefault="00030608" w:rsidP="00030608">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w:t>
            </w:r>
          </w:p>
          <w:p w14:paraId="5CAA1485" w14:textId="75E0F019" w:rsidR="00F0236A" w:rsidRPr="0042750D" w:rsidRDefault="00030608" w:rsidP="0003060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SM</w:t>
            </w:r>
          </w:p>
        </w:tc>
        <w:tc>
          <w:tcPr>
            <w:tcW w:w="866" w:type="dxa"/>
            <w:tcBorders>
              <w:left w:val="single" w:sz="12" w:space="0" w:color="auto"/>
            </w:tcBorders>
          </w:tcPr>
          <w:p w14:paraId="03E2112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2B9C38B" w14:textId="668A3FFE"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B8F56F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507B5F7" w14:textId="305C7892"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3DCB127" w14:textId="63B4750F" w:rsidR="00F0236A" w:rsidRPr="0042750D"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976" w:type="dxa"/>
          </w:tcPr>
          <w:p w14:paraId="5484F8A3"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C436C65"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40D6F757" w14:textId="77777777" w:rsidTr="00E65A97">
        <w:trPr>
          <w:cantSplit/>
          <w:jc w:val="center"/>
        </w:trPr>
        <w:tc>
          <w:tcPr>
            <w:tcW w:w="3088" w:type="dxa"/>
            <w:tcBorders>
              <w:right w:val="single" w:sz="12" w:space="0" w:color="auto"/>
            </w:tcBorders>
            <w:shd w:val="clear" w:color="auto" w:fill="auto"/>
          </w:tcPr>
          <w:p w14:paraId="124F2568" w14:textId="60C96B70" w:rsidR="00F0236A" w:rsidRPr="0042750D" w:rsidRDefault="00030608"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77 (REV. DUBAI, 2018) – Scheduling and duration of conferences, forums, assemblies and Council sessions of the Union (2019-2023)</w:t>
            </w:r>
          </w:p>
        </w:tc>
        <w:tc>
          <w:tcPr>
            <w:tcW w:w="882" w:type="dxa"/>
            <w:tcBorders>
              <w:left w:val="single" w:sz="12" w:space="0" w:color="auto"/>
            </w:tcBorders>
          </w:tcPr>
          <w:p w14:paraId="015ACAF8" w14:textId="2A2BA232" w:rsidR="00F0236A" w:rsidRPr="0042750D"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855" w:type="dxa"/>
          </w:tcPr>
          <w:p w14:paraId="13294AD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227C250" w14:textId="118C0EE3"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A56579C" w14:textId="66FA3154" w:rsidR="00F0236A" w:rsidRPr="0042750D"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5670E2A7" w14:textId="77777777" w:rsidR="00980691" w:rsidRPr="0042750D" w:rsidRDefault="0098069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 BDT, SecGen</w:t>
            </w:r>
          </w:p>
          <w:p w14:paraId="1D6BC404" w14:textId="69CC4856" w:rsidR="00F0236A" w:rsidRPr="0042750D"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tc>
        <w:tc>
          <w:tcPr>
            <w:tcW w:w="866" w:type="dxa"/>
            <w:tcBorders>
              <w:left w:val="single" w:sz="12" w:space="0" w:color="auto"/>
            </w:tcBorders>
          </w:tcPr>
          <w:p w14:paraId="4A4BA26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2A2E253"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4DD162D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4CABAE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07060F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243ECAC" w14:textId="117CD028" w:rsidR="00F0236A" w:rsidRPr="0042750D"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657" w:type="dxa"/>
          </w:tcPr>
          <w:p w14:paraId="52DB4445" w14:textId="319DE592" w:rsidR="00F0236A" w:rsidRPr="0042750D" w:rsidRDefault="00030608"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r>
      <w:tr w:rsidR="000476C9" w:rsidRPr="0042750D" w14:paraId="15D0728F" w14:textId="77777777" w:rsidTr="00E65A97">
        <w:trPr>
          <w:cantSplit/>
          <w:jc w:val="center"/>
        </w:trPr>
        <w:tc>
          <w:tcPr>
            <w:tcW w:w="3088" w:type="dxa"/>
            <w:tcBorders>
              <w:right w:val="single" w:sz="12" w:space="0" w:color="auto"/>
            </w:tcBorders>
            <w:shd w:val="clear" w:color="auto" w:fill="auto"/>
          </w:tcPr>
          <w:p w14:paraId="3CBB2400" w14:textId="0E50E71E" w:rsidR="00F0236A" w:rsidRPr="0042750D" w:rsidRDefault="00D13F4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101 (REV. DUBAI, 2018) –Internet Protocol-based networks</w:t>
            </w:r>
          </w:p>
        </w:tc>
        <w:tc>
          <w:tcPr>
            <w:tcW w:w="882" w:type="dxa"/>
            <w:tcBorders>
              <w:left w:val="single" w:sz="12" w:space="0" w:color="auto"/>
            </w:tcBorders>
          </w:tcPr>
          <w:p w14:paraId="7260DB1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8C2831D" w14:textId="76218FF1"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92C9D05" w14:textId="1127922A" w:rsidR="00F0236A" w:rsidRPr="0042750D"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075" w:type="dxa"/>
            <w:tcBorders>
              <w:right w:val="single" w:sz="4" w:space="0" w:color="auto"/>
            </w:tcBorders>
          </w:tcPr>
          <w:p w14:paraId="2F90861C" w14:textId="50BF27B7" w:rsidR="00F0236A" w:rsidRPr="0042750D"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091D0064" w14:textId="6FC9A93D" w:rsidR="00D13F40" w:rsidRPr="0042750D" w:rsidRDefault="00980691" w:rsidP="00D13F40">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r w:rsidR="00D13F40" w:rsidRPr="0042750D">
              <w:t xml:space="preserve"> &amp; Director, BDT</w:t>
            </w:r>
          </w:p>
          <w:p w14:paraId="38A4C037" w14:textId="77777777" w:rsidR="00D13F40" w:rsidRPr="0042750D" w:rsidRDefault="00D13F40" w:rsidP="00D13F40">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p w14:paraId="5675A9FA" w14:textId="236EC730" w:rsidR="00F0236A" w:rsidRPr="0042750D" w:rsidRDefault="00D13F40" w:rsidP="00D13F4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SM</w:t>
            </w:r>
          </w:p>
        </w:tc>
        <w:tc>
          <w:tcPr>
            <w:tcW w:w="866" w:type="dxa"/>
            <w:tcBorders>
              <w:left w:val="single" w:sz="12" w:space="0" w:color="auto"/>
            </w:tcBorders>
          </w:tcPr>
          <w:p w14:paraId="7B06B26F" w14:textId="4CC864EB"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AF84BA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327A2A5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13B7370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6C7D9B1" w14:textId="50636BB3" w:rsidR="00F0236A" w:rsidRPr="0042750D"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976" w:type="dxa"/>
          </w:tcPr>
          <w:p w14:paraId="6BF751AF" w14:textId="2E173E93"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A05A67B" w14:textId="6BDC41AB" w:rsidR="00F0236A" w:rsidRPr="0042750D" w:rsidRDefault="00D13F4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r>
      <w:tr w:rsidR="000476C9" w:rsidRPr="0042750D" w14:paraId="3E8E3C7D" w14:textId="77777777" w:rsidTr="00E65A97">
        <w:trPr>
          <w:cantSplit/>
          <w:jc w:val="center"/>
        </w:trPr>
        <w:tc>
          <w:tcPr>
            <w:tcW w:w="3088" w:type="dxa"/>
            <w:tcBorders>
              <w:right w:val="single" w:sz="12" w:space="0" w:color="auto"/>
            </w:tcBorders>
            <w:shd w:val="clear" w:color="auto" w:fill="auto"/>
          </w:tcPr>
          <w:p w14:paraId="78C7A26D" w14:textId="1CF03EB8" w:rsidR="00F0236A" w:rsidRPr="0042750D" w:rsidRDefault="00E3201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102 (REV. DUBAI, 2018) – ITU's role with regard to international public policy issues pertaining to the Internet and the management of Internet resources, including domain names and addresses</w:t>
            </w:r>
          </w:p>
        </w:tc>
        <w:tc>
          <w:tcPr>
            <w:tcW w:w="882" w:type="dxa"/>
            <w:tcBorders>
              <w:left w:val="single" w:sz="12" w:space="0" w:color="auto"/>
            </w:tcBorders>
          </w:tcPr>
          <w:p w14:paraId="1DAF1E9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2347AF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25E2ADA" w14:textId="1140ADF2"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19EADDC" w14:textId="5E65DAC3" w:rsidR="00F0236A" w:rsidRPr="0042750D"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4B5C5F7B" w14:textId="39BF7D2B" w:rsidR="00C0401A" w:rsidRPr="0042750D" w:rsidRDefault="00980691"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r w:rsidR="00C0401A" w:rsidRPr="0042750D">
              <w:t xml:space="preserve"> &amp; Director, TSB &amp; BDT</w:t>
            </w:r>
          </w:p>
          <w:p w14:paraId="31C7D38B" w14:textId="77777777" w:rsidR="00C0401A" w:rsidRPr="0042750D"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 CWG-Internet</w:t>
            </w:r>
          </w:p>
          <w:p w14:paraId="7F80A164" w14:textId="5A0B3783" w:rsidR="00F0236A" w:rsidRPr="0042750D" w:rsidRDefault="00C0401A" w:rsidP="00C0401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SM</w:t>
            </w:r>
          </w:p>
        </w:tc>
        <w:tc>
          <w:tcPr>
            <w:tcW w:w="866" w:type="dxa"/>
            <w:tcBorders>
              <w:left w:val="single" w:sz="12" w:space="0" w:color="auto"/>
            </w:tcBorders>
          </w:tcPr>
          <w:p w14:paraId="04BC7CA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E07E2B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F919FF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0B16DAA" w14:textId="04865EAF" w:rsidR="00F0236A" w:rsidRPr="0042750D"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084" w:type="dxa"/>
          </w:tcPr>
          <w:p w14:paraId="21C8E46F" w14:textId="31EB0C02" w:rsidR="00F0236A" w:rsidRPr="0042750D"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976" w:type="dxa"/>
          </w:tcPr>
          <w:p w14:paraId="32F0295A" w14:textId="2138778E" w:rsidR="00F0236A" w:rsidRPr="0042750D"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657" w:type="dxa"/>
          </w:tcPr>
          <w:p w14:paraId="426F2FE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76EBEE28" w14:textId="77777777" w:rsidTr="00E65A97">
        <w:trPr>
          <w:cantSplit/>
          <w:jc w:val="center"/>
        </w:trPr>
        <w:tc>
          <w:tcPr>
            <w:tcW w:w="3088" w:type="dxa"/>
            <w:tcBorders>
              <w:right w:val="single" w:sz="12" w:space="0" w:color="auto"/>
            </w:tcBorders>
            <w:shd w:val="clear" w:color="auto" w:fill="auto"/>
          </w:tcPr>
          <w:p w14:paraId="71B35362" w14:textId="1C0AFEE2" w:rsidR="00F0236A" w:rsidRPr="0042750D" w:rsidRDefault="00C0401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111 (REV. BUSAN, 2014) – Considering major religious periods in the scheduling of ITU conferences, assemblies and Council sessions</w:t>
            </w:r>
          </w:p>
        </w:tc>
        <w:tc>
          <w:tcPr>
            <w:tcW w:w="882" w:type="dxa"/>
            <w:tcBorders>
              <w:left w:val="single" w:sz="12" w:space="0" w:color="auto"/>
            </w:tcBorders>
          </w:tcPr>
          <w:p w14:paraId="0792DDDA" w14:textId="6CE0EA9C" w:rsidR="00F0236A" w:rsidRPr="0042750D"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855" w:type="dxa"/>
          </w:tcPr>
          <w:p w14:paraId="2855A26E" w14:textId="2BB5D79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0BF23A94" w14:textId="6AB7E415"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6BDF3D7" w14:textId="0B954518" w:rsidR="00F0236A" w:rsidRPr="0042750D"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2040622A" w14:textId="1DDE8704" w:rsidR="00F0236A" w:rsidRPr="0042750D" w:rsidRDefault="0098069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tc>
        <w:tc>
          <w:tcPr>
            <w:tcW w:w="866" w:type="dxa"/>
            <w:tcBorders>
              <w:left w:val="single" w:sz="12" w:space="0" w:color="auto"/>
            </w:tcBorders>
          </w:tcPr>
          <w:p w14:paraId="61029DA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C67ED6F" w14:textId="03E51F0B"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A0C9144" w14:textId="204B4D6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F2DC4A7" w14:textId="76C936E1"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9DE2AB0" w14:textId="6C46E4ED"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B186A9E" w14:textId="42204D6B"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2BF1096" w14:textId="1F7AB938"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23F7F8B3" w14:textId="77777777" w:rsidTr="00E65A97">
        <w:trPr>
          <w:cantSplit/>
          <w:jc w:val="center"/>
        </w:trPr>
        <w:tc>
          <w:tcPr>
            <w:tcW w:w="3088" w:type="dxa"/>
            <w:tcBorders>
              <w:right w:val="single" w:sz="12" w:space="0" w:color="auto"/>
            </w:tcBorders>
            <w:shd w:val="clear" w:color="auto" w:fill="auto"/>
          </w:tcPr>
          <w:p w14:paraId="541C600E" w14:textId="412F1BB0" w:rsidR="00F0236A" w:rsidRPr="0042750D" w:rsidRDefault="00C0401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122 (Rev. Guadalajara, 2010) – The evolving role of the World Telecommunication Standardization Assembly</w:t>
            </w:r>
          </w:p>
        </w:tc>
        <w:tc>
          <w:tcPr>
            <w:tcW w:w="882" w:type="dxa"/>
            <w:tcBorders>
              <w:left w:val="single" w:sz="12" w:space="0" w:color="auto"/>
            </w:tcBorders>
          </w:tcPr>
          <w:p w14:paraId="46274EF5" w14:textId="47460FBF" w:rsidR="00F0236A" w:rsidRPr="0042750D"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855" w:type="dxa"/>
          </w:tcPr>
          <w:p w14:paraId="6D0CE7BD" w14:textId="1D853AF4"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3233C9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9D83B4F" w14:textId="65D6DFEF" w:rsidR="00F0236A" w:rsidRPr="0042750D" w:rsidRDefault="00C0401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72CEC885" w14:textId="77777777" w:rsidR="00C0401A" w:rsidRPr="0042750D"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 TSB</w:t>
            </w:r>
          </w:p>
          <w:p w14:paraId="01EF7A0D" w14:textId="77777777" w:rsidR="00C0401A" w:rsidRPr="0042750D"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WTSA</w:t>
            </w:r>
          </w:p>
          <w:p w14:paraId="5B29EF35" w14:textId="77777777" w:rsidR="00C0401A" w:rsidRPr="0042750D" w:rsidRDefault="00C0401A" w:rsidP="00C0401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ITU-T SM</w:t>
            </w:r>
          </w:p>
          <w:p w14:paraId="1767FFFF" w14:textId="72CA9DB8" w:rsidR="00F0236A" w:rsidRPr="0042750D" w:rsidRDefault="00C0401A" w:rsidP="00C0401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ITU-T SM &amp; chairs/v-chairs TSAG &amp; SGs</w:t>
            </w:r>
          </w:p>
        </w:tc>
        <w:tc>
          <w:tcPr>
            <w:tcW w:w="866" w:type="dxa"/>
            <w:tcBorders>
              <w:left w:val="single" w:sz="12" w:space="0" w:color="auto"/>
            </w:tcBorders>
          </w:tcPr>
          <w:p w14:paraId="0BD4994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6080E41" w14:textId="4F6980F6"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E17C3EF" w14:textId="5F3D5818"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60C4661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98D5805" w14:textId="06981470"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E76A595" w14:textId="674BCFD0" w:rsidR="00F0236A" w:rsidRPr="0042750D" w:rsidRDefault="00A265E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657" w:type="dxa"/>
          </w:tcPr>
          <w:p w14:paraId="58BB494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4146A6F2" w14:textId="77777777" w:rsidTr="00E65A97">
        <w:trPr>
          <w:cantSplit/>
          <w:jc w:val="center"/>
        </w:trPr>
        <w:tc>
          <w:tcPr>
            <w:tcW w:w="3088" w:type="dxa"/>
            <w:tcBorders>
              <w:right w:val="single" w:sz="12" w:space="0" w:color="auto"/>
            </w:tcBorders>
            <w:shd w:val="clear" w:color="auto" w:fill="auto"/>
          </w:tcPr>
          <w:p w14:paraId="7B0CA9D0" w14:textId="7BE652D4" w:rsidR="00F0236A" w:rsidRPr="0042750D" w:rsidRDefault="00A5761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123 (REV. DUBAI, 2018) – Bridging the standardization gap between developing1 and developed countries</w:t>
            </w:r>
          </w:p>
        </w:tc>
        <w:tc>
          <w:tcPr>
            <w:tcW w:w="882" w:type="dxa"/>
            <w:tcBorders>
              <w:left w:val="single" w:sz="12" w:space="0" w:color="auto"/>
            </w:tcBorders>
          </w:tcPr>
          <w:p w14:paraId="2FDB9902" w14:textId="3F470425"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1689B2B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B9A4A9C" w14:textId="253A0E65"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92D0FA0" w14:textId="7C34DFA8" w:rsidR="00F0236A" w:rsidRPr="0042750D" w:rsidRDefault="005E0AB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3A3D83FF" w14:textId="566E8863" w:rsidR="003D6605" w:rsidRPr="0042750D" w:rsidRDefault="00980691" w:rsidP="003D660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64FD9FAE" w14:textId="77777777" w:rsidR="003D6605" w:rsidRPr="0042750D" w:rsidRDefault="003D6605" w:rsidP="003D660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 xml:space="preserve">Directors, Bureaux </w:t>
            </w:r>
          </w:p>
          <w:p w14:paraId="40BD3582" w14:textId="70E3D270" w:rsidR="00F0236A" w:rsidRPr="0042750D" w:rsidRDefault="003D6605" w:rsidP="003D660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SM</w:t>
            </w:r>
          </w:p>
        </w:tc>
        <w:tc>
          <w:tcPr>
            <w:tcW w:w="866" w:type="dxa"/>
            <w:tcBorders>
              <w:left w:val="single" w:sz="12" w:space="0" w:color="auto"/>
            </w:tcBorders>
          </w:tcPr>
          <w:p w14:paraId="35BA818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F083F4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A70972F"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1C649A6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A832678" w14:textId="1E7F61C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467C26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4B98D59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69EEEF40" w14:textId="77777777" w:rsidTr="00E65A97">
        <w:trPr>
          <w:cantSplit/>
          <w:jc w:val="center"/>
        </w:trPr>
        <w:tc>
          <w:tcPr>
            <w:tcW w:w="3088" w:type="dxa"/>
            <w:tcBorders>
              <w:right w:val="single" w:sz="12" w:space="0" w:color="auto"/>
            </w:tcBorders>
            <w:shd w:val="clear" w:color="auto" w:fill="auto"/>
          </w:tcPr>
          <w:p w14:paraId="4E7F6861" w14:textId="5EAB7712" w:rsidR="00F0236A" w:rsidRPr="0042750D" w:rsidRDefault="00B615B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130 (REV. DUBAI, 2018) – Strengthening the role of ITU in building confidence and security in the use of information and communication technologies</w:t>
            </w:r>
          </w:p>
        </w:tc>
        <w:tc>
          <w:tcPr>
            <w:tcW w:w="882" w:type="dxa"/>
            <w:tcBorders>
              <w:left w:val="single" w:sz="12" w:space="0" w:color="auto"/>
            </w:tcBorders>
          </w:tcPr>
          <w:p w14:paraId="08D4429C" w14:textId="7781CEDF"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20C075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282053F" w14:textId="3D3BA772" w:rsidR="00F0236A" w:rsidRPr="0042750D"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075" w:type="dxa"/>
            <w:tcBorders>
              <w:right w:val="single" w:sz="4" w:space="0" w:color="auto"/>
            </w:tcBorders>
          </w:tcPr>
          <w:p w14:paraId="411012A9" w14:textId="53FA1D1C" w:rsidR="00F0236A" w:rsidRPr="0042750D"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74AA4FAB" w14:textId="36A5E45D" w:rsidR="00C00FF1" w:rsidRPr="0042750D" w:rsidRDefault="0098069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44BF53C6" w14:textId="77777777" w:rsidR="00C00FF1" w:rsidRPr="0042750D"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 xml:space="preserve">Directors, Bureaux </w:t>
            </w:r>
          </w:p>
          <w:p w14:paraId="7AFDA81F" w14:textId="77777777" w:rsidR="00C00FF1" w:rsidRPr="0042750D"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p w14:paraId="20A8AFE5" w14:textId="70279B41" w:rsidR="00F0236A" w:rsidRPr="0042750D" w:rsidRDefault="00C00FF1" w:rsidP="00C00FF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w:t>
            </w:r>
          </w:p>
        </w:tc>
        <w:tc>
          <w:tcPr>
            <w:tcW w:w="866" w:type="dxa"/>
            <w:tcBorders>
              <w:left w:val="single" w:sz="12" w:space="0" w:color="auto"/>
            </w:tcBorders>
          </w:tcPr>
          <w:p w14:paraId="0270972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4632DB3"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BDCFBE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7B8AF8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3328305" w14:textId="349385F3" w:rsidR="00F0236A" w:rsidRPr="0042750D"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976" w:type="dxa"/>
          </w:tcPr>
          <w:p w14:paraId="13D91A6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AD6B51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678E2D03" w14:textId="77777777" w:rsidTr="00E65A97">
        <w:trPr>
          <w:cantSplit/>
          <w:jc w:val="center"/>
        </w:trPr>
        <w:tc>
          <w:tcPr>
            <w:tcW w:w="3088" w:type="dxa"/>
            <w:tcBorders>
              <w:right w:val="single" w:sz="12" w:space="0" w:color="auto"/>
            </w:tcBorders>
            <w:shd w:val="clear" w:color="auto" w:fill="auto"/>
          </w:tcPr>
          <w:p w14:paraId="0E5D62AA" w14:textId="06ED33C1" w:rsidR="00F0236A" w:rsidRPr="0042750D" w:rsidRDefault="00C00FF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133 (REV. DUBAI, 2018) – Role of administrations of Member States in the management of internationalized (multilingual) domain names</w:t>
            </w:r>
          </w:p>
        </w:tc>
        <w:tc>
          <w:tcPr>
            <w:tcW w:w="882" w:type="dxa"/>
            <w:tcBorders>
              <w:left w:val="single" w:sz="12" w:space="0" w:color="auto"/>
            </w:tcBorders>
          </w:tcPr>
          <w:p w14:paraId="2F9EC344" w14:textId="1CEA8BA5"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8B5C15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FC65AC7" w14:textId="4A182FB2"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7956507" w14:textId="54E7280D" w:rsidR="00F0236A" w:rsidRPr="0042750D"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35CD4A4E" w14:textId="4171B8F0" w:rsidR="00C00FF1" w:rsidRPr="0042750D" w:rsidRDefault="0098069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1FA86BBA" w14:textId="77777777" w:rsidR="00C00FF1" w:rsidRPr="0042750D"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 xml:space="preserve">Directors, Bureaux </w:t>
            </w:r>
          </w:p>
          <w:p w14:paraId="1B398CCC" w14:textId="77777777" w:rsidR="00C00FF1" w:rsidRPr="0042750D"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p w14:paraId="29518434" w14:textId="09DB39DE" w:rsidR="00F0236A" w:rsidRPr="0042750D" w:rsidRDefault="00C00FF1" w:rsidP="00C00FF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SM</w:t>
            </w:r>
          </w:p>
        </w:tc>
        <w:tc>
          <w:tcPr>
            <w:tcW w:w="866" w:type="dxa"/>
            <w:tcBorders>
              <w:left w:val="single" w:sz="12" w:space="0" w:color="auto"/>
            </w:tcBorders>
          </w:tcPr>
          <w:p w14:paraId="37497D6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95BDED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47F8C9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C41F53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96A2AC1" w14:textId="42F84E01" w:rsidR="00F0236A" w:rsidRPr="0042750D"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976" w:type="dxa"/>
          </w:tcPr>
          <w:p w14:paraId="28F7292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CF2540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24A0B673" w14:textId="77777777" w:rsidTr="00E65A97">
        <w:trPr>
          <w:cantSplit/>
          <w:jc w:val="center"/>
        </w:trPr>
        <w:tc>
          <w:tcPr>
            <w:tcW w:w="3088" w:type="dxa"/>
            <w:tcBorders>
              <w:right w:val="single" w:sz="12" w:space="0" w:color="auto"/>
            </w:tcBorders>
            <w:shd w:val="clear" w:color="auto" w:fill="auto"/>
          </w:tcPr>
          <w:p w14:paraId="3BE8E599" w14:textId="4C1C3D4C" w:rsidR="00F0236A" w:rsidRPr="0042750D" w:rsidRDefault="00C00FF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136 (REV. DUBAI, 2018) – The use of telecommunications/information and communication technologies for humanitarian assistance and for monitoring and management in emergency and disaster situations, including health-related emergencies, for early warning, prevention, mitigation and relief</w:t>
            </w:r>
          </w:p>
        </w:tc>
        <w:tc>
          <w:tcPr>
            <w:tcW w:w="882" w:type="dxa"/>
            <w:tcBorders>
              <w:left w:val="single" w:sz="12" w:space="0" w:color="auto"/>
            </w:tcBorders>
          </w:tcPr>
          <w:p w14:paraId="70BCECA8" w14:textId="5E06802A"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1ACFCD3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10064EA" w14:textId="62046794"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772C25BE" w14:textId="72685C7B" w:rsidR="00F0236A" w:rsidRPr="0042750D"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347A4840" w14:textId="77777777" w:rsidR="00C00FF1" w:rsidRPr="0042750D"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Directors, Bureaux</w:t>
            </w:r>
          </w:p>
          <w:p w14:paraId="52329DE2" w14:textId="08EAA1CF" w:rsidR="00C00FF1" w:rsidRPr="0042750D" w:rsidRDefault="0098069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 xml:space="preserve">SecGen </w:t>
            </w:r>
            <w:r w:rsidR="00C00FF1" w:rsidRPr="0042750D">
              <w:t>&amp; Director, BDT</w:t>
            </w:r>
          </w:p>
          <w:p w14:paraId="7ADFD0BF" w14:textId="77777777" w:rsidR="00C00FF1" w:rsidRPr="0042750D" w:rsidRDefault="00C00FF1" w:rsidP="00C00FF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p w14:paraId="73B0E7D3" w14:textId="775833EF" w:rsidR="00F0236A" w:rsidRPr="0042750D" w:rsidRDefault="00C00FF1" w:rsidP="00C00FF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SM</w:t>
            </w:r>
          </w:p>
        </w:tc>
        <w:tc>
          <w:tcPr>
            <w:tcW w:w="866" w:type="dxa"/>
            <w:tcBorders>
              <w:left w:val="single" w:sz="12" w:space="0" w:color="auto"/>
            </w:tcBorders>
          </w:tcPr>
          <w:p w14:paraId="64BA88F4" w14:textId="052DFA44"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6324E9DB" w14:textId="3FB10588"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A2C620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3B8AC56" w14:textId="72C6622B"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4EB82F4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0AFA1D3F"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840AFB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568FAD11" w14:textId="77777777" w:rsidTr="00E65A97">
        <w:trPr>
          <w:cantSplit/>
          <w:jc w:val="center"/>
        </w:trPr>
        <w:tc>
          <w:tcPr>
            <w:tcW w:w="3088" w:type="dxa"/>
            <w:tcBorders>
              <w:right w:val="single" w:sz="12" w:space="0" w:color="auto"/>
            </w:tcBorders>
            <w:shd w:val="clear" w:color="auto" w:fill="auto"/>
          </w:tcPr>
          <w:p w14:paraId="44842681" w14:textId="045797BF" w:rsidR="00F0236A" w:rsidRPr="0042750D" w:rsidRDefault="00C00FF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137 (REV. DUBAI, 2018) – Deployment of future networks in developing countries</w:t>
            </w:r>
          </w:p>
        </w:tc>
        <w:tc>
          <w:tcPr>
            <w:tcW w:w="882" w:type="dxa"/>
            <w:tcBorders>
              <w:left w:val="single" w:sz="12" w:space="0" w:color="auto"/>
            </w:tcBorders>
          </w:tcPr>
          <w:p w14:paraId="1CC5FCB4" w14:textId="1A0B6F3B"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27C570F" w14:textId="16281071"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724DA34" w14:textId="544C821A"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BD3CB31" w14:textId="2F651FB4" w:rsidR="00F0236A" w:rsidRPr="0042750D" w:rsidRDefault="00C00FF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6A7A1474" w14:textId="77777777" w:rsidR="00980691" w:rsidRPr="0042750D"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Directors, Bureaux</w:t>
            </w:r>
          </w:p>
          <w:p w14:paraId="686F9B07" w14:textId="7B68B8A1" w:rsidR="00980691" w:rsidRPr="0042750D"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 &amp; Director, BDT</w:t>
            </w:r>
          </w:p>
          <w:p w14:paraId="1C9B432C" w14:textId="77777777" w:rsidR="00980691" w:rsidRPr="0042750D"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p w14:paraId="1726E986" w14:textId="0B6CAA7B" w:rsidR="00F0236A" w:rsidRPr="0042750D" w:rsidRDefault="00980691" w:rsidP="0098069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SM</w:t>
            </w:r>
          </w:p>
        </w:tc>
        <w:tc>
          <w:tcPr>
            <w:tcW w:w="866" w:type="dxa"/>
            <w:tcBorders>
              <w:left w:val="single" w:sz="12" w:space="0" w:color="auto"/>
            </w:tcBorders>
          </w:tcPr>
          <w:p w14:paraId="4AD9818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54B4608" w14:textId="6BEED5C8"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3CA4B8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2C0D48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3AA658B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AA6799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F93722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54D32109" w14:textId="77777777" w:rsidTr="00E65A97">
        <w:trPr>
          <w:cantSplit/>
          <w:jc w:val="center"/>
        </w:trPr>
        <w:tc>
          <w:tcPr>
            <w:tcW w:w="3088" w:type="dxa"/>
            <w:tcBorders>
              <w:right w:val="single" w:sz="12" w:space="0" w:color="auto"/>
            </w:tcBorders>
            <w:shd w:val="clear" w:color="auto" w:fill="auto"/>
          </w:tcPr>
          <w:p w14:paraId="60EF5019" w14:textId="3A4A8D14" w:rsidR="00F0236A" w:rsidRPr="0042750D" w:rsidRDefault="0098069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139 (REV. DUBAI, 2018) – Use of telecommunications/information and communication technologies to bridge the digital divide and build an inclusive information society</w:t>
            </w:r>
          </w:p>
        </w:tc>
        <w:tc>
          <w:tcPr>
            <w:tcW w:w="882" w:type="dxa"/>
            <w:tcBorders>
              <w:left w:val="single" w:sz="12" w:space="0" w:color="auto"/>
            </w:tcBorders>
          </w:tcPr>
          <w:p w14:paraId="57E0B0A3" w14:textId="7523847F"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1E54A15"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45804E9" w14:textId="6F4CECC0"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FC12D19" w14:textId="59130F08" w:rsidR="00F0236A" w:rsidRPr="0042750D" w:rsidRDefault="0098069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06F74C2A" w14:textId="25BB9261" w:rsidR="00980691" w:rsidRPr="0042750D"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5831A17A" w14:textId="77777777" w:rsidR="00980691" w:rsidRPr="0042750D"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 BDT &amp; Directors TSB &amp; BR as appropriate</w:t>
            </w:r>
          </w:p>
          <w:p w14:paraId="030CA455" w14:textId="77777777" w:rsidR="00980691" w:rsidRPr="0042750D"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 BR</w:t>
            </w:r>
          </w:p>
          <w:p w14:paraId="170910A5" w14:textId="77777777" w:rsidR="00980691" w:rsidRPr="0042750D" w:rsidRDefault="00980691" w:rsidP="00980691">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p w14:paraId="20EBD261" w14:textId="51D05386" w:rsidR="00F0236A" w:rsidRPr="0042750D" w:rsidRDefault="00980691" w:rsidP="0098069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w:t>
            </w:r>
          </w:p>
        </w:tc>
        <w:tc>
          <w:tcPr>
            <w:tcW w:w="866" w:type="dxa"/>
            <w:tcBorders>
              <w:left w:val="single" w:sz="12" w:space="0" w:color="auto"/>
            </w:tcBorders>
          </w:tcPr>
          <w:p w14:paraId="11F292DB" w14:textId="177C1BAE"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21F8973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8CD6FD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C489605" w14:textId="72072750"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7B034E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DE96743" w14:textId="5DFDF0AE"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E2B792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5EC821EE" w14:textId="77777777" w:rsidTr="00E65A97">
        <w:trPr>
          <w:cantSplit/>
          <w:jc w:val="center"/>
        </w:trPr>
        <w:tc>
          <w:tcPr>
            <w:tcW w:w="3088" w:type="dxa"/>
            <w:tcBorders>
              <w:right w:val="single" w:sz="12" w:space="0" w:color="auto"/>
            </w:tcBorders>
            <w:shd w:val="clear" w:color="auto" w:fill="auto"/>
          </w:tcPr>
          <w:p w14:paraId="42A730A2" w14:textId="6372F3DB" w:rsidR="00F0236A" w:rsidRPr="0042750D" w:rsidRDefault="001A307C"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140 (REV. DUBAI, 2018) – ITU's role in implementing the outcomes of the World Summit on the Information Society and the 2030 Agenda for Sustainable Development, as well as in their follow-up and review processes</w:t>
            </w:r>
          </w:p>
        </w:tc>
        <w:tc>
          <w:tcPr>
            <w:tcW w:w="882" w:type="dxa"/>
            <w:tcBorders>
              <w:left w:val="single" w:sz="12" w:space="0" w:color="auto"/>
            </w:tcBorders>
          </w:tcPr>
          <w:p w14:paraId="230192F1" w14:textId="404AE82D"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E6EE41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4F313D91" w14:textId="06858DA3" w:rsidR="00F0236A" w:rsidRPr="0042750D"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075" w:type="dxa"/>
            <w:tcBorders>
              <w:right w:val="single" w:sz="4" w:space="0" w:color="auto"/>
            </w:tcBorders>
          </w:tcPr>
          <w:p w14:paraId="2F13BD24" w14:textId="4C021251" w:rsidR="00F0236A" w:rsidRPr="0042750D"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6F8F562B" w14:textId="77777777" w:rsidR="001A307C" w:rsidRPr="0042750D"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5313ABE1" w14:textId="70C82638" w:rsidR="001A307C" w:rsidRPr="0042750D"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 &amp; Directors, Bureaux</w:t>
            </w:r>
          </w:p>
          <w:p w14:paraId="34B5C46F" w14:textId="77777777" w:rsidR="001A307C" w:rsidRPr="0042750D"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Directors, Bureaux</w:t>
            </w:r>
          </w:p>
          <w:p w14:paraId="3C3DAD2B" w14:textId="77777777" w:rsidR="001A307C" w:rsidRPr="0042750D" w:rsidRDefault="001A307C" w:rsidP="001A307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 BDT</w:t>
            </w:r>
          </w:p>
          <w:p w14:paraId="234BE346" w14:textId="2529121B" w:rsidR="00F0236A" w:rsidRPr="0042750D" w:rsidRDefault="001A307C" w:rsidP="001A307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tc>
        <w:tc>
          <w:tcPr>
            <w:tcW w:w="866" w:type="dxa"/>
            <w:tcBorders>
              <w:left w:val="single" w:sz="12" w:space="0" w:color="auto"/>
            </w:tcBorders>
          </w:tcPr>
          <w:p w14:paraId="315ABC1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00ED7E2B" w14:textId="640FA9AE"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320DEE9F"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B8809A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0CE814DE" w14:textId="4C976262" w:rsidR="00F0236A" w:rsidRPr="0042750D"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976" w:type="dxa"/>
          </w:tcPr>
          <w:p w14:paraId="3E7550B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5A6E5BC" w14:textId="66A61DF8" w:rsidR="00F0236A" w:rsidRPr="0042750D" w:rsidRDefault="001A307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r>
      <w:tr w:rsidR="000476C9" w:rsidRPr="0042750D" w14:paraId="353482AB" w14:textId="77777777" w:rsidTr="00E65A97">
        <w:trPr>
          <w:cantSplit/>
          <w:jc w:val="center"/>
        </w:trPr>
        <w:tc>
          <w:tcPr>
            <w:tcW w:w="3088" w:type="dxa"/>
            <w:tcBorders>
              <w:right w:val="single" w:sz="12" w:space="0" w:color="auto"/>
            </w:tcBorders>
            <w:shd w:val="clear" w:color="auto" w:fill="auto"/>
          </w:tcPr>
          <w:p w14:paraId="3ECA8FFC" w14:textId="150DABEE" w:rsidR="00F0236A" w:rsidRPr="0042750D" w:rsidRDefault="003033E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146 (REV. DUBAI, 2018) – Periodic review and revision of the International Telecommunication Regulations</w:t>
            </w:r>
          </w:p>
        </w:tc>
        <w:tc>
          <w:tcPr>
            <w:tcW w:w="882" w:type="dxa"/>
            <w:tcBorders>
              <w:left w:val="single" w:sz="12" w:space="0" w:color="auto"/>
            </w:tcBorders>
          </w:tcPr>
          <w:p w14:paraId="7C029F4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BA5FDE8" w14:textId="15FEFF23" w:rsidR="00F0236A" w:rsidRPr="0042750D" w:rsidRDefault="003033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843" w:type="dxa"/>
          </w:tcPr>
          <w:p w14:paraId="7A0A51EB" w14:textId="0200FDE2"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78F59DC0" w14:textId="4889919E" w:rsidR="00F0236A" w:rsidRPr="0042750D" w:rsidRDefault="003033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59CCD769" w14:textId="3D1B3B9F" w:rsidR="0024280A" w:rsidRPr="0042750D"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2270C00C" w14:textId="77777777" w:rsidR="0024280A" w:rsidRPr="0042750D"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p w14:paraId="5A844B39" w14:textId="77777777" w:rsidR="0024280A" w:rsidRPr="0042750D"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Directors, Bureaux</w:t>
            </w:r>
          </w:p>
          <w:p w14:paraId="2046B2C2" w14:textId="77777777" w:rsidR="0024280A" w:rsidRPr="0042750D" w:rsidRDefault="0024280A" w:rsidP="002428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SM</w:t>
            </w:r>
          </w:p>
          <w:p w14:paraId="01B1D8D9" w14:textId="53448947" w:rsidR="00F0236A" w:rsidRPr="0042750D" w:rsidRDefault="0024280A" w:rsidP="0024280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PP</w:t>
            </w:r>
          </w:p>
        </w:tc>
        <w:tc>
          <w:tcPr>
            <w:tcW w:w="866" w:type="dxa"/>
            <w:tcBorders>
              <w:left w:val="single" w:sz="12" w:space="0" w:color="auto"/>
            </w:tcBorders>
          </w:tcPr>
          <w:p w14:paraId="1ED8A75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897A7E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D10C20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6F0451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3A98106C" w14:textId="60A4312A" w:rsidR="00F0236A" w:rsidRPr="0042750D" w:rsidRDefault="003033E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976" w:type="dxa"/>
          </w:tcPr>
          <w:p w14:paraId="76BAE37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7AB60D98" w14:textId="720B5F09" w:rsidR="00F0236A" w:rsidRPr="0042750D" w:rsidRDefault="0041412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r>
      <w:tr w:rsidR="000476C9" w:rsidRPr="0042750D" w14:paraId="42C487AD" w14:textId="77777777" w:rsidTr="00E65A97">
        <w:trPr>
          <w:cantSplit/>
          <w:jc w:val="center"/>
        </w:trPr>
        <w:tc>
          <w:tcPr>
            <w:tcW w:w="3088" w:type="dxa"/>
            <w:tcBorders>
              <w:right w:val="single" w:sz="12" w:space="0" w:color="auto"/>
            </w:tcBorders>
            <w:shd w:val="clear" w:color="auto" w:fill="auto"/>
          </w:tcPr>
          <w:p w14:paraId="3A85BD1A" w14:textId="241F83D8" w:rsidR="00F0236A" w:rsidRPr="0042750D" w:rsidRDefault="0000467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151 (REV.DUBAI, 2018) – Improvement of results-based management in ITU</w:t>
            </w:r>
          </w:p>
        </w:tc>
        <w:tc>
          <w:tcPr>
            <w:tcW w:w="882" w:type="dxa"/>
            <w:tcBorders>
              <w:left w:val="single" w:sz="12" w:space="0" w:color="auto"/>
            </w:tcBorders>
          </w:tcPr>
          <w:p w14:paraId="37B46643" w14:textId="6D0A299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1EC3EDAF"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D82282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54AD78D" w14:textId="6811BC46" w:rsidR="00F0236A" w:rsidRPr="0042750D" w:rsidRDefault="0000467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778A8532" w14:textId="211CED30" w:rsidR="00004679" w:rsidRPr="0042750D" w:rsidRDefault="00004679" w:rsidP="0000467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033C1A56" w14:textId="2D39EF1D" w:rsidR="00F0236A" w:rsidRPr="0042750D" w:rsidRDefault="00004679" w:rsidP="000046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TSBDir</w:t>
            </w:r>
          </w:p>
        </w:tc>
        <w:tc>
          <w:tcPr>
            <w:tcW w:w="866" w:type="dxa"/>
            <w:tcBorders>
              <w:left w:val="single" w:sz="12" w:space="0" w:color="auto"/>
            </w:tcBorders>
          </w:tcPr>
          <w:p w14:paraId="33CB0E1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0FE9433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2C41C7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8852E1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84603E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1113DD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6D7F2BE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58704A9B" w14:textId="77777777" w:rsidTr="00E65A97">
        <w:trPr>
          <w:cantSplit/>
          <w:jc w:val="center"/>
        </w:trPr>
        <w:tc>
          <w:tcPr>
            <w:tcW w:w="3088" w:type="dxa"/>
            <w:tcBorders>
              <w:right w:val="single" w:sz="12" w:space="0" w:color="auto"/>
            </w:tcBorders>
            <w:shd w:val="clear" w:color="auto" w:fill="auto"/>
          </w:tcPr>
          <w:p w14:paraId="0895BF68" w14:textId="2176667A" w:rsidR="00F0236A" w:rsidRPr="0042750D"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154 (REV. DUBAI, 2018) – Use of the six official languages of the Union on an equal footing</w:t>
            </w:r>
          </w:p>
        </w:tc>
        <w:tc>
          <w:tcPr>
            <w:tcW w:w="882" w:type="dxa"/>
            <w:tcBorders>
              <w:left w:val="single" w:sz="12" w:space="0" w:color="auto"/>
            </w:tcBorders>
          </w:tcPr>
          <w:p w14:paraId="73DCBE29" w14:textId="79AEDB2B"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67832B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7C3F62A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6B7E94C" w14:textId="56462598" w:rsidR="00F0236A" w:rsidRPr="0042750D"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5537B312" w14:textId="0D306F62" w:rsidR="00647913" w:rsidRPr="0042750D"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 &amp; Directors, Bureaux</w:t>
            </w:r>
          </w:p>
          <w:p w14:paraId="54DDABF4" w14:textId="77777777" w:rsidR="00647913" w:rsidRPr="0042750D"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TSB</w:t>
            </w:r>
          </w:p>
          <w:p w14:paraId="571A977D" w14:textId="77777777" w:rsidR="00647913" w:rsidRPr="0042750D"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p w14:paraId="787DD99B" w14:textId="32328D2C" w:rsidR="00F0236A" w:rsidRPr="0042750D"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SM</w:t>
            </w:r>
          </w:p>
        </w:tc>
        <w:tc>
          <w:tcPr>
            <w:tcW w:w="866" w:type="dxa"/>
            <w:tcBorders>
              <w:left w:val="single" w:sz="12" w:space="0" w:color="auto"/>
            </w:tcBorders>
          </w:tcPr>
          <w:p w14:paraId="0F11F6B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F32711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D2887E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66F32E0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A3A3683" w14:textId="1BE508B4"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64A034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06B88E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253D6DBB" w14:textId="77777777" w:rsidTr="00E65A97">
        <w:trPr>
          <w:cantSplit/>
          <w:jc w:val="center"/>
        </w:trPr>
        <w:tc>
          <w:tcPr>
            <w:tcW w:w="3088" w:type="dxa"/>
            <w:tcBorders>
              <w:right w:val="single" w:sz="12" w:space="0" w:color="auto"/>
            </w:tcBorders>
            <w:shd w:val="clear" w:color="auto" w:fill="auto"/>
          </w:tcPr>
          <w:p w14:paraId="1E403395" w14:textId="5713C68E" w:rsidR="00F0236A" w:rsidRPr="0042750D"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165 (REV. DUBAI, 2018) –Deadlines for the submission of proposals and procedures for the registration of participants for conferences and assemblies of the Union</w:t>
            </w:r>
          </w:p>
        </w:tc>
        <w:tc>
          <w:tcPr>
            <w:tcW w:w="882" w:type="dxa"/>
            <w:tcBorders>
              <w:left w:val="single" w:sz="12" w:space="0" w:color="auto"/>
            </w:tcBorders>
          </w:tcPr>
          <w:p w14:paraId="200792BA" w14:textId="1F462C38"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D94BAD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DD1B390" w14:textId="5E9BEFAA"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0E257C7" w14:textId="2CB51DD0" w:rsidR="00F0236A" w:rsidRPr="0042750D"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664E5D89" w14:textId="29CB195D" w:rsidR="00F0236A" w:rsidRPr="0042750D"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TSB, TSBDir</w:t>
            </w:r>
          </w:p>
        </w:tc>
        <w:tc>
          <w:tcPr>
            <w:tcW w:w="866" w:type="dxa"/>
            <w:tcBorders>
              <w:left w:val="single" w:sz="12" w:space="0" w:color="auto"/>
            </w:tcBorders>
          </w:tcPr>
          <w:p w14:paraId="67672E5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C6A2DE0" w14:textId="6D4501B4"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06EDBE5"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7F69AD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A9FCC61" w14:textId="5A36396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F7072A3" w14:textId="7EE2B492"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17EAC96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09291EA0" w14:textId="77777777" w:rsidTr="00E65A97">
        <w:trPr>
          <w:cantSplit/>
          <w:jc w:val="center"/>
        </w:trPr>
        <w:tc>
          <w:tcPr>
            <w:tcW w:w="3088" w:type="dxa"/>
            <w:tcBorders>
              <w:right w:val="single" w:sz="12" w:space="0" w:color="auto"/>
            </w:tcBorders>
            <w:shd w:val="clear" w:color="auto" w:fill="auto"/>
          </w:tcPr>
          <w:p w14:paraId="40A75555" w14:textId="4E64B3EB" w:rsidR="00F0236A" w:rsidRPr="0042750D"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167 (REV. DUBAI, 2018) – Strengthening and developing ITU capabilities for electronic meetings and means to advance the work of the Union</w:t>
            </w:r>
          </w:p>
        </w:tc>
        <w:tc>
          <w:tcPr>
            <w:tcW w:w="882" w:type="dxa"/>
            <w:tcBorders>
              <w:left w:val="single" w:sz="12" w:space="0" w:color="auto"/>
            </w:tcBorders>
          </w:tcPr>
          <w:p w14:paraId="6E8172C5" w14:textId="2099A6A2"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71CE80C" w14:textId="11203798" w:rsidR="00F0236A" w:rsidRPr="0042750D"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843" w:type="dxa"/>
          </w:tcPr>
          <w:p w14:paraId="2AFF178F" w14:textId="4AE07948"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737A4E4" w14:textId="08571DD5" w:rsidR="00F0236A" w:rsidRPr="0042750D"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0ED49CCA" w14:textId="1C2FC287" w:rsidR="00647913" w:rsidRPr="0042750D"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 &amp; Directors, Bureaux</w:t>
            </w:r>
          </w:p>
          <w:p w14:paraId="0D8F9820" w14:textId="77777777" w:rsidR="00647913" w:rsidRPr="0042750D"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Directors, Bureaux</w:t>
            </w:r>
          </w:p>
          <w:p w14:paraId="58CBB394" w14:textId="77777777" w:rsidR="00647913" w:rsidRPr="0042750D"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 BDT</w:t>
            </w:r>
          </w:p>
          <w:p w14:paraId="19B51833" w14:textId="77777777" w:rsidR="00647913" w:rsidRPr="0042750D"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TSAG</w:t>
            </w:r>
          </w:p>
          <w:p w14:paraId="4CBD6D6F" w14:textId="536E116D" w:rsidR="00F0236A" w:rsidRPr="0042750D"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tc>
        <w:tc>
          <w:tcPr>
            <w:tcW w:w="866" w:type="dxa"/>
            <w:tcBorders>
              <w:left w:val="single" w:sz="12" w:space="0" w:color="auto"/>
            </w:tcBorders>
          </w:tcPr>
          <w:p w14:paraId="1A1C146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247FF3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F1709F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11E55365"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5BD124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173C7D2" w14:textId="462FD5CD"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1C5B7C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29D1079E" w14:textId="77777777" w:rsidTr="00E65A97">
        <w:trPr>
          <w:cantSplit/>
          <w:jc w:val="center"/>
        </w:trPr>
        <w:tc>
          <w:tcPr>
            <w:tcW w:w="3088" w:type="dxa"/>
            <w:tcBorders>
              <w:right w:val="single" w:sz="12" w:space="0" w:color="auto"/>
            </w:tcBorders>
            <w:shd w:val="clear" w:color="auto" w:fill="auto"/>
          </w:tcPr>
          <w:p w14:paraId="1CBDBEB0" w14:textId="0A80D318" w:rsidR="00F0236A" w:rsidRPr="0042750D"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169 (REV. DUBAI, 2018) –Admission of academia1 to participate in the work of the Union</w:t>
            </w:r>
          </w:p>
        </w:tc>
        <w:tc>
          <w:tcPr>
            <w:tcW w:w="882" w:type="dxa"/>
            <w:tcBorders>
              <w:left w:val="single" w:sz="12" w:space="0" w:color="auto"/>
            </w:tcBorders>
          </w:tcPr>
          <w:p w14:paraId="364934EA" w14:textId="06C65F8C"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317FB9B8" w14:textId="636DCFB6"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0C0490FA" w14:textId="6B6D83FF"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63A8516" w14:textId="0B2EE8DC" w:rsidR="00F0236A" w:rsidRPr="0042750D"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1F7139CC" w14:textId="77777777" w:rsidR="00647913" w:rsidRPr="0042750D"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p w14:paraId="55C306B9" w14:textId="77777777" w:rsidR="00647913" w:rsidRPr="0042750D"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TSAG, WTSA, WSIS</w:t>
            </w:r>
          </w:p>
          <w:p w14:paraId="35E5C937" w14:textId="1289D9DD" w:rsidR="00647913" w:rsidRPr="0042750D"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 &amp; Directors, Bureaux</w:t>
            </w:r>
          </w:p>
          <w:p w14:paraId="2E1074A9" w14:textId="4B650CEF" w:rsidR="00F0236A" w:rsidRPr="0042750D"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w:t>
            </w:r>
          </w:p>
        </w:tc>
        <w:tc>
          <w:tcPr>
            <w:tcW w:w="866" w:type="dxa"/>
            <w:tcBorders>
              <w:left w:val="single" w:sz="12" w:space="0" w:color="auto"/>
            </w:tcBorders>
          </w:tcPr>
          <w:p w14:paraId="48583EC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C6E1C4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73FDFE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87C9FF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4011AFC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0191587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FFB615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6DC11183" w14:textId="77777777" w:rsidTr="00E65A97">
        <w:trPr>
          <w:cantSplit/>
          <w:jc w:val="center"/>
        </w:trPr>
        <w:tc>
          <w:tcPr>
            <w:tcW w:w="3088" w:type="dxa"/>
            <w:tcBorders>
              <w:right w:val="single" w:sz="12" w:space="0" w:color="auto"/>
            </w:tcBorders>
            <w:shd w:val="clear" w:color="auto" w:fill="auto"/>
          </w:tcPr>
          <w:p w14:paraId="531DF743" w14:textId="1C8AD24F" w:rsidR="00F0236A" w:rsidRPr="0042750D" w:rsidRDefault="00647913" w:rsidP="00A56954">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170 (REV. BUSAN, 2014) – Admission of Sector Members from developing countries to participate in the work of the ITU Radiocommunication Sector and the ITU Telecommunication Standardization Secto</w:t>
            </w:r>
          </w:p>
        </w:tc>
        <w:tc>
          <w:tcPr>
            <w:tcW w:w="882" w:type="dxa"/>
            <w:tcBorders>
              <w:left w:val="single" w:sz="12" w:space="0" w:color="auto"/>
            </w:tcBorders>
          </w:tcPr>
          <w:p w14:paraId="3FA3AE6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565FF2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4F975CC" w14:textId="65F70E8C"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6128E0A9" w14:textId="7590C703" w:rsidR="00F0236A" w:rsidRPr="0042750D"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783F8D28" w14:textId="195C0CB8" w:rsidR="00F0236A" w:rsidRPr="0042750D"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tc>
        <w:tc>
          <w:tcPr>
            <w:tcW w:w="866" w:type="dxa"/>
            <w:tcBorders>
              <w:left w:val="single" w:sz="12" w:space="0" w:color="auto"/>
            </w:tcBorders>
          </w:tcPr>
          <w:p w14:paraId="3917289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87D532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0AEC6D7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2B2F5335" w14:textId="6EDFE473"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197D2D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4880AA52" w14:textId="1ECB0DDF"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0B12DD5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6664B5FE" w14:textId="77777777" w:rsidTr="00E65A97">
        <w:trPr>
          <w:cantSplit/>
          <w:jc w:val="center"/>
        </w:trPr>
        <w:tc>
          <w:tcPr>
            <w:tcW w:w="3088" w:type="dxa"/>
            <w:tcBorders>
              <w:right w:val="single" w:sz="12" w:space="0" w:color="auto"/>
            </w:tcBorders>
            <w:shd w:val="clear" w:color="auto" w:fill="auto"/>
          </w:tcPr>
          <w:p w14:paraId="22C9CB6C" w14:textId="249A0E6E" w:rsidR="00F0236A" w:rsidRPr="0042750D" w:rsidRDefault="0064791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174 (REV. BUSAN, 2014) – ITU's role with regard to international public policy issues relating to the risk of illicit use of information and communication technologies</w:t>
            </w:r>
          </w:p>
        </w:tc>
        <w:tc>
          <w:tcPr>
            <w:tcW w:w="882" w:type="dxa"/>
            <w:tcBorders>
              <w:left w:val="single" w:sz="12" w:space="0" w:color="auto"/>
            </w:tcBorders>
          </w:tcPr>
          <w:p w14:paraId="328DB963"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020DEBE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B209838" w14:textId="5E3920B6"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5C7C943B" w14:textId="4528559F" w:rsidR="00F0236A" w:rsidRPr="0042750D" w:rsidRDefault="0064791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424DCC4D" w14:textId="0038AD2B" w:rsidR="00647913" w:rsidRPr="0042750D"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3DA38402" w14:textId="77777777" w:rsidR="00647913" w:rsidRPr="0042750D"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p w14:paraId="450C18FE" w14:textId="77777777" w:rsidR="00647913" w:rsidRPr="0042750D"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ICT stakeholders</w:t>
            </w:r>
          </w:p>
          <w:p w14:paraId="7C27A10F" w14:textId="77777777" w:rsidR="00647913" w:rsidRPr="0042750D" w:rsidRDefault="00647913" w:rsidP="00647913">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SG</w:t>
            </w:r>
          </w:p>
          <w:p w14:paraId="324F7DF7" w14:textId="175AC605" w:rsidR="00F0236A" w:rsidRPr="0042750D" w:rsidRDefault="00647913" w:rsidP="00647913">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w:t>
            </w:r>
          </w:p>
        </w:tc>
        <w:tc>
          <w:tcPr>
            <w:tcW w:w="866" w:type="dxa"/>
            <w:tcBorders>
              <w:left w:val="single" w:sz="12" w:space="0" w:color="auto"/>
            </w:tcBorders>
          </w:tcPr>
          <w:p w14:paraId="2EA0411A" w14:textId="65D52A7F"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4EE4A27" w14:textId="04D7CCB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49F8D7D" w14:textId="2D933EAA"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803CDA7" w14:textId="7B9F6930"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4F53FF6" w14:textId="7F625D3A"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FA36E00" w14:textId="66A9139D"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5BBFC13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64807ACC" w14:textId="77777777" w:rsidTr="00E65A97">
        <w:trPr>
          <w:cantSplit/>
          <w:jc w:val="center"/>
        </w:trPr>
        <w:tc>
          <w:tcPr>
            <w:tcW w:w="3088" w:type="dxa"/>
            <w:tcBorders>
              <w:right w:val="single" w:sz="12" w:space="0" w:color="auto"/>
            </w:tcBorders>
            <w:shd w:val="clear" w:color="auto" w:fill="auto"/>
          </w:tcPr>
          <w:p w14:paraId="40A6CF01" w14:textId="6CF5BF6D" w:rsidR="00F0236A" w:rsidRPr="0042750D" w:rsidRDefault="0043158C"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175 (REV. DUBAI, 2018) – Telecommunication/information and communication technology accessibility for persons with disabilities and persons with specific needs</w:t>
            </w:r>
          </w:p>
        </w:tc>
        <w:tc>
          <w:tcPr>
            <w:tcW w:w="882" w:type="dxa"/>
            <w:tcBorders>
              <w:left w:val="single" w:sz="12" w:space="0" w:color="auto"/>
            </w:tcBorders>
          </w:tcPr>
          <w:p w14:paraId="36687146" w14:textId="1E5F4644"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FCE4C4A" w14:textId="7B5C48BC"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0851A620" w14:textId="28A27481"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F5EDB0A" w14:textId="2ABDA206" w:rsidR="00F0236A" w:rsidRPr="0042750D" w:rsidRDefault="0043158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4B5AB2B2" w14:textId="7A1BDE79" w:rsidR="0043158C" w:rsidRPr="0042750D" w:rsidRDefault="0043158C" w:rsidP="0043158C">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 &amp; Directors, Bureaux</w:t>
            </w:r>
          </w:p>
          <w:p w14:paraId="3505D810" w14:textId="7186215D" w:rsidR="00F0236A" w:rsidRPr="0042750D" w:rsidRDefault="0043158C" w:rsidP="0043158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SM</w:t>
            </w:r>
          </w:p>
        </w:tc>
        <w:tc>
          <w:tcPr>
            <w:tcW w:w="866" w:type="dxa"/>
            <w:tcBorders>
              <w:left w:val="single" w:sz="12" w:space="0" w:color="auto"/>
            </w:tcBorders>
          </w:tcPr>
          <w:p w14:paraId="3C3EB7F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4D23D2D2" w14:textId="3AC30F42"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25BB18E" w14:textId="4C3F7D9F"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2B78AA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64FCC84" w14:textId="47FD8989" w:rsidR="00F0236A" w:rsidRPr="0042750D" w:rsidRDefault="0043158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976" w:type="dxa"/>
          </w:tcPr>
          <w:p w14:paraId="0E65AA3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6D40A82B" w14:textId="2464FB8A" w:rsidR="00F0236A" w:rsidRPr="0042750D" w:rsidRDefault="00D464FE"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r>
      <w:tr w:rsidR="000476C9" w:rsidRPr="0042750D" w14:paraId="21DA34F6" w14:textId="77777777" w:rsidTr="00E65A97">
        <w:trPr>
          <w:cantSplit/>
          <w:jc w:val="center"/>
        </w:trPr>
        <w:tc>
          <w:tcPr>
            <w:tcW w:w="3088" w:type="dxa"/>
            <w:tcBorders>
              <w:right w:val="single" w:sz="12" w:space="0" w:color="auto"/>
            </w:tcBorders>
            <w:shd w:val="clear" w:color="auto" w:fill="auto"/>
          </w:tcPr>
          <w:p w14:paraId="2FF3C3A5" w14:textId="468FC74E" w:rsidR="00F0236A" w:rsidRPr="0042750D" w:rsidRDefault="00B07503"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176 (REV. DUBAI, 2018) – Measurement and assessment concerns related to human exposure to electromagnetic fields</w:t>
            </w:r>
          </w:p>
        </w:tc>
        <w:tc>
          <w:tcPr>
            <w:tcW w:w="882" w:type="dxa"/>
            <w:tcBorders>
              <w:left w:val="single" w:sz="12" w:space="0" w:color="auto"/>
            </w:tcBorders>
          </w:tcPr>
          <w:p w14:paraId="35A55B1F" w14:textId="484804AC"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23A5875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04698C2" w14:textId="6D49EE4D"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F5F1721" w14:textId="14DDD422" w:rsidR="00F0236A" w:rsidRPr="0042750D" w:rsidRDefault="00B0750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322858F3" w14:textId="3AA956D5"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50E924AA" w14:textId="77777777"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 xml:space="preserve">Directors, Bureaux </w:t>
            </w:r>
          </w:p>
          <w:p w14:paraId="1B30650D" w14:textId="77777777"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p w14:paraId="0E071FDD" w14:textId="2AA16EA7" w:rsidR="00F0236A" w:rsidRPr="0042750D"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w:t>
            </w:r>
          </w:p>
        </w:tc>
        <w:tc>
          <w:tcPr>
            <w:tcW w:w="866" w:type="dxa"/>
            <w:tcBorders>
              <w:left w:val="single" w:sz="12" w:space="0" w:color="auto"/>
            </w:tcBorders>
          </w:tcPr>
          <w:p w14:paraId="425E10B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2DB4157F" w14:textId="2F14434B"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70A97AE1" w14:textId="0930C578"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0DC107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05704920" w14:textId="1D1FC9D6" w:rsidR="00F0236A" w:rsidRPr="0042750D" w:rsidRDefault="00B0750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976" w:type="dxa"/>
          </w:tcPr>
          <w:p w14:paraId="3FB20453" w14:textId="4350AE05"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2B5CCABB" w14:textId="678ED408" w:rsidR="00F0236A" w:rsidRPr="0042750D" w:rsidRDefault="00B07503"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r>
      <w:tr w:rsidR="000476C9" w:rsidRPr="0042750D" w14:paraId="6B87E68E" w14:textId="77777777" w:rsidTr="00E65A97">
        <w:trPr>
          <w:cantSplit/>
          <w:jc w:val="center"/>
        </w:trPr>
        <w:tc>
          <w:tcPr>
            <w:tcW w:w="3088" w:type="dxa"/>
            <w:tcBorders>
              <w:right w:val="single" w:sz="12" w:space="0" w:color="auto"/>
            </w:tcBorders>
            <w:shd w:val="clear" w:color="auto" w:fill="auto"/>
          </w:tcPr>
          <w:p w14:paraId="4B2E90B7" w14:textId="2289D0BB" w:rsidR="00F0236A" w:rsidRPr="0042750D"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177 (REV. DUBAI, 2018) – Conformance and interoperability</w:t>
            </w:r>
          </w:p>
        </w:tc>
        <w:tc>
          <w:tcPr>
            <w:tcW w:w="882" w:type="dxa"/>
            <w:tcBorders>
              <w:left w:val="single" w:sz="12" w:space="0" w:color="auto"/>
            </w:tcBorders>
          </w:tcPr>
          <w:p w14:paraId="4D0BA1CB" w14:textId="3AF04FBF" w:rsidR="00F0236A" w:rsidRPr="0042750D" w:rsidRDefault="00F0236A" w:rsidP="006246F6">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24ACF3F" w14:textId="6D2EE411"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AFD904F" w14:textId="16C05FFB"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0C95FA2C" w14:textId="2DAE9BAB" w:rsidR="00F0236A" w:rsidRPr="0042750D"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089B3648" w14:textId="77777777"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TSB &amp; BDT Dirs</w:t>
            </w:r>
          </w:p>
          <w:p w14:paraId="457E15CA" w14:textId="77777777"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p w14:paraId="1116B19D" w14:textId="77777777"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ITU Membership</w:t>
            </w:r>
          </w:p>
          <w:p w14:paraId="2EA89599" w14:textId="77777777"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A.5 recognized orgs</w:t>
            </w:r>
          </w:p>
          <w:p w14:paraId="70AB2ACB" w14:textId="147FE5F4" w:rsidR="00F0236A" w:rsidRPr="0042750D"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w:t>
            </w:r>
          </w:p>
        </w:tc>
        <w:tc>
          <w:tcPr>
            <w:tcW w:w="866" w:type="dxa"/>
            <w:tcBorders>
              <w:left w:val="single" w:sz="12" w:space="0" w:color="auto"/>
            </w:tcBorders>
          </w:tcPr>
          <w:p w14:paraId="7195B284" w14:textId="4FA3E8D1"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6EE6D10" w14:textId="3253B06C"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53DAC312" w14:textId="004D58C8"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0A7A7597" w14:textId="74F89A88"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6FDD27D" w14:textId="1E96BACD" w:rsidR="00F0236A" w:rsidRPr="0042750D"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976" w:type="dxa"/>
          </w:tcPr>
          <w:p w14:paraId="2280B47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E9815C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0CC8456C" w14:textId="77777777" w:rsidTr="00E65A97">
        <w:trPr>
          <w:cantSplit/>
          <w:jc w:val="center"/>
        </w:trPr>
        <w:tc>
          <w:tcPr>
            <w:tcW w:w="3088" w:type="dxa"/>
            <w:tcBorders>
              <w:right w:val="single" w:sz="12" w:space="0" w:color="auto"/>
            </w:tcBorders>
            <w:shd w:val="clear" w:color="auto" w:fill="auto"/>
          </w:tcPr>
          <w:p w14:paraId="57A4B412" w14:textId="3379572F" w:rsidR="00F0236A" w:rsidRPr="0042750D"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178 (Guadalajara, 2010) – ITU role in organizing the work on technical aspects of telecommunication networks to support the Internet</w:t>
            </w:r>
          </w:p>
        </w:tc>
        <w:tc>
          <w:tcPr>
            <w:tcW w:w="882" w:type="dxa"/>
            <w:tcBorders>
              <w:left w:val="single" w:sz="12" w:space="0" w:color="auto"/>
            </w:tcBorders>
          </w:tcPr>
          <w:p w14:paraId="649CF253"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409478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230AA731" w14:textId="497AD6F4" w:rsidR="00F0236A" w:rsidRPr="0042750D"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075" w:type="dxa"/>
            <w:tcBorders>
              <w:right w:val="single" w:sz="4" w:space="0" w:color="auto"/>
            </w:tcBorders>
          </w:tcPr>
          <w:p w14:paraId="6ABCDAD7" w14:textId="5112635D" w:rsidR="00F0236A" w:rsidRPr="0042750D"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5E3E536D" w14:textId="5B0B959A"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 &amp; Directors, Bureaux</w:t>
            </w:r>
          </w:p>
          <w:p w14:paraId="1813643A" w14:textId="77777777"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 TSB &amp; TSAG</w:t>
            </w:r>
          </w:p>
          <w:p w14:paraId="3AF8C090" w14:textId="77777777"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SM</w:t>
            </w:r>
          </w:p>
          <w:p w14:paraId="6A24545A" w14:textId="740036B1" w:rsidR="00F0236A" w:rsidRPr="0042750D"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WTSA-12</w:t>
            </w:r>
          </w:p>
        </w:tc>
        <w:tc>
          <w:tcPr>
            <w:tcW w:w="866" w:type="dxa"/>
            <w:tcBorders>
              <w:left w:val="single" w:sz="12" w:space="0" w:color="auto"/>
            </w:tcBorders>
          </w:tcPr>
          <w:p w14:paraId="0EC4F04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344225F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8B63BB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21E631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52CBD08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00CACB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14A5C6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0F72E7FA" w14:textId="77777777" w:rsidTr="00E65A97">
        <w:trPr>
          <w:cantSplit/>
          <w:jc w:val="center"/>
        </w:trPr>
        <w:tc>
          <w:tcPr>
            <w:tcW w:w="3088" w:type="dxa"/>
            <w:tcBorders>
              <w:right w:val="single" w:sz="12" w:space="0" w:color="auto"/>
            </w:tcBorders>
            <w:shd w:val="clear" w:color="auto" w:fill="auto"/>
          </w:tcPr>
          <w:p w14:paraId="7A1BFDD2" w14:textId="5114C612" w:rsidR="00F0236A" w:rsidRPr="0042750D"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179 (REV. DUBAI, 2018) – ITU's role in child online protection</w:t>
            </w:r>
          </w:p>
        </w:tc>
        <w:tc>
          <w:tcPr>
            <w:tcW w:w="882" w:type="dxa"/>
            <w:tcBorders>
              <w:left w:val="single" w:sz="12" w:space="0" w:color="auto"/>
            </w:tcBorders>
          </w:tcPr>
          <w:p w14:paraId="1EE56D55" w14:textId="3BC29F3C"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62A01C1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3625966" w14:textId="24FF8ADD" w:rsidR="00F0236A" w:rsidRPr="0042750D"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075" w:type="dxa"/>
            <w:tcBorders>
              <w:right w:val="single" w:sz="4" w:space="0" w:color="auto"/>
            </w:tcBorders>
          </w:tcPr>
          <w:p w14:paraId="5F0C7CFD" w14:textId="7A7F1075" w:rsidR="00F0236A" w:rsidRPr="0042750D"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4A48BDB1" w14:textId="2DDA2D76"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63A2132E" w14:textId="77777777"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 xml:space="preserve">Directors, Bureaux </w:t>
            </w:r>
          </w:p>
          <w:p w14:paraId="5BC6AA6B" w14:textId="77777777"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ITU-T study groups</w:t>
            </w:r>
          </w:p>
          <w:p w14:paraId="6F84BB7C" w14:textId="77777777"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Council</w:t>
            </w:r>
          </w:p>
          <w:p w14:paraId="7D23D511" w14:textId="52198479" w:rsidR="00F0236A" w:rsidRPr="0042750D"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SM</w:t>
            </w:r>
          </w:p>
        </w:tc>
        <w:tc>
          <w:tcPr>
            <w:tcW w:w="866" w:type="dxa"/>
            <w:tcBorders>
              <w:left w:val="single" w:sz="12" w:space="0" w:color="auto"/>
            </w:tcBorders>
          </w:tcPr>
          <w:p w14:paraId="62B1E13D" w14:textId="558D3CF2"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D1AC8EF"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79B689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0094F8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03D2851" w14:textId="0DCB912E"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15407455"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64BBB09A" w14:textId="77A73FFA" w:rsidR="00F0236A" w:rsidRPr="0042750D"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r>
      <w:tr w:rsidR="000476C9" w:rsidRPr="0042750D" w14:paraId="27D29AC6" w14:textId="77777777" w:rsidTr="00E65A97">
        <w:trPr>
          <w:cantSplit/>
          <w:jc w:val="center"/>
        </w:trPr>
        <w:tc>
          <w:tcPr>
            <w:tcW w:w="3088" w:type="dxa"/>
            <w:tcBorders>
              <w:right w:val="single" w:sz="12" w:space="0" w:color="auto"/>
            </w:tcBorders>
            <w:shd w:val="clear" w:color="auto" w:fill="auto"/>
          </w:tcPr>
          <w:p w14:paraId="463A281A" w14:textId="73698267" w:rsidR="00F0236A" w:rsidRPr="0042750D"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180 (REV. DUBAI, 2018) –Promoting deployment and adoption of IPv6 to facilitate the transition from IPv4 to IPv6</w:t>
            </w:r>
          </w:p>
        </w:tc>
        <w:tc>
          <w:tcPr>
            <w:tcW w:w="882" w:type="dxa"/>
            <w:tcBorders>
              <w:left w:val="single" w:sz="12" w:space="0" w:color="auto"/>
            </w:tcBorders>
          </w:tcPr>
          <w:p w14:paraId="402155D2" w14:textId="0A9846A2"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9E6341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F69A8FA" w14:textId="614AB896"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43846F5D" w14:textId="31BC9F6F" w:rsidR="00F0236A" w:rsidRPr="0042750D"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7C2B1458" w14:textId="29813D1B"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1BB88149" w14:textId="77777777"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 xml:space="preserve">BDT &amp; TSB Directors </w:t>
            </w:r>
          </w:p>
          <w:p w14:paraId="4AB11608" w14:textId="1044972D" w:rsidR="00F0236A" w:rsidRPr="0042750D"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w:t>
            </w:r>
          </w:p>
        </w:tc>
        <w:tc>
          <w:tcPr>
            <w:tcW w:w="866" w:type="dxa"/>
            <w:tcBorders>
              <w:left w:val="single" w:sz="12" w:space="0" w:color="auto"/>
            </w:tcBorders>
          </w:tcPr>
          <w:p w14:paraId="06A7032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031C01F" w14:textId="7A680CB9"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FA438E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7A2704D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45F1F55D" w14:textId="4BBCC3A8" w:rsidR="00F0236A" w:rsidRPr="0042750D" w:rsidRDefault="0008229F"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976" w:type="dxa"/>
          </w:tcPr>
          <w:p w14:paraId="6E5EC66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44EF350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570932F9" w14:textId="77777777" w:rsidTr="00E65A97">
        <w:trPr>
          <w:cantSplit/>
          <w:jc w:val="center"/>
        </w:trPr>
        <w:tc>
          <w:tcPr>
            <w:tcW w:w="3088" w:type="dxa"/>
            <w:tcBorders>
              <w:right w:val="single" w:sz="12" w:space="0" w:color="auto"/>
            </w:tcBorders>
            <w:shd w:val="clear" w:color="auto" w:fill="auto"/>
          </w:tcPr>
          <w:p w14:paraId="5588651C" w14:textId="33DDFFFA" w:rsidR="00F0236A" w:rsidRPr="0042750D" w:rsidRDefault="000476C9"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181 (Guadalajara, 2010) –Definitions and terminology relating to building confidence and security in the use of information and communication technologies</w:t>
            </w:r>
          </w:p>
        </w:tc>
        <w:tc>
          <w:tcPr>
            <w:tcW w:w="882" w:type="dxa"/>
            <w:tcBorders>
              <w:left w:val="single" w:sz="12" w:space="0" w:color="auto"/>
            </w:tcBorders>
          </w:tcPr>
          <w:p w14:paraId="30E508C7" w14:textId="67CA07CD"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D8E77F5" w14:textId="440DFDAF"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3D9CDEA7" w14:textId="13BB582D" w:rsidR="00F0236A" w:rsidRPr="0042750D" w:rsidRDefault="00A94D7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075" w:type="dxa"/>
            <w:tcBorders>
              <w:right w:val="single" w:sz="4" w:space="0" w:color="auto"/>
            </w:tcBorders>
          </w:tcPr>
          <w:p w14:paraId="46166EAE" w14:textId="66B1EE7D" w:rsidR="00F0236A" w:rsidRPr="0042750D" w:rsidRDefault="000476C9"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26D7DAE3" w14:textId="54A41BE0"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41F4FED9" w14:textId="4B350266"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 &amp; Directors, TSB &amp; BDT</w:t>
            </w:r>
          </w:p>
          <w:p w14:paraId="6EE19023" w14:textId="77777777" w:rsidR="000476C9" w:rsidRPr="0042750D" w:rsidRDefault="000476C9" w:rsidP="000476C9">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 TSB</w:t>
            </w:r>
          </w:p>
          <w:p w14:paraId="65A0E406" w14:textId="5E638F97" w:rsidR="00F0236A" w:rsidRPr="0042750D" w:rsidRDefault="000476C9" w:rsidP="000476C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SM</w:t>
            </w:r>
          </w:p>
        </w:tc>
        <w:tc>
          <w:tcPr>
            <w:tcW w:w="866" w:type="dxa"/>
            <w:tcBorders>
              <w:left w:val="single" w:sz="12" w:space="0" w:color="auto"/>
            </w:tcBorders>
          </w:tcPr>
          <w:p w14:paraId="685899B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2A0DCBA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6E4AE57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4A52D71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671319D2" w14:textId="1532609C" w:rsidR="00F0236A" w:rsidRPr="0042750D" w:rsidRDefault="00A94D7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976" w:type="dxa"/>
          </w:tcPr>
          <w:p w14:paraId="62D28685"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417F987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58BF930C" w14:textId="77777777" w:rsidTr="00E65A97">
        <w:trPr>
          <w:cantSplit/>
          <w:jc w:val="center"/>
        </w:trPr>
        <w:tc>
          <w:tcPr>
            <w:tcW w:w="3088" w:type="dxa"/>
            <w:tcBorders>
              <w:right w:val="single" w:sz="12" w:space="0" w:color="auto"/>
            </w:tcBorders>
            <w:shd w:val="clear" w:color="auto" w:fill="auto"/>
          </w:tcPr>
          <w:p w14:paraId="16F54C35" w14:textId="1922F71F" w:rsidR="00F0236A" w:rsidRPr="0042750D"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182 (REV. BUSAN, 2014) – The role of telecommunications/information and communication technologies in regard to climate change and the protection of the environment</w:t>
            </w:r>
          </w:p>
        </w:tc>
        <w:tc>
          <w:tcPr>
            <w:tcW w:w="882" w:type="dxa"/>
            <w:tcBorders>
              <w:left w:val="single" w:sz="12" w:space="0" w:color="auto"/>
            </w:tcBorders>
          </w:tcPr>
          <w:p w14:paraId="5B79473F" w14:textId="1B06E614"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6AF2C5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19456B30" w14:textId="3F7C34EB"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72DD8E5" w14:textId="6D6F2FFC" w:rsidR="00F0236A" w:rsidRPr="0042750D"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5521C378" w14:textId="002FAA47" w:rsidR="00BD22B4" w:rsidRPr="0042750D"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0B54B1C2" w14:textId="77777777" w:rsidR="00BD22B4" w:rsidRPr="0042750D"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Directors, Bureaux</w:t>
            </w:r>
          </w:p>
          <w:p w14:paraId="54E69578" w14:textId="4B3406D0" w:rsidR="00F0236A" w:rsidRPr="0042750D"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SM &amp; Associates</w:t>
            </w:r>
          </w:p>
        </w:tc>
        <w:tc>
          <w:tcPr>
            <w:tcW w:w="866" w:type="dxa"/>
            <w:tcBorders>
              <w:left w:val="single" w:sz="12" w:space="0" w:color="auto"/>
            </w:tcBorders>
          </w:tcPr>
          <w:p w14:paraId="2D00F2F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187697F3" w14:textId="22FF987E"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18AFF60F" w14:textId="51AADD7B"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17F5A7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DBD755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684B981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715C1F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04C41AD1" w14:textId="77777777" w:rsidTr="00E65A97">
        <w:trPr>
          <w:cantSplit/>
          <w:jc w:val="center"/>
        </w:trPr>
        <w:tc>
          <w:tcPr>
            <w:tcW w:w="3088" w:type="dxa"/>
            <w:tcBorders>
              <w:right w:val="single" w:sz="12" w:space="0" w:color="auto"/>
            </w:tcBorders>
            <w:shd w:val="clear" w:color="auto" w:fill="auto"/>
          </w:tcPr>
          <w:p w14:paraId="48791D88" w14:textId="79288A60" w:rsidR="00F0236A" w:rsidRPr="0042750D"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183 (REV. BUSAN, 2014) – Telecommunication/Information and Communication Technology applications for e-health</w:t>
            </w:r>
          </w:p>
        </w:tc>
        <w:tc>
          <w:tcPr>
            <w:tcW w:w="882" w:type="dxa"/>
            <w:tcBorders>
              <w:left w:val="single" w:sz="12" w:space="0" w:color="auto"/>
            </w:tcBorders>
          </w:tcPr>
          <w:p w14:paraId="696ED301" w14:textId="2D2A3ECA"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5BA1BD1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6DFA1CC" w14:textId="1484291F"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2C4F00C7" w14:textId="23517D10" w:rsidR="00F0236A" w:rsidRPr="0042750D"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16151247" w14:textId="15DB8259" w:rsidR="00BD22B4" w:rsidRPr="0042750D"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416ADE7F" w14:textId="77777777" w:rsidR="00BD22B4" w:rsidRPr="0042750D"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 xml:space="preserve">Directors, Bureaux </w:t>
            </w:r>
          </w:p>
          <w:p w14:paraId="6DDD9AD2" w14:textId="3BE68A86" w:rsidR="00F0236A" w:rsidRPr="0042750D"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&amp; SM</w:t>
            </w:r>
          </w:p>
        </w:tc>
        <w:tc>
          <w:tcPr>
            <w:tcW w:w="866" w:type="dxa"/>
            <w:tcBorders>
              <w:left w:val="single" w:sz="12" w:space="0" w:color="auto"/>
            </w:tcBorders>
          </w:tcPr>
          <w:p w14:paraId="698963E5"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56CA40E6" w14:textId="2F0E645C"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828A94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AF3981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2E1F394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EE5EB4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557F03D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4A7586E9" w14:textId="77777777" w:rsidTr="00E65A97">
        <w:trPr>
          <w:cantSplit/>
          <w:jc w:val="center"/>
        </w:trPr>
        <w:tc>
          <w:tcPr>
            <w:tcW w:w="3088" w:type="dxa"/>
            <w:tcBorders>
              <w:right w:val="single" w:sz="12" w:space="0" w:color="auto"/>
            </w:tcBorders>
            <w:shd w:val="clear" w:color="auto" w:fill="auto"/>
          </w:tcPr>
          <w:p w14:paraId="72457C1F" w14:textId="6827FC8B" w:rsidR="00F0236A" w:rsidRPr="0042750D"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184 (Guadalajara, 2010) – Facilitating digital inclusion initiatives for indigenous peoples</w:t>
            </w:r>
          </w:p>
        </w:tc>
        <w:tc>
          <w:tcPr>
            <w:tcW w:w="882" w:type="dxa"/>
            <w:tcBorders>
              <w:left w:val="single" w:sz="12" w:space="0" w:color="auto"/>
            </w:tcBorders>
          </w:tcPr>
          <w:p w14:paraId="6EB793F1" w14:textId="1BDB91AC"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13B366EF" w14:textId="2993882B"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6480A554" w14:textId="252F7B22"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365384CC" w14:textId="61105096" w:rsidR="00F0236A" w:rsidRPr="0042750D"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199386D4" w14:textId="5D1A96C2" w:rsidR="00BD22B4" w:rsidRPr="0042750D"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SecGen</w:t>
            </w:r>
          </w:p>
          <w:p w14:paraId="4BA82B36" w14:textId="77777777" w:rsidR="00BD22B4" w:rsidRPr="0042750D"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 BDT</w:t>
            </w:r>
          </w:p>
          <w:p w14:paraId="3D1A548F" w14:textId="0D8E994D" w:rsidR="00F0236A" w:rsidRPr="0042750D"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w:t>
            </w:r>
          </w:p>
        </w:tc>
        <w:tc>
          <w:tcPr>
            <w:tcW w:w="866" w:type="dxa"/>
            <w:tcBorders>
              <w:left w:val="single" w:sz="12" w:space="0" w:color="auto"/>
            </w:tcBorders>
          </w:tcPr>
          <w:p w14:paraId="362AD29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23DE6A4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6A0548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6FD788FF"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3AAF833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7A48BFA5"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53ED1CC5"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5A288291" w14:textId="77777777" w:rsidTr="00E65A97">
        <w:trPr>
          <w:cantSplit/>
          <w:jc w:val="center"/>
        </w:trPr>
        <w:tc>
          <w:tcPr>
            <w:tcW w:w="3088" w:type="dxa"/>
            <w:tcBorders>
              <w:right w:val="single" w:sz="12" w:space="0" w:color="auto"/>
            </w:tcBorders>
            <w:shd w:val="clear" w:color="auto" w:fill="auto"/>
          </w:tcPr>
          <w:p w14:paraId="19C56E37" w14:textId="473ABBD3" w:rsidR="00F0236A" w:rsidRPr="0042750D"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42750D">
              <w:t>RESOLUTION 188 (REV. DUBAI, 2018) – Combating counterfeit telecommunication/information and communication technology devices</w:t>
            </w:r>
          </w:p>
        </w:tc>
        <w:tc>
          <w:tcPr>
            <w:tcW w:w="882" w:type="dxa"/>
            <w:tcBorders>
              <w:left w:val="single" w:sz="12" w:space="0" w:color="auto"/>
            </w:tcBorders>
          </w:tcPr>
          <w:p w14:paraId="4621F81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55" w:type="dxa"/>
          </w:tcPr>
          <w:p w14:paraId="2037687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43" w:type="dxa"/>
          </w:tcPr>
          <w:p w14:paraId="08AF7C78" w14:textId="53B9ABC4"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75" w:type="dxa"/>
            <w:tcBorders>
              <w:right w:val="single" w:sz="4" w:space="0" w:color="auto"/>
            </w:tcBorders>
          </w:tcPr>
          <w:p w14:paraId="4F46B5E6" w14:textId="0733C799" w:rsidR="00F0236A" w:rsidRPr="0042750D"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2750D">
              <w:rPr>
                <w:rFonts w:asciiTheme="majorBidi" w:hAnsiTheme="majorBidi" w:cstheme="majorBidi"/>
                <w:bCs/>
              </w:rPr>
              <w:t>X</w:t>
            </w:r>
          </w:p>
        </w:tc>
        <w:tc>
          <w:tcPr>
            <w:tcW w:w="1634" w:type="dxa"/>
            <w:tcBorders>
              <w:left w:val="single" w:sz="4" w:space="0" w:color="auto"/>
              <w:right w:val="single" w:sz="12" w:space="0" w:color="auto"/>
            </w:tcBorders>
          </w:tcPr>
          <w:p w14:paraId="7F870FC9" w14:textId="77777777" w:rsidR="00BD22B4" w:rsidRPr="0042750D"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2750D">
              <w:rPr>
                <w:rFonts w:asciiTheme="majorBidi" w:hAnsiTheme="majorBidi" w:cstheme="majorBidi"/>
                <w:bCs/>
              </w:rPr>
              <w:t xml:space="preserve">Directors, Bureaux </w:t>
            </w:r>
          </w:p>
          <w:p w14:paraId="7B75949E" w14:textId="77777777" w:rsidR="00BD22B4" w:rsidRPr="0042750D"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2750D">
              <w:rPr>
                <w:rFonts w:asciiTheme="majorBidi" w:hAnsiTheme="majorBidi" w:cstheme="majorBidi"/>
                <w:bCs/>
              </w:rPr>
              <w:t>MS &amp; SM</w:t>
            </w:r>
          </w:p>
          <w:p w14:paraId="66BD1C22" w14:textId="68D36250" w:rsidR="00F0236A" w:rsidRPr="0042750D"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2750D">
              <w:rPr>
                <w:rFonts w:asciiTheme="majorBidi" w:hAnsiTheme="majorBidi" w:cstheme="majorBidi"/>
                <w:bCs/>
              </w:rPr>
              <w:t>Membership</w:t>
            </w:r>
          </w:p>
        </w:tc>
        <w:tc>
          <w:tcPr>
            <w:tcW w:w="866" w:type="dxa"/>
            <w:tcBorders>
              <w:left w:val="single" w:sz="12" w:space="0" w:color="auto"/>
            </w:tcBorders>
          </w:tcPr>
          <w:p w14:paraId="7FED2D8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5" w:type="dxa"/>
          </w:tcPr>
          <w:p w14:paraId="48F954F6" w14:textId="6397E271"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3" w:type="dxa"/>
            <w:tcBorders>
              <w:right w:val="single" w:sz="12" w:space="0" w:color="auto"/>
            </w:tcBorders>
          </w:tcPr>
          <w:p w14:paraId="203D3A02" w14:textId="504AE09E"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4" w:type="dxa"/>
            <w:tcBorders>
              <w:left w:val="single" w:sz="12" w:space="0" w:color="auto"/>
            </w:tcBorders>
          </w:tcPr>
          <w:p w14:paraId="67E733FE" w14:textId="287CA175"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84" w:type="dxa"/>
          </w:tcPr>
          <w:p w14:paraId="2BC28C3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6" w:type="dxa"/>
          </w:tcPr>
          <w:p w14:paraId="618AC864" w14:textId="55D005D5"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657" w:type="dxa"/>
          </w:tcPr>
          <w:p w14:paraId="2436821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r>
      <w:tr w:rsidR="000476C9" w:rsidRPr="0042750D" w14:paraId="4CD230D1" w14:textId="77777777" w:rsidTr="00E65A97">
        <w:trPr>
          <w:cantSplit/>
          <w:jc w:val="center"/>
        </w:trPr>
        <w:tc>
          <w:tcPr>
            <w:tcW w:w="3088" w:type="dxa"/>
            <w:tcBorders>
              <w:right w:val="single" w:sz="12" w:space="0" w:color="auto"/>
            </w:tcBorders>
            <w:shd w:val="clear" w:color="auto" w:fill="auto"/>
            <w:vAlign w:val="center"/>
          </w:tcPr>
          <w:p w14:paraId="5F25DDF3" w14:textId="36B81E55" w:rsidR="00F0236A" w:rsidRPr="0042750D"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RESOLUTION 189 (REV. DUBAI, 2018) – Assisting Member States to combat and deter mobile device theft</w:t>
            </w:r>
          </w:p>
        </w:tc>
        <w:tc>
          <w:tcPr>
            <w:tcW w:w="882" w:type="dxa"/>
            <w:tcBorders>
              <w:left w:val="single" w:sz="12" w:space="0" w:color="auto"/>
            </w:tcBorders>
          </w:tcPr>
          <w:p w14:paraId="4AC094FC" w14:textId="0556BD56"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55" w:type="dxa"/>
          </w:tcPr>
          <w:p w14:paraId="59205BF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843" w:type="dxa"/>
          </w:tcPr>
          <w:p w14:paraId="4975EDF3" w14:textId="4B0B2351"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75" w:type="dxa"/>
            <w:tcBorders>
              <w:right w:val="single" w:sz="4" w:space="0" w:color="auto"/>
            </w:tcBorders>
          </w:tcPr>
          <w:p w14:paraId="4C36527A" w14:textId="507081E3" w:rsidR="00F0236A" w:rsidRPr="0042750D"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2750D">
              <w:rPr>
                <w:rFonts w:asciiTheme="majorBidi" w:hAnsiTheme="majorBidi" w:cstheme="majorBidi"/>
                <w:bCs/>
              </w:rPr>
              <w:t>X</w:t>
            </w:r>
          </w:p>
        </w:tc>
        <w:tc>
          <w:tcPr>
            <w:tcW w:w="1634" w:type="dxa"/>
            <w:tcBorders>
              <w:left w:val="single" w:sz="4" w:space="0" w:color="auto"/>
              <w:right w:val="single" w:sz="12" w:space="0" w:color="auto"/>
            </w:tcBorders>
          </w:tcPr>
          <w:p w14:paraId="0E1CDB94" w14:textId="132DBADE" w:rsidR="00BD22B4" w:rsidRPr="0042750D"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2750D">
              <w:rPr>
                <w:rFonts w:asciiTheme="majorBidi" w:hAnsiTheme="majorBidi" w:cstheme="majorBidi"/>
                <w:bCs/>
              </w:rPr>
              <w:t>SecGen</w:t>
            </w:r>
          </w:p>
          <w:p w14:paraId="04206D79" w14:textId="77777777" w:rsidR="00BD22B4" w:rsidRPr="0042750D"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2750D">
              <w:rPr>
                <w:rFonts w:asciiTheme="majorBidi" w:hAnsiTheme="majorBidi" w:cstheme="majorBidi"/>
                <w:bCs/>
              </w:rPr>
              <w:t xml:space="preserve">Directors, Bureaux </w:t>
            </w:r>
          </w:p>
          <w:p w14:paraId="5B06EBEF" w14:textId="6B1470FA" w:rsidR="00F0236A" w:rsidRPr="0042750D"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r w:rsidRPr="0042750D">
              <w:rPr>
                <w:rFonts w:asciiTheme="majorBidi" w:hAnsiTheme="majorBidi" w:cstheme="majorBidi"/>
                <w:bCs/>
              </w:rPr>
              <w:t>MS &amp; SM</w:t>
            </w:r>
          </w:p>
        </w:tc>
        <w:tc>
          <w:tcPr>
            <w:tcW w:w="866" w:type="dxa"/>
            <w:tcBorders>
              <w:left w:val="single" w:sz="12" w:space="0" w:color="auto"/>
            </w:tcBorders>
          </w:tcPr>
          <w:p w14:paraId="339612F5"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5" w:type="dxa"/>
          </w:tcPr>
          <w:p w14:paraId="1F620065" w14:textId="234BCAE3"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723" w:type="dxa"/>
            <w:tcBorders>
              <w:right w:val="single" w:sz="12" w:space="0" w:color="auto"/>
            </w:tcBorders>
          </w:tcPr>
          <w:p w14:paraId="0DB5EFC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4" w:type="dxa"/>
            <w:tcBorders>
              <w:left w:val="single" w:sz="12" w:space="0" w:color="auto"/>
            </w:tcBorders>
          </w:tcPr>
          <w:p w14:paraId="17BD151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1084" w:type="dxa"/>
          </w:tcPr>
          <w:p w14:paraId="4BDDEA3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976" w:type="dxa"/>
          </w:tcPr>
          <w:p w14:paraId="1B7027C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c>
          <w:tcPr>
            <w:tcW w:w="657" w:type="dxa"/>
          </w:tcPr>
          <w:p w14:paraId="38B32D0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bCs/>
              </w:rPr>
            </w:pPr>
          </w:p>
        </w:tc>
      </w:tr>
      <w:tr w:rsidR="000476C9" w:rsidRPr="0042750D" w14:paraId="5E94BB71" w14:textId="77777777" w:rsidTr="00E65A97">
        <w:trPr>
          <w:cantSplit/>
          <w:jc w:val="center"/>
        </w:trPr>
        <w:tc>
          <w:tcPr>
            <w:tcW w:w="3088" w:type="dxa"/>
            <w:tcBorders>
              <w:right w:val="single" w:sz="12" w:space="0" w:color="auto"/>
            </w:tcBorders>
            <w:shd w:val="clear" w:color="auto" w:fill="auto"/>
            <w:vAlign w:val="center"/>
          </w:tcPr>
          <w:p w14:paraId="36A79745" w14:textId="59CAC030" w:rsidR="00F0236A" w:rsidRPr="0042750D"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RESOLUTION 190 (BUSAN, 2014) – Countering misappropriation and misuse of international telecommunication numbering resources</w:t>
            </w:r>
          </w:p>
        </w:tc>
        <w:tc>
          <w:tcPr>
            <w:tcW w:w="882" w:type="dxa"/>
            <w:tcBorders>
              <w:left w:val="single" w:sz="12" w:space="0" w:color="auto"/>
            </w:tcBorders>
          </w:tcPr>
          <w:p w14:paraId="566307A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028BC53"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25CD9A44" w14:textId="00D1C99E"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5BA3DB93" w14:textId="523BE188" w:rsidR="00F0236A" w:rsidRPr="0042750D"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73ECA0FD" w14:textId="77777777" w:rsidR="00BD22B4" w:rsidRPr="0042750D"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Director, TSB</w:t>
            </w:r>
          </w:p>
          <w:p w14:paraId="57E8FE0C" w14:textId="77777777" w:rsidR="00BD22B4" w:rsidRPr="0042750D"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Director, BDT</w:t>
            </w:r>
          </w:p>
          <w:p w14:paraId="382B6B12" w14:textId="2067012E" w:rsidR="00F0236A" w:rsidRPr="0042750D"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MS &amp; SM</w:t>
            </w:r>
          </w:p>
        </w:tc>
        <w:tc>
          <w:tcPr>
            <w:tcW w:w="866" w:type="dxa"/>
            <w:tcBorders>
              <w:left w:val="single" w:sz="12" w:space="0" w:color="auto"/>
            </w:tcBorders>
          </w:tcPr>
          <w:p w14:paraId="74B7751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3D14E919" w14:textId="5E47EE0E" w:rsidR="00F0236A" w:rsidRPr="0042750D"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723" w:type="dxa"/>
            <w:tcBorders>
              <w:right w:val="single" w:sz="12" w:space="0" w:color="auto"/>
            </w:tcBorders>
          </w:tcPr>
          <w:p w14:paraId="663F3ED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359D6D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48945DDC" w14:textId="7C025708"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EE193A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2EE9E8C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2750D" w14:paraId="4B3E6CF9" w14:textId="77777777" w:rsidTr="00E65A97">
        <w:trPr>
          <w:cantSplit/>
          <w:jc w:val="center"/>
        </w:trPr>
        <w:tc>
          <w:tcPr>
            <w:tcW w:w="3088" w:type="dxa"/>
            <w:tcBorders>
              <w:right w:val="single" w:sz="12" w:space="0" w:color="auto"/>
            </w:tcBorders>
            <w:shd w:val="clear" w:color="auto" w:fill="auto"/>
            <w:vAlign w:val="center"/>
          </w:tcPr>
          <w:p w14:paraId="0AE7B605" w14:textId="6068FD9B" w:rsidR="00F0236A" w:rsidRPr="0042750D" w:rsidRDefault="00BD22B4"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RESOLUTION 191 (REV. DUBAI, 2018) –</w:t>
            </w:r>
            <w:r w:rsidR="00586F5C" w:rsidRPr="0042750D">
              <w:rPr>
                <w:rFonts w:asciiTheme="majorBidi" w:hAnsiTheme="majorBidi" w:cstheme="majorBidi"/>
                <w:bCs/>
              </w:rPr>
              <w:t xml:space="preserve"> </w:t>
            </w:r>
            <w:r w:rsidRPr="0042750D">
              <w:rPr>
                <w:rFonts w:asciiTheme="majorBidi" w:hAnsiTheme="majorBidi" w:cstheme="majorBidi"/>
                <w:bCs/>
              </w:rPr>
              <w:t>Strategy for the coordination of efforts among the three Sectors of the Union</w:t>
            </w:r>
          </w:p>
        </w:tc>
        <w:tc>
          <w:tcPr>
            <w:tcW w:w="882" w:type="dxa"/>
            <w:tcBorders>
              <w:left w:val="single" w:sz="12" w:space="0" w:color="auto"/>
            </w:tcBorders>
          </w:tcPr>
          <w:p w14:paraId="763E9ABB" w14:textId="1E5DE9CF"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5AC2EB9F" w14:textId="6C7FEE79" w:rsidR="00F0236A" w:rsidRPr="0042750D"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843" w:type="dxa"/>
          </w:tcPr>
          <w:p w14:paraId="02D61DFD" w14:textId="1CC3CB60"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6B49239C" w14:textId="7C7696B1" w:rsidR="00F0236A" w:rsidRPr="0042750D" w:rsidRDefault="00BD22B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2687E181" w14:textId="58C2B5FF" w:rsidR="00BD22B4" w:rsidRPr="0042750D"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SecGen</w:t>
            </w:r>
          </w:p>
          <w:p w14:paraId="45E2C740" w14:textId="77777777" w:rsidR="00BD22B4" w:rsidRPr="0042750D"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TSAG</w:t>
            </w:r>
          </w:p>
          <w:p w14:paraId="2802B8FB" w14:textId="77777777" w:rsidR="00BD22B4" w:rsidRPr="0042750D" w:rsidRDefault="00BD22B4"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Council</w:t>
            </w:r>
          </w:p>
          <w:p w14:paraId="6FE81A6C" w14:textId="0B7F455C" w:rsidR="00F0236A" w:rsidRPr="0042750D" w:rsidRDefault="00BD22B4" w:rsidP="00BD22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Directors, Bureaux</w:t>
            </w:r>
          </w:p>
        </w:tc>
        <w:tc>
          <w:tcPr>
            <w:tcW w:w="866" w:type="dxa"/>
            <w:tcBorders>
              <w:left w:val="single" w:sz="12" w:space="0" w:color="auto"/>
            </w:tcBorders>
          </w:tcPr>
          <w:p w14:paraId="364A90A7" w14:textId="215E75ED" w:rsidR="00F0236A" w:rsidRPr="0042750D" w:rsidRDefault="00C374C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725" w:type="dxa"/>
          </w:tcPr>
          <w:p w14:paraId="659C3467" w14:textId="18E28F7A" w:rsidR="00F0236A" w:rsidRPr="0042750D" w:rsidRDefault="00C374C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723" w:type="dxa"/>
            <w:tcBorders>
              <w:right w:val="single" w:sz="12" w:space="0" w:color="auto"/>
            </w:tcBorders>
          </w:tcPr>
          <w:p w14:paraId="3493362D" w14:textId="796F83DD" w:rsidR="00F0236A" w:rsidRPr="0042750D" w:rsidRDefault="00C374C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974" w:type="dxa"/>
            <w:tcBorders>
              <w:left w:val="single" w:sz="12" w:space="0" w:color="auto"/>
            </w:tcBorders>
          </w:tcPr>
          <w:p w14:paraId="0E921F43" w14:textId="3EE9D944" w:rsidR="00F0236A" w:rsidRPr="0042750D" w:rsidRDefault="0033482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084" w:type="dxa"/>
          </w:tcPr>
          <w:p w14:paraId="16C608B0" w14:textId="2C40CED6" w:rsidR="00F0236A" w:rsidRPr="0042750D" w:rsidRDefault="0033482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976" w:type="dxa"/>
          </w:tcPr>
          <w:p w14:paraId="4647F605"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51B5EC7E" w14:textId="4D4BA602" w:rsidR="00F0236A" w:rsidRPr="0042750D" w:rsidRDefault="00334820"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r>
      <w:tr w:rsidR="00B63571" w:rsidRPr="0042750D" w14:paraId="5B5873E1" w14:textId="77777777" w:rsidTr="00E65A97">
        <w:trPr>
          <w:cantSplit/>
          <w:jc w:val="center"/>
        </w:trPr>
        <w:tc>
          <w:tcPr>
            <w:tcW w:w="3088" w:type="dxa"/>
            <w:tcBorders>
              <w:right w:val="single" w:sz="12" w:space="0" w:color="auto"/>
            </w:tcBorders>
            <w:shd w:val="clear" w:color="auto" w:fill="auto"/>
            <w:vAlign w:val="center"/>
          </w:tcPr>
          <w:p w14:paraId="75D67C07" w14:textId="6EE390F7" w:rsidR="00B63571" w:rsidRPr="0042750D" w:rsidRDefault="00B63571"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RESOLUTION 196 (REV. DUBAI, 2018) – Protecting telecommunication service users/consumers</w:t>
            </w:r>
          </w:p>
        </w:tc>
        <w:tc>
          <w:tcPr>
            <w:tcW w:w="882" w:type="dxa"/>
            <w:tcBorders>
              <w:left w:val="single" w:sz="12" w:space="0" w:color="auto"/>
            </w:tcBorders>
          </w:tcPr>
          <w:p w14:paraId="40610531" w14:textId="77777777" w:rsidR="00B63571" w:rsidRPr="0042750D"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651101E3" w14:textId="77777777" w:rsidR="00B63571" w:rsidRPr="0042750D"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5882608B" w14:textId="758251C6" w:rsidR="00B63571" w:rsidRPr="0042750D" w:rsidRDefault="004C4C3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075" w:type="dxa"/>
            <w:tcBorders>
              <w:right w:val="single" w:sz="4" w:space="0" w:color="auto"/>
            </w:tcBorders>
          </w:tcPr>
          <w:p w14:paraId="1CBE90BC" w14:textId="77777777" w:rsidR="00B63571" w:rsidRPr="0042750D"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55C346C6" w14:textId="77777777" w:rsidR="00B63571" w:rsidRPr="0042750D" w:rsidRDefault="00B63571" w:rsidP="00BD22B4">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66" w:type="dxa"/>
            <w:tcBorders>
              <w:left w:val="single" w:sz="12" w:space="0" w:color="auto"/>
            </w:tcBorders>
          </w:tcPr>
          <w:p w14:paraId="3F7F08E6" w14:textId="77777777" w:rsidR="00B63571" w:rsidRPr="0042750D"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78539C6" w14:textId="2FD545A2" w:rsidR="00B63571" w:rsidRPr="0042750D" w:rsidRDefault="004C4C3C"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723" w:type="dxa"/>
            <w:tcBorders>
              <w:right w:val="single" w:sz="12" w:space="0" w:color="auto"/>
            </w:tcBorders>
          </w:tcPr>
          <w:p w14:paraId="1D0608B8" w14:textId="77777777" w:rsidR="00B63571" w:rsidRPr="0042750D"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0B893FA2" w14:textId="77777777" w:rsidR="00B63571" w:rsidRPr="0042750D"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2B5AD397" w14:textId="77777777" w:rsidR="00B63571" w:rsidRPr="0042750D"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56740200" w14:textId="77777777" w:rsidR="00B63571" w:rsidRPr="0042750D"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B7D920B" w14:textId="77777777" w:rsidR="00B63571" w:rsidRPr="0042750D" w:rsidRDefault="00B63571"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2750D" w14:paraId="5E6EDA8D" w14:textId="77777777" w:rsidTr="00E65A97">
        <w:trPr>
          <w:cantSplit/>
          <w:jc w:val="center"/>
        </w:trPr>
        <w:tc>
          <w:tcPr>
            <w:tcW w:w="3088" w:type="dxa"/>
            <w:tcBorders>
              <w:right w:val="single" w:sz="12" w:space="0" w:color="auto"/>
            </w:tcBorders>
            <w:shd w:val="clear" w:color="auto" w:fill="auto"/>
            <w:vAlign w:val="center"/>
          </w:tcPr>
          <w:p w14:paraId="34E76613" w14:textId="14B1D48F" w:rsidR="00F0236A" w:rsidRPr="0042750D"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RESOLUTION 197 (REV. DUBAI, 2018) – Facilitating the Internet of Things and smart sustainable cities and communities</w:t>
            </w:r>
          </w:p>
        </w:tc>
        <w:tc>
          <w:tcPr>
            <w:tcW w:w="882" w:type="dxa"/>
            <w:tcBorders>
              <w:left w:val="single" w:sz="12" w:space="0" w:color="auto"/>
            </w:tcBorders>
          </w:tcPr>
          <w:p w14:paraId="2C43A3A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9EABCE0" w14:textId="7524CAA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7D5CAA79" w14:textId="058C5EFD"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6704E0A3" w14:textId="053426A1" w:rsidR="00F0236A" w:rsidRPr="0042750D"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25967044" w14:textId="1047EA4B" w:rsidR="00FF6565" w:rsidRPr="0042750D"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SecGen &amp; Directors, Bureaux</w:t>
            </w:r>
            <w:r w:rsidR="008C1D8C" w:rsidRPr="0042750D">
              <w:rPr>
                <w:rFonts w:asciiTheme="majorBidi" w:hAnsiTheme="majorBidi" w:cstheme="majorBidi"/>
              </w:rPr>
              <w:t>,</w:t>
            </w:r>
          </w:p>
          <w:p w14:paraId="07A6E0CB" w14:textId="6E6F2834" w:rsidR="00FF6565" w:rsidRPr="0042750D"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Council</w:t>
            </w:r>
            <w:r w:rsidR="008C1D8C" w:rsidRPr="0042750D">
              <w:rPr>
                <w:rFonts w:asciiTheme="majorBidi" w:hAnsiTheme="majorBidi" w:cstheme="majorBidi"/>
              </w:rPr>
              <w:t>,</w:t>
            </w:r>
          </w:p>
          <w:p w14:paraId="412AB0A5" w14:textId="1892F59B" w:rsidR="00F0236A" w:rsidRPr="0042750D" w:rsidRDefault="00FF6565" w:rsidP="008C1D8C">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 xml:space="preserve">MS, </w:t>
            </w:r>
            <w:r w:rsidR="008C1D8C" w:rsidRPr="0042750D">
              <w:rPr>
                <w:rFonts w:asciiTheme="majorBidi" w:hAnsiTheme="majorBidi" w:cstheme="majorBidi"/>
              </w:rPr>
              <w:t>membership</w:t>
            </w:r>
          </w:p>
        </w:tc>
        <w:tc>
          <w:tcPr>
            <w:tcW w:w="866" w:type="dxa"/>
            <w:tcBorders>
              <w:left w:val="single" w:sz="12" w:space="0" w:color="auto"/>
            </w:tcBorders>
          </w:tcPr>
          <w:p w14:paraId="1DC78535" w14:textId="43DDFB27" w:rsidR="00F0236A" w:rsidRPr="0042750D" w:rsidRDefault="00D570C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725" w:type="dxa"/>
          </w:tcPr>
          <w:p w14:paraId="0A4DFEE0" w14:textId="5D2106B4" w:rsidR="00F0236A" w:rsidRPr="0042750D"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723" w:type="dxa"/>
            <w:tcBorders>
              <w:right w:val="single" w:sz="12" w:space="0" w:color="auto"/>
            </w:tcBorders>
          </w:tcPr>
          <w:p w14:paraId="6D3788D3" w14:textId="53302831" w:rsidR="00F0236A" w:rsidRPr="0042750D" w:rsidRDefault="00D570C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974" w:type="dxa"/>
            <w:tcBorders>
              <w:left w:val="single" w:sz="12" w:space="0" w:color="auto"/>
            </w:tcBorders>
          </w:tcPr>
          <w:p w14:paraId="0689025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512C5910" w14:textId="3CBA9633" w:rsidR="00F0236A" w:rsidRPr="0042750D"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976" w:type="dxa"/>
          </w:tcPr>
          <w:p w14:paraId="2D61AC4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171A139B" w14:textId="69CD0CF0" w:rsidR="00F0236A" w:rsidRPr="0042750D" w:rsidRDefault="00D570C7"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r>
      <w:tr w:rsidR="000476C9" w:rsidRPr="0042750D" w14:paraId="1A5A903A" w14:textId="77777777" w:rsidTr="00E65A97">
        <w:trPr>
          <w:cantSplit/>
          <w:jc w:val="center"/>
        </w:trPr>
        <w:tc>
          <w:tcPr>
            <w:tcW w:w="3088" w:type="dxa"/>
            <w:tcBorders>
              <w:right w:val="single" w:sz="12" w:space="0" w:color="auto"/>
            </w:tcBorders>
            <w:shd w:val="clear" w:color="auto" w:fill="auto"/>
            <w:vAlign w:val="center"/>
          </w:tcPr>
          <w:p w14:paraId="5DC34ABB" w14:textId="0D5F9365" w:rsidR="00F0236A" w:rsidRPr="0042750D"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RESOLUTION 198 (REV. DUBAI, 2018) – Empowerment of youth through telecommunication/information and communication technology</w:t>
            </w:r>
          </w:p>
        </w:tc>
        <w:tc>
          <w:tcPr>
            <w:tcW w:w="882" w:type="dxa"/>
            <w:tcBorders>
              <w:left w:val="single" w:sz="12" w:space="0" w:color="auto"/>
            </w:tcBorders>
          </w:tcPr>
          <w:p w14:paraId="2816DD46" w14:textId="323CF58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10338B2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246DAD36" w14:textId="26A648C8" w:rsidR="00F0236A" w:rsidRPr="0042750D"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075" w:type="dxa"/>
            <w:tcBorders>
              <w:right w:val="single" w:sz="4" w:space="0" w:color="auto"/>
            </w:tcBorders>
          </w:tcPr>
          <w:p w14:paraId="1E9AAEE3" w14:textId="5442F83F" w:rsidR="00F0236A" w:rsidRPr="0042750D"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02227A46" w14:textId="77777777" w:rsidR="00FF6565" w:rsidRPr="0042750D"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Council</w:t>
            </w:r>
          </w:p>
          <w:p w14:paraId="7FB98F1D" w14:textId="53C37996" w:rsidR="00FF6565" w:rsidRPr="0042750D"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SecGen</w:t>
            </w:r>
          </w:p>
          <w:p w14:paraId="0CB45AE1" w14:textId="77777777" w:rsidR="00FF6565" w:rsidRPr="0042750D"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 xml:space="preserve">Director, BDT </w:t>
            </w:r>
          </w:p>
          <w:p w14:paraId="7E0F2035" w14:textId="77777777" w:rsidR="00FF6565" w:rsidRPr="0042750D"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Directors, Bureaux</w:t>
            </w:r>
          </w:p>
          <w:p w14:paraId="2F33EBC5" w14:textId="2553937B" w:rsidR="00F0236A" w:rsidRPr="0042750D" w:rsidRDefault="00FF6565" w:rsidP="00FF656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MS &amp; SM</w:t>
            </w:r>
          </w:p>
        </w:tc>
        <w:tc>
          <w:tcPr>
            <w:tcW w:w="866" w:type="dxa"/>
            <w:tcBorders>
              <w:left w:val="single" w:sz="12" w:space="0" w:color="auto"/>
            </w:tcBorders>
          </w:tcPr>
          <w:p w14:paraId="75E8ABF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7A1A4D44" w14:textId="727D2C12"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5E13136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CDD21D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6A6784B3"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205ABA3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53A5CA9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2750D" w14:paraId="1F5EDD0A" w14:textId="77777777" w:rsidTr="00E65A97">
        <w:trPr>
          <w:cantSplit/>
          <w:jc w:val="center"/>
        </w:trPr>
        <w:tc>
          <w:tcPr>
            <w:tcW w:w="3088" w:type="dxa"/>
            <w:tcBorders>
              <w:right w:val="single" w:sz="12" w:space="0" w:color="auto"/>
            </w:tcBorders>
            <w:shd w:val="clear" w:color="auto" w:fill="auto"/>
            <w:vAlign w:val="center"/>
          </w:tcPr>
          <w:p w14:paraId="1F5BB479" w14:textId="65EB3639" w:rsidR="00F0236A" w:rsidRPr="0042750D"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RESOLUTION 199 (BUSAN, 2014) – Promoting efforts for capacity building on software-defined networking in developing countries</w:t>
            </w:r>
          </w:p>
        </w:tc>
        <w:tc>
          <w:tcPr>
            <w:tcW w:w="882" w:type="dxa"/>
            <w:tcBorders>
              <w:left w:val="single" w:sz="12" w:space="0" w:color="auto"/>
            </w:tcBorders>
          </w:tcPr>
          <w:p w14:paraId="1C2750AA" w14:textId="306B7B9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2B4E40E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741CD221" w14:textId="1206F82C"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75" w:type="dxa"/>
            <w:tcBorders>
              <w:right w:val="single" w:sz="4" w:space="0" w:color="auto"/>
            </w:tcBorders>
          </w:tcPr>
          <w:p w14:paraId="10B631A1" w14:textId="0B8C0FBD" w:rsidR="00F0236A" w:rsidRPr="0042750D"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389AA7DC" w14:textId="69CB5AC2" w:rsidR="00F0236A" w:rsidRPr="0042750D"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 BDT</w:t>
            </w:r>
          </w:p>
        </w:tc>
        <w:tc>
          <w:tcPr>
            <w:tcW w:w="866" w:type="dxa"/>
            <w:tcBorders>
              <w:left w:val="single" w:sz="12" w:space="0" w:color="auto"/>
            </w:tcBorders>
          </w:tcPr>
          <w:p w14:paraId="20266982" w14:textId="7EF18724"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CAA57BF" w14:textId="21BA30DE"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DF52B15"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31827F4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765A6910" w14:textId="4CF9AEF8"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6" w:type="dxa"/>
          </w:tcPr>
          <w:p w14:paraId="057D7E95" w14:textId="1AAF2A62"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A6DBFA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r>
      <w:tr w:rsidR="000476C9" w:rsidRPr="0042750D" w14:paraId="1AE352B4" w14:textId="77777777" w:rsidTr="00E65A97">
        <w:trPr>
          <w:cantSplit/>
          <w:jc w:val="center"/>
        </w:trPr>
        <w:tc>
          <w:tcPr>
            <w:tcW w:w="3088" w:type="dxa"/>
            <w:tcBorders>
              <w:right w:val="single" w:sz="12" w:space="0" w:color="auto"/>
            </w:tcBorders>
            <w:shd w:val="clear" w:color="auto" w:fill="auto"/>
            <w:vAlign w:val="center"/>
          </w:tcPr>
          <w:p w14:paraId="15527AEA" w14:textId="1791FA4A" w:rsidR="00F0236A" w:rsidRPr="0042750D"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RESOLUTION 200 (REV. DUBAI, 2018) – Connect 2030 Agenda for global telecommunication/information and communication technology, including broadband, for sustainable development</w:t>
            </w:r>
          </w:p>
        </w:tc>
        <w:tc>
          <w:tcPr>
            <w:tcW w:w="882" w:type="dxa"/>
            <w:tcBorders>
              <w:left w:val="single" w:sz="12" w:space="0" w:color="auto"/>
            </w:tcBorders>
          </w:tcPr>
          <w:p w14:paraId="184211EA" w14:textId="2B875081"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9B60C9C" w14:textId="2EA5D91F"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180E84E8" w14:textId="6D13E0D9"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000D6FA8" w14:textId="563BB409" w:rsidR="00F0236A" w:rsidRPr="0042750D"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1BBC335A" w14:textId="1882C732" w:rsidR="00FF6565" w:rsidRPr="0042750D"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SecGen</w:t>
            </w:r>
          </w:p>
          <w:p w14:paraId="1E0ABA52" w14:textId="77777777" w:rsidR="00FF6565" w:rsidRPr="0042750D"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 xml:space="preserve">Directors, Bureaux </w:t>
            </w:r>
          </w:p>
          <w:p w14:paraId="1C9A9F3A" w14:textId="77777777" w:rsidR="00FF6565" w:rsidRPr="0042750D"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Director, BDT</w:t>
            </w:r>
          </w:p>
          <w:p w14:paraId="72DB39D3" w14:textId="77777777" w:rsidR="00FF6565" w:rsidRPr="0042750D"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Council</w:t>
            </w:r>
          </w:p>
          <w:p w14:paraId="1E813C6D" w14:textId="5F4657F9" w:rsidR="00F0236A" w:rsidRPr="0042750D" w:rsidRDefault="00FF6565" w:rsidP="00FF656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MS</w:t>
            </w:r>
          </w:p>
        </w:tc>
        <w:tc>
          <w:tcPr>
            <w:tcW w:w="866" w:type="dxa"/>
            <w:tcBorders>
              <w:left w:val="single" w:sz="12" w:space="0" w:color="auto"/>
            </w:tcBorders>
          </w:tcPr>
          <w:p w14:paraId="5EF7E48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7063E9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759B3DB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5F9C0ED7" w14:textId="5A2EF351"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00F23B2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67D31F7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296B77E5" w14:textId="759D4A99"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2750D" w14:paraId="6AD8B473" w14:textId="77777777" w:rsidTr="00E65A97">
        <w:trPr>
          <w:cantSplit/>
          <w:jc w:val="center"/>
        </w:trPr>
        <w:tc>
          <w:tcPr>
            <w:tcW w:w="3088" w:type="dxa"/>
            <w:tcBorders>
              <w:right w:val="single" w:sz="12" w:space="0" w:color="auto"/>
            </w:tcBorders>
            <w:shd w:val="clear" w:color="auto" w:fill="auto"/>
            <w:vAlign w:val="center"/>
          </w:tcPr>
          <w:p w14:paraId="1DE873F2" w14:textId="40F7C47A" w:rsidR="00F0236A" w:rsidRPr="0042750D" w:rsidRDefault="00FF656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RESOLUTION 203 (REV. DUBAI, 2018) – Connectivity to broadband networks</w:t>
            </w:r>
          </w:p>
        </w:tc>
        <w:tc>
          <w:tcPr>
            <w:tcW w:w="882" w:type="dxa"/>
            <w:tcBorders>
              <w:left w:val="single" w:sz="12" w:space="0" w:color="auto"/>
            </w:tcBorders>
          </w:tcPr>
          <w:p w14:paraId="79B4D95C" w14:textId="5EBE17B6"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2A03A57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68EEC62D" w14:textId="54A52660"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2B359C4B" w14:textId="7C3941B3" w:rsidR="00F0236A" w:rsidRPr="0042750D"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74F1574A" w14:textId="77777777" w:rsidR="00FF6565" w:rsidRPr="0042750D"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Director, BDT</w:t>
            </w:r>
          </w:p>
          <w:p w14:paraId="69AEA92B" w14:textId="77777777" w:rsidR="00FF6565" w:rsidRPr="0042750D" w:rsidRDefault="00FF6565" w:rsidP="00FF656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Directors, BR &amp; TSB</w:t>
            </w:r>
          </w:p>
          <w:p w14:paraId="42B9AAF5" w14:textId="6C9CB70D" w:rsidR="00F0236A" w:rsidRPr="0042750D" w:rsidRDefault="00FF6565" w:rsidP="00FF656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MS</w:t>
            </w:r>
          </w:p>
        </w:tc>
        <w:tc>
          <w:tcPr>
            <w:tcW w:w="866" w:type="dxa"/>
            <w:tcBorders>
              <w:left w:val="single" w:sz="12" w:space="0" w:color="auto"/>
            </w:tcBorders>
          </w:tcPr>
          <w:p w14:paraId="67E05E4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258EC65B" w14:textId="3B9A77DF" w:rsidR="00F0236A" w:rsidRPr="0042750D" w:rsidRDefault="00FF656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723" w:type="dxa"/>
            <w:tcBorders>
              <w:right w:val="single" w:sz="12" w:space="0" w:color="auto"/>
            </w:tcBorders>
          </w:tcPr>
          <w:p w14:paraId="715C59B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7EEB88D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2CED9093"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30D0239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BF2C0B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2750D" w14:paraId="2DDA908B" w14:textId="77777777" w:rsidTr="00E65A97">
        <w:trPr>
          <w:cantSplit/>
          <w:jc w:val="center"/>
        </w:trPr>
        <w:tc>
          <w:tcPr>
            <w:tcW w:w="3088" w:type="dxa"/>
            <w:tcBorders>
              <w:right w:val="single" w:sz="12" w:space="0" w:color="auto"/>
            </w:tcBorders>
            <w:shd w:val="clear" w:color="auto" w:fill="auto"/>
            <w:vAlign w:val="center"/>
          </w:tcPr>
          <w:p w14:paraId="168F9CE9" w14:textId="1A82953F" w:rsidR="00F0236A" w:rsidRPr="0042750D" w:rsidRDefault="00716DA5"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 xml:space="preserve">RESOLUTION </w:t>
            </w:r>
            <w:r w:rsidR="00783B71" w:rsidRPr="0042750D">
              <w:rPr>
                <w:rFonts w:asciiTheme="majorBidi" w:hAnsiTheme="majorBidi" w:cstheme="majorBidi"/>
                <w:bCs/>
              </w:rPr>
              <w:t>204</w:t>
            </w:r>
            <w:r w:rsidRPr="0042750D">
              <w:rPr>
                <w:rFonts w:asciiTheme="majorBidi" w:hAnsiTheme="majorBidi" w:cstheme="majorBidi"/>
                <w:bCs/>
              </w:rPr>
              <w:t xml:space="preserve"> (DUBAI, 2018) – Use of information and communication technologies to bridge the financial inclusion gap</w:t>
            </w:r>
          </w:p>
        </w:tc>
        <w:tc>
          <w:tcPr>
            <w:tcW w:w="882" w:type="dxa"/>
            <w:tcBorders>
              <w:left w:val="single" w:sz="12" w:space="0" w:color="auto"/>
            </w:tcBorders>
          </w:tcPr>
          <w:p w14:paraId="2FB9422C" w14:textId="7731B01A" w:rsidR="00F0236A" w:rsidRPr="0042750D" w:rsidRDefault="00F0236A" w:rsidP="006246F6">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55" w:type="dxa"/>
          </w:tcPr>
          <w:p w14:paraId="712C6EF8" w14:textId="3578D289"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843" w:type="dxa"/>
          </w:tcPr>
          <w:p w14:paraId="50AA09E4" w14:textId="0FD343FE" w:rsidR="00F0236A" w:rsidRPr="0042750D" w:rsidRDefault="00716DA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075" w:type="dxa"/>
            <w:tcBorders>
              <w:right w:val="single" w:sz="4" w:space="0" w:color="auto"/>
            </w:tcBorders>
          </w:tcPr>
          <w:p w14:paraId="264A5BF4" w14:textId="4EB4F978" w:rsidR="00F0236A" w:rsidRPr="0042750D" w:rsidRDefault="00716DA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1634" w:type="dxa"/>
            <w:tcBorders>
              <w:left w:val="single" w:sz="4" w:space="0" w:color="auto"/>
              <w:right w:val="single" w:sz="12" w:space="0" w:color="auto"/>
            </w:tcBorders>
          </w:tcPr>
          <w:p w14:paraId="09D43112" w14:textId="77777777" w:rsidR="00716DA5" w:rsidRPr="0042750D" w:rsidRDefault="00716DA5" w:rsidP="00716DA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 BDT</w:t>
            </w:r>
          </w:p>
          <w:p w14:paraId="2C6B4779" w14:textId="77777777" w:rsidR="00716DA5" w:rsidRPr="0042750D" w:rsidRDefault="00716DA5" w:rsidP="00716DA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Directors, BR &amp; TSB</w:t>
            </w:r>
          </w:p>
          <w:p w14:paraId="2AA1AED2" w14:textId="77777777" w:rsidR="00716DA5" w:rsidRPr="0042750D" w:rsidRDefault="00716DA5" w:rsidP="00716DA5">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ITU-T study groups</w:t>
            </w:r>
          </w:p>
          <w:p w14:paraId="0DB6573E" w14:textId="17BC7B2B" w:rsidR="00F0236A" w:rsidRPr="0042750D" w:rsidRDefault="00716DA5" w:rsidP="00716DA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MS, SM, Associates</w:t>
            </w:r>
          </w:p>
        </w:tc>
        <w:tc>
          <w:tcPr>
            <w:tcW w:w="866" w:type="dxa"/>
            <w:tcBorders>
              <w:left w:val="single" w:sz="12" w:space="0" w:color="auto"/>
            </w:tcBorders>
          </w:tcPr>
          <w:p w14:paraId="273D907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5" w:type="dxa"/>
          </w:tcPr>
          <w:p w14:paraId="7FDBB569" w14:textId="6475B4B6"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723" w:type="dxa"/>
            <w:tcBorders>
              <w:right w:val="single" w:sz="12" w:space="0" w:color="auto"/>
            </w:tcBorders>
          </w:tcPr>
          <w:p w14:paraId="2ACB8657" w14:textId="52320850"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974" w:type="dxa"/>
            <w:tcBorders>
              <w:left w:val="single" w:sz="12" w:space="0" w:color="auto"/>
            </w:tcBorders>
          </w:tcPr>
          <w:p w14:paraId="5CED818F"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1084" w:type="dxa"/>
          </w:tcPr>
          <w:p w14:paraId="1E902F81" w14:textId="36E4211E" w:rsidR="00F0236A" w:rsidRPr="0042750D" w:rsidRDefault="00716DA5"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c>
          <w:tcPr>
            <w:tcW w:w="976" w:type="dxa"/>
          </w:tcPr>
          <w:p w14:paraId="1C7B389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p>
        </w:tc>
        <w:tc>
          <w:tcPr>
            <w:tcW w:w="657" w:type="dxa"/>
          </w:tcPr>
          <w:p w14:paraId="3E35B7D7" w14:textId="28D26307" w:rsidR="00F0236A" w:rsidRPr="0042750D"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pPr>
            <w:r w:rsidRPr="0042750D">
              <w:t>X</w:t>
            </w:r>
          </w:p>
        </w:tc>
      </w:tr>
      <w:tr w:rsidR="000476C9" w:rsidRPr="0042750D" w14:paraId="33736AE7" w14:textId="77777777" w:rsidTr="00E65A97">
        <w:trPr>
          <w:cantSplit/>
          <w:jc w:val="center"/>
        </w:trPr>
        <w:tc>
          <w:tcPr>
            <w:tcW w:w="3088" w:type="dxa"/>
            <w:tcBorders>
              <w:right w:val="single" w:sz="12" w:space="0" w:color="auto"/>
            </w:tcBorders>
            <w:shd w:val="clear" w:color="auto" w:fill="auto"/>
            <w:vAlign w:val="center"/>
          </w:tcPr>
          <w:p w14:paraId="34E7EB61" w14:textId="2892E126" w:rsidR="00F0236A" w:rsidRPr="0042750D" w:rsidRDefault="00B04C0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 xml:space="preserve">RESOLUTION </w:t>
            </w:r>
            <w:r w:rsidR="00783B71" w:rsidRPr="0042750D">
              <w:rPr>
                <w:rFonts w:asciiTheme="majorBidi" w:hAnsiTheme="majorBidi" w:cstheme="majorBidi"/>
                <w:bCs/>
              </w:rPr>
              <w:t>205</w:t>
            </w:r>
            <w:r w:rsidRPr="0042750D">
              <w:rPr>
                <w:rFonts w:asciiTheme="majorBidi" w:hAnsiTheme="majorBidi" w:cstheme="majorBidi"/>
                <w:bCs/>
              </w:rPr>
              <w:t xml:space="preserve"> (DUBAI, 2018) – ITU's role in fostering telecommunication/information and communication technology-centric innovation to support the digital economy and society</w:t>
            </w:r>
          </w:p>
        </w:tc>
        <w:tc>
          <w:tcPr>
            <w:tcW w:w="882" w:type="dxa"/>
            <w:tcBorders>
              <w:left w:val="single" w:sz="12" w:space="0" w:color="auto"/>
            </w:tcBorders>
          </w:tcPr>
          <w:p w14:paraId="403DBBA2" w14:textId="67983A10"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1B54161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03DF1FFC" w14:textId="30E8A1E9"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21DAB48E" w14:textId="3BBE3FE7" w:rsidR="00F0236A" w:rsidRPr="0042750D"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419829D5" w14:textId="77777777" w:rsidR="00B04C02" w:rsidRPr="0042750D"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Director, BDT</w:t>
            </w:r>
          </w:p>
          <w:p w14:paraId="0589A4FA" w14:textId="77777777" w:rsidR="00B04C02" w:rsidRPr="0042750D"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Directors, BR &amp; TSB</w:t>
            </w:r>
          </w:p>
          <w:p w14:paraId="5E4D734A" w14:textId="0C8AC112" w:rsidR="00F0236A" w:rsidRPr="0042750D" w:rsidRDefault="00B04C02" w:rsidP="00B04C0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MS, SM, Associates, Academia</w:t>
            </w:r>
          </w:p>
        </w:tc>
        <w:tc>
          <w:tcPr>
            <w:tcW w:w="866" w:type="dxa"/>
            <w:tcBorders>
              <w:left w:val="single" w:sz="12" w:space="0" w:color="auto"/>
            </w:tcBorders>
          </w:tcPr>
          <w:p w14:paraId="5C4CD79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AF6AEE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4A12DA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661806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0587478F" w14:textId="0CA65BCF" w:rsidR="00F0236A" w:rsidRPr="0042750D"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976" w:type="dxa"/>
          </w:tcPr>
          <w:p w14:paraId="31D0FA83"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9274AF5" w14:textId="651CD456" w:rsidR="00F0236A" w:rsidRPr="0042750D"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r>
      <w:tr w:rsidR="000476C9" w:rsidRPr="0042750D" w14:paraId="53E94E5B" w14:textId="77777777" w:rsidTr="00E65A97">
        <w:trPr>
          <w:cantSplit/>
          <w:jc w:val="center"/>
        </w:trPr>
        <w:tc>
          <w:tcPr>
            <w:tcW w:w="3088" w:type="dxa"/>
            <w:tcBorders>
              <w:right w:val="single" w:sz="12" w:space="0" w:color="auto"/>
            </w:tcBorders>
            <w:shd w:val="clear" w:color="auto" w:fill="auto"/>
            <w:vAlign w:val="center"/>
          </w:tcPr>
          <w:p w14:paraId="6DD8E7D9" w14:textId="2227887B" w:rsidR="00F0236A" w:rsidRPr="0042750D" w:rsidRDefault="00B04C02"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 xml:space="preserve">RESOLUTION </w:t>
            </w:r>
            <w:r w:rsidR="00163998" w:rsidRPr="0042750D">
              <w:rPr>
                <w:rFonts w:asciiTheme="majorBidi" w:hAnsiTheme="majorBidi" w:cstheme="majorBidi"/>
                <w:bCs/>
              </w:rPr>
              <w:t>206</w:t>
            </w:r>
            <w:r w:rsidRPr="0042750D">
              <w:rPr>
                <w:rFonts w:asciiTheme="majorBidi" w:hAnsiTheme="majorBidi" w:cstheme="majorBidi"/>
                <w:bCs/>
              </w:rPr>
              <w:t xml:space="preserve"> (DUBAI, 2018) – OTTs</w:t>
            </w:r>
          </w:p>
        </w:tc>
        <w:tc>
          <w:tcPr>
            <w:tcW w:w="882" w:type="dxa"/>
            <w:tcBorders>
              <w:left w:val="single" w:sz="12" w:space="0" w:color="auto"/>
            </w:tcBorders>
          </w:tcPr>
          <w:p w14:paraId="3543580F" w14:textId="1423C511"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73960466" w14:textId="73475F66"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5D33ABCC" w14:textId="0960524D" w:rsidR="00F0236A" w:rsidRPr="0042750D" w:rsidRDefault="00244894"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075" w:type="dxa"/>
            <w:tcBorders>
              <w:right w:val="single" w:sz="4" w:space="0" w:color="auto"/>
            </w:tcBorders>
          </w:tcPr>
          <w:p w14:paraId="22529CEF" w14:textId="0C6FC129" w:rsidR="00F0236A" w:rsidRPr="0042750D"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5DE35CB8" w14:textId="77777777" w:rsidR="00B04C02" w:rsidRPr="0042750D"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Director, BDT</w:t>
            </w:r>
          </w:p>
          <w:p w14:paraId="7668E14C" w14:textId="77777777" w:rsidR="00B04C02" w:rsidRPr="0042750D" w:rsidRDefault="00B04C02" w:rsidP="00B04C02">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Directors, BR &amp; TSB</w:t>
            </w:r>
          </w:p>
          <w:p w14:paraId="565B3EE9" w14:textId="30981460" w:rsidR="00F0236A" w:rsidRPr="0042750D" w:rsidRDefault="00B04C02" w:rsidP="00B04C0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MS, SM</w:t>
            </w:r>
          </w:p>
        </w:tc>
        <w:tc>
          <w:tcPr>
            <w:tcW w:w="866" w:type="dxa"/>
            <w:tcBorders>
              <w:left w:val="single" w:sz="12" w:space="0" w:color="auto"/>
            </w:tcBorders>
          </w:tcPr>
          <w:p w14:paraId="0589526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02BFB0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2496CA5"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45D9C584"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4E7B3D6E" w14:textId="3651F9A4" w:rsidR="00F0236A" w:rsidRPr="0042750D" w:rsidRDefault="00B04C02"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976" w:type="dxa"/>
          </w:tcPr>
          <w:p w14:paraId="68F0950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709309B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2750D" w14:paraId="53E24438" w14:textId="77777777" w:rsidTr="00E65A97">
        <w:trPr>
          <w:cantSplit/>
          <w:jc w:val="center"/>
        </w:trPr>
        <w:tc>
          <w:tcPr>
            <w:tcW w:w="3088" w:type="dxa"/>
            <w:tcBorders>
              <w:right w:val="single" w:sz="12" w:space="0" w:color="auto"/>
            </w:tcBorders>
            <w:shd w:val="clear" w:color="auto" w:fill="auto"/>
            <w:vAlign w:val="center"/>
          </w:tcPr>
          <w:p w14:paraId="386FE9FA" w14:textId="639B35F5" w:rsidR="00F0236A" w:rsidRPr="0042750D" w:rsidRDefault="00CE699D"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 xml:space="preserve">RESOLUTION </w:t>
            </w:r>
            <w:r w:rsidR="00F5110C" w:rsidRPr="0042750D">
              <w:rPr>
                <w:rFonts w:asciiTheme="majorBidi" w:hAnsiTheme="majorBidi" w:cstheme="majorBidi"/>
                <w:bCs/>
              </w:rPr>
              <w:t>207</w:t>
            </w:r>
            <w:r w:rsidRPr="0042750D">
              <w:rPr>
                <w:rFonts w:asciiTheme="majorBidi" w:hAnsiTheme="majorBidi" w:cstheme="majorBidi"/>
                <w:bCs/>
              </w:rPr>
              <w:t xml:space="preserve"> (DUBAI, 2018) – ITU Journal: ICT Discoveries</w:t>
            </w:r>
          </w:p>
        </w:tc>
        <w:tc>
          <w:tcPr>
            <w:tcW w:w="882" w:type="dxa"/>
            <w:tcBorders>
              <w:left w:val="single" w:sz="12" w:space="0" w:color="auto"/>
            </w:tcBorders>
          </w:tcPr>
          <w:p w14:paraId="386FEB65" w14:textId="570CEDEF" w:rsidR="00F0236A" w:rsidRPr="0042750D"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855" w:type="dxa"/>
          </w:tcPr>
          <w:p w14:paraId="38A657C9" w14:textId="2973B5A9" w:rsidR="00F0236A" w:rsidRPr="0042750D"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843" w:type="dxa"/>
          </w:tcPr>
          <w:p w14:paraId="6082888B" w14:textId="49FA7BFF" w:rsidR="00F0236A" w:rsidRPr="0042750D"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075" w:type="dxa"/>
            <w:tcBorders>
              <w:right w:val="single" w:sz="4" w:space="0" w:color="auto"/>
            </w:tcBorders>
          </w:tcPr>
          <w:p w14:paraId="0ABD2420" w14:textId="05F603BF" w:rsidR="00F0236A" w:rsidRPr="0042750D"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014D7FF7" w14:textId="77777777" w:rsidR="00CE699D" w:rsidRPr="0042750D" w:rsidRDefault="00CE699D" w:rsidP="00CE699D">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Director, TSB</w:t>
            </w:r>
          </w:p>
          <w:p w14:paraId="151F9B1F" w14:textId="1532E1A1" w:rsidR="00F0236A" w:rsidRPr="0042750D" w:rsidRDefault="00CE699D" w:rsidP="00CE699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MS</w:t>
            </w:r>
          </w:p>
        </w:tc>
        <w:tc>
          <w:tcPr>
            <w:tcW w:w="866" w:type="dxa"/>
            <w:tcBorders>
              <w:left w:val="single" w:sz="12" w:space="0" w:color="auto"/>
            </w:tcBorders>
          </w:tcPr>
          <w:p w14:paraId="788EB047"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150D8097" w14:textId="56821F50"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420AF0CE" w14:textId="6895D10F"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38C4E16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7408331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99BD64F"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6A798B4F"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2750D" w14:paraId="73FAB340" w14:textId="77777777" w:rsidTr="00E65A97">
        <w:trPr>
          <w:cantSplit/>
          <w:jc w:val="center"/>
        </w:trPr>
        <w:tc>
          <w:tcPr>
            <w:tcW w:w="3088" w:type="dxa"/>
            <w:tcBorders>
              <w:right w:val="single" w:sz="12" w:space="0" w:color="auto"/>
            </w:tcBorders>
            <w:shd w:val="clear" w:color="auto" w:fill="auto"/>
            <w:vAlign w:val="center"/>
          </w:tcPr>
          <w:p w14:paraId="2A5FEF1D" w14:textId="5F90B4D0" w:rsidR="00F0236A" w:rsidRPr="0042750D" w:rsidRDefault="00CE699D"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 xml:space="preserve">RESOLUTION </w:t>
            </w:r>
            <w:r w:rsidR="00270AD8" w:rsidRPr="0042750D">
              <w:rPr>
                <w:rFonts w:asciiTheme="majorBidi" w:hAnsiTheme="majorBidi" w:cstheme="majorBidi"/>
                <w:bCs/>
              </w:rPr>
              <w:t>208</w:t>
            </w:r>
            <w:r w:rsidRPr="0042750D">
              <w:rPr>
                <w:rFonts w:asciiTheme="majorBidi" w:hAnsiTheme="majorBidi" w:cstheme="majorBidi"/>
                <w:bCs/>
              </w:rPr>
              <w:t xml:space="preserve"> (DUBAI, 2018) – Appointment and maximum term of office for chairmen and vice-chairmen of Sector advisory groups, study groups and other groups</w:t>
            </w:r>
          </w:p>
        </w:tc>
        <w:tc>
          <w:tcPr>
            <w:tcW w:w="882" w:type="dxa"/>
            <w:tcBorders>
              <w:left w:val="single" w:sz="12" w:space="0" w:color="auto"/>
            </w:tcBorders>
          </w:tcPr>
          <w:p w14:paraId="3D64EC0D" w14:textId="2C02464D" w:rsidR="00F0236A" w:rsidRPr="0042750D" w:rsidRDefault="00CE699D"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855" w:type="dxa"/>
          </w:tcPr>
          <w:p w14:paraId="63C0714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68C5D634" w14:textId="4D1087A3"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08B771F2" w14:textId="7A0FD94E"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33139B36" w14:textId="77777777" w:rsidR="00CE699D" w:rsidRPr="0042750D" w:rsidRDefault="00CE699D" w:rsidP="00CE699D">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WTSA, TSAG, ITU-T study groups, SCV</w:t>
            </w:r>
          </w:p>
          <w:p w14:paraId="12362243" w14:textId="77777777" w:rsidR="00CE699D" w:rsidRPr="0042750D" w:rsidRDefault="00CE699D" w:rsidP="00CE699D">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Directors of Bureaux,</w:t>
            </w:r>
          </w:p>
          <w:p w14:paraId="009AF75B" w14:textId="41CD2E4B" w:rsidR="00F0236A" w:rsidRPr="0042750D" w:rsidRDefault="00CE699D" w:rsidP="00CE699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MS &amp; SM</w:t>
            </w:r>
          </w:p>
        </w:tc>
        <w:tc>
          <w:tcPr>
            <w:tcW w:w="866" w:type="dxa"/>
            <w:tcBorders>
              <w:left w:val="single" w:sz="12" w:space="0" w:color="auto"/>
            </w:tcBorders>
          </w:tcPr>
          <w:p w14:paraId="5410188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888DA6B" w14:textId="7FFF23DD"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052FF9BD" w14:textId="15267910"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C8C8A5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56A44522" w14:textId="76116A43"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6FD0A2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647B947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2750D" w14:paraId="20EFA435" w14:textId="77777777" w:rsidTr="00E65A97">
        <w:trPr>
          <w:cantSplit/>
          <w:jc w:val="center"/>
        </w:trPr>
        <w:tc>
          <w:tcPr>
            <w:tcW w:w="3088" w:type="dxa"/>
            <w:tcBorders>
              <w:right w:val="single" w:sz="12" w:space="0" w:color="auto"/>
            </w:tcBorders>
            <w:shd w:val="clear" w:color="auto" w:fill="auto"/>
            <w:vAlign w:val="center"/>
          </w:tcPr>
          <w:p w14:paraId="73BB9648" w14:textId="440C1018" w:rsidR="00F0236A" w:rsidRPr="0042750D" w:rsidRDefault="00C502C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 xml:space="preserve">RESOLUTION </w:t>
            </w:r>
            <w:r w:rsidR="00207BF5" w:rsidRPr="0042750D">
              <w:rPr>
                <w:rFonts w:asciiTheme="majorBidi" w:hAnsiTheme="majorBidi" w:cstheme="majorBidi"/>
                <w:bCs/>
              </w:rPr>
              <w:t>209</w:t>
            </w:r>
            <w:r w:rsidRPr="0042750D">
              <w:rPr>
                <w:rFonts w:asciiTheme="majorBidi" w:hAnsiTheme="majorBidi" w:cstheme="majorBidi"/>
                <w:bCs/>
              </w:rPr>
              <w:t xml:space="preserve"> (DUBAI, 2018) – Encouraging the participation of small and medium enterprises in the work of the Union</w:t>
            </w:r>
          </w:p>
        </w:tc>
        <w:tc>
          <w:tcPr>
            <w:tcW w:w="882" w:type="dxa"/>
            <w:tcBorders>
              <w:left w:val="single" w:sz="12" w:space="0" w:color="auto"/>
            </w:tcBorders>
          </w:tcPr>
          <w:p w14:paraId="7E81480E" w14:textId="5898B1EE"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40B643B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2B4F817E" w14:textId="2493E3D9"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24278E59" w14:textId="5C0B8746" w:rsidR="00F0236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05EFED35" w14:textId="77777777" w:rsidR="00E5450A" w:rsidRPr="0042750D"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TSBDir</w:t>
            </w:r>
          </w:p>
          <w:p w14:paraId="1C8CC26D" w14:textId="606BC658" w:rsidR="00F0236A" w:rsidRPr="0042750D" w:rsidRDefault="00E5450A" w:rsidP="00E5450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MS</w:t>
            </w:r>
          </w:p>
        </w:tc>
        <w:tc>
          <w:tcPr>
            <w:tcW w:w="866" w:type="dxa"/>
            <w:tcBorders>
              <w:left w:val="single" w:sz="12" w:space="0" w:color="auto"/>
            </w:tcBorders>
          </w:tcPr>
          <w:p w14:paraId="5F0B9E1F"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5BBDF2E3" w14:textId="53AFB8F8"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211BD053" w14:textId="1330D6DE"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4313BC2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6726AA6A"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51649AD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1B943CD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2750D" w14:paraId="25EC8D68" w14:textId="77777777" w:rsidTr="00E65A97">
        <w:trPr>
          <w:cantSplit/>
          <w:jc w:val="center"/>
        </w:trPr>
        <w:tc>
          <w:tcPr>
            <w:tcW w:w="3088" w:type="dxa"/>
            <w:tcBorders>
              <w:right w:val="single" w:sz="12" w:space="0" w:color="auto"/>
            </w:tcBorders>
            <w:shd w:val="clear" w:color="auto" w:fill="auto"/>
            <w:vAlign w:val="center"/>
          </w:tcPr>
          <w:p w14:paraId="247B4864" w14:textId="343F502D" w:rsidR="00F0236A" w:rsidRPr="0042750D"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42750D">
              <w:rPr>
                <w:rFonts w:asciiTheme="majorBidi" w:hAnsiTheme="majorBidi" w:cstheme="majorBidi"/>
                <w:bCs/>
              </w:rPr>
              <w:t xml:space="preserve">RESOLUTION </w:t>
            </w:r>
            <w:r w:rsidR="00977B7C" w:rsidRPr="0042750D">
              <w:rPr>
                <w:rFonts w:asciiTheme="majorBidi" w:hAnsiTheme="majorBidi" w:cstheme="majorBidi"/>
                <w:bCs/>
              </w:rPr>
              <w:t>211</w:t>
            </w:r>
            <w:r w:rsidRPr="0042750D">
              <w:rPr>
                <w:rFonts w:asciiTheme="majorBidi" w:hAnsiTheme="majorBidi" w:cstheme="majorBidi"/>
                <w:bCs/>
              </w:rPr>
              <w:t xml:space="preserve"> (DUBAI, 2018) – Support for the Iraqi Du3M 2025 initiative for advancement of the telecommunication and information technology sectors</w:t>
            </w:r>
          </w:p>
        </w:tc>
        <w:tc>
          <w:tcPr>
            <w:tcW w:w="882" w:type="dxa"/>
            <w:tcBorders>
              <w:left w:val="single" w:sz="12" w:space="0" w:color="auto"/>
            </w:tcBorders>
          </w:tcPr>
          <w:p w14:paraId="2894F494" w14:textId="20216B05"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757799D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0855E9A2" w14:textId="44E1A91C"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62F0B08F" w14:textId="6D66E728" w:rsidR="00F0236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0FB08403" w14:textId="77777777" w:rsidR="00E5450A" w:rsidRPr="0042750D"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TSBDir</w:t>
            </w:r>
          </w:p>
          <w:p w14:paraId="46B24D71" w14:textId="01C52D4D" w:rsidR="00F0236A" w:rsidRPr="0042750D" w:rsidRDefault="00E5450A" w:rsidP="00E5450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MS</w:t>
            </w:r>
          </w:p>
        </w:tc>
        <w:tc>
          <w:tcPr>
            <w:tcW w:w="866" w:type="dxa"/>
            <w:tcBorders>
              <w:left w:val="single" w:sz="12" w:space="0" w:color="auto"/>
            </w:tcBorders>
          </w:tcPr>
          <w:p w14:paraId="4151CCAE"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7A2606E0" w14:textId="7FAA573D"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1FE2AD26" w14:textId="09B4FF14"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56194253"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22125AD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3533F180"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24C49DF5"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0476C9" w:rsidRPr="0042750D" w14:paraId="42381FDC" w14:textId="77777777" w:rsidTr="00E65A97">
        <w:trPr>
          <w:cantSplit/>
          <w:jc w:val="center"/>
        </w:trPr>
        <w:tc>
          <w:tcPr>
            <w:tcW w:w="3088" w:type="dxa"/>
            <w:tcBorders>
              <w:right w:val="single" w:sz="12" w:space="0" w:color="auto"/>
            </w:tcBorders>
            <w:shd w:val="clear" w:color="auto" w:fill="auto"/>
          </w:tcPr>
          <w:p w14:paraId="7EF99A9B" w14:textId="43ED995F" w:rsidR="00F0236A" w:rsidRPr="0042750D"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42750D">
              <w:rPr>
                <w:rFonts w:asciiTheme="majorBidi" w:hAnsiTheme="majorBidi" w:cstheme="majorBidi"/>
              </w:rPr>
              <w:t xml:space="preserve">RESOLUTION </w:t>
            </w:r>
            <w:r w:rsidR="00F57094" w:rsidRPr="0042750D">
              <w:rPr>
                <w:rFonts w:asciiTheme="majorBidi" w:hAnsiTheme="majorBidi" w:cstheme="majorBidi"/>
              </w:rPr>
              <w:t>213</w:t>
            </w:r>
            <w:r w:rsidRPr="0042750D">
              <w:rPr>
                <w:rFonts w:asciiTheme="majorBidi" w:hAnsiTheme="majorBidi" w:cstheme="majorBidi"/>
              </w:rPr>
              <w:t xml:space="preserve"> (DUBAI, 2018) – Measures to improve, promote and strengthen ITU fellowships</w:t>
            </w:r>
          </w:p>
        </w:tc>
        <w:tc>
          <w:tcPr>
            <w:tcW w:w="882" w:type="dxa"/>
            <w:tcBorders>
              <w:left w:val="single" w:sz="12" w:space="0" w:color="auto"/>
            </w:tcBorders>
          </w:tcPr>
          <w:p w14:paraId="48AD259E" w14:textId="58BEB870"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588FB3C"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631B08A8"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1F280966" w14:textId="68A01FC6" w:rsidR="00F0236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637F86E4" w14:textId="77777777" w:rsidR="00E5450A" w:rsidRPr="0042750D"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SecGen</w:t>
            </w:r>
          </w:p>
          <w:p w14:paraId="2E66C7CC" w14:textId="77777777" w:rsidR="00E5450A" w:rsidRPr="0042750D"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TSBDir</w:t>
            </w:r>
          </w:p>
          <w:p w14:paraId="5DFD44E7" w14:textId="380BB753" w:rsidR="00F0236A" w:rsidRPr="0042750D" w:rsidRDefault="00E5450A" w:rsidP="00E5450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MS</w:t>
            </w:r>
          </w:p>
        </w:tc>
        <w:tc>
          <w:tcPr>
            <w:tcW w:w="866" w:type="dxa"/>
            <w:tcBorders>
              <w:left w:val="single" w:sz="12" w:space="0" w:color="auto"/>
            </w:tcBorders>
          </w:tcPr>
          <w:p w14:paraId="58492A42"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09E705BD"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7ED3DC61"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0BA6256"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295B42B4" w14:textId="61EFE218" w:rsidR="00F0236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976" w:type="dxa"/>
          </w:tcPr>
          <w:p w14:paraId="2D1AB57B"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74B0EB19" w14:textId="77777777" w:rsidR="00F0236A" w:rsidRPr="0042750D" w:rsidRDefault="00F0236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42750D" w14:paraId="4165BDE1" w14:textId="77777777" w:rsidTr="00E65A97">
        <w:trPr>
          <w:cantSplit/>
          <w:jc w:val="center"/>
        </w:trPr>
        <w:tc>
          <w:tcPr>
            <w:tcW w:w="3088" w:type="dxa"/>
            <w:tcBorders>
              <w:right w:val="single" w:sz="12" w:space="0" w:color="auto"/>
            </w:tcBorders>
            <w:shd w:val="clear" w:color="auto" w:fill="auto"/>
          </w:tcPr>
          <w:p w14:paraId="73E3BEDC" w14:textId="3D5C3630" w:rsidR="00E5450A" w:rsidRPr="0042750D"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42750D">
              <w:rPr>
                <w:rFonts w:asciiTheme="majorBidi" w:hAnsiTheme="majorBidi" w:cstheme="majorBidi"/>
              </w:rPr>
              <w:t>DECISION 12 (REV. BUSAN, 2014) – Free online access to ITU publications</w:t>
            </w:r>
          </w:p>
        </w:tc>
        <w:tc>
          <w:tcPr>
            <w:tcW w:w="882" w:type="dxa"/>
            <w:tcBorders>
              <w:left w:val="single" w:sz="12" w:space="0" w:color="auto"/>
            </w:tcBorders>
          </w:tcPr>
          <w:p w14:paraId="031E0146"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1239DF1"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3E6EF348"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4177DBA3" w14:textId="1597A7DB"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1CD7577E" w14:textId="77777777" w:rsidR="00E5450A" w:rsidRPr="0042750D"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SG</w:t>
            </w:r>
          </w:p>
          <w:p w14:paraId="2E31C4D2" w14:textId="0C444695" w:rsidR="00E5450A" w:rsidRPr="0042750D"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Council</w:t>
            </w:r>
          </w:p>
        </w:tc>
        <w:tc>
          <w:tcPr>
            <w:tcW w:w="866" w:type="dxa"/>
            <w:tcBorders>
              <w:left w:val="single" w:sz="12" w:space="0" w:color="auto"/>
            </w:tcBorders>
          </w:tcPr>
          <w:p w14:paraId="46588681"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4D2CD103"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4B5B4B3D"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08623343"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3A554B7C"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53DAC16"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59FFB23D"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42750D" w14:paraId="301787BF" w14:textId="77777777" w:rsidTr="00E65A97">
        <w:trPr>
          <w:cantSplit/>
          <w:jc w:val="center"/>
        </w:trPr>
        <w:tc>
          <w:tcPr>
            <w:tcW w:w="3088" w:type="dxa"/>
            <w:tcBorders>
              <w:right w:val="single" w:sz="12" w:space="0" w:color="auto"/>
            </w:tcBorders>
            <w:shd w:val="clear" w:color="auto" w:fill="auto"/>
          </w:tcPr>
          <w:p w14:paraId="0404A59C" w14:textId="34B25F55" w:rsidR="00E5450A" w:rsidRPr="0042750D"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42750D">
              <w:rPr>
                <w:rFonts w:asciiTheme="majorBidi" w:hAnsiTheme="majorBidi" w:cstheme="majorBidi"/>
              </w:rPr>
              <w:t>DECISION 14 (BUSAN, 2014) – Use of hyperlinks in ITU documents</w:t>
            </w:r>
          </w:p>
        </w:tc>
        <w:tc>
          <w:tcPr>
            <w:tcW w:w="882" w:type="dxa"/>
            <w:tcBorders>
              <w:left w:val="single" w:sz="12" w:space="0" w:color="auto"/>
            </w:tcBorders>
          </w:tcPr>
          <w:p w14:paraId="4151F557" w14:textId="3A000051"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855" w:type="dxa"/>
          </w:tcPr>
          <w:p w14:paraId="003DDB44" w14:textId="2D19055C"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843" w:type="dxa"/>
          </w:tcPr>
          <w:p w14:paraId="60116CF5" w14:textId="33EF5D69"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075" w:type="dxa"/>
            <w:tcBorders>
              <w:right w:val="single" w:sz="4" w:space="0" w:color="auto"/>
            </w:tcBorders>
          </w:tcPr>
          <w:p w14:paraId="178DE81F" w14:textId="00DF4776"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3A0EAB74" w14:textId="0A421E6C" w:rsidR="00E5450A" w:rsidRPr="0042750D"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All ITU</w:t>
            </w:r>
          </w:p>
        </w:tc>
        <w:tc>
          <w:tcPr>
            <w:tcW w:w="866" w:type="dxa"/>
            <w:tcBorders>
              <w:left w:val="single" w:sz="12" w:space="0" w:color="auto"/>
            </w:tcBorders>
          </w:tcPr>
          <w:p w14:paraId="5FD451D6"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F5470A1"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1571D44A"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4AE9E1D7"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0989CF79"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06E90AAF"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354B981E"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42750D" w14:paraId="1481FECB" w14:textId="77777777" w:rsidTr="00E65A97">
        <w:trPr>
          <w:cantSplit/>
          <w:jc w:val="center"/>
        </w:trPr>
        <w:tc>
          <w:tcPr>
            <w:tcW w:w="3088" w:type="dxa"/>
            <w:tcBorders>
              <w:right w:val="single" w:sz="12" w:space="0" w:color="auto"/>
            </w:tcBorders>
            <w:shd w:val="clear" w:color="auto" w:fill="auto"/>
          </w:tcPr>
          <w:p w14:paraId="11AF2717" w14:textId="1DEC3426" w:rsidR="00E5450A" w:rsidRPr="0042750D" w:rsidRDefault="00CB5FDE" w:rsidP="00CB5FDE">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42750D">
              <w:rPr>
                <w:rFonts w:asciiTheme="majorBidi" w:hAnsiTheme="majorBidi" w:cstheme="majorBidi"/>
              </w:rPr>
              <w:t xml:space="preserve">COM5 </w:t>
            </w:r>
            <w:r w:rsidR="00E5450A" w:rsidRPr="0042750D">
              <w:rPr>
                <w:rFonts w:asciiTheme="majorBidi" w:hAnsiTheme="majorBidi" w:cstheme="majorBidi"/>
              </w:rPr>
              <w:t xml:space="preserve">RECOMMENDATION </w:t>
            </w:r>
            <w:r w:rsidRPr="0042750D">
              <w:rPr>
                <w:rFonts w:asciiTheme="majorBidi" w:hAnsiTheme="majorBidi" w:cstheme="majorBidi"/>
              </w:rPr>
              <w:t>3</w:t>
            </w:r>
            <w:r w:rsidR="00E5450A" w:rsidRPr="0042750D">
              <w:rPr>
                <w:rFonts w:asciiTheme="majorBidi" w:hAnsiTheme="majorBidi" w:cstheme="majorBidi"/>
              </w:rPr>
              <w:t xml:space="preserve"> (DUBAI, 2018) – Streamlining</w:t>
            </w:r>
          </w:p>
        </w:tc>
        <w:tc>
          <w:tcPr>
            <w:tcW w:w="882" w:type="dxa"/>
            <w:tcBorders>
              <w:left w:val="single" w:sz="12" w:space="0" w:color="auto"/>
            </w:tcBorders>
          </w:tcPr>
          <w:p w14:paraId="077B5661" w14:textId="27AC7B90"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855" w:type="dxa"/>
          </w:tcPr>
          <w:p w14:paraId="21AD837C"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1899E106"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625A66C3" w14:textId="1F0D0879"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4EB66D14" w14:textId="77777777" w:rsidR="00E5450A" w:rsidRPr="0042750D"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TSB</w:t>
            </w:r>
          </w:p>
          <w:p w14:paraId="412540E6" w14:textId="4783696A" w:rsidR="00E5450A" w:rsidRPr="0042750D"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MS</w:t>
            </w:r>
          </w:p>
        </w:tc>
        <w:tc>
          <w:tcPr>
            <w:tcW w:w="866" w:type="dxa"/>
            <w:tcBorders>
              <w:left w:val="single" w:sz="12" w:space="0" w:color="auto"/>
            </w:tcBorders>
          </w:tcPr>
          <w:p w14:paraId="4D378D46"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7338879"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F078630"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EB3BF6C"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70C35FDC"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12415BA8"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706602B0"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42750D" w14:paraId="5231C002" w14:textId="77777777" w:rsidTr="00E65A97">
        <w:trPr>
          <w:cantSplit/>
          <w:jc w:val="center"/>
        </w:trPr>
        <w:tc>
          <w:tcPr>
            <w:tcW w:w="3088" w:type="dxa"/>
            <w:tcBorders>
              <w:right w:val="single" w:sz="12" w:space="0" w:color="auto"/>
            </w:tcBorders>
            <w:shd w:val="clear" w:color="auto" w:fill="auto"/>
          </w:tcPr>
          <w:p w14:paraId="327B7F4F" w14:textId="7D08E473" w:rsidR="00E5450A" w:rsidRPr="0042750D" w:rsidRDefault="00CB5FDE"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42750D">
              <w:rPr>
                <w:rFonts w:asciiTheme="majorBidi" w:hAnsiTheme="majorBidi" w:cstheme="majorBidi"/>
              </w:rPr>
              <w:t>COM6 RECOMMENDATION 33</w:t>
            </w:r>
            <w:r w:rsidR="00E5450A" w:rsidRPr="0042750D">
              <w:rPr>
                <w:rFonts w:asciiTheme="majorBidi" w:hAnsiTheme="majorBidi" w:cstheme="majorBidi"/>
              </w:rPr>
              <w:t xml:space="preserve"> (DUBAI, 2018) – Non-discriminatory international standards</w:t>
            </w:r>
          </w:p>
        </w:tc>
        <w:tc>
          <w:tcPr>
            <w:tcW w:w="882" w:type="dxa"/>
            <w:tcBorders>
              <w:left w:val="single" w:sz="12" w:space="0" w:color="auto"/>
            </w:tcBorders>
          </w:tcPr>
          <w:p w14:paraId="46CFC288" w14:textId="69D5459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855" w:type="dxa"/>
          </w:tcPr>
          <w:p w14:paraId="2B66A42A" w14:textId="35DB9E5A"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843" w:type="dxa"/>
          </w:tcPr>
          <w:p w14:paraId="1BB4A10C"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7B930F44"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53BD8F99" w14:textId="5C39531A" w:rsidR="00E5450A" w:rsidRPr="0042750D"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Membership</w:t>
            </w:r>
          </w:p>
        </w:tc>
        <w:tc>
          <w:tcPr>
            <w:tcW w:w="866" w:type="dxa"/>
            <w:tcBorders>
              <w:left w:val="single" w:sz="12" w:space="0" w:color="auto"/>
            </w:tcBorders>
          </w:tcPr>
          <w:p w14:paraId="2A3AD001"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2D4A6DA9"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1B5DC82F"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77D57A1A"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53BA3F24"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2B15201F"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647E0925"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42750D" w14:paraId="529151A8" w14:textId="77777777" w:rsidTr="00E65A97">
        <w:trPr>
          <w:cantSplit/>
          <w:jc w:val="center"/>
        </w:trPr>
        <w:tc>
          <w:tcPr>
            <w:tcW w:w="3088" w:type="dxa"/>
            <w:tcBorders>
              <w:right w:val="single" w:sz="12" w:space="0" w:color="auto"/>
            </w:tcBorders>
            <w:shd w:val="clear" w:color="auto" w:fill="auto"/>
          </w:tcPr>
          <w:p w14:paraId="1F9FA715" w14:textId="46DADD5C" w:rsidR="00E5450A" w:rsidRPr="0042750D" w:rsidRDefault="00CB5FDE" w:rsidP="00CB5FDE">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42750D">
              <w:rPr>
                <w:rFonts w:asciiTheme="majorBidi" w:hAnsiTheme="majorBidi" w:cstheme="majorBidi"/>
              </w:rPr>
              <w:t xml:space="preserve">COM5 </w:t>
            </w:r>
            <w:r w:rsidR="00E5450A" w:rsidRPr="0042750D">
              <w:rPr>
                <w:rFonts w:asciiTheme="majorBidi" w:hAnsiTheme="majorBidi" w:cstheme="majorBidi"/>
              </w:rPr>
              <w:t xml:space="preserve">RECOMMENDATION </w:t>
            </w:r>
            <w:r w:rsidRPr="0042750D">
              <w:rPr>
                <w:rFonts w:asciiTheme="majorBidi" w:hAnsiTheme="majorBidi" w:cstheme="majorBidi"/>
              </w:rPr>
              <w:t>8</w:t>
            </w:r>
            <w:r w:rsidR="00E5450A" w:rsidRPr="0042750D">
              <w:rPr>
                <w:rFonts w:asciiTheme="majorBidi" w:hAnsiTheme="majorBidi" w:cstheme="majorBidi"/>
              </w:rPr>
              <w:t xml:space="preserve"> (DUBAI, 2018) – Regional Groups</w:t>
            </w:r>
          </w:p>
        </w:tc>
        <w:tc>
          <w:tcPr>
            <w:tcW w:w="882" w:type="dxa"/>
            <w:tcBorders>
              <w:left w:val="single" w:sz="12" w:space="0" w:color="auto"/>
            </w:tcBorders>
          </w:tcPr>
          <w:p w14:paraId="4AD9A18D" w14:textId="1BA48B8C"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855" w:type="dxa"/>
          </w:tcPr>
          <w:p w14:paraId="1A177EA8"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1262C41B"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720A07D0"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634" w:type="dxa"/>
            <w:tcBorders>
              <w:left w:val="single" w:sz="4" w:space="0" w:color="auto"/>
              <w:right w:val="single" w:sz="12" w:space="0" w:color="auto"/>
            </w:tcBorders>
          </w:tcPr>
          <w:p w14:paraId="05DAA5C3" w14:textId="188A8A1F" w:rsidR="00E5450A" w:rsidRPr="0042750D"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Membership</w:t>
            </w:r>
          </w:p>
        </w:tc>
        <w:tc>
          <w:tcPr>
            <w:tcW w:w="866" w:type="dxa"/>
            <w:tcBorders>
              <w:left w:val="single" w:sz="12" w:space="0" w:color="auto"/>
            </w:tcBorders>
          </w:tcPr>
          <w:p w14:paraId="3015CC3C"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4F48DB95"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391CCF67"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214D67F4"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3199C4B2"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6" w:type="dxa"/>
          </w:tcPr>
          <w:p w14:paraId="731BBE52"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0A6151F1"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r w:rsidR="00E5450A" w:rsidRPr="0042750D" w14:paraId="679C0468" w14:textId="77777777" w:rsidTr="00E65A97">
        <w:trPr>
          <w:cantSplit/>
          <w:jc w:val="center"/>
        </w:trPr>
        <w:tc>
          <w:tcPr>
            <w:tcW w:w="3088" w:type="dxa"/>
            <w:tcBorders>
              <w:right w:val="single" w:sz="12" w:space="0" w:color="auto"/>
            </w:tcBorders>
            <w:shd w:val="clear" w:color="auto" w:fill="auto"/>
          </w:tcPr>
          <w:p w14:paraId="4817D687" w14:textId="19334783" w:rsidR="00E5450A" w:rsidRPr="0042750D" w:rsidRDefault="00E5450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42750D">
              <w:rPr>
                <w:rFonts w:asciiTheme="majorBidi" w:hAnsiTheme="majorBidi" w:cstheme="majorBidi"/>
              </w:rPr>
              <w:t>RECOMMENDATION AD (DUBAI, 2018) – MoUs with substantial financial and/or strategic implications</w:t>
            </w:r>
          </w:p>
        </w:tc>
        <w:tc>
          <w:tcPr>
            <w:tcW w:w="882" w:type="dxa"/>
            <w:tcBorders>
              <w:left w:val="single" w:sz="12" w:space="0" w:color="auto"/>
            </w:tcBorders>
          </w:tcPr>
          <w:p w14:paraId="558DDAC0"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55" w:type="dxa"/>
          </w:tcPr>
          <w:p w14:paraId="3E0DCC32"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843" w:type="dxa"/>
          </w:tcPr>
          <w:p w14:paraId="325F68D7"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75" w:type="dxa"/>
            <w:tcBorders>
              <w:right w:val="single" w:sz="4" w:space="0" w:color="auto"/>
            </w:tcBorders>
          </w:tcPr>
          <w:p w14:paraId="1145CF4F" w14:textId="5F4B204A"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1634" w:type="dxa"/>
            <w:tcBorders>
              <w:left w:val="single" w:sz="4" w:space="0" w:color="auto"/>
              <w:right w:val="single" w:sz="12" w:space="0" w:color="auto"/>
            </w:tcBorders>
          </w:tcPr>
          <w:p w14:paraId="3E2EBCF3" w14:textId="55B0AC2F" w:rsidR="00E5450A" w:rsidRPr="0042750D" w:rsidRDefault="00E5450A" w:rsidP="00E5450A">
            <w:pPr>
              <w:pStyle w:val="Tabletext"/>
              <w:tabs>
                <w:tab w:val="clear" w:pos="1134"/>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Membership</w:t>
            </w:r>
          </w:p>
        </w:tc>
        <w:tc>
          <w:tcPr>
            <w:tcW w:w="866" w:type="dxa"/>
            <w:tcBorders>
              <w:left w:val="single" w:sz="12" w:space="0" w:color="auto"/>
            </w:tcBorders>
          </w:tcPr>
          <w:p w14:paraId="22139969"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5" w:type="dxa"/>
          </w:tcPr>
          <w:p w14:paraId="64F11088"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723" w:type="dxa"/>
            <w:tcBorders>
              <w:right w:val="single" w:sz="12" w:space="0" w:color="auto"/>
            </w:tcBorders>
          </w:tcPr>
          <w:p w14:paraId="0F1424E0"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974" w:type="dxa"/>
            <w:tcBorders>
              <w:left w:val="single" w:sz="12" w:space="0" w:color="auto"/>
            </w:tcBorders>
          </w:tcPr>
          <w:p w14:paraId="12D75555"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1084" w:type="dxa"/>
          </w:tcPr>
          <w:p w14:paraId="69F15AF1" w14:textId="60229D75"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r w:rsidRPr="0042750D">
              <w:rPr>
                <w:rFonts w:asciiTheme="majorBidi" w:hAnsiTheme="majorBidi" w:cstheme="majorBidi"/>
              </w:rPr>
              <w:t>X</w:t>
            </w:r>
          </w:p>
        </w:tc>
        <w:tc>
          <w:tcPr>
            <w:tcW w:w="976" w:type="dxa"/>
          </w:tcPr>
          <w:p w14:paraId="6B3AD12D"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c>
          <w:tcPr>
            <w:tcW w:w="657" w:type="dxa"/>
          </w:tcPr>
          <w:p w14:paraId="4A778E54" w14:textId="77777777" w:rsidR="00E5450A" w:rsidRPr="0042750D" w:rsidRDefault="00E5450A" w:rsidP="006246F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jc w:val="center"/>
              <w:rPr>
                <w:rFonts w:asciiTheme="majorBidi" w:hAnsiTheme="majorBidi" w:cstheme="majorBidi"/>
              </w:rPr>
            </w:pPr>
          </w:p>
        </w:tc>
      </w:tr>
    </w:tbl>
    <w:p w14:paraId="7E2B0579" w14:textId="77777777" w:rsidR="00F0236A" w:rsidRPr="0042750D" w:rsidRDefault="00F0236A" w:rsidP="00F0236A">
      <w:pPr>
        <w:pStyle w:val="Tablelegend"/>
        <w:rPr>
          <w:b/>
          <w:bCs/>
        </w:rPr>
      </w:pPr>
      <w:r w:rsidRPr="0042750D">
        <w:rPr>
          <w:b/>
          <w:bCs/>
        </w:rPr>
        <w:t>Legend:</w:t>
      </w:r>
    </w:p>
    <w:p w14:paraId="537DE8E5" w14:textId="77777777" w:rsidR="00F0236A" w:rsidRPr="0042750D" w:rsidRDefault="00F0236A" w:rsidP="00F0236A">
      <w:pPr>
        <w:pStyle w:val="Tablelegend"/>
        <w:rPr>
          <w:sz w:val="24"/>
          <w:szCs w:val="24"/>
        </w:rPr>
      </w:pPr>
      <w:r w:rsidRPr="0042750D">
        <w:rPr>
          <w:sz w:val="24"/>
          <w:szCs w:val="24"/>
        </w:rPr>
        <w:t>*</w:t>
      </w:r>
      <w:r w:rsidRPr="0042750D">
        <w:rPr>
          <w:sz w:val="24"/>
          <w:szCs w:val="24"/>
        </w:rPr>
        <w:tab/>
        <w:t>Numbers in the Resolution Number column are hyperlinked to the full texts of the published Resolutions</w:t>
      </w:r>
    </w:p>
    <w:p w14:paraId="205C6F70" w14:textId="77777777" w:rsidR="00F0236A" w:rsidRPr="0042750D" w:rsidRDefault="00F0236A" w:rsidP="00F0236A">
      <w:pPr>
        <w:pStyle w:val="Tablelegend"/>
        <w:rPr>
          <w:sz w:val="24"/>
          <w:szCs w:val="24"/>
        </w:rPr>
      </w:pPr>
      <w:r w:rsidRPr="0042750D">
        <w:rPr>
          <w:sz w:val="24"/>
          <w:szCs w:val="24"/>
        </w:rPr>
        <w:t>**</w:t>
      </w:r>
      <w:r w:rsidRPr="0042750D">
        <w:rPr>
          <w:sz w:val="24"/>
          <w:szCs w:val="24"/>
        </w:rPr>
        <w:tab/>
        <w:t>The Resolution titles are hyperlinked to the status reports in this document below</w:t>
      </w:r>
    </w:p>
    <w:p w14:paraId="152BD1CA" w14:textId="77777777" w:rsidR="00F0236A" w:rsidRPr="0042750D" w:rsidRDefault="00F0236A" w:rsidP="00F0236A">
      <w:pPr>
        <w:pStyle w:val="Tablelegend"/>
        <w:rPr>
          <w:sz w:val="24"/>
          <w:szCs w:val="24"/>
        </w:rPr>
      </w:pPr>
      <w:r w:rsidRPr="0042750D">
        <w:rPr>
          <w:sz w:val="24"/>
          <w:szCs w:val="24"/>
        </w:rPr>
        <w:t>GCA</w:t>
      </w:r>
      <w:r w:rsidRPr="0042750D">
        <w:rPr>
          <w:sz w:val="24"/>
          <w:szCs w:val="24"/>
        </w:rPr>
        <w:tab/>
      </w:r>
      <w:r w:rsidRPr="0042750D">
        <w:rPr>
          <w:sz w:val="24"/>
          <w:szCs w:val="24"/>
        </w:rPr>
        <w:tab/>
        <w:t>: Global Cybersecurity Agenda</w:t>
      </w:r>
    </w:p>
    <w:p w14:paraId="4D1BEB67" w14:textId="77777777" w:rsidR="00F0236A" w:rsidRPr="0042750D" w:rsidRDefault="00F0236A" w:rsidP="00F0236A">
      <w:pPr>
        <w:pStyle w:val="Tablelegend"/>
        <w:rPr>
          <w:sz w:val="24"/>
          <w:szCs w:val="24"/>
        </w:rPr>
      </w:pPr>
      <w:r w:rsidRPr="0042750D">
        <w:rPr>
          <w:sz w:val="24"/>
          <w:szCs w:val="24"/>
        </w:rPr>
        <w:t>GenSec</w:t>
      </w:r>
      <w:r w:rsidRPr="0042750D">
        <w:rPr>
          <w:sz w:val="24"/>
          <w:szCs w:val="24"/>
        </w:rPr>
        <w:tab/>
        <w:t>: General Secretariat</w:t>
      </w:r>
    </w:p>
    <w:p w14:paraId="4322B106" w14:textId="77777777" w:rsidR="00F0236A" w:rsidRPr="0042750D" w:rsidRDefault="00F0236A" w:rsidP="00F0236A">
      <w:pPr>
        <w:pStyle w:val="Tablelegend"/>
        <w:rPr>
          <w:sz w:val="24"/>
          <w:szCs w:val="24"/>
        </w:rPr>
      </w:pPr>
      <w:r w:rsidRPr="0042750D">
        <w:rPr>
          <w:sz w:val="24"/>
          <w:szCs w:val="24"/>
        </w:rPr>
        <w:t>ISCG</w:t>
      </w:r>
      <w:r w:rsidRPr="0042750D">
        <w:rPr>
          <w:sz w:val="24"/>
          <w:szCs w:val="24"/>
        </w:rPr>
        <w:tab/>
      </w:r>
      <w:r w:rsidRPr="0042750D">
        <w:rPr>
          <w:sz w:val="24"/>
          <w:szCs w:val="24"/>
        </w:rPr>
        <w:tab/>
        <w:t>: Inter-Sector Coordination Group</w:t>
      </w:r>
    </w:p>
    <w:p w14:paraId="24EE0E85" w14:textId="77777777" w:rsidR="00F0236A" w:rsidRPr="0042750D" w:rsidRDefault="00F0236A" w:rsidP="00F0236A">
      <w:pPr>
        <w:pStyle w:val="Tablelegend"/>
        <w:rPr>
          <w:sz w:val="24"/>
          <w:szCs w:val="24"/>
        </w:rPr>
      </w:pPr>
      <w:r w:rsidRPr="0042750D">
        <w:rPr>
          <w:sz w:val="24"/>
          <w:szCs w:val="24"/>
        </w:rPr>
        <w:t>ISCTF</w:t>
      </w:r>
      <w:r w:rsidRPr="0042750D">
        <w:rPr>
          <w:sz w:val="24"/>
          <w:szCs w:val="24"/>
        </w:rPr>
        <w:tab/>
        <w:t>: Inter-Sector Coordination Task Force</w:t>
      </w:r>
    </w:p>
    <w:p w14:paraId="5BAFC7E6" w14:textId="77777777" w:rsidR="00F0236A" w:rsidRPr="0042750D" w:rsidRDefault="00F0236A" w:rsidP="00F0236A">
      <w:pPr>
        <w:pStyle w:val="Tablelegend"/>
        <w:rPr>
          <w:sz w:val="24"/>
          <w:szCs w:val="24"/>
        </w:rPr>
      </w:pPr>
      <w:r w:rsidRPr="0042750D">
        <w:rPr>
          <w:sz w:val="24"/>
          <w:szCs w:val="24"/>
        </w:rPr>
        <w:t>MS</w:t>
      </w:r>
      <w:r w:rsidRPr="0042750D">
        <w:rPr>
          <w:sz w:val="24"/>
          <w:szCs w:val="24"/>
        </w:rPr>
        <w:tab/>
      </w:r>
      <w:r w:rsidRPr="0042750D">
        <w:rPr>
          <w:sz w:val="24"/>
          <w:szCs w:val="24"/>
        </w:rPr>
        <w:tab/>
        <w:t>: Member States</w:t>
      </w:r>
    </w:p>
    <w:p w14:paraId="0194BC9E" w14:textId="77777777" w:rsidR="00F0236A" w:rsidRPr="0042750D" w:rsidRDefault="00F0236A" w:rsidP="00F0236A">
      <w:pPr>
        <w:pStyle w:val="Tablelegend"/>
        <w:rPr>
          <w:sz w:val="24"/>
          <w:szCs w:val="24"/>
        </w:rPr>
      </w:pPr>
      <w:r w:rsidRPr="0042750D">
        <w:rPr>
          <w:sz w:val="24"/>
          <w:szCs w:val="24"/>
        </w:rPr>
        <w:t>PP</w:t>
      </w:r>
      <w:r w:rsidRPr="0042750D">
        <w:rPr>
          <w:sz w:val="24"/>
          <w:szCs w:val="24"/>
        </w:rPr>
        <w:tab/>
      </w:r>
      <w:r w:rsidRPr="0042750D">
        <w:rPr>
          <w:sz w:val="24"/>
          <w:szCs w:val="24"/>
        </w:rPr>
        <w:tab/>
      </w:r>
      <w:r w:rsidRPr="0042750D">
        <w:rPr>
          <w:sz w:val="24"/>
          <w:szCs w:val="24"/>
        </w:rPr>
        <w:tab/>
        <w:t>: Plenipotentiary Conference</w:t>
      </w:r>
    </w:p>
    <w:p w14:paraId="4214A8C1" w14:textId="77777777" w:rsidR="00F0236A" w:rsidRPr="0042750D" w:rsidRDefault="00F0236A" w:rsidP="00F0236A">
      <w:pPr>
        <w:pStyle w:val="Tablelegend"/>
        <w:rPr>
          <w:sz w:val="24"/>
          <w:szCs w:val="24"/>
        </w:rPr>
      </w:pPr>
      <w:r w:rsidRPr="0042750D">
        <w:rPr>
          <w:sz w:val="24"/>
          <w:szCs w:val="24"/>
        </w:rPr>
        <w:t>SecGen</w:t>
      </w:r>
      <w:r w:rsidRPr="0042750D">
        <w:rPr>
          <w:sz w:val="24"/>
          <w:szCs w:val="24"/>
        </w:rPr>
        <w:tab/>
        <w:t>: ITU Secretary-General</w:t>
      </w:r>
    </w:p>
    <w:p w14:paraId="2D9AC62A" w14:textId="77777777" w:rsidR="00F0236A" w:rsidRPr="0042750D" w:rsidRDefault="00F0236A" w:rsidP="00F0236A">
      <w:pPr>
        <w:pStyle w:val="Tablelegend"/>
        <w:rPr>
          <w:sz w:val="24"/>
          <w:szCs w:val="24"/>
        </w:rPr>
      </w:pPr>
      <w:r w:rsidRPr="0042750D">
        <w:rPr>
          <w:sz w:val="24"/>
          <w:szCs w:val="24"/>
        </w:rPr>
        <w:t>SG</w:t>
      </w:r>
      <w:r w:rsidRPr="0042750D">
        <w:rPr>
          <w:sz w:val="24"/>
          <w:szCs w:val="24"/>
        </w:rPr>
        <w:tab/>
      </w:r>
      <w:r w:rsidRPr="0042750D">
        <w:rPr>
          <w:sz w:val="24"/>
          <w:szCs w:val="24"/>
        </w:rPr>
        <w:tab/>
        <w:t>: Study Group</w:t>
      </w:r>
    </w:p>
    <w:p w14:paraId="25B0F43A" w14:textId="77777777" w:rsidR="00F0236A" w:rsidRPr="0042750D" w:rsidRDefault="00F0236A" w:rsidP="00F0236A">
      <w:pPr>
        <w:pStyle w:val="Tablelegend"/>
        <w:rPr>
          <w:sz w:val="24"/>
          <w:szCs w:val="24"/>
        </w:rPr>
      </w:pPr>
      <w:r w:rsidRPr="0042750D">
        <w:rPr>
          <w:sz w:val="24"/>
          <w:szCs w:val="24"/>
        </w:rPr>
        <w:t>SM</w:t>
      </w:r>
      <w:r w:rsidRPr="0042750D">
        <w:rPr>
          <w:sz w:val="24"/>
          <w:szCs w:val="24"/>
        </w:rPr>
        <w:tab/>
      </w:r>
      <w:r w:rsidRPr="0042750D">
        <w:rPr>
          <w:sz w:val="24"/>
          <w:szCs w:val="24"/>
        </w:rPr>
        <w:tab/>
        <w:t>: Sector Member</w:t>
      </w:r>
    </w:p>
    <w:p w14:paraId="10962D0A" w14:textId="2D6D4CEE" w:rsidR="00F0236A" w:rsidRPr="0042750D" w:rsidRDefault="00F0236A" w:rsidP="00F0236A">
      <w:pPr>
        <w:rPr>
          <w:sz w:val="24"/>
        </w:rPr>
      </w:pPr>
      <w:r w:rsidRPr="0042750D">
        <w:rPr>
          <w:sz w:val="24"/>
        </w:rPr>
        <w:t xml:space="preserve">The Action Plan for </w:t>
      </w:r>
      <w:r w:rsidR="00E50141" w:rsidRPr="0042750D">
        <w:rPr>
          <w:sz w:val="24"/>
        </w:rPr>
        <w:t xml:space="preserve">PP Resolutions, Decisions and Recommendations </w:t>
      </w:r>
      <w:r w:rsidRPr="0042750D">
        <w:rPr>
          <w:sz w:val="24"/>
        </w:rPr>
        <w:t xml:space="preserve">includes references and linkages </w:t>
      </w:r>
      <w:r w:rsidR="00E50141" w:rsidRPr="0042750D">
        <w:rPr>
          <w:sz w:val="24"/>
        </w:rPr>
        <w:t xml:space="preserve">to </w:t>
      </w:r>
      <w:r w:rsidRPr="0042750D">
        <w:rPr>
          <w:sz w:val="24"/>
        </w:rPr>
        <w:t>ITU-T documents and activities, and also to documents and activities of Council, Plenipotentiary Conference and the other Sectors. These references and links are updated with each update to the Action Plan.</w:t>
      </w:r>
    </w:p>
    <w:p w14:paraId="6C4A958C" w14:textId="77777777" w:rsidR="00F0236A" w:rsidRPr="0042750D" w:rsidRDefault="00DD025B" w:rsidP="00F0236A">
      <w:pPr>
        <w:rPr>
          <w:rFonts w:asciiTheme="majorBidi" w:hAnsiTheme="majorBidi" w:cstheme="majorBidi"/>
          <w:sz w:val="24"/>
        </w:rPr>
      </w:pPr>
      <w:hyperlink w:anchor="Top" w:history="1">
        <w:r w:rsidR="00F0236A" w:rsidRPr="0042750D">
          <w:rPr>
            <w:rStyle w:val="Hyperlink"/>
          </w:rPr>
          <w:t>» Top</w:t>
        </w:r>
      </w:hyperlink>
    </w:p>
    <w:p w14:paraId="04580F8D" w14:textId="77777777" w:rsidR="00F0236A" w:rsidRPr="0042750D" w:rsidRDefault="00F0236A" w:rsidP="00F0236A">
      <w:pPr>
        <w:ind w:left="-567"/>
        <w:rPr>
          <w:rFonts w:asciiTheme="majorBidi" w:hAnsiTheme="majorBidi" w:cstheme="majorBidi"/>
        </w:rPr>
        <w:sectPr w:rsidR="00F0236A" w:rsidRPr="0042750D" w:rsidSect="00777409">
          <w:headerReference w:type="default" r:id="rId17"/>
          <w:pgSz w:w="16838" w:h="11906" w:orient="landscape"/>
          <w:pgMar w:top="1418" w:right="1134" w:bottom="1418" w:left="1134" w:header="720" w:footer="720" w:gutter="0"/>
          <w:cols w:space="708"/>
          <w:titlePg/>
          <w:docGrid w:linePitch="360"/>
        </w:sectPr>
      </w:pPr>
    </w:p>
    <w:p w14:paraId="41595915" w14:textId="44D9E1B2" w:rsidR="00F0236A" w:rsidRPr="0042750D" w:rsidRDefault="00F0236A" w:rsidP="00F0236A">
      <w:pPr>
        <w:pStyle w:val="Heading1"/>
        <w:keepNext/>
        <w:numPr>
          <w:ilvl w:val="0"/>
          <w:numId w:val="0"/>
        </w:numPr>
        <w:rPr>
          <w:sz w:val="24"/>
          <w:szCs w:val="24"/>
          <w:lang w:val="en-GB"/>
        </w:rPr>
      </w:pPr>
      <w:bookmarkStart w:id="5" w:name="_Toc304236411"/>
      <w:bookmarkStart w:id="6" w:name="_Toc471715352"/>
      <w:bookmarkStart w:id="7" w:name="_Toc30749144"/>
      <w:r w:rsidRPr="0042750D">
        <w:rPr>
          <w:sz w:val="24"/>
          <w:szCs w:val="24"/>
          <w:lang w:val="en-GB"/>
        </w:rPr>
        <w:t xml:space="preserve">Section II - Progress reports on implementation of the </w:t>
      </w:r>
      <w:r w:rsidR="00B97257" w:rsidRPr="0042750D">
        <w:rPr>
          <w:sz w:val="24"/>
          <w:szCs w:val="24"/>
          <w:lang w:val="en-GB"/>
        </w:rPr>
        <w:t>PP</w:t>
      </w:r>
      <w:r w:rsidRPr="0042750D">
        <w:rPr>
          <w:sz w:val="24"/>
          <w:szCs w:val="24"/>
          <w:lang w:val="en-GB"/>
        </w:rPr>
        <w:t xml:space="preserve"> Resolutions</w:t>
      </w:r>
      <w:bookmarkEnd w:id="5"/>
      <w:r w:rsidR="00B97257" w:rsidRPr="0042750D">
        <w:rPr>
          <w:lang w:val="en-GB"/>
        </w:rPr>
        <w:t>, Decisions and Recommendations</w:t>
      </w:r>
      <w:bookmarkEnd w:id="6"/>
      <w:bookmarkEnd w:id="7"/>
    </w:p>
    <w:p w14:paraId="6422694C" w14:textId="6CD94FE5" w:rsidR="00E96E53" w:rsidRPr="0042750D" w:rsidRDefault="00F0236A" w:rsidP="00F0236A">
      <w:pPr>
        <w:rPr>
          <w:sz w:val="24"/>
        </w:rPr>
      </w:pPr>
      <w:r w:rsidRPr="0042750D">
        <w:rPr>
          <w:sz w:val="24"/>
        </w:rPr>
        <w:t xml:space="preserve">This section of the report shows the name of each </w:t>
      </w:r>
      <w:r w:rsidR="003312D9" w:rsidRPr="0042750D">
        <w:rPr>
          <w:sz w:val="24"/>
        </w:rPr>
        <w:t>PP</w:t>
      </w:r>
      <w:r w:rsidRPr="0042750D">
        <w:rPr>
          <w:sz w:val="24"/>
        </w:rPr>
        <w:t xml:space="preserve"> Resolution</w:t>
      </w:r>
      <w:r w:rsidR="00B97257" w:rsidRPr="0042750D">
        <w:rPr>
          <w:sz w:val="24"/>
        </w:rPr>
        <w:t>, Decision and Recommendation</w:t>
      </w:r>
      <w:r w:rsidR="00A66665" w:rsidRPr="0042750D">
        <w:rPr>
          <w:sz w:val="24"/>
        </w:rPr>
        <w:t xml:space="preserve"> as revelent for ITU-T</w:t>
      </w:r>
      <w:r w:rsidRPr="0042750D">
        <w:rPr>
          <w:sz w:val="24"/>
        </w:rPr>
        <w:t xml:space="preserve">, followed by the text of the </w:t>
      </w:r>
      <w:r w:rsidR="003C7E25" w:rsidRPr="0042750D">
        <w:rPr>
          <w:sz w:val="24"/>
        </w:rPr>
        <w:t>"</w:t>
      </w:r>
      <w:r w:rsidRPr="0042750D">
        <w:rPr>
          <w:sz w:val="24"/>
        </w:rPr>
        <w:t>operative</w:t>
      </w:r>
      <w:r w:rsidR="003C7E25" w:rsidRPr="0042750D">
        <w:rPr>
          <w:sz w:val="24"/>
        </w:rPr>
        <w:t>"</w:t>
      </w:r>
      <w:r w:rsidRPr="0042750D">
        <w:rPr>
          <w:sz w:val="24"/>
        </w:rPr>
        <w:t xml:space="preserve"> portion of the </w:t>
      </w:r>
      <w:r w:rsidR="00B97257" w:rsidRPr="0042750D">
        <w:rPr>
          <w:sz w:val="24"/>
        </w:rPr>
        <w:t>text</w:t>
      </w:r>
      <w:r w:rsidRPr="0042750D">
        <w:rPr>
          <w:sz w:val="24"/>
        </w:rPr>
        <w:t xml:space="preserve">, i.e., the </w:t>
      </w:r>
      <w:r w:rsidRPr="0042750D">
        <w:rPr>
          <w:i/>
          <w:iCs/>
          <w:sz w:val="24"/>
        </w:rPr>
        <w:t>resolves</w:t>
      </w:r>
      <w:r w:rsidRPr="0042750D">
        <w:rPr>
          <w:sz w:val="24"/>
        </w:rPr>
        <w:t xml:space="preserve">, </w:t>
      </w:r>
      <w:r w:rsidRPr="0042750D">
        <w:rPr>
          <w:i/>
          <w:iCs/>
          <w:sz w:val="24"/>
        </w:rPr>
        <w:t>calls upon</w:t>
      </w:r>
      <w:r w:rsidRPr="0042750D">
        <w:rPr>
          <w:sz w:val="24"/>
        </w:rPr>
        <w:t xml:space="preserve">, </w:t>
      </w:r>
      <w:r w:rsidRPr="0042750D">
        <w:rPr>
          <w:i/>
          <w:iCs/>
          <w:sz w:val="24"/>
        </w:rPr>
        <w:t>instructs</w:t>
      </w:r>
      <w:r w:rsidRPr="0042750D">
        <w:rPr>
          <w:sz w:val="24"/>
        </w:rPr>
        <w:t xml:space="preserve">, etc., a listing of the Action Items and due dates, with a column that indicates if a particular Action Item is ongoing by nature that has been met periodic goals, and another column that indicates if a particular </w:t>
      </w:r>
      <w:r w:rsidR="00E96E53" w:rsidRPr="0042750D">
        <w:rPr>
          <w:sz w:val="24"/>
        </w:rPr>
        <w:t>Action Item has been completed.</w:t>
      </w:r>
    </w:p>
    <w:p w14:paraId="77647E6B" w14:textId="77777777" w:rsidR="00E96E53" w:rsidRPr="0042750D" w:rsidRDefault="00E96E53" w:rsidP="00E96E53">
      <w:pPr>
        <w:rPr>
          <w:sz w:val="24"/>
        </w:rPr>
      </w:pPr>
      <w:r w:rsidRPr="0042750D">
        <w:rPr>
          <w:sz w:val="24"/>
        </w:rPr>
        <w:t>Further on in each section, detailed information on each Action Item will be provided. The Action Item number, in the first column of the chart of Action Items, is hyperlinked to the status report for that particular Action Item.</w:t>
      </w:r>
    </w:p>
    <w:p w14:paraId="28D33401" w14:textId="4CF5349F" w:rsidR="00E96E53" w:rsidRPr="0042750D" w:rsidRDefault="00E96E53" w:rsidP="00F0236A">
      <w:pPr>
        <w:rPr>
          <w:sz w:val="24"/>
        </w:rPr>
      </w:pPr>
      <w:r w:rsidRPr="0042750D">
        <w:rPr>
          <w:sz w:val="24"/>
        </w:rPr>
        <w:t>In the corresponding excel-sheet, a</w:t>
      </w:r>
      <w:r w:rsidR="00F0236A" w:rsidRPr="0042750D">
        <w:rPr>
          <w:sz w:val="24"/>
        </w:rPr>
        <w:t xml:space="preserve"> box coloured with red indicates an item requiring attent</w:t>
      </w:r>
      <w:r w:rsidR="00A00606" w:rsidRPr="0042750D">
        <w:rPr>
          <w:sz w:val="24"/>
        </w:rPr>
        <w:t>ion or one that is in jeopardy.</w:t>
      </w:r>
    </w:p>
    <w:p w14:paraId="16167417" w14:textId="07F0A4C8" w:rsidR="00F0236A" w:rsidRPr="0042750D" w:rsidRDefault="004229D9" w:rsidP="00EA18BD">
      <w:pPr>
        <w:pStyle w:val="Heading1"/>
        <w:keepNext/>
        <w:numPr>
          <w:ilvl w:val="0"/>
          <w:numId w:val="2"/>
        </w:numPr>
        <w:rPr>
          <w:sz w:val="24"/>
          <w:szCs w:val="24"/>
          <w:lang w:val="en-GB"/>
        </w:rPr>
      </w:pPr>
      <w:bookmarkStart w:id="8" w:name="Resolution_01"/>
      <w:bookmarkStart w:id="9" w:name="Resolution_02"/>
      <w:bookmarkStart w:id="10" w:name="_Toc30749145"/>
      <w:bookmarkEnd w:id="8"/>
      <w:bookmarkEnd w:id="9"/>
      <w:r w:rsidRPr="0042750D">
        <w:rPr>
          <w:sz w:val="24"/>
          <w:szCs w:val="24"/>
          <w:lang w:val="en-GB"/>
        </w:rPr>
        <w:t>RESOLUTION 14 (Rev. Antalya, 2006) – Recognition of the rights and obligations of all Sector Members of the Union</w:t>
      </w:r>
      <w:bookmarkEnd w:id="10"/>
    </w:p>
    <w:p w14:paraId="501A5C07" w14:textId="77777777" w:rsidR="00F0236A" w:rsidRPr="0042750D" w:rsidRDefault="00F0236A" w:rsidP="00F0236A">
      <w:pPr>
        <w:pStyle w:val="Call"/>
        <w:rPr>
          <w:szCs w:val="22"/>
          <w:lang w:val="en-GB"/>
        </w:rPr>
      </w:pPr>
      <w:r w:rsidRPr="0042750D">
        <w:rPr>
          <w:szCs w:val="22"/>
          <w:lang w:val="en-GB"/>
        </w:rPr>
        <w:t>resolves</w:t>
      </w:r>
    </w:p>
    <w:p w14:paraId="347F0BBB" w14:textId="77777777" w:rsidR="004229D9" w:rsidRPr="0042750D" w:rsidRDefault="004229D9" w:rsidP="004229D9">
      <w:pPr>
        <w:rPr>
          <w:szCs w:val="22"/>
        </w:rPr>
      </w:pPr>
      <w:r w:rsidRPr="0042750D">
        <w:rPr>
          <w:szCs w:val="22"/>
        </w:rPr>
        <w:t>to invite Sector Members to take part in any decision-finding procedure aimed at facilitating the achievement of a consensus in study groups, in particular in the field of standardization,</w:t>
      </w:r>
    </w:p>
    <w:p w14:paraId="08F1CD65" w14:textId="77777777" w:rsidR="004229D9" w:rsidRPr="0042750D" w:rsidRDefault="004229D9" w:rsidP="004229D9">
      <w:pPr>
        <w:pStyle w:val="Call"/>
        <w:rPr>
          <w:szCs w:val="22"/>
          <w:lang w:val="en-GB"/>
        </w:rPr>
      </w:pPr>
      <w:r w:rsidRPr="0042750D">
        <w:rPr>
          <w:szCs w:val="22"/>
          <w:lang w:val="en-GB"/>
        </w:rPr>
        <w:t>invites the world telecommunication development conference, radiocommunication assembly and world telecommunication standardization assembly</w:t>
      </w:r>
    </w:p>
    <w:p w14:paraId="3F61419B" w14:textId="77777777" w:rsidR="004229D9" w:rsidRPr="0042750D" w:rsidRDefault="004229D9" w:rsidP="002E4716">
      <w:pPr>
        <w:spacing w:after="120"/>
        <w:rPr>
          <w:szCs w:val="22"/>
        </w:rPr>
      </w:pPr>
      <w:r w:rsidRPr="0042750D">
        <w:rPr>
          <w:szCs w:val="22"/>
        </w:rPr>
        <w:t>to adopt respective provisions in the working methods and procedures of their Sectors,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3"/>
        <w:gridCol w:w="1400"/>
        <w:gridCol w:w="1463"/>
        <w:gridCol w:w="1338"/>
      </w:tblGrid>
      <w:tr w:rsidR="00F0236A" w:rsidRPr="0042750D" w14:paraId="56977C1C" w14:textId="77777777" w:rsidTr="002E4716">
        <w:trPr>
          <w:jc w:val="center"/>
        </w:trPr>
        <w:tc>
          <w:tcPr>
            <w:tcW w:w="908" w:type="dxa"/>
            <w:tcBorders>
              <w:top w:val="single" w:sz="12" w:space="0" w:color="auto"/>
              <w:bottom w:val="single" w:sz="12" w:space="0" w:color="auto"/>
            </w:tcBorders>
            <w:shd w:val="clear" w:color="auto" w:fill="auto"/>
            <w:vAlign w:val="center"/>
          </w:tcPr>
          <w:p w14:paraId="4E813EF3" w14:textId="77777777" w:rsidR="00F0236A" w:rsidRPr="0042750D" w:rsidRDefault="00F0236A" w:rsidP="00B22A1A">
            <w:pPr>
              <w:pStyle w:val="Tablehead"/>
              <w:keepNext w:val="0"/>
              <w:rPr>
                <w:sz w:val="24"/>
                <w:szCs w:val="24"/>
              </w:rPr>
            </w:pPr>
            <w:r w:rsidRPr="0042750D">
              <w:rPr>
                <w:sz w:val="24"/>
                <w:szCs w:val="24"/>
              </w:rPr>
              <w:t>Action Item</w:t>
            </w:r>
          </w:p>
        </w:tc>
        <w:tc>
          <w:tcPr>
            <w:tcW w:w="4723" w:type="dxa"/>
            <w:tcBorders>
              <w:top w:val="single" w:sz="12" w:space="0" w:color="auto"/>
              <w:bottom w:val="single" w:sz="12" w:space="0" w:color="auto"/>
            </w:tcBorders>
            <w:shd w:val="clear" w:color="auto" w:fill="auto"/>
            <w:vAlign w:val="center"/>
            <w:hideMark/>
          </w:tcPr>
          <w:p w14:paraId="4F58D475" w14:textId="77777777" w:rsidR="00F0236A" w:rsidRPr="0042750D" w:rsidRDefault="00F0236A" w:rsidP="00B22A1A">
            <w:pPr>
              <w:pStyle w:val="Tablehead"/>
              <w:keepNext w:val="0"/>
              <w:rPr>
                <w:sz w:val="24"/>
                <w:szCs w:val="24"/>
              </w:rPr>
            </w:pPr>
            <w:r w:rsidRPr="0042750D">
              <w:rPr>
                <w:sz w:val="24"/>
                <w:szCs w:val="24"/>
              </w:rPr>
              <w:t>Action</w:t>
            </w:r>
          </w:p>
        </w:tc>
        <w:tc>
          <w:tcPr>
            <w:tcW w:w="1400" w:type="dxa"/>
            <w:tcBorders>
              <w:top w:val="single" w:sz="12" w:space="0" w:color="auto"/>
              <w:bottom w:val="single" w:sz="12" w:space="0" w:color="auto"/>
            </w:tcBorders>
            <w:shd w:val="clear" w:color="auto" w:fill="auto"/>
            <w:vAlign w:val="center"/>
            <w:hideMark/>
          </w:tcPr>
          <w:p w14:paraId="1DDB60BA" w14:textId="77777777" w:rsidR="00F0236A" w:rsidRPr="0042750D" w:rsidRDefault="00F0236A" w:rsidP="00B22A1A">
            <w:pPr>
              <w:pStyle w:val="Tablehead"/>
              <w:keepNext w:val="0"/>
              <w:rPr>
                <w:sz w:val="24"/>
                <w:szCs w:val="24"/>
              </w:rPr>
            </w:pPr>
            <w:r w:rsidRPr="0042750D">
              <w:rPr>
                <w:sz w:val="24"/>
                <w:szCs w:val="24"/>
              </w:rPr>
              <w:t>Milestone</w:t>
            </w:r>
          </w:p>
        </w:tc>
        <w:tc>
          <w:tcPr>
            <w:tcW w:w="1463" w:type="dxa"/>
            <w:tcBorders>
              <w:top w:val="single" w:sz="12" w:space="0" w:color="auto"/>
              <w:bottom w:val="single" w:sz="12" w:space="0" w:color="auto"/>
            </w:tcBorders>
            <w:shd w:val="clear" w:color="auto" w:fill="auto"/>
          </w:tcPr>
          <w:p w14:paraId="041A7958" w14:textId="77777777" w:rsidR="00F0236A" w:rsidRPr="0042750D" w:rsidRDefault="00F0236A" w:rsidP="00B22A1A">
            <w:pPr>
              <w:pStyle w:val="Tablehead"/>
              <w:keepNext w:val="0"/>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6ADDA2C" w14:textId="77777777" w:rsidR="00F0236A" w:rsidRPr="0042750D" w:rsidRDefault="00F0236A" w:rsidP="00B22A1A">
            <w:pPr>
              <w:pStyle w:val="Tablehead"/>
              <w:keepNext w:val="0"/>
              <w:rPr>
                <w:sz w:val="24"/>
                <w:szCs w:val="24"/>
              </w:rPr>
            </w:pPr>
            <w:r w:rsidRPr="0042750D">
              <w:rPr>
                <w:sz w:val="24"/>
                <w:szCs w:val="24"/>
              </w:rPr>
              <w:t>Completed</w:t>
            </w:r>
          </w:p>
        </w:tc>
      </w:tr>
      <w:tr w:rsidR="00F0236A" w:rsidRPr="0042750D" w14:paraId="4566A5FD" w14:textId="77777777" w:rsidTr="002E4716">
        <w:trPr>
          <w:jc w:val="center"/>
        </w:trPr>
        <w:tc>
          <w:tcPr>
            <w:tcW w:w="908" w:type="dxa"/>
            <w:vMerge w:val="restart"/>
            <w:tcBorders>
              <w:top w:val="single" w:sz="12" w:space="0" w:color="auto"/>
            </w:tcBorders>
            <w:shd w:val="clear" w:color="auto" w:fill="auto"/>
          </w:tcPr>
          <w:p w14:paraId="0C812BDF" w14:textId="4FCFA6F6" w:rsidR="00F0236A" w:rsidRPr="0042750D" w:rsidRDefault="001D362E" w:rsidP="00B22A1A">
            <w:pPr>
              <w:pStyle w:val="Tabletext"/>
              <w:rPr>
                <w:b/>
                <w:bCs/>
                <w:sz w:val="24"/>
                <w:szCs w:val="24"/>
              </w:rPr>
            </w:pPr>
            <w:r w:rsidRPr="0042750D">
              <w:rPr>
                <w:b/>
                <w:bCs/>
                <w:sz w:val="24"/>
                <w:szCs w:val="24"/>
              </w:rPr>
              <w:t>14</w:t>
            </w:r>
            <w:r w:rsidR="00F0236A" w:rsidRPr="0042750D">
              <w:rPr>
                <w:b/>
                <w:bCs/>
                <w:sz w:val="24"/>
                <w:szCs w:val="24"/>
              </w:rPr>
              <w:t>-01</w:t>
            </w:r>
          </w:p>
        </w:tc>
        <w:tc>
          <w:tcPr>
            <w:tcW w:w="4723" w:type="dxa"/>
            <w:tcBorders>
              <w:top w:val="single" w:sz="12" w:space="0" w:color="auto"/>
              <w:bottom w:val="single" w:sz="4" w:space="0" w:color="auto"/>
            </w:tcBorders>
            <w:shd w:val="clear" w:color="auto" w:fill="auto"/>
            <w:hideMark/>
          </w:tcPr>
          <w:p w14:paraId="527CBA7D" w14:textId="66B93AED" w:rsidR="00F0236A" w:rsidRPr="0042750D" w:rsidRDefault="00BE68D2" w:rsidP="00BD3628">
            <w:pPr>
              <w:pStyle w:val="Tabletext"/>
              <w:rPr>
                <w:b/>
                <w:bCs/>
                <w:sz w:val="24"/>
                <w:szCs w:val="24"/>
              </w:rPr>
            </w:pPr>
            <w:r w:rsidRPr="0042750D">
              <w:rPr>
                <w:b/>
                <w:bCs/>
                <w:sz w:val="24"/>
                <w:szCs w:val="24"/>
              </w:rPr>
              <w:t>ITU-T</w:t>
            </w:r>
            <w:r w:rsidR="00BD3628" w:rsidRPr="0042750D">
              <w:rPr>
                <w:b/>
                <w:bCs/>
                <w:sz w:val="24"/>
                <w:szCs w:val="24"/>
              </w:rPr>
              <w:t xml:space="preserve"> to i</w:t>
            </w:r>
            <w:r w:rsidR="001D362E" w:rsidRPr="0042750D">
              <w:rPr>
                <w:b/>
                <w:bCs/>
                <w:sz w:val="24"/>
                <w:szCs w:val="24"/>
              </w:rPr>
              <w:t>nvite S</w:t>
            </w:r>
            <w:r w:rsidR="00BD3628" w:rsidRPr="0042750D">
              <w:rPr>
                <w:b/>
                <w:bCs/>
                <w:sz w:val="24"/>
                <w:szCs w:val="24"/>
              </w:rPr>
              <w:t>ector Members</w:t>
            </w:r>
            <w:r w:rsidR="001D362E" w:rsidRPr="0042750D">
              <w:rPr>
                <w:b/>
                <w:bCs/>
                <w:sz w:val="24"/>
                <w:szCs w:val="24"/>
              </w:rPr>
              <w:t xml:space="preserve"> to take part in any decision-finding procedure aimed at facilitating the achievement of a consensus in study groups, in particular in the field of standardization</w:t>
            </w:r>
            <w:r w:rsidR="00666073" w:rsidRPr="0042750D">
              <w:rPr>
                <w:b/>
                <w:bCs/>
                <w:sz w:val="24"/>
                <w:szCs w:val="24"/>
              </w:rPr>
              <w:t xml:space="preserve"> (</w:t>
            </w:r>
            <w:r w:rsidR="00666073" w:rsidRPr="0042750D">
              <w:rPr>
                <w:b/>
                <w:bCs/>
                <w:i/>
                <w:sz w:val="24"/>
                <w:szCs w:val="24"/>
              </w:rPr>
              <w:t>resolves</w:t>
            </w:r>
            <w:r w:rsidR="00666073" w:rsidRPr="0042750D">
              <w:rPr>
                <w:b/>
                <w:bCs/>
                <w:sz w:val="24"/>
                <w:szCs w:val="24"/>
              </w:rPr>
              <w:t>)</w:t>
            </w:r>
            <w:r w:rsidR="002E4716" w:rsidRPr="0042750D">
              <w:rPr>
                <w:b/>
                <w:bCs/>
                <w:sz w:val="24"/>
                <w:szCs w:val="24"/>
              </w:rPr>
              <w:t>.</w:t>
            </w:r>
          </w:p>
        </w:tc>
        <w:tc>
          <w:tcPr>
            <w:tcW w:w="1400" w:type="dxa"/>
            <w:tcBorders>
              <w:top w:val="single" w:sz="12" w:space="0" w:color="auto"/>
              <w:bottom w:val="single" w:sz="4" w:space="0" w:color="auto"/>
            </w:tcBorders>
            <w:shd w:val="clear" w:color="auto" w:fill="auto"/>
            <w:vAlign w:val="center"/>
          </w:tcPr>
          <w:p w14:paraId="160B3B42" w14:textId="206230DA" w:rsidR="00F0236A" w:rsidRPr="0042750D" w:rsidRDefault="00765DAB" w:rsidP="00B22A1A">
            <w:pPr>
              <w:pStyle w:val="Tabletext"/>
              <w:jc w:val="center"/>
              <w:rPr>
                <w:b/>
                <w:bCs/>
                <w:sz w:val="24"/>
                <w:szCs w:val="24"/>
              </w:rPr>
            </w:pPr>
            <w:r w:rsidRPr="0042750D">
              <w:rPr>
                <w:b/>
                <w:bCs/>
                <w:sz w:val="24"/>
                <w:szCs w:val="24"/>
              </w:rPr>
              <w:t>Ongoing</w:t>
            </w:r>
          </w:p>
        </w:tc>
        <w:tc>
          <w:tcPr>
            <w:tcW w:w="1463" w:type="dxa"/>
            <w:tcBorders>
              <w:top w:val="single" w:sz="12" w:space="0" w:color="auto"/>
              <w:bottom w:val="single" w:sz="4" w:space="0" w:color="auto"/>
            </w:tcBorders>
            <w:shd w:val="clear" w:color="auto" w:fill="auto"/>
            <w:vAlign w:val="center"/>
          </w:tcPr>
          <w:p w14:paraId="47ED1164" w14:textId="5B9792A2" w:rsidR="00F0236A" w:rsidRPr="0042750D" w:rsidRDefault="00B40998" w:rsidP="00B22A1A">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6CC10EEE" w14:textId="0250F298" w:rsidR="00F0236A" w:rsidRPr="0042750D" w:rsidRDefault="00F0236A" w:rsidP="00B22A1A">
            <w:pPr>
              <w:pStyle w:val="Tabletext"/>
              <w:jc w:val="center"/>
              <w:rPr>
                <w:b/>
                <w:bCs/>
                <w:sz w:val="24"/>
                <w:szCs w:val="24"/>
              </w:rPr>
            </w:pPr>
          </w:p>
        </w:tc>
      </w:tr>
      <w:tr w:rsidR="00F0236A" w:rsidRPr="0042750D" w14:paraId="469CD054" w14:textId="77777777" w:rsidTr="00302920">
        <w:trPr>
          <w:jc w:val="center"/>
        </w:trPr>
        <w:tc>
          <w:tcPr>
            <w:tcW w:w="908" w:type="dxa"/>
            <w:vMerge/>
            <w:shd w:val="clear" w:color="auto" w:fill="auto"/>
          </w:tcPr>
          <w:p w14:paraId="0DFAB98C" w14:textId="77777777" w:rsidR="00F0236A" w:rsidRPr="0042750D" w:rsidRDefault="00F0236A" w:rsidP="00B22A1A">
            <w:pPr>
              <w:pStyle w:val="Tabletext"/>
              <w:rPr>
                <w:sz w:val="24"/>
                <w:szCs w:val="24"/>
              </w:rPr>
            </w:pPr>
          </w:p>
        </w:tc>
        <w:tc>
          <w:tcPr>
            <w:tcW w:w="8924" w:type="dxa"/>
            <w:gridSpan w:val="4"/>
            <w:tcBorders>
              <w:top w:val="single" w:sz="4" w:space="0" w:color="auto"/>
              <w:bottom w:val="single" w:sz="4" w:space="0" w:color="auto"/>
            </w:tcBorders>
            <w:shd w:val="clear" w:color="auto" w:fill="auto"/>
          </w:tcPr>
          <w:p w14:paraId="13F8B0A1" w14:textId="6336856F" w:rsidR="00F0236A" w:rsidRPr="0042750D" w:rsidDel="00227ABD" w:rsidRDefault="00B40998" w:rsidP="00F52576">
            <w:pPr>
              <w:spacing w:before="40" w:after="40"/>
              <w:rPr>
                <w:szCs w:val="22"/>
              </w:rPr>
            </w:pPr>
            <w:r w:rsidRPr="0042750D">
              <w:rPr>
                <w:szCs w:val="22"/>
              </w:rPr>
              <w:t>TSB informs ITU-T Sector Members through a variety of communication channels, such TSB Circulars, Collective Letters</w:t>
            </w:r>
            <w:r w:rsidR="00132D3C" w:rsidRPr="0042750D">
              <w:rPr>
                <w:szCs w:val="22"/>
              </w:rPr>
              <w:t>, AAP announcements</w:t>
            </w:r>
            <w:r w:rsidRPr="0042750D">
              <w:rPr>
                <w:szCs w:val="22"/>
              </w:rPr>
              <w:t xml:space="preserve"> etc.</w:t>
            </w:r>
            <w:r w:rsidR="00132D3C" w:rsidRPr="0042750D">
              <w:rPr>
                <w:szCs w:val="22"/>
              </w:rPr>
              <w:t xml:space="preserve"> about study group meetings and planned or taken decisions.</w:t>
            </w:r>
          </w:p>
        </w:tc>
      </w:tr>
      <w:tr w:rsidR="00302920" w:rsidRPr="0042750D" w14:paraId="4B181084" w14:textId="77777777" w:rsidTr="002E4716">
        <w:trPr>
          <w:jc w:val="center"/>
        </w:trPr>
        <w:tc>
          <w:tcPr>
            <w:tcW w:w="908" w:type="dxa"/>
            <w:vMerge w:val="restart"/>
            <w:tcBorders>
              <w:top w:val="single" w:sz="12" w:space="0" w:color="auto"/>
            </w:tcBorders>
            <w:shd w:val="clear" w:color="auto" w:fill="auto"/>
          </w:tcPr>
          <w:p w14:paraId="02228566" w14:textId="3D17606D" w:rsidR="00302920" w:rsidRPr="0042750D" w:rsidRDefault="00302920" w:rsidP="00302920">
            <w:pPr>
              <w:pStyle w:val="Tabletext"/>
              <w:rPr>
                <w:b/>
                <w:bCs/>
                <w:sz w:val="24"/>
                <w:szCs w:val="24"/>
              </w:rPr>
            </w:pPr>
            <w:r w:rsidRPr="0042750D">
              <w:rPr>
                <w:b/>
                <w:bCs/>
                <w:sz w:val="24"/>
                <w:szCs w:val="24"/>
              </w:rPr>
              <w:t>14-02</w:t>
            </w:r>
          </w:p>
        </w:tc>
        <w:tc>
          <w:tcPr>
            <w:tcW w:w="4723" w:type="dxa"/>
            <w:tcBorders>
              <w:top w:val="single" w:sz="12" w:space="0" w:color="auto"/>
              <w:bottom w:val="single" w:sz="4" w:space="0" w:color="auto"/>
            </w:tcBorders>
            <w:shd w:val="clear" w:color="auto" w:fill="auto"/>
            <w:hideMark/>
          </w:tcPr>
          <w:p w14:paraId="016449F0" w14:textId="2892F1FE" w:rsidR="00302920" w:rsidRPr="0042750D" w:rsidRDefault="00302920" w:rsidP="00EA18BD">
            <w:pPr>
              <w:pStyle w:val="Tabletext"/>
              <w:rPr>
                <w:b/>
                <w:bCs/>
                <w:sz w:val="24"/>
                <w:szCs w:val="24"/>
              </w:rPr>
            </w:pPr>
            <w:r w:rsidRPr="0042750D">
              <w:rPr>
                <w:b/>
                <w:bCs/>
                <w:sz w:val="24"/>
              </w:rPr>
              <w:t>WTSA to adopt respective provisions in the working methods and procedures of their Sectors</w:t>
            </w:r>
            <w:r w:rsidR="00666073" w:rsidRPr="0042750D">
              <w:rPr>
                <w:b/>
                <w:bCs/>
                <w:sz w:val="24"/>
              </w:rPr>
              <w:t xml:space="preserve"> (</w:t>
            </w:r>
            <w:r w:rsidR="00666073" w:rsidRPr="0042750D">
              <w:rPr>
                <w:b/>
                <w:bCs/>
                <w:i/>
                <w:sz w:val="24"/>
              </w:rPr>
              <w:t>invites</w:t>
            </w:r>
            <w:r w:rsidR="00666073" w:rsidRPr="0042750D">
              <w:rPr>
                <w:b/>
                <w:bCs/>
                <w:sz w:val="24"/>
              </w:rPr>
              <w:t>)</w:t>
            </w:r>
            <w:r w:rsidR="002E4716" w:rsidRPr="0042750D">
              <w:rPr>
                <w:b/>
                <w:bCs/>
                <w:sz w:val="24"/>
              </w:rPr>
              <w:t>.</w:t>
            </w:r>
          </w:p>
        </w:tc>
        <w:tc>
          <w:tcPr>
            <w:tcW w:w="1400" w:type="dxa"/>
            <w:tcBorders>
              <w:top w:val="single" w:sz="12" w:space="0" w:color="auto"/>
              <w:bottom w:val="single" w:sz="4" w:space="0" w:color="auto"/>
            </w:tcBorders>
            <w:shd w:val="clear" w:color="auto" w:fill="auto"/>
            <w:vAlign w:val="center"/>
          </w:tcPr>
          <w:p w14:paraId="7F753249" w14:textId="6F246B5A" w:rsidR="00302920" w:rsidRPr="0042750D" w:rsidRDefault="00302920" w:rsidP="00EA18BD">
            <w:pPr>
              <w:pStyle w:val="Tabletext"/>
              <w:jc w:val="center"/>
              <w:rPr>
                <w:b/>
                <w:bCs/>
                <w:sz w:val="24"/>
                <w:szCs w:val="24"/>
              </w:rPr>
            </w:pPr>
            <w:r w:rsidRPr="0042750D">
              <w:rPr>
                <w:b/>
                <w:bCs/>
                <w:sz w:val="24"/>
                <w:szCs w:val="24"/>
              </w:rPr>
              <w:t>WTSA-20</w:t>
            </w:r>
          </w:p>
        </w:tc>
        <w:tc>
          <w:tcPr>
            <w:tcW w:w="1463" w:type="dxa"/>
            <w:tcBorders>
              <w:top w:val="single" w:sz="12" w:space="0" w:color="auto"/>
              <w:bottom w:val="single" w:sz="4" w:space="0" w:color="auto"/>
            </w:tcBorders>
            <w:shd w:val="clear" w:color="auto" w:fill="auto"/>
            <w:vAlign w:val="center"/>
          </w:tcPr>
          <w:p w14:paraId="4E1710E6" w14:textId="77777777" w:rsidR="00302920" w:rsidRPr="0042750D" w:rsidRDefault="00302920" w:rsidP="00EA18BD">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5F0346C" w14:textId="77777777" w:rsidR="00302920" w:rsidRPr="0042750D" w:rsidRDefault="00302920" w:rsidP="00EA18BD">
            <w:pPr>
              <w:pStyle w:val="Tabletext"/>
              <w:jc w:val="center"/>
              <w:rPr>
                <w:b/>
                <w:bCs/>
                <w:sz w:val="24"/>
                <w:szCs w:val="24"/>
              </w:rPr>
            </w:pPr>
          </w:p>
        </w:tc>
      </w:tr>
      <w:tr w:rsidR="00302920" w:rsidRPr="0042750D" w:rsidDel="00227ABD" w14:paraId="6184E507" w14:textId="77777777" w:rsidTr="002E4716">
        <w:trPr>
          <w:jc w:val="center"/>
        </w:trPr>
        <w:tc>
          <w:tcPr>
            <w:tcW w:w="908" w:type="dxa"/>
            <w:vMerge/>
            <w:shd w:val="clear" w:color="auto" w:fill="auto"/>
          </w:tcPr>
          <w:p w14:paraId="753E6666" w14:textId="77777777" w:rsidR="00302920" w:rsidRPr="0042750D" w:rsidRDefault="00302920" w:rsidP="00EA18BD">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75EB5E13" w14:textId="77777777" w:rsidR="00302920" w:rsidRPr="0042750D" w:rsidDel="00227ABD" w:rsidRDefault="00302920" w:rsidP="00F52576">
            <w:pPr>
              <w:spacing w:before="40" w:after="40"/>
              <w:rPr>
                <w:sz w:val="24"/>
              </w:rPr>
            </w:pPr>
          </w:p>
        </w:tc>
      </w:tr>
    </w:tbl>
    <w:p w14:paraId="7ACA36EA" w14:textId="24133349"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1B79D35E" w14:textId="47A6E653" w:rsidR="00F0236A" w:rsidRPr="0042750D" w:rsidRDefault="00AF3448" w:rsidP="00EA18BD">
      <w:pPr>
        <w:pStyle w:val="Heading1"/>
        <w:keepNext/>
        <w:numPr>
          <w:ilvl w:val="0"/>
          <w:numId w:val="2"/>
        </w:numPr>
        <w:rPr>
          <w:sz w:val="24"/>
          <w:szCs w:val="24"/>
          <w:lang w:val="en-GB"/>
        </w:rPr>
      </w:pPr>
      <w:bookmarkStart w:id="11" w:name="Resolution_07"/>
      <w:bookmarkStart w:id="12" w:name="_Toc30749146"/>
      <w:bookmarkEnd w:id="11"/>
      <w:r w:rsidRPr="0042750D">
        <w:rPr>
          <w:sz w:val="24"/>
          <w:szCs w:val="24"/>
          <w:lang w:val="en-GB"/>
        </w:rPr>
        <w:t>RESOLUTION 21 (REV. DUBAI, 2018) – Measures concerning alternative calling procedures on international telecommunication networks</w:t>
      </w:r>
      <w:bookmarkEnd w:id="12"/>
    </w:p>
    <w:p w14:paraId="617375A5" w14:textId="77777777" w:rsidR="00F0236A" w:rsidRPr="0042750D" w:rsidRDefault="00F0236A" w:rsidP="00C37D59">
      <w:pPr>
        <w:pStyle w:val="Call"/>
        <w:rPr>
          <w:szCs w:val="22"/>
          <w:lang w:val="en-GB"/>
        </w:rPr>
      </w:pPr>
      <w:r w:rsidRPr="0042750D">
        <w:rPr>
          <w:szCs w:val="22"/>
          <w:lang w:val="en-GB"/>
        </w:rPr>
        <w:t>resolves</w:t>
      </w:r>
    </w:p>
    <w:p w14:paraId="4DCA5E4E" w14:textId="77777777" w:rsidR="00AF3448" w:rsidRPr="0042750D" w:rsidRDefault="00AF3448" w:rsidP="00AF3448">
      <w:pPr>
        <w:rPr>
          <w:szCs w:val="22"/>
        </w:rPr>
      </w:pPr>
      <w:r w:rsidRPr="0042750D">
        <w:rPr>
          <w:szCs w:val="22"/>
        </w:rPr>
        <w:t>1</w:t>
      </w:r>
      <w:r w:rsidRPr="0042750D">
        <w:rPr>
          <w:szCs w:val="22"/>
        </w:rPr>
        <w:tab/>
        <w:t>to continue work to identify and describe all forms of alternative calling procedures and assess their impact on all parties, in order to review or develop as needed relevant ITU</w:t>
      </w:r>
      <w:r w:rsidRPr="0042750D">
        <w:rPr>
          <w:szCs w:val="22"/>
        </w:rPr>
        <w:noBreakHyphen/>
        <w:t>T recommendations to address any negative effects that alternative calling procedures have on all parties;</w:t>
      </w:r>
    </w:p>
    <w:p w14:paraId="6790AADA" w14:textId="77777777" w:rsidR="00AF3448" w:rsidRPr="0042750D" w:rsidRDefault="00AF3448" w:rsidP="00AF3448">
      <w:pPr>
        <w:rPr>
          <w:szCs w:val="22"/>
        </w:rPr>
      </w:pPr>
      <w:r w:rsidRPr="0042750D">
        <w:rPr>
          <w:szCs w:val="22"/>
        </w:rPr>
        <w:t>2</w:t>
      </w:r>
      <w:r w:rsidRPr="0042750D">
        <w:rPr>
          <w:szCs w:val="22"/>
        </w:rPr>
        <w:tab/>
        <w:t>to encourage administrations and operating agencies authorized by Member States to take the appropriate measures to provide an acceptable level of QoS and QoE, to ensure the delivery of international calling line identification (CLI) and origin identification (OI) information, wherever possible, and consistent with national law, and to ensure the appropriate charging taking into account the relevant ITU recommendations;</w:t>
      </w:r>
    </w:p>
    <w:p w14:paraId="358BBAF8" w14:textId="77777777" w:rsidR="00AF3448" w:rsidRPr="0042750D" w:rsidRDefault="00AF3448" w:rsidP="00AF3448">
      <w:pPr>
        <w:rPr>
          <w:szCs w:val="22"/>
        </w:rPr>
      </w:pPr>
      <w:r w:rsidRPr="0042750D">
        <w:rPr>
          <w:szCs w:val="22"/>
        </w:rPr>
        <w:t>3</w:t>
      </w:r>
      <w:r w:rsidRPr="0042750D">
        <w:rPr>
          <w:szCs w:val="22"/>
        </w:rPr>
        <w:tab/>
        <w:t>to develop guidelines for administrations and operating agencies authorized by Member States on the measures that can be considered, within the constraints of their national laws, to address the impact of alternative calling procedures;</w:t>
      </w:r>
    </w:p>
    <w:p w14:paraId="4C909615" w14:textId="77777777" w:rsidR="00AF3448" w:rsidRPr="0042750D" w:rsidRDefault="00AF3448" w:rsidP="00AF3448">
      <w:pPr>
        <w:rPr>
          <w:szCs w:val="22"/>
        </w:rPr>
      </w:pPr>
      <w:r w:rsidRPr="0042750D">
        <w:rPr>
          <w:szCs w:val="22"/>
        </w:rPr>
        <w:t>4</w:t>
      </w:r>
      <w:r w:rsidRPr="0042750D">
        <w:rPr>
          <w:szCs w:val="22"/>
        </w:rPr>
        <w:tab/>
        <w:t>to request the appropriate ITU</w:t>
      </w:r>
      <w:r w:rsidRPr="0042750D">
        <w:rPr>
          <w:szCs w:val="22"/>
        </w:rPr>
        <w:noBreakHyphen/>
        <w:t>T study groups, particularly Study Groups 2 and 3, and ITU</w:t>
      </w:r>
      <w:r w:rsidRPr="0042750D">
        <w:rPr>
          <w:szCs w:val="22"/>
        </w:rPr>
        <w:noBreakHyphen/>
        <w:t>D Study Group 1, through contributions of Member States and Sector Members, to continue to study within their respective mandates:</w:t>
      </w:r>
    </w:p>
    <w:p w14:paraId="61DA833C" w14:textId="77777777" w:rsidR="00AF3448" w:rsidRPr="0042750D" w:rsidRDefault="00AF3448" w:rsidP="00AF3448">
      <w:pPr>
        <w:pStyle w:val="enumlev10"/>
        <w:rPr>
          <w:szCs w:val="22"/>
        </w:rPr>
      </w:pPr>
      <w:r w:rsidRPr="0042750D">
        <w:rPr>
          <w:szCs w:val="22"/>
        </w:rPr>
        <w:t>i)</w:t>
      </w:r>
      <w:r w:rsidRPr="0042750D">
        <w:rPr>
          <w:szCs w:val="22"/>
        </w:rPr>
        <w:tab/>
        <w:t xml:space="preserve">alternative calling procedures, based on </w:t>
      </w:r>
      <w:r w:rsidRPr="0042750D">
        <w:rPr>
          <w:i/>
          <w:iCs/>
          <w:szCs w:val="22"/>
        </w:rPr>
        <w:t>resolves</w:t>
      </w:r>
      <w:r w:rsidRPr="0042750D">
        <w:rPr>
          <w:szCs w:val="22"/>
        </w:rPr>
        <w:t> 1, in order to update or develop as needed relevant ITU</w:t>
      </w:r>
      <w:r w:rsidRPr="0042750D">
        <w:rPr>
          <w:szCs w:val="22"/>
        </w:rPr>
        <w:noBreakHyphen/>
        <w:t>T recommendations;</w:t>
      </w:r>
    </w:p>
    <w:p w14:paraId="16E98C4F" w14:textId="77777777" w:rsidR="00AF3448" w:rsidRPr="0042750D" w:rsidRDefault="00AF3448" w:rsidP="00AF3448">
      <w:pPr>
        <w:pStyle w:val="enumlev10"/>
        <w:rPr>
          <w:szCs w:val="22"/>
        </w:rPr>
      </w:pPr>
      <w:r w:rsidRPr="0042750D">
        <w:rPr>
          <w:szCs w:val="22"/>
        </w:rPr>
        <w:t>ii)</w:t>
      </w:r>
      <w:r w:rsidRPr="0042750D">
        <w:rPr>
          <w:szCs w:val="22"/>
        </w:rPr>
        <w:tab/>
        <w:t>issues related to OI and CLI, in order to take into account the importance of these studies as they relate to next-generation networks and network degradation;</w:t>
      </w:r>
    </w:p>
    <w:p w14:paraId="18B881AD" w14:textId="77777777" w:rsidR="00AF3448" w:rsidRPr="0042750D" w:rsidRDefault="00AF3448" w:rsidP="00AF3448">
      <w:pPr>
        <w:rPr>
          <w:szCs w:val="22"/>
        </w:rPr>
      </w:pPr>
      <w:r w:rsidRPr="0042750D">
        <w:rPr>
          <w:szCs w:val="22"/>
        </w:rPr>
        <w:t>5</w:t>
      </w:r>
      <w:r w:rsidRPr="0042750D">
        <w:rPr>
          <w:szCs w:val="22"/>
        </w:rPr>
        <w:tab/>
        <w:t>to encourage ITU</w:t>
      </w:r>
      <w:r w:rsidRPr="0042750D">
        <w:rPr>
          <w:szCs w:val="22"/>
        </w:rPr>
        <w:noBreakHyphen/>
        <w:t>T Study Group 12 to develop guidelines regarding minimum QoS and QoE in accordance with its mandate,</w:t>
      </w:r>
    </w:p>
    <w:p w14:paraId="79538E8E" w14:textId="77777777" w:rsidR="00AF3448" w:rsidRPr="0042750D" w:rsidRDefault="00AF3448" w:rsidP="00AF3448">
      <w:pPr>
        <w:pStyle w:val="Call"/>
        <w:rPr>
          <w:szCs w:val="22"/>
          <w:lang w:val="en-GB"/>
        </w:rPr>
      </w:pPr>
      <w:r w:rsidRPr="0042750D">
        <w:rPr>
          <w:szCs w:val="22"/>
          <w:lang w:val="en-GB"/>
        </w:rPr>
        <w:t>instructs the Directors of the Telecommunication Development Bureau and the Telecommunication Standardization Bureau</w:t>
      </w:r>
    </w:p>
    <w:p w14:paraId="1590CD15" w14:textId="77777777" w:rsidR="00AF3448" w:rsidRPr="0042750D" w:rsidRDefault="00AF3448" w:rsidP="00AF3448">
      <w:pPr>
        <w:rPr>
          <w:szCs w:val="22"/>
        </w:rPr>
      </w:pPr>
      <w:r w:rsidRPr="0042750D">
        <w:rPr>
          <w:szCs w:val="22"/>
        </w:rPr>
        <w:t>1</w:t>
      </w:r>
      <w:r w:rsidRPr="0042750D">
        <w:rPr>
          <w:szCs w:val="22"/>
        </w:rPr>
        <w:tab/>
        <w:t>to collaborate on further studies, based on contributions from Member States, Sector Members and other members, in order to evaluate the effects of alternative calling procedures on consumers, the effect on countries with economies in transition, developing countries and especially least developed countries, for sound development of their local telecommunication networks and services in respect of originating and terminating calls using alternative calling procedures;</w:t>
      </w:r>
    </w:p>
    <w:p w14:paraId="6F185CE4" w14:textId="77777777" w:rsidR="00AF3448" w:rsidRPr="0042750D" w:rsidRDefault="00AF3448" w:rsidP="00AF3448">
      <w:pPr>
        <w:rPr>
          <w:szCs w:val="22"/>
        </w:rPr>
      </w:pPr>
      <w:r w:rsidRPr="0042750D">
        <w:rPr>
          <w:szCs w:val="22"/>
        </w:rPr>
        <w:t>2</w:t>
      </w:r>
      <w:r w:rsidRPr="0042750D">
        <w:rPr>
          <w:szCs w:val="22"/>
        </w:rPr>
        <w:tab/>
        <w:t xml:space="preserve">to develop guidelines for Member States and Sector Members with regard to all aspects of alternative calling procedures, based on </w:t>
      </w:r>
      <w:r w:rsidRPr="0042750D">
        <w:rPr>
          <w:i/>
          <w:iCs/>
          <w:szCs w:val="22"/>
        </w:rPr>
        <w:t>resolves</w:t>
      </w:r>
      <w:r w:rsidRPr="0042750D">
        <w:rPr>
          <w:szCs w:val="22"/>
        </w:rPr>
        <w:t> 1, 4 and 5 above;</w:t>
      </w:r>
    </w:p>
    <w:p w14:paraId="14B094DC" w14:textId="77777777" w:rsidR="00AF3448" w:rsidRPr="0042750D" w:rsidRDefault="00AF3448" w:rsidP="00AF3448">
      <w:pPr>
        <w:rPr>
          <w:szCs w:val="22"/>
        </w:rPr>
      </w:pPr>
      <w:r w:rsidRPr="0042750D">
        <w:rPr>
          <w:szCs w:val="22"/>
        </w:rPr>
        <w:t>3</w:t>
      </w:r>
      <w:r w:rsidRPr="0042750D">
        <w:rPr>
          <w:szCs w:val="22"/>
        </w:rPr>
        <w:tab/>
        <w:t>to evaluate the effectiveness of the suggested guidelines for consultation on alternative calling procedures;</w:t>
      </w:r>
    </w:p>
    <w:p w14:paraId="0C1A027F" w14:textId="3CDDC1DD" w:rsidR="00F0236A" w:rsidRPr="0042750D" w:rsidRDefault="00AF3448" w:rsidP="00772719">
      <w:pPr>
        <w:spacing w:after="120"/>
        <w:rPr>
          <w:szCs w:val="22"/>
        </w:rPr>
      </w:pPr>
      <w:r w:rsidRPr="0042750D">
        <w:rPr>
          <w:szCs w:val="22"/>
        </w:rPr>
        <w:t>4</w:t>
      </w:r>
      <w:r w:rsidRPr="0042750D">
        <w:rPr>
          <w:szCs w:val="22"/>
        </w:rPr>
        <w:tab/>
        <w:t>to collaborate so as to avoid overlap and duplication of effort in studying issues related to different forms of alternative calling procedures</w:t>
      </w:r>
      <w:r w:rsidR="00F0236A" w:rsidRPr="0042750D">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F0236A" w:rsidRPr="0042750D" w14:paraId="14A4C995" w14:textId="77777777" w:rsidTr="0048293B">
        <w:trPr>
          <w:tblHeader/>
          <w:jc w:val="center"/>
        </w:trPr>
        <w:tc>
          <w:tcPr>
            <w:tcW w:w="912" w:type="dxa"/>
            <w:tcBorders>
              <w:top w:val="single" w:sz="12" w:space="0" w:color="auto"/>
              <w:bottom w:val="single" w:sz="12" w:space="0" w:color="auto"/>
            </w:tcBorders>
            <w:shd w:val="clear" w:color="auto" w:fill="auto"/>
            <w:vAlign w:val="center"/>
          </w:tcPr>
          <w:p w14:paraId="5CDE6E58" w14:textId="77777777" w:rsidR="00F0236A" w:rsidRPr="0042750D" w:rsidRDefault="00F0236A" w:rsidP="00D101C1">
            <w:pPr>
              <w:pStyle w:val="Tablehead"/>
              <w:keepLines/>
              <w:rPr>
                <w:sz w:val="24"/>
                <w:szCs w:val="24"/>
              </w:rPr>
            </w:pPr>
            <w:r w:rsidRPr="0042750D">
              <w:rPr>
                <w:sz w:val="24"/>
                <w:szCs w:val="24"/>
              </w:rPr>
              <w:t>Action Item</w:t>
            </w:r>
          </w:p>
        </w:tc>
        <w:tc>
          <w:tcPr>
            <w:tcW w:w="4550" w:type="dxa"/>
            <w:tcBorders>
              <w:top w:val="single" w:sz="12" w:space="0" w:color="auto"/>
              <w:bottom w:val="single" w:sz="12" w:space="0" w:color="auto"/>
            </w:tcBorders>
            <w:shd w:val="clear" w:color="auto" w:fill="auto"/>
            <w:vAlign w:val="center"/>
            <w:hideMark/>
          </w:tcPr>
          <w:p w14:paraId="5C3C0640" w14:textId="77777777" w:rsidR="00F0236A" w:rsidRPr="0042750D" w:rsidRDefault="00F0236A" w:rsidP="00D101C1">
            <w:pPr>
              <w:pStyle w:val="Tablehead"/>
              <w:keepLines/>
              <w:rPr>
                <w:sz w:val="24"/>
                <w:szCs w:val="24"/>
              </w:rPr>
            </w:pPr>
            <w:r w:rsidRPr="0042750D">
              <w:rPr>
                <w:sz w:val="24"/>
                <w:szCs w:val="24"/>
              </w:rPr>
              <w:t>Action</w:t>
            </w:r>
          </w:p>
        </w:tc>
        <w:tc>
          <w:tcPr>
            <w:tcW w:w="1882" w:type="dxa"/>
            <w:tcBorders>
              <w:top w:val="single" w:sz="12" w:space="0" w:color="auto"/>
              <w:bottom w:val="single" w:sz="12" w:space="0" w:color="auto"/>
            </w:tcBorders>
            <w:shd w:val="clear" w:color="auto" w:fill="auto"/>
            <w:vAlign w:val="center"/>
            <w:hideMark/>
          </w:tcPr>
          <w:p w14:paraId="05C8AEC1" w14:textId="77777777" w:rsidR="00F0236A" w:rsidRPr="0042750D" w:rsidRDefault="00F0236A" w:rsidP="00DF36E1">
            <w:pPr>
              <w:pStyle w:val="Tablehead"/>
              <w:rPr>
                <w:sz w:val="24"/>
                <w:szCs w:val="24"/>
              </w:rPr>
            </w:pPr>
            <w:r w:rsidRPr="0042750D">
              <w:rPr>
                <w:sz w:val="24"/>
                <w:szCs w:val="24"/>
              </w:rPr>
              <w:t>Milestone</w:t>
            </w:r>
          </w:p>
        </w:tc>
        <w:tc>
          <w:tcPr>
            <w:tcW w:w="1152" w:type="dxa"/>
            <w:tcBorders>
              <w:top w:val="single" w:sz="12" w:space="0" w:color="auto"/>
              <w:bottom w:val="single" w:sz="12" w:space="0" w:color="auto"/>
            </w:tcBorders>
            <w:shd w:val="clear" w:color="auto" w:fill="auto"/>
          </w:tcPr>
          <w:p w14:paraId="7EE4CBFF" w14:textId="77777777" w:rsidR="00F0236A" w:rsidRPr="0042750D" w:rsidRDefault="00F0236A" w:rsidP="00DF36E1">
            <w:pPr>
              <w:pStyle w:val="Tablehead"/>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2A72E415"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22621A94" w14:textId="77777777" w:rsidTr="00772719">
        <w:trPr>
          <w:jc w:val="center"/>
        </w:trPr>
        <w:tc>
          <w:tcPr>
            <w:tcW w:w="912" w:type="dxa"/>
            <w:vMerge w:val="restart"/>
            <w:tcBorders>
              <w:top w:val="single" w:sz="12" w:space="0" w:color="auto"/>
            </w:tcBorders>
            <w:shd w:val="clear" w:color="auto" w:fill="auto"/>
          </w:tcPr>
          <w:p w14:paraId="10D60557" w14:textId="0E120E39" w:rsidR="00F0236A" w:rsidRPr="0042750D" w:rsidRDefault="00772719" w:rsidP="00D101C1">
            <w:pPr>
              <w:pStyle w:val="Tabletext"/>
              <w:keepNext/>
              <w:keepLines/>
              <w:rPr>
                <w:b/>
                <w:bCs/>
                <w:sz w:val="24"/>
                <w:szCs w:val="24"/>
              </w:rPr>
            </w:pPr>
            <w:r w:rsidRPr="0042750D">
              <w:rPr>
                <w:b/>
                <w:bCs/>
                <w:sz w:val="24"/>
                <w:szCs w:val="24"/>
              </w:rPr>
              <w:t>21</w:t>
            </w:r>
            <w:r w:rsidR="00F0236A" w:rsidRPr="0042750D">
              <w:rPr>
                <w:b/>
                <w:bCs/>
                <w:sz w:val="24"/>
                <w:szCs w:val="24"/>
              </w:rPr>
              <w:t>-01</w:t>
            </w:r>
          </w:p>
        </w:tc>
        <w:tc>
          <w:tcPr>
            <w:tcW w:w="4550" w:type="dxa"/>
            <w:tcBorders>
              <w:top w:val="single" w:sz="12" w:space="0" w:color="auto"/>
              <w:bottom w:val="single" w:sz="4" w:space="0" w:color="auto"/>
            </w:tcBorders>
            <w:shd w:val="clear" w:color="auto" w:fill="auto"/>
            <w:hideMark/>
          </w:tcPr>
          <w:p w14:paraId="7D979486" w14:textId="692E8501" w:rsidR="00F0236A" w:rsidRPr="0042750D" w:rsidRDefault="00772719" w:rsidP="00D101C1">
            <w:pPr>
              <w:pStyle w:val="Tabletext"/>
              <w:keepNext/>
              <w:keepLines/>
              <w:rPr>
                <w:b/>
                <w:bCs/>
                <w:sz w:val="24"/>
                <w:szCs w:val="24"/>
              </w:rPr>
            </w:pPr>
            <w:r w:rsidRPr="0042750D">
              <w:rPr>
                <w:b/>
                <w:bCs/>
                <w:sz w:val="24"/>
                <w:szCs w:val="24"/>
              </w:rPr>
              <w:t>ITU-T study groups, particularly Study Groups 2 and 3 on ACP (OI, CLI), SG12 (develop guidelines regarding minimum QoS and QoE) through contributions, to continue to study within their respective mandates</w:t>
            </w:r>
            <w:r w:rsidR="009B1F9A" w:rsidRPr="0042750D">
              <w:rPr>
                <w:b/>
                <w:bCs/>
                <w:sz w:val="24"/>
                <w:szCs w:val="24"/>
              </w:rPr>
              <w:t xml:space="preserve"> (</w:t>
            </w:r>
            <w:r w:rsidR="009B1F9A" w:rsidRPr="0042750D">
              <w:rPr>
                <w:b/>
                <w:bCs/>
                <w:i/>
                <w:sz w:val="24"/>
                <w:szCs w:val="24"/>
              </w:rPr>
              <w:t>resolves 4</w:t>
            </w:r>
            <w:r w:rsidR="009B1F9A" w:rsidRPr="0042750D">
              <w:rPr>
                <w:b/>
                <w:bCs/>
                <w:sz w:val="24"/>
                <w:szCs w:val="24"/>
              </w:rPr>
              <w:t>)</w:t>
            </w:r>
            <w:r w:rsidRPr="0042750D">
              <w:rPr>
                <w:b/>
                <w:bCs/>
                <w:sz w:val="24"/>
                <w:szCs w:val="24"/>
              </w:rPr>
              <w:t>.</w:t>
            </w:r>
          </w:p>
        </w:tc>
        <w:tc>
          <w:tcPr>
            <w:tcW w:w="1882" w:type="dxa"/>
            <w:tcBorders>
              <w:top w:val="single" w:sz="12" w:space="0" w:color="auto"/>
              <w:bottom w:val="single" w:sz="4" w:space="0" w:color="auto"/>
            </w:tcBorders>
            <w:shd w:val="clear" w:color="auto" w:fill="auto"/>
            <w:vAlign w:val="center"/>
          </w:tcPr>
          <w:p w14:paraId="3B29C22E"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52" w:type="dxa"/>
            <w:tcBorders>
              <w:top w:val="single" w:sz="12" w:space="0" w:color="auto"/>
              <w:bottom w:val="single" w:sz="4" w:space="0" w:color="auto"/>
            </w:tcBorders>
            <w:shd w:val="clear" w:color="auto" w:fill="auto"/>
            <w:vAlign w:val="center"/>
          </w:tcPr>
          <w:p w14:paraId="4C0B2EF5" w14:textId="0783BB28" w:rsidR="00F0236A" w:rsidRPr="0042750D" w:rsidRDefault="00A30AE9" w:rsidP="00DF36E1">
            <w:pPr>
              <w:pStyle w:val="Tabletext"/>
              <w:jc w:val="center"/>
              <w:rPr>
                <w:b/>
                <w:bCs/>
                <w:sz w:val="24"/>
                <w:szCs w:val="24"/>
              </w:rPr>
            </w:pPr>
            <w:r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64155B72" w14:textId="77777777" w:rsidR="00F0236A" w:rsidRPr="0042750D" w:rsidRDefault="00F0236A" w:rsidP="00DF36E1">
            <w:pPr>
              <w:pStyle w:val="Tabletext"/>
              <w:jc w:val="center"/>
              <w:rPr>
                <w:b/>
                <w:bCs/>
                <w:sz w:val="24"/>
                <w:szCs w:val="24"/>
              </w:rPr>
            </w:pPr>
          </w:p>
        </w:tc>
      </w:tr>
      <w:tr w:rsidR="00F0236A" w:rsidRPr="0042750D" w14:paraId="3EC0D8F6" w14:textId="77777777" w:rsidTr="00586F97">
        <w:trPr>
          <w:jc w:val="center"/>
        </w:trPr>
        <w:tc>
          <w:tcPr>
            <w:tcW w:w="912" w:type="dxa"/>
            <w:vMerge/>
            <w:shd w:val="clear" w:color="auto" w:fill="auto"/>
          </w:tcPr>
          <w:p w14:paraId="28A26467" w14:textId="77777777" w:rsidR="00F0236A" w:rsidRPr="0042750D" w:rsidRDefault="00F0236A" w:rsidP="00DF36E1">
            <w:pPr>
              <w:pStyle w:val="Tabletext"/>
              <w:rPr>
                <w:sz w:val="24"/>
                <w:szCs w:val="24"/>
              </w:rPr>
            </w:pPr>
          </w:p>
        </w:tc>
        <w:tc>
          <w:tcPr>
            <w:tcW w:w="8920" w:type="dxa"/>
            <w:gridSpan w:val="4"/>
            <w:tcBorders>
              <w:top w:val="single" w:sz="4" w:space="0" w:color="auto"/>
            </w:tcBorders>
            <w:shd w:val="clear" w:color="auto" w:fill="auto"/>
          </w:tcPr>
          <w:p w14:paraId="27A010D9" w14:textId="42090505" w:rsidR="00B64BB5" w:rsidRPr="0042750D" w:rsidRDefault="003246CC" w:rsidP="00F52576">
            <w:pPr>
              <w:spacing w:before="40"/>
              <w:rPr>
                <w:szCs w:val="22"/>
              </w:rPr>
            </w:pPr>
            <w:r w:rsidRPr="0042750D">
              <w:rPr>
                <w:szCs w:val="22"/>
              </w:rPr>
              <w:t xml:space="preserve">See </w:t>
            </w:r>
            <w:hyperlink r:id="rId18" w:history="1">
              <w:r w:rsidRPr="0042750D">
                <w:rPr>
                  <w:rStyle w:val="Hyperlink"/>
                  <w:szCs w:val="22"/>
                </w:rPr>
                <w:t>C19/35</w:t>
              </w:r>
            </w:hyperlink>
            <w:r w:rsidRPr="0042750D">
              <w:rPr>
                <w:szCs w:val="22"/>
              </w:rPr>
              <w:t xml:space="preserve"> Annex 1.</w:t>
            </w:r>
          </w:p>
          <w:p w14:paraId="23757F7A" w14:textId="42F339DE" w:rsidR="00C16142" w:rsidRPr="0042750D" w:rsidRDefault="00B64BB5" w:rsidP="00B64BB5">
            <w:pPr>
              <w:pStyle w:val="ListParagraph"/>
              <w:numPr>
                <w:ilvl w:val="0"/>
                <w:numId w:val="5"/>
              </w:numPr>
              <w:spacing w:after="40"/>
              <w:ind w:left="357" w:hanging="357"/>
              <w:contextualSpacing w:val="0"/>
              <w:rPr>
                <w:szCs w:val="22"/>
              </w:rPr>
            </w:pPr>
            <w:r w:rsidRPr="0042750D">
              <w:rPr>
                <w:szCs w:val="22"/>
              </w:rPr>
              <w:t xml:space="preserve">SG2 received contributions on relevant topics. A new work item </w:t>
            </w:r>
            <w:r w:rsidR="0074419F" w:rsidRPr="0042750D">
              <w:rPr>
                <w:szCs w:val="22"/>
              </w:rPr>
              <w:t>for a</w:t>
            </w:r>
            <w:r w:rsidRPr="0042750D">
              <w:rPr>
                <w:szCs w:val="22"/>
              </w:rPr>
              <w:t xml:space="preserve"> draft </w:t>
            </w:r>
            <w:r w:rsidR="00DD4F68" w:rsidRPr="0042750D">
              <w:rPr>
                <w:szCs w:val="22"/>
              </w:rPr>
              <w:t>R</w:t>
            </w:r>
            <w:r w:rsidRPr="0042750D">
              <w:rPr>
                <w:szCs w:val="22"/>
              </w:rPr>
              <w:t xml:space="preserve">ecommendation </w:t>
            </w:r>
            <w:r w:rsidR="00DD4F68" w:rsidRPr="0042750D">
              <w:rPr>
                <w:szCs w:val="22"/>
              </w:rPr>
              <w:t xml:space="preserve">ITU-T E.ACP </w:t>
            </w:r>
            <w:r w:rsidRPr="0042750D">
              <w:rPr>
                <w:szCs w:val="22"/>
              </w:rPr>
              <w:t xml:space="preserve">on Alternative Calling Procedure </w:t>
            </w:r>
            <w:r w:rsidR="00DD4F68" w:rsidRPr="0042750D">
              <w:rPr>
                <w:szCs w:val="22"/>
              </w:rPr>
              <w:t>was started</w:t>
            </w:r>
            <w:r w:rsidRPr="0042750D">
              <w:rPr>
                <w:szCs w:val="22"/>
              </w:rPr>
              <w:t xml:space="preserve"> at the SG2 meeting in December 2019.</w:t>
            </w:r>
          </w:p>
          <w:p w14:paraId="71C7D51D" w14:textId="77777777" w:rsidR="00F0236A" w:rsidRPr="0042750D" w:rsidRDefault="00A30AE9" w:rsidP="00A71093">
            <w:pPr>
              <w:pStyle w:val="ListParagraph"/>
              <w:numPr>
                <w:ilvl w:val="0"/>
                <w:numId w:val="5"/>
              </w:numPr>
              <w:spacing w:after="40"/>
              <w:ind w:left="357" w:hanging="357"/>
              <w:contextualSpacing w:val="0"/>
              <w:rPr>
                <w:szCs w:val="22"/>
              </w:rPr>
            </w:pPr>
            <w:r w:rsidRPr="0042750D">
              <w:rPr>
                <w:szCs w:val="22"/>
              </w:rPr>
              <w:t>SG3 continues to receive contributions on this topic in work item STUDY_ACPMIS on Alternative Calling Procedures, and misappropriation and misuse of facilities and services, and work is ongoing in the Rapporteur Group Q8/3 and studying work item D.SIMBOX on simboxing. SGs 2 and 3 are liaising on alternative calling procedures.</w:t>
            </w:r>
          </w:p>
          <w:p w14:paraId="1AA172E1" w14:textId="207045B8" w:rsidR="002237D7" w:rsidRPr="0042750D" w:rsidRDefault="002237D7" w:rsidP="00A71093">
            <w:pPr>
              <w:pStyle w:val="ListParagraph"/>
              <w:numPr>
                <w:ilvl w:val="0"/>
                <w:numId w:val="5"/>
              </w:numPr>
              <w:spacing w:after="40"/>
              <w:ind w:left="357" w:hanging="357"/>
              <w:contextualSpacing w:val="0"/>
              <w:rPr>
                <w:szCs w:val="22"/>
              </w:rPr>
            </w:pPr>
            <w:r w:rsidRPr="0042750D">
              <w:rPr>
                <w:szCs w:val="22"/>
              </w:rPr>
              <w:t>SG12 expects progress on its work item G.ACP (Guidelines regarding the minimum QoS and QoE threshold to be fulfilled during the use of alternative calling procedures) before the end of the study period. So far, no contributions quantifying the impact of SIM-boxing on QoS and QoE have been received to progress work item E.QSIMBox.</w:t>
            </w:r>
          </w:p>
        </w:tc>
      </w:tr>
      <w:tr w:rsidR="005A3842" w:rsidRPr="0042750D" w14:paraId="49F743D0" w14:textId="77777777" w:rsidTr="00EA18BD">
        <w:trPr>
          <w:jc w:val="center"/>
        </w:trPr>
        <w:tc>
          <w:tcPr>
            <w:tcW w:w="912" w:type="dxa"/>
            <w:vMerge w:val="restart"/>
            <w:tcBorders>
              <w:top w:val="single" w:sz="12" w:space="0" w:color="auto"/>
            </w:tcBorders>
            <w:shd w:val="clear" w:color="auto" w:fill="auto"/>
          </w:tcPr>
          <w:p w14:paraId="6FAA5EF3" w14:textId="5D2357EC" w:rsidR="005A3842" w:rsidRPr="0042750D" w:rsidRDefault="005A3842" w:rsidP="005A3842">
            <w:pPr>
              <w:pStyle w:val="Tabletext"/>
              <w:keepNext/>
              <w:keepLines/>
              <w:rPr>
                <w:b/>
                <w:bCs/>
                <w:sz w:val="24"/>
                <w:szCs w:val="24"/>
              </w:rPr>
            </w:pPr>
            <w:bookmarkStart w:id="13" w:name="Item07_01"/>
            <w:bookmarkStart w:id="14" w:name="Item07_05"/>
            <w:bookmarkStart w:id="15" w:name="Item07_06"/>
            <w:bookmarkStart w:id="16" w:name="Item07_07"/>
            <w:bookmarkStart w:id="17" w:name="Item07_08"/>
            <w:bookmarkStart w:id="18" w:name="Item07_09"/>
            <w:bookmarkEnd w:id="13"/>
            <w:bookmarkEnd w:id="14"/>
            <w:bookmarkEnd w:id="15"/>
            <w:bookmarkEnd w:id="16"/>
            <w:bookmarkEnd w:id="17"/>
            <w:bookmarkEnd w:id="18"/>
            <w:r w:rsidRPr="0042750D">
              <w:rPr>
                <w:b/>
                <w:bCs/>
                <w:sz w:val="24"/>
                <w:szCs w:val="24"/>
              </w:rPr>
              <w:t>21-02</w:t>
            </w:r>
          </w:p>
        </w:tc>
        <w:tc>
          <w:tcPr>
            <w:tcW w:w="4550" w:type="dxa"/>
            <w:tcBorders>
              <w:top w:val="single" w:sz="12" w:space="0" w:color="auto"/>
              <w:bottom w:val="single" w:sz="4" w:space="0" w:color="auto"/>
            </w:tcBorders>
            <w:shd w:val="clear" w:color="auto" w:fill="auto"/>
            <w:hideMark/>
          </w:tcPr>
          <w:p w14:paraId="028C933E" w14:textId="0BFEE503" w:rsidR="005A3842" w:rsidRPr="0042750D" w:rsidRDefault="005A3842" w:rsidP="005A3842">
            <w:pPr>
              <w:rPr>
                <w:b/>
                <w:sz w:val="24"/>
              </w:rPr>
            </w:pPr>
            <w:r w:rsidRPr="0042750D">
              <w:rPr>
                <w:b/>
                <w:bCs/>
                <w:sz w:val="24"/>
              </w:rPr>
              <w:t xml:space="preserve">TSBDir to </w:t>
            </w:r>
            <w:r w:rsidRPr="0042750D">
              <w:rPr>
                <w:b/>
                <w:sz w:val="24"/>
              </w:rPr>
              <w:t>collaborate with BDTDir on further studies, based on contributions from Member States, Sector Members and other members, in order to evaluate the effects of alternative calling procedures on consumers, the effect on countries with economies in transition, developing countries and especially least developed countries, for sound development of their local telecommunication networks and services in respect of originating and terminating calls using alternative calling procedures</w:t>
            </w:r>
            <w:r w:rsidR="009B1F9A" w:rsidRPr="0042750D">
              <w:rPr>
                <w:b/>
                <w:sz w:val="24"/>
              </w:rPr>
              <w:t xml:space="preserve"> (</w:t>
            </w:r>
            <w:r w:rsidR="009B1F9A" w:rsidRPr="0042750D">
              <w:rPr>
                <w:b/>
                <w:i/>
                <w:sz w:val="24"/>
              </w:rPr>
              <w:t>instructs 1</w:t>
            </w:r>
            <w:r w:rsidR="009B1F9A" w:rsidRPr="0042750D">
              <w:rPr>
                <w:b/>
                <w:sz w:val="24"/>
              </w:rPr>
              <w:t>)</w:t>
            </w:r>
            <w:r w:rsidRPr="0042750D">
              <w:rPr>
                <w:b/>
                <w:sz w:val="24"/>
              </w:rPr>
              <w:t>;</w:t>
            </w:r>
          </w:p>
          <w:p w14:paraId="65F96FC9" w14:textId="7CDF94C1" w:rsidR="005A3842" w:rsidRPr="0042750D" w:rsidRDefault="005A3842" w:rsidP="005A3842">
            <w:pPr>
              <w:rPr>
                <w:b/>
                <w:sz w:val="24"/>
              </w:rPr>
            </w:pPr>
            <w:r w:rsidRPr="0042750D">
              <w:rPr>
                <w:b/>
                <w:sz w:val="24"/>
              </w:rPr>
              <w:t xml:space="preserve">to develop guidelines for Member States and Sector Members with regard to all aspects of alternative calling procedures, based on </w:t>
            </w:r>
            <w:r w:rsidRPr="0042750D">
              <w:rPr>
                <w:b/>
                <w:i/>
                <w:iCs/>
                <w:sz w:val="24"/>
              </w:rPr>
              <w:t>resolves</w:t>
            </w:r>
            <w:r w:rsidRPr="0042750D">
              <w:rPr>
                <w:b/>
                <w:sz w:val="24"/>
              </w:rPr>
              <w:t> 1, 4 and 5 above</w:t>
            </w:r>
            <w:r w:rsidR="009B1F9A" w:rsidRPr="0042750D">
              <w:rPr>
                <w:b/>
                <w:sz w:val="24"/>
              </w:rPr>
              <w:t xml:space="preserve"> (</w:t>
            </w:r>
            <w:r w:rsidR="009B1F9A" w:rsidRPr="0042750D">
              <w:rPr>
                <w:b/>
                <w:i/>
                <w:sz w:val="24"/>
              </w:rPr>
              <w:t>instructs 2</w:t>
            </w:r>
            <w:r w:rsidR="009B1F9A" w:rsidRPr="0042750D">
              <w:rPr>
                <w:b/>
                <w:sz w:val="24"/>
              </w:rPr>
              <w:t>)</w:t>
            </w:r>
            <w:r w:rsidRPr="0042750D">
              <w:rPr>
                <w:b/>
                <w:sz w:val="24"/>
              </w:rPr>
              <w:t>;</w:t>
            </w:r>
          </w:p>
          <w:p w14:paraId="2D42700D" w14:textId="70DE0AD4" w:rsidR="005A3842" w:rsidRPr="0042750D" w:rsidRDefault="005A3842" w:rsidP="005A3842">
            <w:pPr>
              <w:rPr>
                <w:b/>
                <w:sz w:val="24"/>
              </w:rPr>
            </w:pPr>
            <w:r w:rsidRPr="0042750D">
              <w:rPr>
                <w:b/>
                <w:sz w:val="24"/>
              </w:rPr>
              <w:t>to evaluate the effectiveness of the suggested guidelines for consultation on alternative calling procedures</w:t>
            </w:r>
            <w:r w:rsidR="009B1F9A" w:rsidRPr="0042750D">
              <w:rPr>
                <w:b/>
                <w:sz w:val="24"/>
              </w:rPr>
              <w:t xml:space="preserve"> (</w:t>
            </w:r>
            <w:r w:rsidR="009B1F9A" w:rsidRPr="0042750D">
              <w:rPr>
                <w:b/>
                <w:i/>
                <w:sz w:val="24"/>
              </w:rPr>
              <w:t>instructs 3</w:t>
            </w:r>
            <w:r w:rsidR="009B1F9A" w:rsidRPr="0042750D">
              <w:rPr>
                <w:b/>
                <w:sz w:val="24"/>
              </w:rPr>
              <w:t>)</w:t>
            </w:r>
            <w:r w:rsidRPr="0042750D">
              <w:rPr>
                <w:b/>
                <w:sz w:val="24"/>
              </w:rPr>
              <w:t>;</w:t>
            </w:r>
          </w:p>
          <w:p w14:paraId="760986D0" w14:textId="717CF09E" w:rsidR="005A3842" w:rsidRPr="0042750D" w:rsidRDefault="005A3842" w:rsidP="005A3842">
            <w:pPr>
              <w:pStyle w:val="Tabletext"/>
              <w:keepNext/>
              <w:keepLines/>
              <w:rPr>
                <w:b/>
                <w:bCs/>
                <w:sz w:val="24"/>
                <w:szCs w:val="24"/>
              </w:rPr>
            </w:pPr>
            <w:r w:rsidRPr="0042750D">
              <w:rPr>
                <w:b/>
                <w:sz w:val="24"/>
                <w:szCs w:val="24"/>
              </w:rPr>
              <w:t>to collaborate so as to avoid overlap and duplication of effort in studying issues related to different forms of alternative calling procedures</w:t>
            </w:r>
            <w:r w:rsidR="009B1F9A" w:rsidRPr="0042750D">
              <w:rPr>
                <w:b/>
                <w:sz w:val="24"/>
                <w:szCs w:val="24"/>
              </w:rPr>
              <w:t xml:space="preserve"> (</w:t>
            </w:r>
            <w:r w:rsidR="009B1F9A" w:rsidRPr="0042750D">
              <w:rPr>
                <w:b/>
                <w:i/>
                <w:sz w:val="24"/>
                <w:szCs w:val="24"/>
              </w:rPr>
              <w:t>instructs 4</w:t>
            </w:r>
            <w:r w:rsidR="009B1F9A" w:rsidRPr="0042750D">
              <w:rPr>
                <w:b/>
                <w:sz w:val="24"/>
                <w:szCs w:val="24"/>
              </w:rPr>
              <w:t>)</w:t>
            </w:r>
            <w:r w:rsidRPr="0042750D">
              <w:rPr>
                <w:b/>
                <w:sz w:val="24"/>
                <w:szCs w:val="24"/>
              </w:rPr>
              <w:t>.</w:t>
            </w:r>
          </w:p>
        </w:tc>
        <w:tc>
          <w:tcPr>
            <w:tcW w:w="1882" w:type="dxa"/>
            <w:tcBorders>
              <w:top w:val="single" w:sz="12" w:space="0" w:color="auto"/>
              <w:bottom w:val="single" w:sz="4" w:space="0" w:color="auto"/>
            </w:tcBorders>
            <w:shd w:val="clear" w:color="auto" w:fill="auto"/>
            <w:vAlign w:val="center"/>
          </w:tcPr>
          <w:p w14:paraId="6685C130" w14:textId="77777777" w:rsidR="005A3842" w:rsidRPr="0042750D" w:rsidRDefault="005A3842" w:rsidP="00EA18BD">
            <w:pPr>
              <w:pStyle w:val="Tabletext"/>
              <w:jc w:val="center"/>
              <w:rPr>
                <w:b/>
                <w:bCs/>
                <w:sz w:val="24"/>
                <w:szCs w:val="24"/>
              </w:rPr>
            </w:pPr>
            <w:r w:rsidRPr="0042750D">
              <w:rPr>
                <w:b/>
                <w:bCs/>
                <w:sz w:val="24"/>
                <w:szCs w:val="24"/>
              </w:rPr>
              <w:t>Ongoing</w:t>
            </w:r>
          </w:p>
        </w:tc>
        <w:tc>
          <w:tcPr>
            <w:tcW w:w="1152" w:type="dxa"/>
            <w:tcBorders>
              <w:top w:val="single" w:sz="12" w:space="0" w:color="auto"/>
              <w:bottom w:val="single" w:sz="4" w:space="0" w:color="auto"/>
            </w:tcBorders>
            <w:shd w:val="clear" w:color="auto" w:fill="auto"/>
            <w:vAlign w:val="center"/>
          </w:tcPr>
          <w:p w14:paraId="3451305F" w14:textId="77777777" w:rsidR="005A3842" w:rsidRPr="0042750D" w:rsidRDefault="005A3842" w:rsidP="00EA18BD">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29B96F80" w14:textId="77777777" w:rsidR="005A3842" w:rsidRPr="0042750D" w:rsidRDefault="005A3842" w:rsidP="00EA18BD">
            <w:pPr>
              <w:pStyle w:val="Tabletext"/>
              <w:jc w:val="center"/>
              <w:rPr>
                <w:b/>
                <w:bCs/>
                <w:sz w:val="24"/>
                <w:szCs w:val="24"/>
              </w:rPr>
            </w:pPr>
          </w:p>
        </w:tc>
      </w:tr>
      <w:tr w:rsidR="005A3842" w:rsidRPr="0042750D" w14:paraId="58789CA1" w14:textId="77777777" w:rsidTr="00EA18BD">
        <w:trPr>
          <w:jc w:val="center"/>
        </w:trPr>
        <w:tc>
          <w:tcPr>
            <w:tcW w:w="912" w:type="dxa"/>
            <w:vMerge/>
            <w:shd w:val="clear" w:color="auto" w:fill="auto"/>
          </w:tcPr>
          <w:p w14:paraId="2DF152E3" w14:textId="77777777" w:rsidR="005A3842" w:rsidRPr="0042750D" w:rsidRDefault="005A3842" w:rsidP="00EA18BD">
            <w:pPr>
              <w:pStyle w:val="Tabletext"/>
              <w:rPr>
                <w:sz w:val="24"/>
                <w:szCs w:val="24"/>
              </w:rPr>
            </w:pPr>
          </w:p>
        </w:tc>
        <w:tc>
          <w:tcPr>
            <w:tcW w:w="8920" w:type="dxa"/>
            <w:gridSpan w:val="4"/>
            <w:tcBorders>
              <w:top w:val="single" w:sz="4" w:space="0" w:color="auto"/>
            </w:tcBorders>
            <w:shd w:val="clear" w:color="auto" w:fill="auto"/>
          </w:tcPr>
          <w:p w14:paraId="1E059D84" w14:textId="77777777" w:rsidR="005A3842" w:rsidRPr="0042750D" w:rsidRDefault="005A3842" w:rsidP="00F52576">
            <w:pPr>
              <w:spacing w:before="40" w:after="40"/>
              <w:rPr>
                <w:szCs w:val="22"/>
              </w:rPr>
            </w:pPr>
          </w:p>
        </w:tc>
      </w:tr>
    </w:tbl>
    <w:p w14:paraId="185B4F9C" w14:textId="05602968"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4D1863BE" w14:textId="3B9E4780" w:rsidR="00F0236A" w:rsidRPr="0042750D" w:rsidRDefault="00397672" w:rsidP="00EA18BD">
      <w:pPr>
        <w:pStyle w:val="Heading1"/>
        <w:rPr>
          <w:sz w:val="24"/>
          <w:szCs w:val="24"/>
          <w:lang w:val="en-GB"/>
        </w:rPr>
      </w:pPr>
      <w:bookmarkStart w:id="19" w:name="Resolution_11"/>
      <w:bookmarkStart w:id="20" w:name="_Toc30749147"/>
      <w:bookmarkEnd w:id="19"/>
      <w:r w:rsidRPr="0042750D">
        <w:rPr>
          <w:sz w:val="24"/>
          <w:szCs w:val="24"/>
          <w:lang w:val="en-GB"/>
        </w:rPr>
        <w:t>RESOLUTION 22 (Rev. Antalya, 2006) – Apportionment of revenues in providing international telecommunication services</w:t>
      </w:r>
      <w:bookmarkEnd w:id="20"/>
    </w:p>
    <w:p w14:paraId="067CF949" w14:textId="77777777" w:rsidR="00397672" w:rsidRPr="0042750D" w:rsidRDefault="00397672" w:rsidP="00397672">
      <w:pPr>
        <w:pStyle w:val="Call"/>
        <w:rPr>
          <w:lang w:val="en-GB"/>
        </w:rPr>
      </w:pPr>
      <w:r w:rsidRPr="0042750D">
        <w:rPr>
          <w:lang w:val="en-GB"/>
        </w:rPr>
        <w:t>resolves to urge the Telecommunication Standardization Sector</w:t>
      </w:r>
    </w:p>
    <w:p w14:paraId="03741F98" w14:textId="77777777" w:rsidR="00397672" w:rsidRPr="0042750D" w:rsidRDefault="00397672" w:rsidP="00397672">
      <w:r w:rsidRPr="0042750D">
        <w:t>1</w:t>
      </w:r>
      <w:r w:rsidRPr="0042750D">
        <w:tab/>
        <w:t>to expedite its work on completing its study on the concept of network externalities for international traffic in relation to both fixed and mobile services;</w:t>
      </w:r>
    </w:p>
    <w:p w14:paraId="18ECB4EE" w14:textId="7411248B" w:rsidR="00397672" w:rsidRPr="0042750D" w:rsidRDefault="00397672" w:rsidP="00397672">
      <w:r w:rsidRPr="0042750D">
        <w:t>2</w:t>
      </w:r>
      <w:r w:rsidRPr="0042750D">
        <w:tab/>
        <w:t xml:space="preserve">to follow up its work on developing </w:t>
      </w:r>
      <w:r w:rsidR="00153105" w:rsidRPr="0042750D">
        <w:t>the appropriate costing methodo</w:t>
      </w:r>
      <w:r w:rsidRPr="0042750D">
        <w:t>logies for both fixed and mobile services;</w:t>
      </w:r>
    </w:p>
    <w:p w14:paraId="4BE5D677" w14:textId="77777777" w:rsidR="00397672" w:rsidRPr="0042750D" w:rsidRDefault="00397672" w:rsidP="00397672">
      <w:r w:rsidRPr="0042750D">
        <w:t>3</w:t>
      </w:r>
      <w:r w:rsidRPr="0042750D">
        <w:tab/>
        <w:t>to agree on transitional arrangements which may allow for some flexibility, taking into account the situation of the developing countries and the rapidly changing international telecommunication environment;</w:t>
      </w:r>
    </w:p>
    <w:p w14:paraId="4B61826C" w14:textId="4AF5E9BC" w:rsidR="00397672" w:rsidRPr="0042750D" w:rsidRDefault="00397672" w:rsidP="00397672">
      <w:r w:rsidRPr="0042750D">
        <w:t>4</w:t>
      </w:r>
      <w:r w:rsidRPr="0042750D">
        <w:tab/>
        <w:t>to take into consideration the in</w:t>
      </w:r>
      <w:r w:rsidR="00CF455B" w:rsidRPr="0042750D">
        <w:t>terests of all users of telecom</w:t>
      </w:r>
      <w:r w:rsidRPr="0042750D">
        <w:t>munications as a high priority,</w:t>
      </w:r>
    </w:p>
    <w:p w14:paraId="1A161C60" w14:textId="77777777" w:rsidR="00397672" w:rsidRPr="0042750D" w:rsidRDefault="00397672" w:rsidP="00397672">
      <w:pPr>
        <w:pStyle w:val="Call"/>
        <w:rPr>
          <w:lang w:val="en-GB"/>
        </w:rPr>
      </w:pPr>
      <w:r w:rsidRPr="0042750D">
        <w:rPr>
          <w:lang w:val="en-GB"/>
        </w:rPr>
        <w:t>instructs the Secretary-General and the Director of the Telecommunication Standardization Bureau</w:t>
      </w:r>
    </w:p>
    <w:p w14:paraId="5D4B56A8" w14:textId="77777777" w:rsidR="00397672" w:rsidRPr="0042750D" w:rsidRDefault="00397672" w:rsidP="00397672">
      <w:r w:rsidRPr="0042750D">
        <w:t>to monitor, and report to the Council on progress achieved,</w:t>
      </w:r>
    </w:p>
    <w:p w14:paraId="2E484552" w14:textId="77777777" w:rsidR="00397672" w:rsidRPr="0042750D" w:rsidRDefault="00397672" w:rsidP="00397672">
      <w:pPr>
        <w:pStyle w:val="Call"/>
        <w:rPr>
          <w:lang w:val="en-GB"/>
        </w:rPr>
      </w:pPr>
      <w:r w:rsidRPr="0042750D">
        <w:rPr>
          <w:lang w:val="en-GB"/>
        </w:rPr>
        <w:t>instructs the Director of the Telecommunication Standardization Bureau</w:t>
      </w:r>
    </w:p>
    <w:p w14:paraId="7E9EEC96" w14:textId="0B9AEFAA" w:rsidR="00F0236A" w:rsidRPr="0042750D" w:rsidRDefault="00397672" w:rsidP="00397672">
      <w:pPr>
        <w:spacing w:after="120"/>
      </w:pPr>
      <w:r w:rsidRPr="0042750D">
        <w:t>to submit a report to the Council on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F0236A" w:rsidRPr="0042750D" w14:paraId="05661E4A" w14:textId="77777777" w:rsidTr="007E60C0">
        <w:trPr>
          <w:jc w:val="center"/>
        </w:trPr>
        <w:tc>
          <w:tcPr>
            <w:tcW w:w="914" w:type="dxa"/>
            <w:tcBorders>
              <w:top w:val="single" w:sz="12" w:space="0" w:color="auto"/>
              <w:bottom w:val="single" w:sz="12" w:space="0" w:color="auto"/>
            </w:tcBorders>
            <w:shd w:val="clear" w:color="auto" w:fill="FFFFFF" w:themeFill="background1"/>
            <w:vAlign w:val="center"/>
          </w:tcPr>
          <w:p w14:paraId="31E7374C" w14:textId="77777777" w:rsidR="00F0236A" w:rsidRPr="0042750D" w:rsidRDefault="00F0236A" w:rsidP="008F1D42">
            <w:pPr>
              <w:pStyle w:val="Tablehead"/>
              <w:keepLines/>
              <w:rPr>
                <w:sz w:val="24"/>
                <w:szCs w:val="24"/>
              </w:rPr>
            </w:pPr>
            <w:r w:rsidRPr="0042750D">
              <w:rPr>
                <w:sz w:val="24"/>
                <w:szCs w:val="24"/>
              </w:rPr>
              <w:t>Action Item</w:t>
            </w:r>
          </w:p>
        </w:tc>
        <w:tc>
          <w:tcPr>
            <w:tcW w:w="4596" w:type="dxa"/>
            <w:tcBorders>
              <w:top w:val="single" w:sz="12" w:space="0" w:color="auto"/>
              <w:bottom w:val="single" w:sz="12" w:space="0" w:color="auto"/>
            </w:tcBorders>
            <w:shd w:val="clear" w:color="auto" w:fill="FFFFFF" w:themeFill="background1"/>
            <w:vAlign w:val="center"/>
            <w:hideMark/>
          </w:tcPr>
          <w:p w14:paraId="0E411B61" w14:textId="77777777" w:rsidR="00F0236A" w:rsidRPr="0042750D" w:rsidRDefault="00F0236A" w:rsidP="008F1D42">
            <w:pPr>
              <w:pStyle w:val="Tablehead"/>
              <w:keepLines/>
              <w:rPr>
                <w:sz w:val="24"/>
                <w:szCs w:val="24"/>
              </w:rPr>
            </w:pPr>
            <w:r w:rsidRPr="0042750D">
              <w:rPr>
                <w:sz w:val="24"/>
                <w:szCs w:val="24"/>
              </w:rPr>
              <w:t>Action</w:t>
            </w:r>
          </w:p>
        </w:tc>
        <w:tc>
          <w:tcPr>
            <w:tcW w:w="1708" w:type="dxa"/>
            <w:tcBorders>
              <w:top w:val="single" w:sz="12" w:space="0" w:color="auto"/>
              <w:bottom w:val="single" w:sz="12" w:space="0" w:color="auto"/>
            </w:tcBorders>
            <w:shd w:val="clear" w:color="auto" w:fill="FFFFFF" w:themeFill="background1"/>
            <w:vAlign w:val="center"/>
            <w:hideMark/>
          </w:tcPr>
          <w:p w14:paraId="72C417A0" w14:textId="77777777" w:rsidR="00F0236A" w:rsidRPr="0042750D" w:rsidRDefault="00F0236A" w:rsidP="00DF36E1">
            <w:pPr>
              <w:pStyle w:val="Tablehead"/>
              <w:rPr>
                <w:sz w:val="24"/>
                <w:szCs w:val="24"/>
              </w:rPr>
            </w:pPr>
            <w:r w:rsidRPr="0042750D">
              <w:rPr>
                <w:sz w:val="24"/>
                <w:szCs w:val="24"/>
              </w:rPr>
              <w:t>Milestone</w:t>
            </w:r>
          </w:p>
        </w:tc>
        <w:tc>
          <w:tcPr>
            <w:tcW w:w="1278" w:type="dxa"/>
            <w:tcBorders>
              <w:top w:val="single" w:sz="12" w:space="0" w:color="auto"/>
              <w:bottom w:val="single" w:sz="12" w:space="0" w:color="auto"/>
            </w:tcBorders>
            <w:shd w:val="clear" w:color="auto" w:fill="FFFFFF" w:themeFill="background1"/>
          </w:tcPr>
          <w:p w14:paraId="67CB4896" w14:textId="77777777" w:rsidR="00F0236A" w:rsidRPr="0042750D" w:rsidRDefault="00F0236A" w:rsidP="00DF36E1">
            <w:pPr>
              <w:pStyle w:val="Tablehead"/>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FFFFFF" w:themeFill="background1"/>
            <w:vAlign w:val="center"/>
          </w:tcPr>
          <w:p w14:paraId="7CAC9F3F"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26C3CB70" w14:textId="77777777" w:rsidTr="00586F97">
        <w:trPr>
          <w:cantSplit/>
          <w:jc w:val="center"/>
        </w:trPr>
        <w:tc>
          <w:tcPr>
            <w:tcW w:w="914" w:type="dxa"/>
            <w:vMerge w:val="restart"/>
            <w:tcBorders>
              <w:top w:val="single" w:sz="12" w:space="0" w:color="auto"/>
            </w:tcBorders>
            <w:shd w:val="clear" w:color="auto" w:fill="FFFFFF" w:themeFill="background1"/>
          </w:tcPr>
          <w:p w14:paraId="39A4ADA9" w14:textId="1F7F2198" w:rsidR="00F0236A" w:rsidRPr="0042750D" w:rsidRDefault="00397672" w:rsidP="008F1D42">
            <w:pPr>
              <w:pStyle w:val="Tabletext"/>
              <w:keepNext/>
              <w:keepLines/>
              <w:rPr>
                <w:b/>
                <w:bCs/>
                <w:sz w:val="24"/>
                <w:szCs w:val="24"/>
              </w:rPr>
            </w:pPr>
            <w:r w:rsidRPr="0042750D">
              <w:rPr>
                <w:b/>
                <w:bCs/>
                <w:sz w:val="24"/>
                <w:szCs w:val="24"/>
              </w:rPr>
              <w:t>22</w:t>
            </w:r>
            <w:r w:rsidR="00F0236A" w:rsidRPr="0042750D">
              <w:rPr>
                <w:b/>
                <w:bCs/>
                <w:sz w:val="24"/>
                <w:szCs w:val="24"/>
              </w:rPr>
              <w:t>-01</w:t>
            </w:r>
          </w:p>
        </w:tc>
        <w:tc>
          <w:tcPr>
            <w:tcW w:w="4596" w:type="dxa"/>
            <w:tcBorders>
              <w:top w:val="single" w:sz="12" w:space="0" w:color="auto"/>
              <w:bottom w:val="single" w:sz="4" w:space="0" w:color="auto"/>
            </w:tcBorders>
            <w:shd w:val="clear" w:color="auto" w:fill="FFFFFF" w:themeFill="background1"/>
            <w:hideMark/>
          </w:tcPr>
          <w:p w14:paraId="7DA70FBF" w14:textId="673E2FF0" w:rsidR="00F0236A" w:rsidRPr="0042750D" w:rsidRDefault="00397672" w:rsidP="008F1D42">
            <w:pPr>
              <w:pStyle w:val="Tabletext"/>
              <w:keepNext/>
              <w:keepLines/>
              <w:rPr>
                <w:b/>
                <w:bCs/>
                <w:sz w:val="24"/>
                <w:szCs w:val="24"/>
              </w:rPr>
            </w:pPr>
            <w:r w:rsidRPr="0042750D">
              <w:rPr>
                <w:b/>
                <w:bCs/>
                <w:sz w:val="24"/>
                <w:szCs w:val="24"/>
              </w:rPr>
              <w:t>Urge T-Sector to expedite network externalities for international traffic, costing methodologies for both fixed and mobile services, and to agree on transitional arrangements which may allow for some flexibility, taking into account the situation of the developing countries and the rapidly changing international telecommunication environment</w:t>
            </w:r>
            <w:r w:rsidR="00DE2A16" w:rsidRPr="0042750D">
              <w:rPr>
                <w:b/>
                <w:bCs/>
                <w:sz w:val="24"/>
                <w:szCs w:val="24"/>
              </w:rPr>
              <w:t xml:space="preserve"> (</w:t>
            </w:r>
            <w:r w:rsidR="00DE2A16" w:rsidRPr="0042750D">
              <w:rPr>
                <w:b/>
                <w:bCs/>
                <w:i/>
                <w:sz w:val="24"/>
                <w:szCs w:val="24"/>
              </w:rPr>
              <w:t>resolves 1</w:t>
            </w:r>
            <w:r w:rsidR="00DE2A16" w:rsidRPr="0042750D">
              <w:rPr>
                <w:b/>
                <w:bCs/>
                <w:sz w:val="24"/>
                <w:szCs w:val="24"/>
              </w:rPr>
              <w:t>)</w:t>
            </w:r>
            <w:r w:rsidRPr="0042750D">
              <w:rPr>
                <w:b/>
                <w:bCs/>
                <w:sz w:val="24"/>
                <w:szCs w:val="24"/>
              </w:rPr>
              <w:t>.</w:t>
            </w:r>
          </w:p>
        </w:tc>
        <w:tc>
          <w:tcPr>
            <w:tcW w:w="1708" w:type="dxa"/>
            <w:tcBorders>
              <w:top w:val="single" w:sz="12" w:space="0" w:color="auto"/>
              <w:bottom w:val="single" w:sz="4" w:space="0" w:color="auto"/>
            </w:tcBorders>
            <w:shd w:val="clear" w:color="auto" w:fill="FFFFFF" w:themeFill="background1"/>
            <w:vAlign w:val="center"/>
            <w:hideMark/>
          </w:tcPr>
          <w:p w14:paraId="0D140D0C" w14:textId="77777777" w:rsidR="00F0236A" w:rsidRPr="0042750D" w:rsidRDefault="00F0236A" w:rsidP="00DF36E1">
            <w:pPr>
              <w:pStyle w:val="Tabletext"/>
              <w:jc w:val="center"/>
              <w:rPr>
                <w:b/>
                <w:bCs/>
                <w:sz w:val="24"/>
                <w:szCs w:val="24"/>
              </w:rPr>
            </w:pPr>
            <w:r w:rsidRPr="0042750D">
              <w:rPr>
                <w:b/>
                <w:bCs/>
                <w:sz w:val="24"/>
                <w:szCs w:val="24"/>
              </w:rPr>
              <w:t>Ongoing</w:t>
            </w:r>
          </w:p>
        </w:tc>
        <w:tc>
          <w:tcPr>
            <w:tcW w:w="1278" w:type="dxa"/>
            <w:tcBorders>
              <w:top w:val="single" w:sz="12" w:space="0" w:color="auto"/>
              <w:bottom w:val="single" w:sz="4" w:space="0" w:color="auto"/>
            </w:tcBorders>
            <w:shd w:val="clear" w:color="auto" w:fill="FFFFFF" w:themeFill="background1"/>
            <w:vAlign w:val="center"/>
          </w:tcPr>
          <w:p w14:paraId="5545462C" w14:textId="034EAC16" w:rsidR="00F0236A" w:rsidRPr="0042750D" w:rsidRDefault="00234CE1" w:rsidP="00DF36E1">
            <w:pPr>
              <w:pStyle w:val="Tabletext"/>
              <w:jc w:val="center"/>
              <w:rPr>
                <w:b/>
                <w:bCs/>
                <w:sz w:val="24"/>
                <w:szCs w:val="24"/>
              </w:rPr>
            </w:pPr>
            <w:r w:rsidRPr="0042750D">
              <w:rPr>
                <w:b/>
                <w:bCs/>
                <w:sz w:val="24"/>
                <w:szCs w:val="24"/>
              </w:rPr>
              <w:t>√</w:t>
            </w:r>
          </w:p>
        </w:tc>
        <w:tc>
          <w:tcPr>
            <w:tcW w:w="1336" w:type="dxa"/>
            <w:tcBorders>
              <w:top w:val="single" w:sz="12" w:space="0" w:color="auto"/>
              <w:bottom w:val="single" w:sz="4" w:space="0" w:color="auto"/>
            </w:tcBorders>
            <w:shd w:val="clear" w:color="auto" w:fill="FFFFFF" w:themeFill="background1"/>
            <w:vAlign w:val="center"/>
          </w:tcPr>
          <w:p w14:paraId="5DA1E464" w14:textId="77777777" w:rsidR="00F0236A" w:rsidRPr="0042750D" w:rsidRDefault="00F0236A" w:rsidP="00DF36E1">
            <w:pPr>
              <w:pStyle w:val="Tabletext"/>
              <w:jc w:val="center"/>
              <w:rPr>
                <w:b/>
                <w:bCs/>
                <w:sz w:val="24"/>
                <w:szCs w:val="24"/>
              </w:rPr>
            </w:pPr>
          </w:p>
        </w:tc>
      </w:tr>
      <w:tr w:rsidR="00F0236A" w:rsidRPr="0042750D" w14:paraId="72BD4077" w14:textId="77777777" w:rsidTr="00586F97">
        <w:trPr>
          <w:cantSplit/>
          <w:jc w:val="center"/>
        </w:trPr>
        <w:tc>
          <w:tcPr>
            <w:tcW w:w="914" w:type="dxa"/>
            <w:vMerge/>
            <w:tcBorders>
              <w:bottom w:val="single" w:sz="12" w:space="0" w:color="auto"/>
            </w:tcBorders>
            <w:shd w:val="clear" w:color="auto" w:fill="FFFFFF" w:themeFill="background1"/>
          </w:tcPr>
          <w:p w14:paraId="40604BDF" w14:textId="77777777" w:rsidR="00F0236A" w:rsidRPr="0042750D" w:rsidRDefault="00F0236A" w:rsidP="00DF36E1">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494B8F17" w14:textId="056D31EA" w:rsidR="00F0236A" w:rsidRPr="0042750D" w:rsidRDefault="00234CE1" w:rsidP="00DF36E1">
            <w:pPr>
              <w:pStyle w:val="Tabletext"/>
              <w:rPr>
                <w:szCs w:val="22"/>
              </w:rPr>
            </w:pPr>
            <w:r w:rsidRPr="0042750D">
              <w:rPr>
                <w:szCs w:val="22"/>
              </w:rPr>
              <w:t xml:space="preserve">Several of ITU-T Study Group 3’s Questions (Q1/3, 3/3, 4/3, 6/3, 7/3) are studying cost models, cost provision, cost methodologies, cost of provision of services, </w:t>
            </w:r>
            <w:r w:rsidRPr="0042750D">
              <w:t>cost of international mobile roaming</w:t>
            </w:r>
            <w:r w:rsidRPr="0042750D">
              <w:rPr>
                <w:szCs w:val="22"/>
              </w:rPr>
              <w:t xml:space="preserve"> for regional and international telecommunication connectivity networks.</w:t>
            </w:r>
          </w:p>
        </w:tc>
      </w:tr>
      <w:tr w:rsidR="00F0236A" w:rsidRPr="0042750D" w14:paraId="03A26E21" w14:textId="77777777" w:rsidTr="00586F97">
        <w:trPr>
          <w:cantSplit/>
          <w:jc w:val="center"/>
        </w:trPr>
        <w:tc>
          <w:tcPr>
            <w:tcW w:w="914" w:type="dxa"/>
            <w:vMerge w:val="restart"/>
            <w:tcBorders>
              <w:top w:val="single" w:sz="12" w:space="0" w:color="auto"/>
            </w:tcBorders>
            <w:shd w:val="clear" w:color="auto" w:fill="FFFFFF" w:themeFill="background1"/>
          </w:tcPr>
          <w:p w14:paraId="615F10A3" w14:textId="0345E7BB" w:rsidR="00F0236A" w:rsidRPr="0042750D" w:rsidRDefault="00397672" w:rsidP="00DF36E1">
            <w:pPr>
              <w:pStyle w:val="Tabletext"/>
              <w:keepNext/>
              <w:keepLines/>
              <w:rPr>
                <w:b/>
                <w:bCs/>
                <w:sz w:val="24"/>
                <w:szCs w:val="24"/>
              </w:rPr>
            </w:pPr>
            <w:r w:rsidRPr="0042750D">
              <w:rPr>
                <w:b/>
                <w:bCs/>
                <w:sz w:val="24"/>
                <w:szCs w:val="24"/>
              </w:rPr>
              <w:t>22</w:t>
            </w:r>
            <w:r w:rsidR="00F0236A" w:rsidRPr="0042750D">
              <w:rPr>
                <w:b/>
                <w:bCs/>
                <w:sz w:val="24"/>
                <w:szCs w:val="24"/>
              </w:rPr>
              <w:t>-02</w:t>
            </w:r>
          </w:p>
        </w:tc>
        <w:tc>
          <w:tcPr>
            <w:tcW w:w="4596" w:type="dxa"/>
            <w:tcBorders>
              <w:top w:val="single" w:sz="12" w:space="0" w:color="auto"/>
              <w:bottom w:val="single" w:sz="12" w:space="0" w:color="auto"/>
            </w:tcBorders>
            <w:shd w:val="clear" w:color="auto" w:fill="FFFFFF" w:themeFill="background1"/>
          </w:tcPr>
          <w:p w14:paraId="170E1D5A" w14:textId="52E6FB6F" w:rsidR="00F0236A" w:rsidRPr="0042750D" w:rsidRDefault="00140998" w:rsidP="00DF36E1">
            <w:pPr>
              <w:pStyle w:val="Tabletext"/>
              <w:keepNext/>
              <w:keepLines/>
              <w:rPr>
                <w:b/>
                <w:bCs/>
                <w:sz w:val="24"/>
                <w:szCs w:val="24"/>
              </w:rPr>
            </w:pPr>
            <w:r w:rsidRPr="0042750D">
              <w:rPr>
                <w:b/>
                <w:bCs/>
                <w:sz w:val="24"/>
                <w:szCs w:val="24"/>
              </w:rPr>
              <w:t xml:space="preserve">TSBDir </w:t>
            </w:r>
            <w:r w:rsidR="00397672" w:rsidRPr="0042750D">
              <w:rPr>
                <w:b/>
                <w:bCs/>
                <w:sz w:val="24"/>
                <w:szCs w:val="24"/>
              </w:rPr>
              <w:t>to submit a report to the Council on the implementation of this resolution</w:t>
            </w:r>
            <w:r w:rsidR="00DE2A16" w:rsidRPr="0042750D">
              <w:rPr>
                <w:b/>
                <w:bCs/>
                <w:sz w:val="24"/>
                <w:szCs w:val="24"/>
              </w:rPr>
              <w:t xml:space="preserve"> (</w:t>
            </w:r>
            <w:r w:rsidR="00DE2A16" w:rsidRPr="0042750D">
              <w:rPr>
                <w:b/>
                <w:bCs/>
                <w:i/>
                <w:sz w:val="24"/>
                <w:szCs w:val="24"/>
              </w:rPr>
              <w:t>instructs</w:t>
            </w:r>
            <w:r w:rsidR="00DE2A16" w:rsidRPr="0042750D">
              <w:rPr>
                <w:b/>
                <w:bCs/>
                <w:sz w:val="24"/>
                <w:szCs w:val="24"/>
              </w:rPr>
              <w:t>)</w:t>
            </w:r>
            <w:r w:rsidR="00397672" w:rsidRPr="0042750D">
              <w:rPr>
                <w:b/>
                <w:bCs/>
                <w:sz w:val="24"/>
                <w:szCs w:val="24"/>
              </w:rPr>
              <w:t>.</w:t>
            </w:r>
          </w:p>
        </w:tc>
        <w:tc>
          <w:tcPr>
            <w:tcW w:w="1708" w:type="dxa"/>
            <w:tcBorders>
              <w:top w:val="single" w:sz="12" w:space="0" w:color="auto"/>
              <w:bottom w:val="single" w:sz="12" w:space="0" w:color="auto"/>
            </w:tcBorders>
            <w:shd w:val="clear" w:color="auto" w:fill="FFFFFF" w:themeFill="background1"/>
            <w:vAlign w:val="center"/>
          </w:tcPr>
          <w:p w14:paraId="1388BAE6" w14:textId="2B12C279" w:rsidR="00F0236A" w:rsidRPr="0042750D" w:rsidRDefault="00F0236A" w:rsidP="009E33EE">
            <w:pPr>
              <w:pStyle w:val="Tabletext"/>
              <w:jc w:val="center"/>
              <w:rPr>
                <w:b/>
                <w:bCs/>
                <w:sz w:val="24"/>
                <w:szCs w:val="24"/>
              </w:rPr>
            </w:pPr>
            <w:r w:rsidRPr="0042750D">
              <w:rPr>
                <w:b/>
                <w:bCs/>
                <w:sz w:val="24"/>
                <w:szCs w:val="24"/>
              </w:rPr>
              <w:t>Ongoing</w:t>
            </w:r>
            <w:r w:rsidR="00995894" w:rsidRPr="0042750D">
              <w:rPr>
                <w:b/>
                <w:bCs/>
                <w:sz w:val="24"/>
                <w:szCs w:val="24"/>
              </w:rPr>
              <w:t>, Council</w:t>
            </w:r>
          </w:p>
        </w:tc>
        <w:tc>
          <w:tcPr>
            <w:tcW w:w="1278" w:type="dxa"/>
            <w:tcBorders>
              <w:top w:val="single" w:sz="12" w:space="0" w:color="auto"/>
              <w:bottom w:val="single" w:sz="12" w:space="0" w:color="auto"/>
            </w:tcBorders>
            <w:shd w:val="clear" w:color="auto" w:fill="FFFFFF" w:themeFill="background1"/>
            <w:vAlign w:val="center"/>
          </w:tcPr>
          <w:p w14:paraId="7F76BBAE" w14:textId="62438268" w:rsidR="00F0236A" w:rsidRPr="0042750D" w:rsidDel="00C74CCD" w:rsidRDefault="000C47B3" w:rsidP="00DF36E1">
            <w:pPr>
              <w:pStyle w:val="Tabletext"/>
              <w:jc w:val="center"/>
              <w:rPr>
                <w:b/>
                <w:bCs/>
                <w:sz w:val="24"/>
                <w:szCs w:val="24"/>
              </w:rPr>
            </w:pPr>
            <w:r w:rsidRPr="0042750D">
              <w:rPr>
                <w:b/>
                <w:bCs/>
                <w:sz w:val="24"/>
                <w:szCs w:val="24"/>
              </w:rPr>
              <w:t>√</w:t>
            </w:r>
          </w:p>
        </w:tc>
        <w:tc>
          <w:tcPr>
            <w:tcW w:w="1336" w:type="dxa"/>
            <w:tcBorders>
              <w:top w:val="single" w:sz="12" w:space="0" w:color="auto"/>
              <w:bottom w:val="single" w:sz="12" w:space="0" w:color="auto"/>
            </w:tcBorders>
            <w:shd w:val="clear" w:color="auto" w:fill="FFFFFF" w:themeFill="background1"/>
            <w:vAlign w:val="center"/>
          </w:tcPr>
          <w:p w14:paraId="090AEFE9" w14:textId="0056E839" w:rsidR="00F0236A" w:rsidRPr="0042750D" w:rsidRDefault="00F0236A" w:rsidP="00DF36E1">
            <w:pPr>
              <w:pStyle w:val="Tabletext"/>
              <w:jc w:val="center"/>
              <w:rPr>
                <w:b/>
                <w:bCs/>
                <w:sz w:val="24"/>
                <w:szCs w:val="24"/>
              </w:rPr>
            </w:pPr>
          </w:p>
        </w:tc>
      </w:tr>
      <w:tr w:rsidR="00F0236A" w:rsidRPr="0042750D" w14:paraId="7D5A2117" w14:textId="77777777" w:rsidTr="00DF36E1">
        <w:trPr>
          <w:cantSplit/>
          <w:jc w:val="center"/>
        </w:trPr>
        <w:tc>
          <w:tcPr>
            <w:tcW w:w="914" w:type="dxa"/>
            <w:vMerge/>
            <w:shd w:val="clear" w:color="auto" w:fill="FFFFFF" w:themeFill="background1"/>
            <w:vAlign w:val="center"/>
          </w:tcPr>
          <w:p w14:paraId="0967891C" w14:textId="77777777" w:rsidR="00F0236A" w:rsidRPr="0042750D" w:rsidRDefault="00F0236A" w:rsidP="00DF36E1">
            <w:pPr>
              <w:pStyle w:val="Tabletext"/>
              <w:keepNext/>
              <w:keepLines/>
              <w:rPr>
                <w:sz w:val="24"/>
                <w:szCs w:val="24"/>
              </w:rPr>
            </w:pPr>
          </w:p>
        </w:tc>
        <w:tc>
          <w:tcPr>
            <w:tcW w:w="8918" w:type="dxa"/>
            <w:gridSpan w:val="4"/>
            <w:tcBorders>
              <w:top w:val="single" w:sz="12" w:space="0" w:color="auto"/>
            </w:tcBorders>
            <w:shd w:val="clear" w:color="auto" w:fill="FFFFFF" w:themeFill="background1"/>
          </w:tcPr>
          <w:p w14:paraId="0D212702" w14:textId="77777777" w:rsidR="000C47B3" w:rsidRPr="0042750D" w:rsidRDefault="000C47B3" w:rsidP="000C47B3">
            <w:pPr>
              <w:spacing w:before="40"/>
              <w:rPr>
                <w:rFonts w:asciiTheme="majorBidi" w:hAnsiTheme="majorBidi" w:cstheme="majorBidi"/>
                <w:bCs/>
              </w:rPr>
            </w:pPr>
            <w:r w:rsidRPr="0042750D">
              <w:rPr>
                <w:rFonts w:asciiTheme="majorBidi" w:hAnsiTheme="majorBidi" w:cstheme="majorBidi"/>
              </w:rPr>
              <w:t xml:space="preserve">Following the approval of Decisions 600 </w:t>
            </w:r>
            <w:r w:rsidRPr="0042750D">
              <w:rPr>
                <w:rFonts w:asciiTheme="majorBidi" w:hAnsiTheme="majorBidi" w:cstheme="majorBidi"/>
                <w:color w:val="000000"/>
              </w:rPr>
              <w:t>(</w:t>
            </w:r>
            <w:hyperlink r:id="rId19" w:history="1">
              <w:r w:rsidRPr="0042750D">
                <w:rPr>
                  <w:rStyle w:val="Hyperlink"/>
                  <w:rFonts w:cstheme="majorBidi"/>
                </w:rPr>
                <w:t>C17/133</w:t>
              </w:r>
            </w:hyperlink>
            <w:r w:rsidRPr="0042750D">
              <w:rPr>
                <w:rFonts w:asciiTheme="majorBidi" w:hAnsiTheme="majorBidi" w:cstheme="majorBidi"/>
                <w:color w:val="000000"/>
              </w:rPr>
              <w:t xml:space="preserve">) </w:t>
            </w:r>
            <w:r w:rsidRPr="0042750D">
              <w:rPr>
                <w:rFonts w:asciiTheme="majorBidi" w:hAnsiTheme="majorBidi" w:cstheme="majorBidi"/>
              </w:rPr>
              <w:t xml:space="preserve">and 601 </w:t>
            </w:r>
            <w:r w:rsidRPr="0042750D">
              <w:rPr>
                <w:rFonts w:asciiTheme="majorBidi" w:hAnsiTheme="majorBidi" w:cstheme="majorBidi"/>
                <w:color w:val="000000"/>
              </w:rPr>
              <w:t>(</w:t>
            </w:r>
            <w:hyperlink r:id="rId20" w:history="1">
              <w:r w:rsidRPr="0042750D">
                <w:rPr>
                  <w:rStyle w:val="Hyperlink"/>
                  <w:rFonts w:cstheme="majorBidi"/>
                </w:rPr>
                <w:t>C17/134</w:t>
              </w:r>
            </w:hyperlink>
            <w:r w:rsidRPr="0042750D">
              <w:rPr>
                <w:rFonts w:asciiTheme="majorBidi" w:hAnsiTheme="majorBidi" w:cstheme="majorBidi"/>
                <w:color w:val="000000"/>
              </w:rPr>
              <w:t xml:space="preserve">) </w:t>
            </w:r>
            <w:r w:rsidRPr="0042750D">
              <w:rPr>
                <w:rFonts w:asciiTheme="majorBidi" w:hAnsiTheme="majorBidi" w:cstheme="majorBidi"/>
              </w:rPr>
              <w:t>at the Council 2017 session, the ITU Secretariat has been in the process of implementing these Decisions</w:t>
            </w:r>
            <w:r w:rsidRPr="0042750D">
              <w:rPr>
                <w:rFonts w:asciiTheme="majorBidi" w:hAnsiTheme="majorBidi" w:cstheme="majorBidi"/>
                <w:bCs/>
              </w:rPr>
              <w:t>.</w:t>
            </w:r>
          </w:p>
          <w:p w14:paraId="4BE2353E" w14:textId="77777777" w:rsidR="000C47B3" w:rsidRPr="0042750D" w:rsidRDefault="000C47B3" w:rsidP="000C47B3">
            <w:r w:rsidRPr="0042750D">
              <w:t>The ITU Secretariat presented Document </w:t>
            </w:r>
            <w:hyperlink r:id="rId21" w:history="1">
              <w:r w:rsidRPr="0042750D">
                <w:rPr>
                  <w:rStyle w:val="Hyperlink"/>
                </w:rPr>
                <w:t>C19/47</w:t>
              </w:r>
            </w:hyperlink>
            <w:r w:rsidRPr="0042750D">
              <w:t xml:space="preserve"> to the 2019 session of the Council (Geneva, 10-20 June 2019). C19/47 provides a status report on implementation of Council Decisions 600 and 601 (Universal International Freephone Numbers (UIFNs) and Issuer Identifier Numbers (IINs)), and </w:t>
            </w:r>
            <w:r w:rsidRPr="0042750D">
              <w:rPr>
                <w:lang w:eastAsia="zh-CN"/>
              </w:rPr>
              <w:t>summarizes the status of the implementation and the consultations with Member States.</w:t>
            </w:r>
          </w:p>
          <w:p w14:paraId="6403B596" w14:textId="28D60CC6" w:rsidR="00F0236A" w:rsidRPr="0042750D" w:rsidRDefault="000C47B3" w:rsidP="00CD15C5">
            <w:pPr>
              <w:pStyle w:val="Tabletext"/>
            </w:pPr>
            <w:r w:rsidRPr="0042750D">
              <w:t xml:space="preserve">Council 2019 </w:t>
            </w:r>
            <w:r w:rsidRPr="0042750D">
              <w:rPr>
                <w:szCs w:val="22"/>
              </w:rPr>
              <w:t>approved</w:t>
            </w:r>
            <w:r w:rsidRPr="0042750D">
              <w:t xml:space="preserve"> the Recommendation as reflected in the report of the Council Chairman (</w:t>
            </w:r>
            <w:hyperlink r:id="rId22" w:history="1">
              <w:r w:rsidRPr="0042750D">
                <w:rPr>
                  <w:rStyle w:val="Hyperlink"/>
                </w:rPr>
                <w:t>C19/120</w:t>
              </w:r>
            </w:hyperlink>
            <w:r w:rsidRPr="0042750D">
              <w:t>).</w:t>
            </w:r>
          </w:p>
        </w:tc>
      </w:tr>
    </w:tbl>
    <w:bookmarkStart w:id="21" w:name="Item11_01"/>
    <w:bookmarkStart w:id="22" w:name="Item11_02"/>
    <w:bookmarkEnd w:id="21"/>
    <w:bookmarkEnd w:id="22"/>
    <w:p w14:paraId="05B47B40"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40791DF7" w14:textId="62D82C1B" w:rsidR="00F0236A" w:rsidRPr="0042750D" w:rsidRDefault="00995894" w:rsidP="00EA18BD">
      <w:pPr>
        <w:pStyle w:val="Heading1"/>
        <w:rPr>
          <w:sz w:val="24"/>
          <w:szCs w:val="24"/>
          <w:lang w:val="en-GB"/>
        </w:rPr>
      </w:pPr>
      <w:bookmarkStart w:id="23" w:name="Resolution_18"/>
      <w:bookmarkStart w:id="24" w:name="_Toc30749148"/>
      <w:bookmarkEnd w:id="23"/>
      <w:r w:rsidRPr="0042750D">
        <w:rPr>
          <w:sz w:val="24"/>
          <w:szCs w:val="24"/>
          <w:lang w:val="en-GB"/>
        </w:rPr>
        <w:t>RESOLUTION 25 (REV. DUBAI, 2018) – Strengthening the regional presence</w:t>
      </w:r>
      <w:bookmarkEnd w:id="24"/>
    </w:p>
    <w:p w14:paraId="103B38F4" w14:textId="77777777" w:rsidR="00F0236A" w:rsidRPr="0042750D" w:rsidRDefault="00F0236A" w:rsidP="00F734B1">
      <w:pPr>
        <w:pStyle w:val="Call"/>
        <w:keepNext w:val="0"/>
        <w:keepLines w:val="0"/>
        <w:rPr>
          <w:szCs w:val="22"/>
          <w:lang w:val="en-GB"/>
        </w:rPr>
      </w:pPr>
      <w:r w:rsidRPr="0042750D">
        <w:rPr>
          <w:szCs w:val="22"/>
          <w:lang w:val="en-GB"/>
        </w:rPr>
        <w:t>resolves</w:t>
      </w:r>
    </w:p>
    <w:p w14:paraId="233B4305" w14:textId="77777777" w:rsidR="00995894" w:rsidRPr="0042750D" w:rsidRDefault="00995894" w:rsidP="00995894">
      <w:pPr>
        <w:rPr>
          <w:szCs w:val="22"/>
        </w:rPr>
      </w:pPr>
      <w:r w:rsidRPr="0042750D">
        <w:rPr>
          <w:szCs w:val="22"/>
          <w:lang w:eastAsia="pt-BR"/>
        </w:rPr>
        <w:t>1</w:t>
      </w:r>
      <w:r w:rsidRPr="0042750D">
        <w:rPr>
          <w:szCs w:val="22"/>
          <w:lang w:eastAsia="pt-BR"/>
        </w:rPr>
        <w:tab/>
        <w:t>to</w:t>
      </w:r>
      <w:r w:rsidRPr="0042750D">
        <w:rPr>
          <w:szCs w:val="22"/>
        </w:rPr>
        <w:t xml:space="preserve"> strengthen the functions of the regional offices so that they can play a part in implementation of the ITU strategic plan, programmes and projects, and the regional initiatives set out in Resolution 17 (Rev. Buenos Aires, 2017) of WTDC, within the available resources, including those allocated by the financial plan and from other relevant sources such as voluntary contributions;</w:t>
      </w:r>
    </w:p>
    <w:p w14:paraId="3386EC9C" w14:textId="77777777" w:rsidR="00995894" w:rsidRPr="0042750D" w:rsidRDefault="00995894" w:rsidP="00995894">
      <w:pPr>
        <w:rPr>
          <w:szCs w:val="22"/>
          <w:lang w:eastAsia="pt-BR"/>
        </w:rPr>
      </w:pPr>
      <w:r w:rsidRPr="0042750D">
        <w:rPr>
          <w:szCs w:val="22"/>
        </w:rPr>
        <w:t>2</w:t>
      </w:r>
      <w:r w:rsidRPr="0042750D">
        <w:rPr>
          <w:szCs w:val="22"/>
        </w:rPr>
        <w:tab/>
      </w:r>
      <w:r w:rsidRPr="0042750D">
        <w:rPr>
          <w:szCs w:val="22"/>
          <w:lang w:eastAsia="pt-BR"/>
        </w:rPr>
        <w:t>that regional offices play a key role in facilitating discussions on regional matters and the dissemination of information and results of activities of all three Sectors of the Union and the General Secretariat, while avoiding the duplication of such functions with headquarters, and collaborating with the regional telecommunication organizations to avoid duplication of activities and efforts;</w:t>
      </w:r>
    </w:p>
    <w:p w14:paraId="5A2FF5AF" w14:textId="77777777" w:rsidR="00995894" w:rsidRPr="0042750D" w:rsidRDefault="00995894" w:rsidP="00995894">
      <w:pPr>
        <w:rPr>
          <w:szCs w:val="22"/>
          <w:lang w:eastAsia="pt-BR"/>
        </w:rPr>
      </w:pPr>
      <w:r w:rsidRPr="0042750D">
        <w:rPr>
          <w:szCs w:val="22"/>
          <w:lang w:eastAsia="pt-BR"/>
        </w:rPr>
        <w:t>3</w:t>
      </w:r>
      <w:r w:rsidRPr="0042750D">
        <w:rPr>
          <w:szCs w:val="22"/>
          <w:lang w:eastAsia="pt-BR"/>
        </w:rPr>
        <w:tab/>
        <w:t>that the regional and area offices shall be empowered to make decisions within their mandate, while the coordination functions and the balance between ITU headquarters and the regional and area offices should be facilitated and improved;</w:t>
      </w:r>
    </w:p>
    <w:p w14:paraId="7CF132AE" w14:textId="77777777" w:rsidR="00995894" w:rsidRPr="0042750D" w:rsidRDefault="00995894" w:rsidP="00995894">
      <w:pPr>
        <w:rPr>
          <w:szCs w:val="22"/>
          <w:lang w:eastAsia="pt-BR"/>
        </w:rPr>
      </w:pPr>
      <w:r w:rsidRPr="0042750D">
        <w:rPr>
          <w:szCs w:val="22"/>
          <w:lang w:eastAsia="pt-BR"/>
        </w:rPr>
        <w:t>4</w:t>
      </w:r>
      <w:r w:rsidRPr="0042750D">
        <w:rPr>
          <w:szCs w:val="22"/>
          <w:lang w:eastAsia="pt-BR"/>
        </w:rPr>
        <w:tab/>
        <w:t xml:space="preserve">that the regional and area offices should contribute, to the extent practicable, </w:t>
      </w:r>
      <w:r w:rsidRPr="0042750D">
        <w:rPr>
          <w:i/>
          <w:iCs/>
          <w:szCs w:val="22"/>
          <w:lang w:eastAsia="pt-BR"/>
        </w:rPr>
        <w:t>inter</w:t>
      </w:r>
      <w:r w:rsidRPr="0042750D">
        <w:rPr>
          <w:szCs w:val="22"/>
        </w:rPr>
        <w:t xml:space="preserve"> </w:t>
      </w:r>
      <w:r w:rsidRPr="0042750D">
        <w:rPr>
          <w:i/>
          <w:iCs/>
          <w:szCs w:val="22"/>
          <w:lang w:eastAsia="pt-BR"/>
        </w:rPr>
        <w:t>alia</w:t>
      </w:r>
      <w:r w:rsidRPr="0042750D">
        <w:rPr>
          <w:szCs w:val="22"/>
          <w:lang w:eastAsia="pt-BR"/>
        </w:rPr>
        <w:t>, to the annual four-year rolling operational plans of the General Secretariat and of the three Sectors, with content specific to each regional and area office, linked to the strategic plan for the Union for 2020</w:t>
      </w:r>
      <w:r w:rsidRPr="0042750D">
        <w:rPr>
          <w:szCs w:val="22"/>
          <w:lang w:eastAsia="pt-BR"/>
        </w:rPr>
        <w:noBreakHyphen/>
        <w:t>2023 and the Buenos Aires Action Plan, then set up and continue to publish the annual plan/events on the ITU website for implementation;</w:t>
      </w:r>
    </w:p>
    <w:p w14:paraId="4C3243EE" w14:textId="77777777" w:rsidR="00995894" w:rsidRPr="0042750D" w:rsidRDefault="00995894" w:rsidP="00995894">
      <w:pPr>
        <w:rPr>
          <w:szCs w:val="22"/>
          <w:lang w:eastAsia="pt-BR"/>
        </w:rPr>
      </w:pPr>
      <w:r w:rsidRPr="0042750D">
        <w:rPr>
          <w:szCs w:val="22"/>
          <w:lang w:eastAsia="pt-BR"/>
        </w:rPr>
        <w:t>5</w:t>
      </w:r>
      <w:r w:rsidRPr="0042750D">
        <w:rPr>
          <w:szCs w:val="22"/>
          <w:lang w:eastAsia="pt-BR"/>
        </w:rPr>
        <w:tab/>
        <w:t>that regional and area offices shall actively engage in the implementation of the strategic plan for the Union for 2020-2023, in particular with respect to the four strategic goals, all sectoral and intersectoral objectives and following up on the accomplishment of the strategic targets;</w:t>
      </w:r>
    </w:p>
    <w:p w14:paraId="1EA7C355" w14:textId="77777777" w:rsidR="00995894" w:rsidRPr="0042750D" w:rsidRDefault="00995894" w:rsidP="00995894">
      <w:pPr>
        <w:rPr>
          <w:szCs w:val="22"/>
          <w:lang w:eastAsia="pt-BR"/>
        </w:rPr>
      </w:pPr>
      <w:r w:rsidRPr="0042750D">
        <w:rPr>
          <w:szCs w:val="22"/>
          <w:lang w:eastAsia="pt-BR"/>
        </w:rPr>
        <w:t>6</w:t>
      </w:r>
      <w:r w:rsidRPr="0042750D">
        <w:rPr>
          <w:szCs w:val="22"/>
          <w:lang w:eastAsia="pt-BR"/>
        </w:rPr>
        <w:tab/>
        <w:t>that regional and area offices shall actively engage in the implementation of the Buenos Aires Action Plan, in particular with respect to the four objectives and their respective outcomes, the outputs and the regional initiatives;</w:t>
      </w:r>
    </w:p>
    <w:p w14:paraId="24FD5418" w14:textId="77777777" w:rsidR="00995894" w:rsidRPr="0042750D" w:rsidRDefault="00995894" w:rsidP="00995894">
      <w:pPr>
        <w:rPr>
          <w:szCs w:val="22"/>
        </w:rPr>
      </w:pPr>
      <w:r w:rsidRPr="0042750D">
        <w:rPr>
          <w:szCs w:val="22"/>
          <w:lang w:eastAsia="pt-BR"/>
        </w:rPr>
        <w:t>7</w:t>
      </w:r>
      <w:r w:rsidRPr="0042750D">
        <w:rPr>
          <w:szCs w:val="22"/>
        </w:rPr>
        <w:tab/>
        <w:t xml:space="preserve">that the regional and area offices shall actively engage in the realization of the outcomes, indicators and key performance indicators as identified by the </w:t>
      </w:r>
      <w:r w:rsidRPr="0042750D">
        <w:rPr>
          <w:szCs w:val="22"/>
          <w:lang w:eastAsia="pt-BR"/>
        </w:rPr>
        <w:t>Buenos Aires</w:t>
      </w:r>
      <w:r w:rsidRPr="0042750D">
        <w:rPr>
          <w:szCs w:val="22"/>
        </w:rPr>
        <w:t xml:space="preserve"> Action Plan and by the Telecommunication Development Advisory Group;</w:t>
      </w:r>
    </w:p>
    <w:p w14:paraId="258FE9BF" w14:textId="77777777" w:rsidR="00995894" w:rsidRPr="0042750D" w:rsidRDefault="00995894" w:rsidP="00995894">
      <w:pPr>
        <w:rPr>
          <w:szCs w:val="22"/>
          <w:lang w:eastAsia="pt-BR"/>
        </w:rPr>
      </w:pPr>
      <w:r w:rsidRPr="0042750D">
        <w:rPr>
          <w:szCs w:val="22"/>
          <w:lang w:eastAsia="pt-BR"/>
        </w:rPr>
        <w:t>8</w:t>
      </w:r>
      <w:r w:rsidRPr="0042750D">
        <w:rPr>
          <w:szCs w:val="22"/>
          <w:lang w:eastAsia="pt-BR"/>
        </w:rPr>
        <w:tab/>
        <w:t>that cooperation between the ITU regional and area offices, relevant regional organizations and other international organizations dealing with development and financial matters should continue to be improved, in the interests of optimizing the use of resources and avoiding duplication, and that Member States should be kept updated, through BDT, where necessary, in order to ensure that their needs are being met in a coordinated and consultative fashion;</w:t>
      </w:r>
    </w:p>
    <w:p w14:paraId="1D0713BD" w14:textId="77777777" w:rsidR="00995894" w:rsidRPr="0042750D" w:rsidRDefault="00995894" w:rsidP="00995894">
      <w:pPr>
        <w:rPr>
          <w:szCs w:val="22"/>
          <w:lang w:eastAsia="pt-BR"/>
        </w:rPr>
      </w:pPr>
      <w:r w:rsidRPr="0042750D">
        <w:rPr>
          <w:szCs w:val="22"/>
          <w:lang w:eastAsia="pt-BR"/>
        </w:rPr>
        <w:t>9</w:t>
      </w:r>
      <w:r w:rsidRPr="0042750D">
        <w:rPr>
          <w:szCs w:val="22"/>
          <w:lang w:eastAsia="pt-BR"/>
        </w:rPr>
        <w:tab/>
        <w:t>that the regional offices shall be fully involved in the organization of all ITU events/meetings/conferences, in close collaboration with the General Secretariat, the relevant Bureau(x) and the regional organizations, taking into consideration the priorities identified by the membership in the regions, in order to increase efficiency in the coordination of such events, avoid duplication of events/topics and derive benefit from synergy between the Bureaux and regional offices;</w:t>
      </w:r>
    </w:p>
    <w:p w14:paraId="338CFAD9" w14:textId="77777777" w:rsidR="00995894" w:rsidRPr="0042750D" w:rsidRDefault="00995894" w:rsidP="00995894">
      <w:pPr>
        <w:rPr>
          <w:szCs w:val="22"/>
        </w:rPr>
      </w:pPr>
      <w:r w:rsidRPr="0042750D">
        <w:rPr>
          <w:szCs w:val="22"/>
          <w:lang w:eastAsia="pt-BR"/>
        </w:rPr>
        <w:t>10</w:t>
      </w:r>
      <w:r w:rsidRPr="0042750D">
        <w:rPr>
          <w:szCs w:val="22"/>
        </w:rPr>
        <w:tab/>
        <w:t>that, for the effective performance of their duties, regional offices must have sufficient resources, within the resources allocated by the financial plan, including the technological platforms to hold electronic meetings and utilize electronic working methods, and also the disseminate relevant information through the various existing electronic tools to their respective Member States;</w:t>
      </w:r>
    </w:p>
    <w:p w14:paraId="428031B8" w14:textId="77777777" w:rsidR="00995894" w:rsidRPr="0042750D" w:rsidRDefault="00995894" w:rsidP="00995894">
      <w:pPr>
        <w:rPr>
          <w:szCs w:val="22"/>
          <w:lang w:eastAsia="pt-BR"/>
        </w:rPr>
      </w:pPr>
      <w:r w:rsidRPr="0042750D">
        <w:rPr>
          <w:szCs w:val="22"/>
          <w:lang w:eastAsia="pt-BR"/>
        </w:rPr>
        <w:t>11</w:t>
      </w:r>
      <w:r w:rsidRPr="0042750D">
        <w:rPr>
          <w:szCs w:val="22"/>
          <w:lang w:eastAsia="pt-BR"/>
        </w:rPr>
        <w:tab/>
        <w:t>that the objectives and outcomes identified in the strategic plan for the Union for 2020-2023, along with the four-year rolling operational plans of the General Secretariat and the three Sectors and the review criteria identified in annex to this resolution, shall be used to review the regional presence, and, where regional and area offices do not meet the agreed review criteria, the Council should assess the reasons and take the necessary corrective actions that it considers appropriate, in consultation with the countries concerned;</w:t>
      </w:r>
    </w:p>
    <w:p w14:paraId="4B004658" w14:textId="77777777" w:rsidR="00995894" w:rsidRPr="0042750D" w:rsidRDefault="00995894" w:rsidP="00995894">
      <w:pPr>
        <w:rPr>
          <w:szCs w:val="22"/>
          <w:lang w:eastAsia="pt-BR"/>
        </w:rPr>
      </w:pPr>
      <w:r w:rsidRPr="0042750D">
        <w:rPr>
          <w:szCs w:val="22"/>
          <w:lang w:eastAsia="pt-BR"/>
        </w:rPr>
        <w:t>12</w:t>
      </w:r>
      <w:r w:rsidRPr="0042750D">
        <w:rPr>
          <w:szCs w:val="22"/>
          <w:lang w:eastAsia="pt-BR"/>
        </w:rPr>
        <w:tab/>
        <w:t>that, to promote the participation of developing countries in ITU activities, delegates of any developing countries which have made input contributions to ITU events can be eligible for a fellowship if the related budget allows,</w:t>
      </w:r>
    </w:p>
    <w:p w14:paraId="64978A63" w14:textId="77777777" w:rsidR="00995894" w:rsidRPr="0042750D" w:rsidRDefault="00995894" w:rsidP="00995894">
      <w:pPr>
        <w:pStyle w:val="Call"/>
        <w:rPr>
          <w:szCs w:val="22"/>
          <w:lang w:val="en-GB" w:eastAsia="pt-BR"/>
        </w:rPr>
      </w:pPr>
      <w:r w:rsidRPr="0042750D">
        <w:rPr>
          <w:szCs w:val="22"/>
          <w:lang w:val="en-GB" w:eastAsia="pt-BR"/>
        </w:rPr>
        <w:t>further resolves</w:t>
      </w:r>
    </w:p>
    <w:p w14:paraId="24A4F1CD" w14:textId="77777777" w:rsidR="00995894" w:rsidRPr="0042750D" w:rsidRDefault="00995894" w:rsidP="00995894">
      <w:pPr>
        <w:rPr>
          <w:szCs w:val="22"/>
          <w:lang w:eastAsia="pt-BR"/>
        </w:rPr>
      </w:pPr>
      <w:r w:rsidRPr="0042750D">
        <w:rPr>
          <w:szCs w:val="22"/>
          <w:lang w:eastAsia="pt-BR"/>
        </w:rPr>
        <w:t>1</w:t>
      </w:r>
      <w:r w:rsidRPr="0042750D">
        <w:rPr>
          <w:szCs w:val="22"/>
          <w:lang w:eastAsia="pt-BR"/>
        </w:rPr>
        <w:tab/>
        <w:t>to review the ITU regional presence in the light of the criteria contained in the annex to this resolution;</w:t>
      </w:r>
    </w:p>
    <w:p w14:paraId="66DD0649" w14:textId="77777777" w:rsidR="00995894" w:rsidRPr="0042750D" w:rsidRDefault="00995894" w:rsidP="00995894">
      <w:pPr>
        <w:rPr>
          <w:szCs w:val="22"/>
        </w:rPr>
      </w:pPr>
      <w:r w:rsidRPr="0042750D">
        <w:rPr>
          <w:szCs w:val="22"/>
        </w:rPr>
        <w:t>2</w:t>
      </w:r>
      <w:r w:rsidRPr="0042750D">
        <w:rPr>
          <w:szCs w:val="22"/>
        </w:rPr>
        <w:tab/>
        <w:t>that regional offices shall regularly provide reports to the Sector advisory groups, as appropriate, and to inform the Directors of BR and TSB on regional activities related to their respective Sectors,</w:t>
      </w:r>
    </w:p>
    <w:p w14:paraId="148FF29A" w14:textId="77777777" w:rsidR="00995894" w:rsidRPr="0042750D" w:rsidRDefault="00995894" w:rsidP="00995894">
      <w:pPr>
        <w:pStyle w:val="Call"/>
        <w:rPr>
          <w:szCs w:val="22"/>
          <w:lang w:val="en-GB" w:eastAsia="pt-BR"/>
        </w:rPr>
      </w:pPr>
      <w:r w:rsidRPr="0042750D">
        <w:rPr>
          <w:szCs w:val="22"/>
          <w:lang w:val="en-GB" w:eastAsia="pt-BR"/>
        </w:rPr>
        <w:t>instructs the Secretary-General</w:t>
      </w:r>
    </w:p>
    <w:p w14:paraId="715AB1F1" w14:textId="77777777" w:rsidR="00995894" w:rsidRPr="0042750D" w:rsidRDefault="00995894" w:rsidP="00995894">
      <w:pPr>
        <w:rPr>
          <w:szCs w:val="22"/>
          <w:lang w:eastAsia="pt-BR"/>
        </w:rPr>
      </w:pPr>
      <w:r w:rsidRPr="0042750D">
        <w:rPr>
          <w:szCs w:val="22"/>
          <w:lang w:eastAsia="pt-BR"/>
        </w:rPr>
        <w:t>1</w:t>
      </w:r>
      <w:r w:rsidRPr="0042750D">
        <w:rPr>
          <w:szCs w:val="22"/>
          <w:lang w:eastAsia="pt-BR"/>
        </w:rPr>
        <w:tab/>
        <w:t>to facilitate the task of the Council by providing all necessary support for strengthening the regional presence as described in this resolution;</w:t>
      </w:r>
    </w:p>
    <w:p w14:paraId="3F696D00" w14:textId="77777777" w:rsidR="00995894" w:rsidRPr="0042750D" w:rsidRDefault="00995894" w:rsidP="00995894">
      <w:pPr>
        <w:rPr>
          <w:szCs w:val="22"/>
        </w:rPr>
      </w:pPr>
      <w:r w:rsidRPr="0042750D">
        <w:rPr>
          <w:szCs w:val="22"/>
        </w:rPr>
        <w:t>2</w:t>
      </w:r>
      <w:r w:rsidRPr="0042750D">
        <w:rPr>
          <w:szCs w:val="22"/>
        </w:rPr>
        <w:tab/>
        <w:t xml:space="preserve">to adapt, where necessary, the prevailing terms and conditions of host-country agreement(s) to the changing environment in the respective host country, </w:t>
      </w:r>
      <w:r w:rsidRPr="0042750D">
        <w:rPr>
          <w:szCs w:val="22"/>
          <w:lang w:eastAsia="pt-BR"/>
        </w:rPr>
        <w:t>after prior consultations with countries concerned and the representatives of the regional intergovernmental organizations of the affected countries;</w:t>
      </w:r>
    </w:p>
    <w:p w14:paraId="4A877BFB" w14:textId="77777777" w:rsidR="00995894" w:rsidRPr="0042750D" w:rsidRDefault="00995894" w:rsidP="00995894">
      <w:pPr>
        <w:rPr>
          <w:szCs w:val="22"/>
          <w:lang w:eastAsia="pt-BR"/>
        </w:rPr>
      </w:pPr>
      <w:r w:rsidRPr="0042750D">
        <w:rPr>
          <w:szCs w:val="22"/>
          <w:lang w:eastAsia="pt-BR"/>
        </w:rPr>
        <w:t>3</w:t>
      </w:r>
      <w:r w:rsidRPr="0042750D">
        <w:rPr>
          <w:szCs w:val="22"/>
          <w:lang w:eastAsia="pt-BR"/>
        </w:rPr>
        <w:tab/>
        <w:t>to conduct an overall review on ITU regional presence, taking into consideration the elements contained in the annex to this resolution, and report to the 2020 session of the Council, including suggesting appropriate measures to ensure the continued effectiveness and efficiency of the ITU regional presence;</w:t>
      </w:r>
    </w:p>
    <w:p w14:paraId="48EDE958" w14:textId="77777777" w:rsidR="00995894" w:rsidRPr="0042750D" w:rsidRDefault="00995894" w:rsidP="00995894">
      <w:pPr>
        <w:rPr>
          <w:szCs w:val="22"/>
        </w:rPr>
      </w:pPr>
      <w:r w:rsidRPr="0042750D">
        <w:rPr>
          <w:szCs w:val="22"/>
        </w:rPr>
        <w:t>4</w:t>
      </w:r>
      <w:r w:rsidRPr="0042750D">
        <w:rPr>
          <w:szCs w:val="22"/>
        </w:rPr>
        <w:tab/>
        <w:t xml:space="preserve">to submit each year to the Council a report on the regional presence containing, for each specific regional office, detailed information on how the goals and objectives identified in the strategic plan and the four-year rolling operational plans </w:t>
      </w:r>
      <w:r w:rsidRPr="0042750D">
        <w:rPr>
          <w:szCs w:val="22"/>
          <w:lang w:eastAsia="pt-BR"/>
        </w:rPr>
        <w:t xml:space="preserve">of the General Secretariat and the three Sectors </w:t>
      </w:r>
      <w:r w:rsidRPr="0042750D">
        <w:rPr>
          <w:szCs w:val="22"/>
        </w:rPr>
        <w:t>are being delivered in the context of the results-based management framework; the report should include detailed information on:</w:t>
      </w:r>
    </w:p>
    <w:p w14:paraId="6A1DAA89" w14:textId="77777777" w:rsidR="00995894" w:rsidRPr="0042750D" w:rsidRDefault="00995894" w:rsidP="00995894">
      <w:pPr>
        <w:pStyle w:val="enumlev10"/>
        <w:rPr>
          <w:szCs w:val="22"/>
        </w:rPr>
      </w:pPr>
      <w:r w:rsidRPr="0042750D">
        <w:rPr>
          <w:szCs w:val="22"/>
        </w:rPr>
        <w:t>i)</w:t>
      </w:r>
      <w:r w:rsidRPr="0042750D">
        <w:rPr>
          <w:szCs w:val="22"/>
        </w:rPr>
        <w:tab/>
        <w:t xml:space="preserve">staffing, including number of staff members and category of employment; </w:t>
      </w:r>
    </w:p>
    <w:p w14:paraId="0F24343F" w14:textId="77777777" w:rsidR="00995894" w:rsidRPr="0042750D" w:rsidRDefault="00995894" w:rsidP="00995894">
      <w:pPr>
        <w:pStyle w:val="enumlev10"/>
        <w:rPr>
          <w:szCs w:val="22"/>
        </w:rPr>
      </w:pPr>
      <w:r w:rsidRPr="0042750D">
        <w:rPr>
          <w:szCs w:val="22"/>
        </w:rPr>
        <w:t>ii)</w:t>
      </w:r>
      <w:r w:rsidRPr="0042750D">
        <w:rPr>
          <w:szCs w:val="22"/>
        </w:rPr>
        <w:tab/>
        <w:t xml:space="preserve">finances, including budget allocated to the offices and expenses per objective and output, in accordance with the </w:t>
      </w:r>
      <w:r w:rsidRPr="0042750D">
        <w:rPr>
          <w:szCs w:val="22"/>
          <w:lang w:eastAsia="pt-BR"/>
        </w:rPr>
        <w:t xml:space="preserve">Buenos Aires </w:t>
      </w:r>
      <w:r w:rsidRPr="0042750D">
        <w:rPr>
          <w:szCs w:val="22"/>
        </w:rPr>
        <w:t>Action Plan;</w:t>
      </w:r>
    </w:p>
    <w:p w14:paraId="7AF50CA1" w14:textId="77777777" w:rsidR="00995894" w:rsidRPr="0042750D" w:rsidRDefault="00995894" w:rsidP="00995894">
      <w:pPr>
        <w:pStyle w:val="enumlev10"/>
        <w:rPr>
          <w:szCs w:val="22"/>
          <w:lang w:eastAsia="pt-BR"/>
        </w:rPr>
      </w:pPr>
      <w:r w:rsidRPr="0042750D">
        <w:rPr>
          <w:szCs w:val="22"/>
        </w:rPr>
        <w:t>iii)</w:t>
      </w:r>
      <w:r w:rsidRPr="0042750D">
        <w:rPr>
          <w:szCs w:val="22"/>
        </w:rPr>
        <w:tab/>
        <w:t>activities related to the three Sectors, outcomes of projects, including regional initiatives, events/meetings/conferences and regional preparatory meetings, and attraction of new Sector Members, in coordination with regional intergovernmental organizations;</w:t>
      </w:r>
    </w:p>
    <w:p w14:paraId="25F28216" w14:textId="77777777" w:rsidR="00995894" w:rsidRPr="0042750D" w:rsidRDefault="00995894" w:rsidP="00995894">
      <w:pPr>
        <w:pStyle w:val="enumlev10"/>
        <w:rPr>
          <w:szCs w:val="22"/>
        </w:rPr>
      </w:pPr>
      <w:r w:rsidRPr="0042750D">
        <w:rPr>
          <w:szCs w:val="22"/>
        </w:rPr>
        <w:t>iv)</w:t>
      </w:r>
      <w:r w:rsidRPr="0042750D">
        <w:rPr>
          <w:szCs w:val="22"/>
        </w:rPr>
        <w:tab/>
        <w:t>the fellowships awarded;</w:t>
      </w:r>
    </w:p>
    <w:p w14:paraId="63755ABC" w14:textId="77777777" w:rsidR="00995894" w:rsidRPr="0042750D" w:rsidRDefault="00995894" w:rsidP="00995894">
      <w:pPr>
        <w:rPr>
          <w:szCs w:val="22"/>
          <w:lang w:eastAsia="pt-BR"/>
        </w:rPr>
      </w:pPr>
      <w:r w:rsidRPr="0042750D">
        <w:rPr>
          <w:szCs w:val="22"/>
          <w:lang w:eastAsia="pt-BR"/>
        </w:rPr>
        <w:t>5</w:t>
      </w:r>
      <w:r w:rsidRPr="0042750D">
        <w:rPr>
          <w:szCs w:val="22"/>
          <w:lang w:eastAsia="pt-BR"/>
        </w:rPr>
        <w:tab/>
        <w:t xml:space="preserve">to conduct, once every four years, within the existing financial resources, </w:t>
      </w:r>
      <w:r w:rsidRPr="0042750D">
        <w:rPr>
          <w:rFonts w:eastAsia="SimSun"/>
          <w:szCs w:val="22"/>
          <w:lang w:eastAsia="zh-CN"/>
        </w:rPr>
        <w:t>a</w:t>
      </w:r>
      <w:r w:rsidRPr="0042750D">
        <w:rPr>
          <w:szCs w:val="22"/>
          <w:lang w:eastAsia="pt-BR"/>
        </w:rPr>
        <w:t xml:space="preserve"> </w:t>
      </w:r>
      <w:r w:rsidRPr="0042750D">
        <w:rPr>
          <w:rFonts w:eastAsia="SimSun"/>
          <w:szCs w:val="22"/>
          <w:lang w:eastAsia="zh-CN"/>
        </w:rPr>
        <w:t xml:space="preserve">survey of the level of satisfaction of Member States, Sector Members and regional telecommunication organizations with ITU's regional presence, and to present the results in a report </w:t>
      </w:r>
      <w:r w:rsidRPr="0042750D">
        <w:rPr>
          <w:szCs w:val="22"/>
          <w:lang w:eastAsia="pt-BR"/>
        </w:rPr>
        <w:t>to the session of Council prior to each plenipotentiary conference;</w:t>
      </w:r>
    </w:p>
    <w:p w14:paraId="2826C8D9" w14:textId="77777777" w:rsidR="00995894" w:rsidRPr="0042750D" w:rsidRDefault="00995894" w:rsidP="00995894">
      <w:pPr>
        <w:rPr>
          <w:szCs w:val="22"/>
          <w:lang w:eastAsia="pt-BR"/>
        </w:rPr>
      </w:pPr>
      <w:r w:rsidRPr="0042750D">
        <w:rPr>
          <w:szCs w:val="22"/>
          <w:lang w:eastAsia="pt-BR"/>
        </w:rPr>
        <w:t>6</w:t>
      </w:r>
      <w:r w:rsidRPr="0042750D">
        <w:rPr>
          <w:szCs w:val="22"/>
          <w:lang w:eastAsia="pt-BR"/>
        </w:rPr>
        <w:tab/>
        <w:t>to continue to engage with the United Nations, other United Nations development system entities and Member States with a view to supporting full implementation of UNGA Resolutions 71/243 and 72/279,</w:t>
      </w:r>
    </w:p>
    <w:p w14:paraId="72F3EB8B" w14:textId="77777777" w:rsidR="00995894" w:rsidRPr="0042750D" w:rsidRDefault="00995894" w:rsidP="00995894">
      <w:pPr>
        <w:pStyle w:val="Call"/>
        <w:rPr>
          <w:szCs w:val="22"/>
          <w:lang w:val="en-GB" w:eastAsia="pt-BR"/>
        </w:rPr>
      </w:pPr>
      <w:r w:rsidRPr="0042750D">
        <w:rPr>
          <w:szCs w:val="22"/>
          <w:lang w:val="en-GB" w:eastAsia="pt-BR"/>
        </w:rPr>
        <w:t>instructs the Secretary-General, in close consultation with the Directors of the three Bureaux</w:t>
      </w:r>
    </w:p>
    <w:p w14:paraId="12A034FA" w14:textId="77777777" w:rsidR="00995894" w:rsidRPr="0042750D" w:rsidRDefault="00995894" w:rsidP="00995894">
      <w:pPr>
        <w:rPr>
          <w:szCs w:val="22"/>
          <w:lang w:eastAsia="pt-BR"/>
        </w:rPr>
      </w:pPr>
      <w:r w:rsidRPr="0042750D">
        <w:rPr>
          <w:szCs w:val="22"/>
          <w:lang w:eastAsia="pt-BR"/>
        </w:rPr>
        <w:t>1</w:t>
      </w:r>
      <w:r w:rsidRPr="0042750D">
        <w:rPr>
          <w:szCs w:val="22"/>
          <w:lang w:eastAsia="pt-BR"/>
        </w:rPr>
        <w:tab/>
        <w:t>to ensure that all planned activities of the three Sectors and the General Secretariat in the regions are consolidated into the parts of the operational plans relating to regions and implemented under the coordination of the regional offices;</w:t>
      </w:r>
    </w:p>
    <w:p w14:paraId="271D0981" w14:textId="77777777" w:rsidR="00995894" w:rsidRPr="0042750D" w:rsidRDefault="00995894" w:rsidP="00995894">
      <w:pPr>
        <w:rPr>
          <w:szCs w:val="22"/>
          <w:lang w:eastAsia="pt-BR"/>
        </w:rPr>
      </w:pPr>
      <w:r w:rsidRPr="0042750D">
        <w:rPr>
          <w:szCs w:val="22"/>
          <w:lang w:eastAsia="pt-BR"/>
        </w:rPr>
        <w:t>2</w:t>
      </w:r>
      <w:r w:rsidRPr="0042750D">
        <w:rPr>
          <w:szCs w:val="22"/>
          <w:lang w:eastAsia="pt-BR"/>
        </w:rPr>
        <w:tab/>
        <w:t>to ensure that the annual operational plans of the regional offices are based on input from the respective regions prior to implementation;</w:t>
      </w:r>
    </w:p>
    <w:p w14:paraId="2002538F" w14:textId="77777777" w:rsidR="00995894" w:rsidRPr="0042750D" w:rsidRDefault="00995894" w:rsidP="00995894">
      <w:pPr>
        <w:rPr>
          <w:szCs w:val="22"/>
          <w:lang w:eastAsia="pt-BR"/>
        </w:rPr>
      </w:pPr>
      <w:r w:rsidRPr="0042750D">
        <w:rPr>
          <w:szCs w:val="22"/>
          <w:lang w:eastAsia="pt-BR"/>
        </w:rPr>
        <w:t>3</w:t>
      </w:r>
      <w:r w:rsidRPr="0042750D">
        <w:rPr>
          <w:szCs w:val="22"/>
          <w:lang w:eastAsia="pt-BR"/>
        </w:rPr>
        <w:tab/>
        <w:t>to report annually on the implementation of all activities of the three Sectors and the General Secretariat in the regions under the coordination of the regional offices,</w:t>
      </w:r>
    </w:p>
    <w:p w14:paraId="4E59D7E1" w14:textId="77777777" w:rsidR="00995894" w:rsidRPr="0042750D" w:rsidRDefault="00995894" w:rsidP="00995894">
      <w:pPr>
        <w:pStyle w:val="Call"/>
        <w:rPr>
          <w:szCs w:val="22"/>
          <w:lang w:val="en-GB" w:eastAsia="pt-BR"/>
        </w:rPr>
      </w:pPr>
      <w:r w:rsidRPr="0042750D">
        <w:rPr>
          <w:szCs w:val="22"/>
          <w:lang w:val="en-GB" w:eastAsia="pt-BR"/>
        </w:rPr>
        <w:t>instructs the Director of the Telecommunication Development Bureau, in close consultation with the Secretary-General and the Directors of the Radiocommunication Bureau and the Telecommunication Standardization Bureau</w:t>
      </w:r>
    </w:p>
    <w:p w14:paraId="67BBBC29" w14:textId="77777777" w:rsidR="00995894" w:rsidRPr="0042750D" w:rsidRDefault="00995894" w:rsidP="00995894">
      <w:pPr>
        <w:rPr>
          <w:szCs w:val="22"/>
        </w:rPr>
      </w:pPr>
      <w:r w:rsidRPr="0042750D">
        <w:rPr>
          <w:szCs w:val="22"/>
        </w:rPr>
        <w:t>1</w:t>
      </w:r>
      <w:r w:rsidRPr="0042750D">
        <w:rPr>
          <w:szCs w:val="22"/>
        </w:rPr>
        <w:tab/>
        <w:t>to take the necessary measures to further strengthen the regional presence</w:t>
      </w:r>
      <w:r w:rsidRPr="0042750D">
        <w:rPr>
          <w:szCs w:val="22"/>
          <w:lang w:eastAsia="pt-BR"/>
        </w:rPr>
        <w:t xml:space="preserve"> as an extension of ITU as whole, as well as</w:t>
      </w:r>
      <w:r w:rsidRPr="0042750D">
        <w:rPr>
          <w:szCs w:val="22"/>
        </w:rPr>
        <w:t xml:space="preserve"> measures to ensure that </w:t>
      </w:r>
      <w:r w:rsidRPr="0042750D">
        <w:rPr>
          <w:szCs w:val="22"/>
          <w:lang w:eastAsia="pt-BR"/>
        </w:rPr>
        <w:t>the</w:t>
      </w:r>
      <w:r w:rsidRPr="0042750D">
        <w:rPr>
          <w:szCs w:val="22"/>
        </w:rPr>
        <w:t xml:space="preserve"> activities </w:t>
      </w:r>
      <w:r w:rsidRPr="0042750D">
        <w:rPr>
          <w:szCs w:val="22"/>
          <w:lang w:eastAsia="pt-BR"/>
        </w:rPr>
        <w:t xml:space="preserve">of BR and TSB </w:t>
      </w:r>
      <w:r w:rsidRPr="0042750D">
        <w:rPr>
          <w:szCs w:val="22"/>
        </w:rPr>
        <w:t xml:space="preserve">are effectively </w:t>
      </w:r>
      <w:r w:rsidRPr="0042750D">
        <w:rPr>
          <w:szCs w:val="22"/>
          <w:lang w:eastAsia="pt-BR"/>
        </w:rPr>
        <w:t>incorporated</w:t>
      </w:r>
      <w:r w:rsidRPr="0042750D">
        <w:rPr>
          <w:szCs w:val="22"/>
        </w:rPr>
        <w:t xml:space="preserve"> in the </w:t>
      </w:r>
      <w:r w:rsidRPr="0042750D">
        <w:rPr>
          <w:szCs w:val="22"/>
          <w:lang w:eastAsia="pt-BR"/>
        </w:rPr>
        <w:t>regional</w:t>
      </w:r>
      <w:r w:rsidRPr="0042750D">
        <w:rPr>
          <w:szCs w:val="22"/>
        </w:rPr>
        <w:t xml:space="preserve"> and </w:t>
      </w:r>
      <w:r w:rsidRPr="0042750D">
        <w:rPr>
          <w:szCs w:val="22"/>
          <w:lang w:eastAsia="pt-BR"/>
        </w:rPr>
        <w:t>area offices, as described in this resolution</w:t>
      </w:r>
      <w:r w:rsidRPr="0042750D">
        <w:rPr>
          <w:szCs w:val="22"/>
        </w:rPr>
        <w:t>;</w:t>
      </w:r>
    </w:p>
    <w:p w14:paraId="282E608A" w14:textId="77777777" w:rsidR="00995894" w:rsidRPr="0042750D" w:rsidRDefault="00995894" w:rsidP="00995894">
      <w:pPr>
        <w:rPr>
          <w:szCs w:val="22"/>
        </w:rPr>
      </w:pPr>
      <w:r w:rsidRPr="0042750D">
        <w:rPr>
          <w:szCs w:val="22"/>
          <w:lang w:eastAsia="pt-BR"/>
        </w:rPr>
        <w:t>2</w:t>
      </w:r>
      <w:r w:rsidRPr="0042750D">
        <w:rPr>
          <w:szCs w:val="22"/>
          <w:lang w:eastAsia="pt-BR"/>
        </w:rPr>
        <w:tab/>
        <w:t>to support the review of the ITU's regional presence, taking into account the elements set out in annex to this resolution;</w:t>
      </w:r>
    </w:p>
    <w:p w14:paraId="163A5A56" w14:textId="77777777" w:rsidR="00995894" w:rsidRPr="0042750D" w:rsidRDefault="00995894" w:rsidP="00995894">
      <w:pPr>
        <w:rPr>
          <w:szCs w:val="22"/>
        </w:rPr>
      </w:pPr>
      <w:r w:rsidRPr="0042750D">
        <w:rPr>
          <w:szCs w:val="22"/>
        </w:rPr>
        <w:t>3</w:t>
      </w:r>
      <w:r w:rsidRPr="0042750D">
        <w:rPr>
          <w:szCs w:val="22"/>
        </w:rPr>
        <w:tab/>
        <w:t xml:space="preserve">to review and determine the appropriate posts, including permanent posts, in regional and area offices, </w:t>
      </w:r>
      <w:r w:rsidRPr="0042750D">
        <w:rPr>
          <w:szCs w:val="22"/>
          <w:lang w:eastAsia="pt-BR"/>
        </w:rPr>
        <w:t>to strive to ensure that each region has at least one professional with skills and knowledge relevant to each of the three Sectors, reporting to the regional director, including by training existing staff, while hiring</w:t>
      </w:r>
      <w:r w:rsidRPr="0042750D">
        <w:rPr>
          <w:szCs w:val="22"/>
        </w:rPr>
        <w:t xml:space="preserve"> specialized staff on an as-needed basis to meet particular needs;</w:t>
      </w:r>
    </w:p>
    <w:p w14:paraId="57A864AA" w14:textId="77777777" w:rsidR="00995894" w:rsidRPr="0042750D" w:rsidRDefault="00995894" w:rsidP="00995894">
      <w:pPr>
        <w:rPr>
          <w:szCs w:val="22"/>
        </w:rPr>
      </w:pPr>
      <w:r w:rsidRPr="0042750D">
        <w:rPr>
          <w:szCs w:val="22"/>
        </w:rPr>
        <w:t>4</w:t>
      </w:r>
      <w:r w:rsidRPr="0042750D">
        <w:rPr>
          <w:szCs w:val="22"/>
        </w:rPr>
        <w:tab/>
        <w:t>to fill in a timely manner vacant posts in the regional and area offices, where appropriate, planning staff availability and giving due consideration to the regional distribution of staff positions</w:t>
      </w:r>
      <w:r w:rsidRPr="0042750D">
        <w:rPr>
          <w:szCs w:val="22"/>
          <w:lang w:eastAsia="pt-BR"/>
        </w:rPr>
        <w:t xml:space="preserve"> and the knowledge and the expertise in the three Sectors of the Union to the extent possible</w:t>
      </w:r>
      <w:r w:rsidRPr="0042750D">
        <w:rPr>
          <w:szCs w:val="22"/>
        </w:rPr>
        <w:t>;</w:t>
      </w:r>
    </w:p>
    <w:p w14:paraId="722ABC46" w14:textId="77777777" w:rsidR="00995894" w:rsidRPr="0042750D" w:rsidRDefault="00995894" w:rsidP="00995894">
      <w:pPr>
        <w:rPr>
          <w:szCs w:val="22"/>
          <w:lang w:eastAsia="pt-BR"/>
        </w:rPr>
      </w:pPr>
      <w:r w:rsidRPr="0042750D">
        <w:rPr>
          <w:szCs w:val="22"/>
          <w:lang w:eastAsia="pt-BR"/>
        </w:rPr>
        <w:t>5</w:t>
      </w:r>
      <w:r w:rsidRPr="0042750D">
        <w:rPr>
          <w:szCs w:val="22"/>
          <w:lang w:eastAsia="pt-BR"/>
        </w:rPr>
        <w:tab/>
        <w:t>to ensure that the regional and area offices are given sufficient priority among the activities and programmes of the Union as a whole, and that, to supervise the implementation of funds-in-trust projects and projects financed from the ICT Development Fund, they have the required autonomy, the decision-making authority and the appropriate means;</w:t>
      </w:r>
    </w:p>
    <w:p w14:paraId="6C85C68F" w14:textId="77777777" w:rsidR="00995894" w:rsidRPr="0042750D" w:rsidRDefault="00995894" w:rsidP="00995894">
      <w:pPr>
        <w:rPr>
          <w:szCs w:val="22"/>
          <w:lang w:eastAsia="pt-BR"/>
        </w:rPr>
      </w:pPr>
      <w:r w:rsidRPr="0042750D">
        <w:rPr>
          <w:szCs w:val="22"/>
          <w:lang w:eastAsia="pt-BR"/>
        </w:rPr>
        <w:t>6</w:t>
      </w:r>
      <w:r w:rsidRPr="0042750D">
        <w:rPr>
          <w:szCs w:val="22"/>
          <w:lang w:eastAsia="pt-BR"/>
        </w:rPr>
        <w:tab/>
        <w:t>to take the necessary measures to improve the exchange of information between headquarters and field offices;</w:t>
      </w:r>
    </w:p>
    <w:p w14:paraId="4159415E" w14:textId="77777777" w:rsidR="00995894" w:rsidRPr="0042750D" w:rsidRDefault="00995894" w:rsidP="00995894">
      <w:pPr>
        <w:rPr>
          <w:szCs w:val="22"/>
          <w:lang w:eastAsia="pt-BR"/>
        </w:rPr>
      </w:pPr>
      <w:r w:rsidRPr="0042750D">
        <w:rPr>
          <w:szCs w:val="22"/>
          <w:lang w:eastAsia="pt-BR"/>
        </w:rPr>
        <w:t>7</w:t>
      </w:r>
      <w:r w:rsidRPr="0042750D">
        <w:rPr>
          <w:szCs w:val="22"/>
          <w:lang w:eastAsia="pt-BR"/>
        </w:rPr>
        <w:tab/>
      </w:r>
      <w:r w:rsidRPr="0042750D">
        <w:rPr>
          <w:szCs w:val="22"/>
        </w:rPr>
        <w:t>to strengthen the human resource capabilities and provide the regional and area offices with a measure of flexibility in terms of the recruitment of professional staff as well as support staff,</w:t>
      </w:r>
    </w:p>
    <w:p w14:paraId="182D971B" w14:textId="77777777" w:rsidR="00995894" w:rsidRPr="0042750D" w:rsidRDefault="00995894" w:rsidP="00995894">
      <w:pPr>
        <w:pStyle w:val="Call"/>
        <w:rPr>
          <w:szCs w:val="22"/>
          <w:lang w:val="en-GB" w:eastAsia="pt-BR"/>
        </w:rPr>
      </w:pPr>
      <w:r w:rsidRPr="0042750D">
        <w:rPr>
          <w:szCs w:val="22"/>
          <w:lang w:val="en-GB" w:eastAsia="pt-BR"/>
        </w:rPr>
        <w:t>instructs the Directors of the Radiocommunication Bureau and the Telecommunication Standardization Bureau</w:t>
      </w:r>
    </w:p>
    <w:p w14:paraId="280AA620" w14:textId="77777777" w:rsidR="00995894" w:rsidRPr="0042750D" w:rsidRDefault="00995894" w:rsidP="00995894">
      <w:pPr>
        <w:rPr>
          <w:szCs w:val="22"/>
        </w:rPr>
      </w:pPr>
      <w:r w:rsidRPr="0042750D">
        <w:rPr>
          <w:szCs w:val="22"/>
          <w:lang w:eastAsia="pt-BR"/>
        </w:rPr>
        <w:t>1</w:t>
      </w:r>
      <w:r w:rsidRPr="0042750D">
        <w:rPr>
          <w:szCs w:val="22"/>
          <w:lang w:eastAsia="pt-BR"/>
        </w:rPr>
        <w:tab/>
      </w:r>
      <w:r w:rsidRPr="0042750D">
        <w:rPr>
          <w:szCs w:val="22"/>
        </w:rPr>
        <w:t xml:space="preserve">to continue </w:t>
      </w:r>
      <w:r w:rsidRPr="0042750D">
        <w:rPr>
          <w:szCs w:val="22"/>
          <w:lang w:eastAsia="pt-BR"/>
        </w:rPr>
        <w:t>coordinating</w:t>
      </w:r>
      <w:r w:rsidRPr="0042750D">
        <w:rPr>
          <w:szCs w:val="22"/>
        </w:rPr>
        <w:t xml:space="preserve"> with the Director of BDT in enhancing the ability of the regional and area offices to provide information on their Sectors' activities, as well as the necessary expertise, to strengthen cooperation and coordination with the relevant regional organizations and to facilitate the participation of all Member States and Sector Members in the activities of the three Sectors of the Union;</w:t>
      </w:r>
    </w:p>
    <w:p w14:paraId="667EBCF3" w14:textId="6F78A05E" w:rsidR="00F0236A" w:rsidRPr="0042750D" w:rsidRDefault="00995894" w:rsidP="003054C8">
      <w:pPr>
        <w:spacing w:after="120"/>
        <w:rPr>
          <w:szCs w:val="22"/>
          <w:lang w:eastAsia="pt-BR"/>
        </w:rPr>
      </w:pPr>
      <w:r w:rsidRPr="0042750D">
        <w:rPr>
          <w:szCs w:val="22"/>
          <w:lang w:eastAsia="pt-BR"/>
        </w:rPr>
        <w:t>2</w:t>
      </w:r>
      <w:r w:rsidRPr="0042750D">
        <w:rPr>
          <w:szCs w:val="22"/>
          <w:lang w:eastAsia="pt-BR"/>
        </w:rPr>
        <w:tab/>
        <w:t>to provide Sectoral regional activities through regional offices.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855C8B" w:rsidRPr="0042750D" w14:paraId="74C6DD80" w14:textId="77777777" w:rsidTr="00055111">
        <w:trPr>
          <w:jc w:val="center"/>
        </w:trPr>
        <w:tc>
          <w:tcPr>
            <w:tcW w:w="907" w:type="dxa"/>
            <w:tcBorders>
              <w:top w:val="single" w:sz="12" w:space="0" w:color="auto"/>
              <w:bottom w:val="single" w:sz="12" w:space="0" w:color="auto"/>
            </w:tcBorders>
            <w:shd w:val="clear" w:color="auto" w:fill="auto"/>
            <w:vAlign w:val="center"/>
          </w:tcPr>
          <w:p w14:paraId="675194B8" w14:textId="77777777" w:rsidR="00855C8B" w:rsidRPr="0042750D" w:rsidRDefault="00855C8B" w:rsidP="00855C8B">
            <w:pPr>
              <w:pStyle w:val="Tablehead"/>
              <w:keepNext w:val="0"/>
              <w:rPr>
                <w:sz w:val="24"/>
                <w:szCs w:val="24"/>
              </w:rPr>
            </w:pPr>
            <w:r w:rsidRPr="0042750D">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3FC34A75" w14:textId="77777777" w:rsidR="00855C8B" w:rsidRPr="0042750D" w:rsidRDefault="00855C8B" w:rsidP="005E0B71">
            <w:pPr>
              <w:pStyle w:val="Tablehead"/>
              <w:rPr>
                <w:sz w:val="24"/>
                <w:szCs w:val="24"/>
              </w:rPr>
            </w:pPr>
            <w:r w:rsidRPr="0042750D">
              <w:rPr>
                <w:sz w:val="24"/>
                <w:szCs w:val="24"/>
              </w:rPr>
              <w:t>Action</w:t>
            </w:r>
          </w:p>
        </w:tc>
        <w:tc>
          <w:tcPr>
            <w:tcW w:w="1826" w:type="dxa"/>
            <w:tcBorders>
              <w:top w:val="single" w:sz="12" w:space="0" w:color="auto"/>
              <w:bottom w:val="single" w:sz="12" w:space="0" w:color="auto"/>
            </w:tcBorders>
            <w:shd w:val="clear" w:color="auto" w:fill="auto"/>
            <w:vAlign w:val="center"/>
            <w:hideMark/>
          </w:tcPr>
          <w:p w14:paraId="420C4EC2" w14:textId="77777777" w:rsidR="00855C8B" w:rsidRPr="0042750D" w:rsidRDefault="00855C8B" w:rsidP="005E0B71">
            <w:pPr>
              <w:pStyle w:val="Tablehead"/>
              <w:rPr>
                <w:sz w:val="24"/>
                <w:szCs w:val="24"/>
              </w:rPr>
            </w:pPr>
            <w:r w:rsidRPr="0042750D">
              <w:rPr>
                <w:sz w:val="24"/>
                <w:szCs w:val="24"/>
              </w:rPr>
              <w:t>Milestone</w:t>
            </w:r>
          </w:p>
        </w:tc>
        <w:tc>
          <w:tcPr>
            <w:tcW w:w="1209" w:type="dxa"/>
            <w:tcBorders>
              <w:top w:val="single" w:sz="12" w:space="0" w:color="auto"/>
              <w:bottom w:val="single" w:sz="12" w:space="0" w:color="auto"/>
            </w:tcBorders>
            <w:shd w:val="clear" w:color="auto" w:fill="auto"/>
          </w:tcPr>
          <w:p w14:paraId="6D3643A9" w14:textId="77777777" w:rsidR="00855C8B" w:rsidRPr="0042750D" w:rsidRDefault="00855C8B" w:rsidP="005E0B71">
            <w:pPr>
              <w:pStyle w:val="Tablehead"/>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CEACC5" w14:textId="77777777" w:rsidR="00855C8B" w:rsidRPr="0042750D" w:rsidRDefault="00855C8B" w:rsidP="005E0B71">
            <w:pPr>
              <w:pStyle w:val="Tablehead"/>
              <w:rPr>
                <w:sz w:val="24"/>
                <w:szCs w:val="24"/>
              </w:rPr>
            </w:pPr>
            <w:r w:rsidRPr="0042750D">
              <w:rPr>
                <w:sz w:val="24"/>
                <w:szCs w:val="24"/>
              </w:rPr>
              <w:t>Completed</w:t>
            </w:r>
          </w:p>
        </w:tc>
      </w:tr>
      <w:tr w:rsidR="00855C8B" w:rsidRPr="0042750D" w14:paraId="0611A878" w14:textId="77777777" w:rsidTr="00586F97">
        <w:trPr>
          <w:jc w:val="center"/>
        </w:trPr>
        <w:tc>
          <w:tcPr>
            <w:tcW w:w="907" w:type="dxa"/>
            <w:vMerge w:val="restart"/>
            <w:tcBorders>
              <w:top w:val="single" w:sz="12" w:space="0" w:color="auto"/>
            </w:tcBorders>
            <w:shd w:val="clear" w:color="auto" w:fill="auto"/>
          </w:tcPr>
          <w:p w14:paraId="0C2C72D6" w14:textId="7F1B210B" w:rsidR="00855C8B" w:rsidRPr="0042750D" w:rsidRDefault="00995894" w:rsidP="005E0B71">
            <w:pPr>
              <w:pStyle w:val="Tabletext"/>
              <w:rPr>
                <w:b/>
                <w:bCs/>
                <w:sz w:val="24"/>
                <w:szCs w:val="24"/>
              </w:rPr>
            </w:pPr>
            <w:r w:rsidRPr="0042750D">
              <w:rPr>
                <w:b/>
                <w:bCs/>
                <w:sz w:val="24"/>
                <w:szCs w:val="24"/>
              </w:rPr>
              <w:t>25</w:t>
            </w:r>
            <w:r w:rsidR="00855C8B" w:rsidRPr="0042750D">
              <w:rPr>
                <w:b/>
                <w:bCs/>
                <w:sz w:val="24"/>
                <w:szCs w:val="24"/>
              </w:rPr>
              <w:t>-01</w:t>
            </w:r>
          </w:p>
        </w:tc>
        <w:tc>
          <w:tcPr>
            <w:tcW w:w="4554" w:type="dxa"/>
            <w:tcBorders>
              <w:top w:val="single" w:sz="12" w:space="0" w:color="auto"/>
              <w:bottom w:val="single" w:sz="4" w:space="0" w:color="auto"/>
            </w:tcBorders>
            <w:shd w:val="clear" w:color="auto" w:fill="auto"/>
          </w:tcPr>
          <w:p w14:paraId="203E2E9F" w14:textId="06197716" w:rsidR="00855C8B" w:rsidRPr="0042750D" w:rsidRDefault="00995894" w:rsidP="00386E18">
            <w:pPr>
              <w:pStyle w:val="Tabletext"/>
              <w:rPr>
                <w:b/>
                <w:bCs/>
                <w:sz w:val="24"/>
                <w:szCs w:val="24"/>
              </w:rPr>
            </w:pPr>
            <w:r w:rsidRPr="0042750D">
              <w:rPr>
                <w:b/>
                <w:bCs/>
                <w:sz w:val="24"/>
                <w:szCs w:val="24"/>
              </w:rPr>
              <w:t xml:space="preserve">Regional and area offices should contribute, to the extent practicable, inter alia, to </w:t>
            </w:r>
            <w:r w:rsidR="00386E18" w:rsidRPr="0042750D">
              <w:rPr>
                <w:b/>
                <w:bCs/>
                <w:sz w:val="24"/>
                <w:szCs w:val="24"/>
              </w:rPr>
              <w:t>the T-</w:t>
            </w:r>
            <w:r w:rsidRPr="0042750D">
              <w:rPr>
                <w:b/>
                <w:bCs/>
                <w:sz w:val="24"/>
                <w:szCs w:val="24"/>
              </w:rPr>
              <w:t>Sectors, with content specific to each regional and area office, linked to the strategic plan for the Union for 2020-2023, then set up and continue to publish the annual plan/events on the ITU website for implementation</w:t>
            </w:r>
            <w:r w:rsidR="009C0F7D" w:rsidRPr="0042750D">
              <w:rPr>
                <w:b/>
                <w:bCs/>
                <w:sz w:val="24"/>
                <w:szCs w:val="24"/>
              </w:rPr>
              <w:t xml:space="preserve"> (</w:t>
            </w:r>
            <w:r w:rsidR="009C0F7D" w:rsidRPr="0042750D">
              <w:rPr>
                <w:b/>
                <w:bCs/>
                <w:i/>
                <w:sz w:val="24"/>
                <w:szCs w:val="24"/>
              </w:rPr>
              <w:t>resolves 4</w:t>
            </w:r>
            <w:r w:rsidR="009C0F7D" w:rsidRPr="0042750D">
              <w:rPr>
                <w:b/>
                <w:bCs/>
                <w:sz w:val="24"/>
                <w:szCs w:val="24"/>
              </w:rPr>
              <w:t>)</w:t>
            </w:r>
            <w:r w:rsidRPr="0042750D">
              <w:rPr>
                <w:b/>
                <w:bCs/>
                <w:sz w:val="24"/>
                <w:szCs w:val="24"/>
              </w:rPr>
              <w:t>.</w:t>
            </w:r>
          </w:p>
        </w:tc>
        <w:tc>
          <w:tcPr>
            <w:tcW w:w="1826" w:type="dxa"/>
            <w:tcBorders>
              <w:top w:val="single" w:sz="12" w:space="0" w:color="auto"/>
              <w:bottom w:val="single" w:sz="4" w:space="0" w:color="auto"/>
            </w:tcBorders>
            <w:shd w:val="clear" w:color="auto" w:fill="auto"/>
            <w:vAlign w:val="center"/>
          </w:tcPr>
          <w:p w14:paraId="0C8F4A0E" w14:textId="52F9DB12" w:rsidR="00855C8B" w:rsidRPr="0042750D" w:rsidRDefault="00855C8B" w:rsidP="005E0B71">
            <w:pPr>
              <w:pStyle w:val="Tabletext"/>
              <w:jc w:val="center"/>
              <w:rPr>
                <w:b/>
                <w:bCs/>
                <w:sz w:val="24"/>
                <w:szCs w:val="24"/>
              </w:rPr>
            </w:pPr>
            <w:r w:rsidRPr="0042750D">
              <w:rPr>
                <w:b/>
                <w:bCs/>
                <w:sz w:val="24"/>
                <w:szCs w:val="24"/>
              </w:rPr>
              <w:t>Ongoing</w:t>
            </w:r>
          </w:p>
        </w:tc>
        <w:tc>
          <w:tcPr>
            <w:tcW w:w="1209" w:type="dxa"/>
            <w:tcBorders>
              <w:top w:val="single" w:sz="12" w:space="0" w:color="auto"/>
              <w:bottom w:val="single" w:sz="4" w:space="0" w:color="auto"/>
            </w:tcBorders>
            <w:shd w:val="clear" w:color="auto" w:fill="auto"/>
            <w:vAlign w:val="center"/>
          </w:tcPr>
          <w:p w14:paraId="7018A8B7" w14:textId="07353CD6" w:rsidR="00855C8B" w:rsidRPr="0042750D" w:rsidRDefault="006E309D" w:rsidP="005E0B71">
            <w:pPr>
              <w:pStyle w:val="Tabletext"/>
              <w:jc w:val="center"/>
              <w:rPr>
                <w:b/>
                <w:bCs/>
                <w:sz w:val="24"/>
                <w:szCs w:val="24"/>
              </w:rPr>
            </w:pPr>
            <w:r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7D0D6611" w14:textId="77777777" w:rsidR="00855C8B" w:rsidRPr="0042750D" w:rsidRDefault="00855C8B" w:rsidP="005E0B71">
            <w:pPr>
              <w:pStyle w:val="Tabletext"/>
              <w:jc w:val="center"/>
              <w:rPr>
                <w:b/>
                <w:bCs/>
                <w:sz w:val="24"/>
                <w:szCs w:val="24"/>
              </w:rPr>
            </w:pPr>
          </w:p>
        </w:tc>
      </w:tr>
      <w:tr w:rsidR="00855C8B" w:rsidRPr="0042750D" w14:paraId="596557A7" w14:textId="77777777" w:rsidTr="00586F97">
        <w:trPr>
          <w:jc w:val="center"/>
        </w:trPr>
        <w:tc>
          <w:tcPr>
            <w:tcW w:w="907" w:type="dxa"/>
            <w:vMerge/>
            <w:tcBorders>
              <w:bottom w:val="single" w:sz="12" w:space="0" w:color="auto"/>
            </w:tcBorders>
            <w:shd w:val="clear" w:color="auto" w:fill="auto"/>
          </w:tcPr>
          <w:p w14:paraId="6E78B4AB" w14:textId="77777777" w:rsidR="00855C8B" w:rsidRPr="0042750D" w:rsidRDefault="00855C8B" w:rsidP="005E0B7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27B8035A" w14:textId="7BD73A49" w:rsidR="00855C8B" w:rsidRPr="0042750D" w:rsidRDefault="006E309D" w:rsidP="008313C0">
            <w:pPr>
              <w:pStyle w:val="Tabletext"/>
              <w:rPr>
                <w:szCs w:val="22"/>
              </w:rPr>
            </w:pPr>
            <w:r w:rsidRPr="0042750D">
              <w:rPr>
                <w:szCs w:val="22"/>
              </w:rPr>
              <w:t>TSB work in close cooperation with the Regional Offices to implement this Resolution.</w:t>
            </w:r>
          </w:p>
        </w:tc>
      </w:tr>
      <w:tr w:rsidR="00855C8B" w:rsidRPr="0042750D" w14:paraId="003BDD87" w14:textId="77777777" w:rsidTr="00586F97">
        <w:trPr>
          <w:jc w:val="center"/>
        </w:trPr>
        <w:tc>
          <w:tcPr>
            <w:tcW w:w="907" w:type="dxa"/>
            <w:vMerge w:val="restart"/>
            <w:tcBorders>
              <w:top w:val="single" w:sz="12" w:space="0" w:color="auto"/>
            </w:tcBorders>
            <w:shd w:val="clear" w:color="auto" w:fill="auto"/>
          </w:tcPr>
          <w:p w14:paraId="1FE09835" w14:textId="3A88627F" w:rsidR="00855C8B" w:rsidRPr="0042750D" w:rsidRDefault="007E1E5F" w:rsidP="00C03C8A">
            <w:pPr>
              <w:pStyle w:val="Tabletext"/>
              <w:keepNext/>
              <w:keepLines/>
              <w:rPr>
                <w:b/>
                <w:bCs/>
                <w:sz w:val="24"/>
                <w:szCs w:val="24"/>
              </w:rPr>
            </w:pPr>
            <w:r w:rsidRPr="0042750D">
              <w:rPr>
                <w:b/>
                <w:bCs/>
                <w:sz w:val="24"/>
                <w:szCs w:val="24"/>
              </w:rPr>
              <w:t>25</w:t>
            </w:r>
            <w:r w:rsidR="00855C8B" w:rsidRPr="0042750D">
              <w:rPr>
                <w:b/>
                <w:bCs/>
                <w:sz w:val="24"/>
                <w:szCs w:val="24"/>
              </w:rPr>
              <w:t>-02</w:t>
            </w:r>
          </w:p>
        </w:tc>
        <w:tc>
          <w:tcPr>
            <w:tcW w:w="4554" w:type="dxa"/>
            <w:tcBorders>
              <w:top w:val="single" w:sz="12" w:space="0" w:color="auto"/>
            </w:tcBorders>
            <w:shd w:val="clear" w:color="auto" w:fill="auto"/>
          </w:tcPr>
          <w:p w14:paraId="063BEA5F" w14:textId="2287934A" w:rsidR="00855C8B" w:rsidRPr="0042750D" w:rsidRDefault="007E1E5F" w:rsidP="001404B6">
            <w:pPr>
              <w:pStyle w:val="Tabletext"/>
              <w:rPr>
                <w:b/>
                <w:bCs/>
                <w:sz w:val="24"/>
                <w:szCs w:val="24"/>
              </w:rPr>
            </w:pPr>
            <w:r w:rsidRPr="0042750D">
              <w:rPr>
                <w:b/>
                <w:bCs/>
                <w:sz w:val="24"/>
                <w:szCs w:val="24"/>
              </w:rPr>
              <w:t xml:space="preserve">Regional offices shall regularly provide reports to </w:t>
            </w:r>
            <w:r w:rsidR="00386E18" w:rsidRPr="0042750D">
              <w:rPr>
                <w:b/>
                <w:bCs/>
                <w:sz w:val="24"/>
                <w:szCs w:val="24"/>
              </w:rPr>
              <w:t>TSAG</w:t>
            </w:r>
            <w:r w:rsidRPr="0042750D">
              <w:rPr>
                <w:b/>
                <w:bCs/>
                <w:sz w:val="24"/>
                <w:szCs w:val="24"/>
              </w:rPr>
              <w:t>, as appropriate, and to inform the Directors TSB on regional activities related to their respective Sectors, and to provide Sectoral regional activities through regional offices</w:t>
            </w:r>
            <w:r w:rsidR="00123EFD" w:rsidRPr="0042750D">
              <w:rPr>
                <w:b/>
                <w:bCs/>
                <w:sz w:val="24"/>
                <w:szCs w:val="24"/>
              </w:rPr>
              <w:t xml:space="preserve"> (</w:t>
            </w:r>
            <w:r w:rsidR="00123EFD" w:rsidRPr="0042750D">
              <w:rPr>
                <w:b/>
                <w:bCs/>
                <w:i/>
                <w:sz w:val="24"/>
                <w:szCs w:val="24"/>
              </w:rPr>
              <w:t>further resolves 2</w:t>
            </w:r>
            <w:r w:rsidR="00123EFD" w:rsidRPr="0042750D">
              <w:rPr>
                <w:b/>
                <w:bCs/>
                <w:sz w:val="24"/>
                <w:szCs w:val="24"/>
              </w:rPr>
              <w:t>)</w:t>
            </w:r>
            <w:r w:rsidRPr="0042750D">
              <w:rPr>
                <w:b/>
                <w:bCs/>
                <w:sz w:val="24"/>
                <w:szCs w:val="24"/>
              </w:rPr>
              <w:t>.</w:t>
            </w:r>
          </w:p>
        </w:tc>
        <w:tc>
          <w:tcPr>
            <w:tcW w:w="1826" w:type="dxa"/>
            <w:tcBorders>
              <w:top w:val="single" w:sz="12" w:space="0" w:color="auto"/>
            </w:tcBorders>
            <w:shd w:val="clear" w:color="auto" w:fill="auto"/>
            <w:vAlign w:val="center"/>
          </w:tcPr>
          <w:p w14:paraId="439AEC11" w14:textId="47EE3E47" w:rsidR="00855C8B" w:rsidRPr="0042750D" w:rsidRDefault="00386E18" w:rsidP="005E0B71">
            <w:pPr>
              <w:pStyle w:val="Tabletext"/>
              <w:jc w:val="center"/>
              <w:rPr>
                <w:b/>
                <w:bCs/>
                <w:sz w:val="24"/>
                <w:szCs w:val="24"/>
              </w:rPr>
            </w:pPr>
            <w:r w:rsidRPr="0042750D">
              <w:rPr>
                <w:b/>
                <w:bCs/>
                <w:sz w:val="24"/>
                <w:szCs w:val="24"/>
              </w:rPr>
              <w:t>TSAG</w:t>
            </w:r>
          </w:p>
        </w:tc>
        <w:tc>
          <w:tcPr>
            <w:tcW w:w="1209" w:type="dxa"/>
            <w:tcBorders>
              <w:top w:val="single" w:sz="12" w:space="0" w:color="auto"/>
            </w:tcBorders>
            <w:shd w:val="clear" w:color="auto" w:fill="auto"/>
            <w:vAlign w:val="center"/>
          </w:tcPr>
          <w:p w14:paraId="295F32CD" w14:textId="5B7214D0" w:rsidR="00855C8B" w:rsidRPr="0042750D" w:rsidRDefault="009F403B" w:rsidP="005E0B71">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442CA828" w14:textId="77777777" w:rsidR="00855C8B" w:rsidRPr="0042750D" w:rsidRDefault="00855C8B" w:rsidP="005E0B71">
            <w:pPr>
              <w:pStyle w:val="Tabletext"/>
              <w:jc w:val="center"/>
              <w:rPr>
                <w:b/>
                <w:bCs/>
                <w:sz w:val="24"/>
                <w:szCs w:val="24"/>
              </w:rPr>
            </w:pPr>
          </w:p>
        </w:tc>
      </w:tr>
      <w:tr w:rsidR="00855C8B" w:rsidRPr="0042750D" w14:paraId="1223EC75" w14:textId="77777777" w:rsidTr="00586F97">
        <w:trPr>
          <w:jc w:val="center"/>
        </w:trPr>
        <w:tc>
          <w:tcPr>
            <w:tcW w:w="907" w:type="dxa"/>
            <w:vMerge/>
            <w:tcBorders>
              <w:bottom w:val="single" w:sz="12" w:space="0" w:color="auto"/>
            </w:tcBorders>
            <w:shd w:val="clear" w:color="auto" w:fill="auto"/>
          </w:tcPr>
          <w:p w14:paraId="13AE331A" w14:textId="77777777" w:rsidR="00855C8B" w:rsidRPr="0042750D" w:rsidRDefault="00855C8B" w:rsidP="005E0B71">
            <w:pPr>
              <w:pStyle w:val="Tabletext"/>
              <w:rPr>
                <w:sz w:val="24"/>
                <w:szCs w:val="24"/>
              </w:rPr>
            </w:pPr>
          </w:p>
        </w:tc>
        <w:tc>
          <w:tcPr>
            <w:tcW w:w="8925" w:type="dxa"/>
            <w:gridSpan w:val="4"/>
            <w:shd w:val="clear" w:color="auto" w:fill="auto"/>
          </w:tcPr>
          <w:p w14:paraId="27BF083E" w14:textId="77777777" w:rsidR="00893C8C" w:rsidRDefault="003039C8" w:rsidP="00893C8C">
            <w:pPr>
              <w:pStyle w:val="Tabletext"/>
              <w:rPr>
                <w:szCs w:val="22"/>
              </w:rPr>
            </w:pPr>
            <w:r w:rsidRPr="0042750D">
              <w:rPr>
                <w:szCs w:val="22"/>
              </w:rPr>
              <w:t>Following the revision of the Resolution, ITU Regional Directors report</w:t>
            </w:r>
            <w:r w:rsidR="008313C0" w:rsidRPr="0042750D">
              <w:rPr>
                <w:szCs w:val="22"/>
              </w:rPr>
              <w:t xml:space="preserve"> </w:t>
            </w:r>
            <w:r w:rsidRPr="0042750D">
              <w:rPr>
                <w:szCs w:val="22"/>
              </w:rPr>
              <w:t xml:space="preserve">to TSAG </w:t>
            </w:r>
            <w:r w:rsidR="008313C0" w:rsidRPr="0042750D">
              <w:rPr>
                <w:szCs w:val="22"/>
              </w:rPr>
              <w:t>on a regular basis.</w:t>
            </w:r>
          </w:p>
          <w:p w14:paraId="039BFC1F" w14:textId="76795501" w:rsidR="003039C8" w:rsidRPr="0042750D" w:rsidRDefault="003039C8" w:rsidP="00893C8C">
            <w:pPr>
              <w:pStyle w:val="Tabletext"/>
            </w:pPr>
            <w:r w:rsidRPr="0042750D">
              <w:rPr>
                <w:szCs w:val="22"/>
              </w:rPr>
              <w:t>See also</w:t>
            </w:r>
            <w:r w:rsidR="00D94E72" w:rsidRPr="0042750D">
              <w:rPr>
                <w:szCs w:val="22"/>
              </w:rPr>
              <w:t xml:space="preserve"> </w:t>
            </w:r>
            <w:hyperlink r:id="rId23" w:history="1">
              <w:r w:rsidR="00D94E72" w:rsidRPr="0042750D">
                <w:rPr>
                  <w:rStyle w:val="Hyperlink"/>
                  <w:szCs w:val="22"/>
                </w:rPr>
                <w:t>TSAG TD 324</w:t>
              </w:r>
            </w:hyperlink>
            <w:r w:rsidR="00D94E72" w:rsidRPr="0042750D">
              <w:rPr>
                <w:rStyle w:val="Hyperlink"/>
                <w:szCs w:val="22"/>
              </w:rPr>
              <w:t>,</w:t>
            </w:r>
            <w:r w:rsidR="00D94E72" w:rsidRPr="0042750D">
              <w:rPr>
                <w:szCs w:val="22"/>
              </w:rPr>
              <w:t xml:space="preserve"> </w:t>
            </w:r>
            <w:hyperlink r:id="rId24" w:history="1">
              <w:r w:rsidR="008313C0" w:rsidRPr="0042750D">
                <w:rPr>
                  <w:rStyle w:val="Hyperlink"/>
                </w:rPr>
                <w:t>TSAG TD 664</w:t>
              </w:r>
            </w:hyperlink>
            <w:r w:rsidR="008313C0" w:rsidRPr="0042750D">
              <w:t xml:space="preserve"> </w:t>
            </w:r>
            <w:r w:rsidRPr="0042750D">
              <w:rPr>
                <w:szCs w:val="22"/>
              </w:rPr>
              <w:t>“</w:t>
            </w:r>
            <w:r w:rsidRPr="0042750D">
              <w:t>Contribution of the ITU Regional Offices to the ITU-T Operational Plan”.</w:t>
            </w:r>
          </w:p>
        </w:tc>
      </w:tr>
      <w:tr w:rsidR="00855C8B" w:rsidRPr="0042750D" w14:paraId="12BDFE5B" w14:textId="77777777" w:rsidTr="00586F97">
        <w:trPr>
          <w:jc w:val="center"/>
        </w:trPr>
        <w:tc>
          <w:tcPr>
            <w:tcW w:w="907" w:type="dxa"/>
            <w:vMerge w:val="restart"/>
            <w:tcBorders>
              <w:top w:val="single" w:sz="12" w:space="0" w:color="auto"/>
            </w:tcBorders>
            <w:shd w:val="clear" w:color="auto" w:fill="auto"/>
          </w:tcPr>
          <w:p w14:paraId="07330B04" w14:textId="29DE9AEE" w:rsidR="00855C8B" w:rsidRPr="0042750D" w:rsidRDefault="007E1E5F" w:rsidP="00601595">
            <w:pPr>
              <w:pStyle w:val="Tabletext"/>
              <w:keepNext/>
              <w:keepLines/>
              <w:rPr>
                <w:b/>
                <w:bCs/>
                <w:sz w:val="24"/>
                <w:szCs w:val="24"/>
              </w:rPr>
            </w:pPr>
            <w:r w:rsidRPr="0042750D">
              <w:rPr>
                <w:b/>
                <w:bCs/>
                <w:sz w:val="24"/>
                <w:szCs w:val="24"/>
              </w:rPr>
              <w:t>25-03</w:t>
            </w:r>
          </w:p>
        </w:tc>
        <w:tc>
          <w:tcPr>
            <w:tcW w:w="4554" w:type="dxa"/>
            <w:tcBorders>
              <w:top w:val="single" w:sz="12" w:space="0" w:color="auto"/>
            </w:tcBorders>
            <w:shd w:val="clear" w:color="auto" w:fill="auto"/>
          </w:tcPr>
          <w:p w14:paraId="4C3A4902" w14:textId="7E462DA2" w:rsidR="00855C8B" w:rsidRPr="0042750D" w:rsidRDefault="007E1E5F" w:rsidP="005E0B71">
            <w:pPr>
              <w:pStyle w:val="Tabletext"/>
              <w:rPr>
                <w:b/>
                <w:bCs/>
                <w:sz w:val="24"/>
                <w:szCs w:val="24"/>
              </w:rPr>
            </w:pPr>
            <w:r w:rsidRPr="0042750D">
              <w:rPr>
                <w:b/>
                <w:bCs/>
                <w:sz w:val="24"/>
                <w:szCs w:val="24"/>
              </w:rPr>
              <w:t>TSBDir+BRDir to continue coordinating with the BDTDir in enhancing the ability of the regional and area offices to provide information on their Sectors' activities, as well as the necessary expertise</w:t>
            </w:r>
            <w:r w:rsidR="00123EFD" w:rsidRPr="0042750D">
              <w:rPr>
                <w:b/>
                <w:bCs/>
                <w:sz w:val="24"/>
                <w:szCs w:val="24"/>
              </w:rPr>
              <w:t xml:space="preserve"> (</w:t>
            </w:r>
            <w:r w:rsidR="00123EFD" w:rsidRPr="0042750D">
              <w:rPr>
                <w:b/>
                <w:bCs/>
                <w:i/>
                <w:sz w:val="24"/>
                <w:szCs w:val="24"/>
              </w:rPr>
              <w:t>instructs 1</w:t>
            </w:r>
            <w:r w:rsidR="00123EFD" w:rsidRPr="0042750D">
              <w:rPr>
                <w:b/>
                <w:bCs/>
                <w:sz w:val="24"/>
                <w:szCs w:val="24"/>
              </w:rPr>
              <w:t>)</w:t>
            </w:r>
            <w:r w:rsidRPr="0042750D">
              <w:rPr>
                <w:b/>
                <w:bCs/>
                <w:sz w:val="24"/>
                <w:szCs w:val="24"/>
              </w:rPr>
              <w:t>.</w:t>
            </w:r>
          </w:p>
        </w:tc>
        <w:tc>
          <w:tcPr>
            <w:tcW w:w="1826" w:type="dxa"/>
            <w:tcBorders>
              <w:top w:val="single" w:sz="12" w:space="0" w:color="auto"/>
            </w:tcBorders>
            <w:shd w:val="clear" w:color="auto" w:fill="auto"/>
            <w:vAlign w:val="center"/>
          </w:tcPr>
          <w:p w14:paraId="730FA02C" w14:textId="6D1067DE" w:rsidR="00855C8B" w:rsidRPr="0042750D" w:rsidRDefault="007E1E5F" w:rsidP="005E0B71">
            <w:pPr>
              <w:pStyle w:val="Tabletext"/>
              <w:jc w:val="center"/>
              <w:rPr>
                <w:b/>
                <w:bCs/>
                <w:sz w:val="24"/>
                <w:szCs w:val="24"/>
              </w:rPr>
            </w:pPr>
            <w:r w:rsidRPr="0042750D">
              <w:rPr>
                <w:b/>
                <w:bCs/>
                <w:sz w:val="24"/>
                <w:szCs w:val="24"/>
              </w:rPr>
              <w:t>Ongoing</w:t>
            </w:r>
          </w:p>
        </w:tc>
        <w:tc>
          <w:tcPr>
            <w:tcW w:w="1209" w:type="dxa"/>
            <w:tcBorders>
              <w:top w:val="single" w:sz="12" w:space="0" w:color="auto"/>
            </w:tcBorders>
            <w:shd w:val="clear" w:color="auto" w:fill="auto"/>
            <w:vAlign w:val="center"/>
          </w:tcPr>
          <w:p w14:paraId="3980BF02" w14:textId="032D83ED" w:rsidR="00855C8B" w:rsidRPr="0042750D" w:rsidRDefault="00A614A8" w:rsidP="005E0B71">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1B2C6F7E" w14:textId="77777777" w:rsidR="00855C8B" w:rsidRPr="0042750D" w:rsidRDefault="00855C8B" w:rsidP="005E0B71">
            <w:pPr>
              <w:pStyle w:val="Tabletext"/>
              <w:jc w:val="center"/>
              <w:rPr>
                <w:b/>
                <w:bCs/>
                <w:sz w:val="24"/>
                <w:szCs w:val="24"/>
              </w:rPr>
            </w:pPr>
          </w:p>
        </w:tc>
      </w:tr>
      <w:tr w:rsidR="00855C8B" w:rsidRPr="0042750D" w14:paraId="4B0530AA" w14:textId="77777777" w:rsidTr="00586F97">
        <w:trPr>
          <w:jc w:val="center"/>
        </w:trPr>
        <w:tc>
          <w:tcPr>
            <w:tcW w:w="907" w:type="dxa"/>
            <w:vMerge/>
            <w:tcBorders>
              <w:bottom w:val="single" w:sz="12" w:space="0" w:color="auto"/>
            </w:tcBorders>
            <w:shd w:val="clear" w:color="auto" w:fill="auto"/>
          </w:tcPr>
          <w:p w14:paraId="1DD3AAC6" w14:textId="77777777" w:rsidR="00855C8B" w:rsidRPr="0042750D" w:rsidRDefault="00855C8B" w:rsidP="005E0B71">
            <w:pPr>
              <w:pStyle w:val="Tabletext"/>
              <w:rPr>
                <w:sz w:val="24"/>
                <w:szCs w:val="24"/>
              </w:rPr>
            </w:pPr>
          </w:p>
        </w:tc>
        <w:tc>
          <w:tcPr>
            <w:tcW w:w="8925" w:type="dxa"/>
            <w:gridSpan w:val="4"/>
            <w:tcBorders>
              <w:bottom w:val="single" w:sz="12" w:space="0" w:color="auto"/>
            </w:tcBorders>
            <w:shd w:val="clear" w:color="auto" w:fill="auto"/>
          </w:tcPr>
          <w:p w14:paraId="5C4B2CDE" w14:textId="010B4DED" w:rsidR="00855C8B" w:rsidRPr="0042750D" w:rsidRDefault="00A614A8" w:rsidP="00855C8B">
            <w:pPr>
              <w:pStyle w:val="Tabletext"/>
              <w:rPr>
                <w:szCs w:val="22"/>
              </w:rPr>
            </w:pPr>
            <w:r w:rsidRPr="0042750D">
              <w:rPr>
                <w:szCs w:val="22"/>
              </w:rPr>
              <w:t xml:space="preserve">See </w:t>
            </w:r>
            <w:r w:rsidRPr="0042750D">
              <w:t>C19/25 section 5.3</w:t>
            </w:r>
          </w:p>
        </w:tc>
      </w:tr>
    </w:tbl>
    <w:bookmarkStart w:id="25" w:name="Item18_02"/>
    <w:bookmarkStart w:id="26" w:name="Item18_01"/>
    <w:bookmarkStart w:id="27" w:name="Item18_03"/>
    <w:bookmarkStart w:id="28" w:name="Item18_04"/>
    <w:bookmarkStart w:id="29" w:name="Item18_05"/>
    <w:bookmarkEnd w:id="25"/>
    <w:bookmarkEnd w:id="26"/>
    <w:bookmarkEnd w:id="27"/>
    <w:bookmarkEnd w:id="28"/>
    <w:bookmarkEnd w:id="29"/>
    <w:p w14:paraId="3039937C"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27312A9C" w14:textId="21A45671" w:rsidR="00F0236A" w:rsidRPr="0042750D" w:rsidRDefault="007A2CF1" w:rsidP="00EA18BD">
      <w:pPr>
        <w:pStyle w:val="Heading1"/>
        <w:rPr>
          <w:sz w:val="24"/>
          <w:szCs w:val="24"/>
          <w:lang w:val="en-GB"/>
        </w:rPr>
      </w:pPr>
      <w:bookmarkStart w:id="30" w:name="Resolution_20"/>
      <w:bookmarkStart w:id="31" w:name="_Toc30749149"/>
      <w:bookmarkEnd w:id="30"/>
      <w:r w:rsidRPr="0042750D">
        <w:rPr>
          <w:sz w:val="24"/>
          <w:szCs w:val="24"/>
          <w:lang w:val="en-GB"/>
        </w:rPr>
        <w:t>RESOLUTION 58 (REV. BUSAN, 2014) – Strengthening of relations between ITU and regional telecommunication organizations and regional preparations for the Plenipotentiary Conference</w:t>
      </w:r>
      <w:bookmarkEnd w:id="31"/>
    </w:p>
    <w:p w14:paraId="366E52AD" w14:textId="77777777" w:rsidR="007A2CF1" w:rsidRPr="0042750D" w:rsidRDefault="007A2CF1" w:rsidP="007A2CF1">
      <w:pPr>
        <w:pStyle w:val="Call"/>
        <w:rPr>
          <w:szCs w:val="22"/>
          <w:lang w:val="en-GB"/>
        </w:rPr>
      </w:pPr>
      <w:r w:rsidRPr="0042750D">
        <w:rPr>
          <w:szCs w:val="22"/>
          <w:lang w:val="en-GB"/>
        </w:rPr>
        <w:t>resolves</w:t>
      </w:r>
    </w:p>
    <w:p w14:paraId="41668513" w14:textId="77777777" w:rsidR="007A2CF1" w:rsidRPr="0042750D" w:rsidRDefault="007A2CF1" w:rsidP="007A2CF1">
      <w:pPr>
        <w:rPr>
          <w:szCs w:val="22"/>
        </w:rPr>
      </w:pPr>
      <w:r w:rsidRPr="0042750D">
        <w:rPr>
          <w:szCs w:val="22"/>
        </w:rPr>
        <w:t>1</w:t>
      </w:r>
      <w:r w:rsidRPr="0042750D">
        <w:rPr>
          <w:szCs w:val="22"/>
        </w:rPr>
        <w:tab/>
        <w:t>that the Union should continue developing stronger relations with regional telecommunication organizations, including the organization of six ITU regional preparatory meetings for plenipotentiary conferences, as well as other Sector conferences and assemblies as necessary;</w:t>
      </w:r>
    </w:p>
    <w:p w14:paraId="150BF5A8" w14:textId="77777777" w:rsidR="007A2CF1" w:rsidRPr="0042750D" w:rsidRDefault="007A2CF1" w:rsidP="007A2CF1">
      <w:pPr>
        <w:rPr>
          <w:szCs w:val="22"/>
        </w:rPr>
      </w:pPr>
      <w:r w:rsidRPr="0042750D">
        <w:rPr>
          <w:szCs w:val="22"/>
        </w:rPr>
        <w:t>2</w:t>
      </w:r>
      <w:r w:rsidRPr="0042750D">
        <w:rPr>
          <w:szCs w:val="22"/>
        </w:rPr>
        <w:tab/>
        <w:t xml:space="preserve">that the Union, in strengthening its relations with the regional telecommunication organizations and by means of ITU regional preparations for plenipotentiary conferences, world conferences on international telecommunications, radiocommunication conferences and assemblies, WTDCs and WTSAs shall, with assistance of its regional offices when necessary, cover all Member States without exception, even if they do not belong to any of the six regional telecommunication organizations mentioned in </w:t>
      </w:r>
      <w:r w:rsidRPr="0042750D">
        <w:rPr>
          <w:i/>
          <w:iCs/>
          <w:szCs w:val="22"/>
        </w:rPr>
        <w:t>considering b)</w:t>
      </w:r>
      <w:r w:rsidRPr="0042750D">
        <w:rPr>
          <w:szCs w:val="22"/>
        </w:rPr>
        <w:t xml:space="preserve"> above, </w:t>
      </w:r>
    </w:p>
    <w:p w14:paraId="06DBFA03" w14:textId="77777777" w:rsidR="007A2CF1" w:rsidRPr="0042750D" w:rsidRDefault="007A2CF1" w:rsidP="007A2CF1">
      <w:pPr>
        <w:pStyle w:val="Call"/>
        <w:rPr>
          <w:szCs w:val="22"/>
          <w:lang w:val="en-GB"/>
        </w:rPr>
      </w:pPr>
      <w:r w:rsidRPr="0042750D">
        <w:rPr>
          <w:szCs w:val="22"/>
          <w:lang w:val="en-GB"/>
        </w:rPr>
        <w:t>resolves further</w:t>
      </w:r>
    </w:p>
    <w:p w14:paraId="4012FF9C" w14:textId="77777777" w:rsidR="007A2CF1" w:rsidRPr="0042750D" w:rsidRDefault="007A2CF1" w:rsidP="007A2CF1">
      <w:pPr>
        <w:rPr>
          <w:szCs w:val="22"/>
        </w:rPr>
      </w:pPr>
      <w:r w:rsidRPr="0042750D">
        <w:rPr>
          <w:szCs w:val="22"/>
        </w:rPr>
        <w:t>to invite regional telecommunication organizations to continue their preparations for plenipotentiary conferences, including, to the extent possible, the convening of interregional coordination meetings,</w:t>
      </w:r>
    </w:p>
    <w:p w14:paraId="33E4D831" w14:textId="77777777" w:rsidR="007A2CF1" w:rsidRPr="0042750D" w:rsidRDefault="007A2CF1" w:rsidP="007A2CF1">
      <w:pPr>
        <w:pStyle w:val="Call"/>
        <w:rPr>
          <w:szCs w:val="22"/>
          <w:lang w:val="en-GB"/>
        </w:rPr>
      </w:pPr>
      <w:r w:rsidRPr="0042750D">
        <w:rPr>
          <w:szCs w:val="22"/>
          <w:lang w:val="en-GB"/>
        </w:rPr>
        <w:t xml:space="preserve">instructs the Secretary-General, in close cooperation with the Directors of the three Bureaux </w:t>
      </w:r>
    </w:p>
    <w:p w14:paraId="6D46A571" w14:textId="77777777" w:rsidR="007A2CF1" w:rsidRPr="0042750D" w:rsidRDefault="007A2CF1" w:rsidP="007A2CF1">
      <w:pPr>
        <w:rPr>
          <w:szCs w:val="22"/>
        </w:rPr>
      </w:pPr>
      <w:r w:rsidRPr="0042750D">
        <w:rPr>
          <w:szCs w:val="22"/>
        </w:rPr>
        <w:t>1</w:t>
      </w:r>
      <w:r w:rsidRPr="0042750D">
        <w:rPr>
          <w:szCs w:val="22"/>
        </w:rPr>
        <w:tab/>
        <w:t xml:space="preserve">to continue to consult with Member States and regional and subregional telecommunication organizations on the means by which assistance can be provided in support of their preparations for future plenipotentiary conferences; </w:t>
      </w:r>
    </w:p>
    <w:p w14:paraId="7382A8E9" w14:textId="77777777" w:rsidR="007A2CF1" w:rsidRPr="0042750D" w:rsidRDefault="007A2CF1" w:rsidP="007A2CF1">
      <w:pPr>
        <w:rPr>
          <w:szCs w:val="22"/>
        </w:rPr>
      </w:pPr>
      <w:r w:rsidRPr="0042750D">
        <w:rPr>
          <w:szCs w:val="22"/>
        </w:rPr>
        <w:t>2</w:t>
      </w:r>
      <w:r w:rsidRPr="0042750D">
        <w:rPr>
          <w:szCs w:val="22"/>
        </w:rPr>
        <w:tab/>
        <w:t>to follow up on the submission of a report on the results of the aforementioned consultation to the Council for its consideration, taking into account similar experiences, and to report regularly to the Council thereafter;</w:t>
      </w:r>
    </w:p>
    <w:p w14:paraId="7696E030" w14:textId="77777777" w:rsidR="007A2CF1" w:rsidRPr="0042750D" w:rsidRDefault="007A2CF1" w:rsidP="007A2CF1">
      <w:pPr>
        <w:rPr>
          <w:szCs w:val="22"/>
        </w:rPr>
      </w:pPr>
      <w:r w:rsidRPr="0042750D">
        <w:rPr>
          <w:szCs w:val="22"/>
        </w:rPr>
        <w:t>3</w:t>
      </w:r>
      <w:r w:rsidRPr="0042750D">
        <w:rPr>
          <w:szCs w:val="22"/>
        </w:rPr>
        <w:tab/>
        <w:t>on the basis of such consultations, and ensuring that all the Member States are associated with this process, to assist Member States and regional and subregional telecommunication organizations with preparatory work, in particular for developing countries</w:t>
      </w:r>
      <w:r w:rsidRPr="0042750D">
        <w:rPr>
          <w:rStyle w:val="FootnoteReference"/>
          <w:sz w:val="22"/>
          <w:szCs w:val="22"/>
        </w:rPr>
        <w:footnoteReference w:customMarkFollows="1" w:id="2"/>
        <w:t>2</w:t>
      </w:r>
      <w:r w:rsidRPr="0042750D">
        <w:rPr>
          <w:szCs w:val="22"/>
        </w:rPr>
        <w:t>, in such areas as:</w:t>
      </w:r>
    </w:p>
    <w:p w14:paraId="152380DC" w14:textId="77777777" w:rsidR="007A2CF1" w:rsidRPr="0042750D" w:rsidRDefault="007A2CF1" w:rsidP="007A2CF1">
      <w:pPr>
        <w:pStyle w:val="enumlev10"/>
        <w:rPr>
          <w:szCs w:val="22"/>
        </w:rPr>
      </w:pPr>
      <w:r w:rsidRPr="0042750D">
        <w:rPr>
          <w:szCs w:val="22"/>
        </w:rPr>
        <w:sym w:font="Symbol" w:char="F02D"/>
      </w:r>
      <w:r w:rsidRPr="0042750D">
        <w:rPr>
          <w:szCs w:val="22"/>
        </w:rPr>
        <w:tab/>
        <w:t xml:space="preserve">the organization of ITU preparatory meetings, preferably before or after major ITU events (as referred to in </w:t>
      </w:r>
      <w:r w:rsidRPr="0042750D">
        <w:rPr>
          <w:i/>
          <w:iCs/>
          <w:szCs w:val="22"/>
        </w:rPr>
        <w:t>resolves</w:t>
      </w:r>
      <w:r w:rsidRPr="0042750D">
        <w:rPr>
          <w:szCs w:val="22"/>
        </w:rPr>
        <w:t> 2 above);</w:t>
      </w:r>
    </w:p>
    <w:p w14:paraId="0E132F4C" w14:textId="77777777" w:rsidR="007A2CF1" w:rsidRPr="0042750D" w:rsidRDefault="007A2CF1" w:rsidP="007A2CF1">
      <w:pPr>
        <w:pStyle w:val="enumlev10"/>
        <w:rPr>
          <w:szCs w:val="22"/>
        </w:rPr>
      </w:pPr>
      <w:r w:rsidRPr="0042750D">
        <w:rPr>
          <w:szCs w:val="22"/>
        </w:rPr>
        <w:sym w:font="Symbol" w:char="F02D"/>
      </w:r>
      <w:r w:rsidRPr="0042750D">
        <w:rPr>
          <w:szCs w:val="22"/>
        </w:rPr>
        <w:tab/>
        <w:t>facilitating interregional coordination meetings, with the objective of reaching a possible convergence of interregional views on major issues;</w:t>
      </w:r>
    </w:p>
    <w:p w14:paraId="110A3301" w14:textId="77777777" w:rsidR="007A2CF1" w:rsidRPr="0042750D" w:rsidRDefault="007A2CF1" w:rsidP="007A2CF1">
      <w:pPr>
        <w:pStyle w:val="enumlev10"/>
        <w:rPr>
          <w:szCs w:val="22"/>
        </w:rPr>
      </w:pPr>
      <w:r w:rsidRPr="0042750D">
        <w:rPr>
          <w:szCs w:val="22"/>
        </w:rPr>
        <w:sym w:font="Symbol" w:char="F02D"/>
      </w:r>
      <w:r w:rsidRPr="0042750D">
        <w:rPr>
          <w:szCs w:val="22"/>
        </w:rPr>
        <w:tab/>
        <w:t>assisting representatives of regional telecommunication organizations to attend the above</w:t>
      </w:r>
      <w:r w:rsidRPr="0042750D">
        <w:rPr>
          <w:szCs w:val="22"/>
        </w:rPr>
        <w:noBreakHyphen/>
        <w:t>mentioned interregional coordination meetings, including, where necessary, by providing, within the budgetary limits of the Union and the approved financial plan, fellowships for representatives of developing countries wishing to attend the above</w:t>
      </w:r>
      <w:r w:rsidRPr="0042750D">
        <w:rPr>
          <w:szCs w:val="22"/>
        </w:rPr>
        <w:noBreakHyphen/>
        <w:t>mentioned meetings;</w:t>
      </w:r>
    </w:p>
    <w:p w14:paraId="1DC2FAD6" w14:textId="1D8C6493" w:rsidR="00F0236A" w:rsidRPr="0042750D" w:rsidRDefault="007A2CF1" w:rsidP="00245124">
      <w:pPr>
        <w:pStyle w:val="enumlev10"/>
        <w:spacing w:after="120"/>
        <w:rPr>
          <w:szCs w:val="22"/>
        </w:rPr>
      </w:pPr>
      <w:r w:rsidRPr="0042750D">
        <w:rPr>
          <w:szCs w:val="22"/>
        </w:rPr>
        <w:sym w:font="Symbol" w:char="F02D"/>
      </w:r>
      <w:r w:rsidRPr="0042750D">
        <w:rPr>
          <w:szCs w:val="22"/>
        </w:rPr>
        <w:tab/>
        <w:t xml:space="preserve">identifying major issues to be resolved by the future conferences and assemblies referred to in </w:t>
      </w:r>
      <w:r w:rsidRPr="0042750D">
        <w:rPr>
          <w:i/>
          <w:iCs/>
          <w:szCs w:val="22"/>
        </w:rPr>
        <w:t>resolves</w:t>
      </w:r>
      <w:r w:rsidR="00245124" w:rsidRPr="0042750D">
        <w:rPr>
          <w:szCs w:val="22"/>
        </w:rPr>
        <w:t> 2 above</w:t>
      </w:r>
      <w:r w:rsidR="00F0236A" w:rsidRPr="0042750D">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2"/>
        <w:gridCol w:w="1826"/>
        <w:gridCol w:w="1209"/>
        <w:gridCol w:w="1338"/>
      </w:tblGrid>
      <w:tr w:rsidR="00F0236A" w:rsidRPr="0042750D" w14:paraId="4293D34C" w14:textId="77777777" w:rsidTr="004A1F30">
        <w:trPr>
          <w:jc w:val="center"/>
        </w:trPr>
        <w:tc>
          <w:tcPr>
            <w:tcW w:w="907" w:type="dxa"/>
            <w:tcBorders>
              <w:top w:val="single" w:sz="12" w:space="0" w:color="auto"/>
              <w:bottom w:val="single" w:sz="12" w:space="0" w:color="auto"/>
            </w:tcBorders>
            <w:shd w:val="clear" w:color="auto" w:fill="auto"/>
            <w:vAlign w:val="center"/>
          </w:tcPr>
          <w:p w14:paraId="5C1DA53A" w14:textId="77777777" w:rsidR="00F0236A" w:rsidRPr="0042750D" w:rsidRDefault="00F0236A" w:rsidP="00DF36E1">
            <w:pPr>
              <w:pStyle w:val="Tablehead"/>
              <w:rPr>
                <w:sz w:val="24"/>
                <w:szCs w:val="24"/>
              </w:rPr>
            </w:pPr>
            <w:r w:rsidRPr="0042750D">
              <w:rPr>
                <w:sz w:val="24"/>
                <w:szCs w:val="24"/>
              </w:rPr>
              <w:t>Action Item</w:t>
            </w:r>
          </w:p>
        </w:tc>
        <w:tc>
          <w:tcPr>
            <w:tcW w:w="4552" w:type="dxa"/>
            <w:tcBorders>
              <w:top w:val="single" w:sz="12" w:space="0" w:color="auto"/>
              <w:bottom w:val="single" w:sz="12" w:space="0" w:color="auto"/>
            </w:tcBorders>
            <w:shd w:val="clear" w:color="auto" w:fill="auto"/>
            <w:vAlign w:val="center"/>
            <w:hideMark/>
          </w:tcPr>
          <w:p w14:paraId="785898D4" w14:textId="77777777" w:rsidR="00F0236A" w:rsidRPr="0042750D" w:rsidRDefault="00F0236A" w:rsidP="00DF36E1">
            <w:pPr>
              <w:pStyle w:val="Tablehead"/>
              <w:rPr>
                <w:sz w:val="24"/>
                <w:szCs w:val="24"/>
              </w:rPr>
            </w:pPr>
            <w:r w:rsidRPr="0042750D">
              <w:rPr>
                <w:sz w:val="24"/>
                <w:szCs w:val="24"/>
              </w:rPr>
              <w:t>Action</w:t>
            </w:r>
          </w:p>
        </w:tc>
        <w:tc>
          <w:tcPr>
            <w:tcW w:w="1826" w:type="dxa"/>
            <w:tcBorders>
              <w:top w:val="single" w:sz="12" w:space="0" w:color="auto"/>
              <w:bottom w:val="single" w:sz="12" w:space="0" w:color="auto"/>
            </w:tcBorders>
            <w:shd w:val="clear" w:color="auto" w:fill="auto"/>
            <w:vAlign w:val="center"/>
            <w:hideMark/>
          </w:tcPr>
          <w:p w14:paraId="79EBF965" w14:textId="77777777" w:rsidR="00F0236A" w:rsidRPr="0042750D" w:rsidRDefault="00F0236A" w:rsidP="00DF36E1">
            <w:pPr>
              <w:pStyle w:val="Tablehead"/>
              <w:rPr>
                <w:sz w:val="24"/>
                <w:szCs w:val="24"/>
              </w:rPr>
            </w:pPr>
            <w:r w:rsidRPr="0042750D">
              <w:rPr>
                <w:sz w:val="24"/>
                <w:szCs w:val="24"/>
              </w:rPr>
              <w:t>Milestone</w:t>
            </w:r>
          </w:p>
        </w:tc>
        <w:tc>
          <w:tcPr>
            <w:tcW w:w="1209" w:type="dxa"/>
            <w:tcBorders>
              <w:top w:val="single" w:sz="12" w:space="0" w:color="auto"/>
              <w:bottom w:val="single" w:sz="12" w:space="0" w:color="auto"/>
            </w:tcBorders>
            <w:shd w:val="clear" w:color="auto" w:fill="auto"/>
          </w:tcPr>
          <w:p w14:paraId="6CCB859C"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6D19D7E"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3974E9DA" w14:textId="77777777" w:rsidTr="004A1F30">
        <w:trPr>
          <w:cantSplit/>
          <w:jc w:val="center"/>
        </w:trPr>
        <w:tc>
          <w:tcPr>
            <w:tcW w:w="907" w:type="dxa"/>
            <w:vMerge w:val="restart"/>
            <w:tcBorders>
              <w:top w:val="single" w:sz="12" w:space="0" w:color="auto"/>
            </w:tcBorders>
            <w:shd w:val="clear" w:color="auto" w:fill="auto"/>
          </w:tcPr>
          <w:p w14:paraId="3C1DF35C" w14:textId="39EF5C6C" w:rsidR="00F0236A" w:rsidRPr="0042750D" w:rsidRDefault="000D55CF" w:rsidP="000D55CF">
            <w:pPr>
              <w:pStyle w:val="Tabletext"/>
              <w:rPr>
                <w:b/>
                <w:bCs/>
                <w:sz w:val="24"/>
                <w:szCs w:val="24"/>
              </w:rPr>
            </w:pPr>
            <w:r w:rsidRPr="0042750D">
              <w:rPr>
                <w:b/>
                <w:bCs/>
                <w:sz w:val="24"/>
                <w:szCs w:val="24"/>
              </w:rPr>
              <w:t>58</w:t>
            </w:r>
            <w:r w:rsidR="00F0236A" w:rsidRPr="0042750D">
              <w:rPr>
                <w:b/>
                <w:bCs/>
                <w:sz w:val="24"/>
                <w:szCs w:val="24"/>
              </w:rPr>
              <w:t>-01</w:t>
            </w:r>
          </w:p>
        </w:tc>
        <w:tc>
          <w:tcPr>
            <w:tcW w:w="4552" w:type="dxa"/>
            <w:tcBorders>
              <w:top w:val="single" w:sz="12" w:space="0" w:color="auto"/>
              <w:bottom w:val="single" w:sz="4" w:space="0" w:color="auto"/>
            </w:tcBorders>
            <w:shd w:val="clear" w:color="auto" w:fill="auto"/>
            <w:hideMark/>
          </w:tcPr>
          <w:p w14:paraId="640DE7B6" w14:textId="332477BB" w:rsidR="00F0236A" w:rsidRPr="0042750D" w:rsidRDefault="00E148CE" w:rsidP="00E148CE">
            <w:pPr>
              <w:pStyle w:val="Tabletext"/>
              <w:rPr>
                <w:b/>
                <w:bCs/>
                <w:sz w:val="24"/>
                <w:szCs w:val="24"/>
              </w:rPr>
            </w:pPr>
            <w:r w:rsidRPr="0042750D">
              <w:rPr>
                <w:b/>
                <w:bCs/>
                <w:sz w:val="24"/>
                <w:szCs w:val="24"/>
              </w:rPr>
              <w:t>TSBDir to d</w:t>
            </w:r>
            <w:r w:rsidR="000D55CF" w:rsidRPr="0042750D">
              <w:rPr>
                <w:b/>
                <w:bCs/>
                <w:sz w:val="24"/>
                <w:szCs w:val="24"/>
              </w:rPr>
              <w:t>evelop relations with RegTelOrgs including the organization of six ITU regional prep meetings for PPs a</w:t>
            </w:r>
            <w:r w:rsidR="00532C48" w:rsidRPr="0042750D">
              <w:rPr>
                <w:b/>
                <w:bCs/>
                <w:sz w:val="24"/>
                <w:szCs w:val="24"/>
              </w:rPr>
              <w:t>nd Sector confs and assemblies</w:t>
            </w:r>
            <w:r w:rsidR="004E058D" w:rsidRPr="0042750D">
              <w:rPr>
                <w:b/>
                <w:bCs/>
                <w:sz w:val="24"/>
                <w:szCs w:val="24"/>
              </w:rPr>
              <w:t xml:space="preserve"> (</w:t>
            </w:r>
            <w:r w:rsidR="004E058D" w:rsidRPr="0042750D">
              <w:rPr>
                <w:b/>
                <w:bCs/>
                <w:i/>
                <w:sz w:val="24"/>
                <w:szCs w:val="24"/>
              </w:rPr>
              <w:t>resolves 1</w:t>
            </w:r>
            <w:r w:rsidR="004E058D" w:rsidRPr="0042750D">
              <w:rPr>
                <w:b/>
                <w:bCs/>
                <w:sz w:val="24"/>
                <w:szCs w:val="24"/>
              </w:rPr>
              <w:t>)</w:t>
            </w:r>
            <w:r w:rsidR="00532C48" w:rsidRPr="0042750D">
              <w:rPr>
                <w:b/>
                <w:bCs/>
                <w:sz w:val="24"/>
                <w:szCs w:val="24"/>
              </w:rPr>
              <w:t>.</w:t>
            </w:r>
          </w:p>
        </w:tc>
        <w:tc>
          <w:tcPr>
            <w:tcW w:w="1826" w:type="dxa"/>
            <w:tcBorders>
              <w:top w:val="single" w:sz="12" w:space="0" w:color="auto"/>
              <w:bottom w:val="single" w:sz="4" w:space="0" w:color="auto"/>
            </w:tcBorders>
            <w:shd w:val="clear" w:color="auto" w:fill="auto"/>
            <w:vAlign w:val="center"/>
            <w:hideMark/>
          </w:tcPr>
          <w:p w14:paraId="047F226A" w14:textId="77777777" w:rsidR="00F0236A" w:rsidRPr="0042750D" w:rsidRDefault="00F0236A" w:rsidP="00DF36E1">
            <w:pPr>
              <w:pStyle w:val="Tabletext"/>
              <w:jc w:val="center"/>
              <w:rPr>
                <w:b/>
                <w:bCs/>
                <w:sz w:val="24"/>
                <w:szCs w:val="24"/>
              </w:rPr>
            </w:pPr>
            <w:r w:rsidRPr="0042750D">
              <w:rPr>
                <w:b/>
                <w:bCs/>
                <w:sz w:val="24"/>
                <w:szCs w:val="24"/>
              </w:rPr>
              <w:t>Ongoing</w:t>
            </w:r>
          </w:p>
        </w:tc>
        <w:tc>
          <w:tcPr>
            <w:tcW w:w="1209" w:type="dxa"/>
            <w:tcBorders>
              <w:top w:val="single" w:sz="12" w:space="0" w:color="auto"/>
              <w:bottom w:val="single" w:sz="4" w:space="0" w:color="auto"/>
            </w:tcBorders>
            <w:shd w:val="clear" w:color="auto" w:fill="auto"/>
            <w:vAlign w:val="center"/>
          </w:tcPr>
          <w:p w14:paraId="1C57E233" w14:textId="3F89872C" w:rsidR="00F0236A" w:rsidRPr="0042750D" w:rsidRDefault="00A73AE4"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728D8003" w14:textId="77777777" w:rsidR="00F0236A" w:rsidRPr="0042750D" w:rsidRDefault="00F0236A" w:rsidP="00DF36E1">
            <w:pPr>
              <w:pStyle w:val="Tabletext"/>
              <w:jc w:val="center"/>
              <w:rPr>
                <w:b/>
                <w:bCs/>
                <w:sz w:val="24"/>
                <w:szCs w:val="24"/>
              </w:rPr>
            </w:pPr>
          </w:p>
        </w:tc>
      </w:tr>
      <w:tr w:rsidR="00F0236A" w:rsidRPr="0042750D" w14:paraId="2D108469" w14:textId="77777777" w:rsidTr="00F4018D">
        <w:trPr>
          <w:jc w:val="center"/>
        </w:trPr>
        <w:tc>
          <w:tcPr>
            <w:tcW w:w="907" w:type="dxa"/>
            <w:vMerge/>
            <w:tcBorders>
              <w:bottom w:val="single" w:sz="12" w:space="0" w:color="auto"/>
            </w:tcBorders>
            <w:shd w:val="clear" w:color="auto" w:fill="auto"/>
          </w:tcPr>
          <w:p w14:paraId="553C2649" w14:textId="77777777" w:rsidR="00F0236A" w:rsidRPr="0042750D" w:rsidRDefault="00F0236A" w:rsidP="00DF36E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26CE0E50" w14:textId="2DC95793" w:rsidR="00A43844" w:rsidRPr="0042750D" w:rsidRDefault="00A43844" w:rsidP="00A43844">
            <w:pPr>
              <w:pStyle w:val="Tabletext"/>
              <w:rPr>
                <w:szCs w:val="22"/>
              </w:rPr>
            </w:pPr>
            <w:r w:rsidRPr="0042750D">
              <w:rPr>
                <w:szCs w:val="22"/>
              </w:rPr>
              <w:t xml:space="preserve">TSB participated in the following </w:t>
            </w:r>
            <w:hyperlink r:id="rId25" w:history="1">
              <w:r w:rsidR="0032574D" w:rsidRPr="0042750D">
                <w:rPr>
                  <w:rStyle w:val="Hyperlink"/>
                  <w:szCs w:val="22"/>
                </w:rPr>
                <w:t>regional preparatory meetings</w:t>
              </w:r>
            </w:hyperlink>
            <w:r w:rsidR="0032574D" w:rsidRPr="0042750D">
              <w:rPr>
                <w:szCs w:val="22"/>
              </w:rPr>
              <w:t>:</w:t>
            </w:r>
          </w:p>
          <w:p w14:paraId="2622BCE4" w14:textId="324A7B98" w:rsidR="00A2724D" w:rsidRPr="0042750D" w:rsidRDefault="00A2724D" w:rsidP="00CD15C5">
            <w:pPr>
              <w:pStyle w:val="Tabletext"/>
              <w:numPr>
                <w:ilvl w:val="0"/>
                <w:numId w:val="14"/>
              </w:numPr>
              <w:spacing w:before="120" w:after="0"/>
              <w:ind w:left="357" w:hanging="357"/>
              <w:contextualSpacing/>
              <w:rPr>
                <w:szCs w:val="22"/>
              </w:rPr>
            </w:pPr>
            <w:r w:rsidRPr="0042750D">
              <w:t>APT WTSA20-1: 11-15 June 2019, Tokyo, Japan</w:t>
            </w:r>
          </w:p>
          <w:p w14:paraId="79399F62" w14:textId="745F91F1" w:rsidR="00A43844" w:rsidRPr="0042750D" w:rsidRDefault="00A43844" w:rsidP="00CD15C5">
            <w:pPr>
              <w:pStyle w:val="Tabletext"/>
              <w:numPr>
                <w:ilvl w:val="0"/>
                <w:numId w:val="14"/>
              </w:numPr>
              <w:spacing w:before="120" w:after="0"/>
              <w:ind w:left="357" w:hanging="357"/>
              <w:contextualSpacing/>
              <w:rPr>
                <w:szCs w:val="22"/>
              </w:rPr>
            </w:pPr>
            <w:r w:rsidRPr="0042750D">
              <w:rPr>
                <w:szCs w:val="22"/>
              </w:rPr>
              <w:t>ATU-1</w:t>
            </w:r>
            <w:r w:rsidR="00A2724D" w:rsidRPr="0042750D">
              <w:rPr>
                <w:szCs w:val="22"/>
              </w:rPr>
              <w:t>:</w:t>
            </w:r>
            <w:r w:rsidRPr="0042750D">
              <w:rPr>
                <w:szCs w:val="22"/>
              </w:rPr>
              <w:t xml:space="preserve"> 4 - 7 March 2019, Rabat, Morocco</w:t>
            </w:r>
          </w:p>
          <w:p w14:paraId="116EB819" w14:textId="5ADDE449" w:rsidR="00A73AE4" w:rsidRPr="0042750D" w:rsidRDefault="00A73AE4" w:rsidP="00CD15C5">
            <w:pPr>
              <w:pStyle w:val="Tabletext"/>
              <w:numPr>
                <w:ilvl w:val="0"/>
                <w:numId w:val="14"/>
              </w:numPr>
              <w:spacing w:before="120" w:after="0"/>
              <w:ind w:left="357" w:hanging="357"/>
              <w:contextualSpacing/>
              <w:rPr>
                <w:szCs w:val="22"/>
              </w:rPr>
            </w:pPr>
            <w:r w:rsidRPr="0042750D">
              <w:t>CEPT PT ITU-T Meeting: 4 - 5 September 2019, Vilnius, Lithuania</w:t>
            </w:r>
          </w:p>
          <w:p w14:paraId="34A55BDE" w14:textId="798C2554" w:rsidR="00F0236A" w:rsidRPr="0042750D" w:rsidRDefault="00A43844" w:rsidP="00CD15C5">
            <w:pPr>
              <w:pStyle w:val="Tabletext"/>
              <w:numPr>
                <w:ilvl w:val="0"/>
                <w:numId w:val="14"/>
              </w:numPr>
              <w:spacing w:before="120" w:after="0"/>
              <w:ind w:left="357" w:hanging="357"/>
              <w:contextualSpacing/>
              <w:rPr>
                <w:szCs w:val="22"/>
              </w:rPr>
            </w:pPr>
            <w:r w:rsidRPr="0042750D">
              <w:rPr>
                <w:szCs w:val="22"/>
              </w:rPr>
              <w:t>ATU-2: 7 - 11 October 2019, Entebbe, Uganda</w:t>
            </w:r>
          </w:p>
          <w:p w14:paraId="2C02124A" w14:textId="77777777" w:rsidR="00A43844" w:rsidRPr="0042750D" w:rsidRDefault="00A43844" w:rsidP="00CD15C5">
            <w:pPr>
              <w:pStyle w:val="Tabletext"/>
              <w:numPr>
                <w:ilvl w:val="0"/>
                <w:numId w:val="14"/>
              </w:numPr>
              <w:spacing w:before="120" w:after="0"/>
              <w:ind w:left="357" w:hanging="357"/>
              <w:contextualSpacing/>
              <w:rPr>
                <w:szCs w:val="22"/>
              </w:rPr>
            </w:pPr>
            <w:r w:rsidRPr="0042750D">
              <w:rPr>
                <w:szCs w:val="22"/>
              </w:rPr>
              <w:t>CITEL, 35th Meeting of PCC.I, Working Group for the preparation and follow-up of WTSA, WCIT and WTDC, 3 October 2019, Asunción, Paraguay</w:t>
            </w:r>
          </w:p>
          <w:p w14:paraId="52AF0876" w14:textId="7253DF76" w:rsidR="001B09EA" w:rsidRPr="0042750D" w:rsidRDefault="001B09EA" w:rsidP="00CD15C5">
            <w:pPr>
              <w:pStyle w:val="Tabletext"/>
              <w:numPr>
                <w:ilvl w:val="0"/>
                <w:numId w:val="14"/>
              </w:numPr>
              <w:spacing w:before="120" w:after="0"/>
              <w:ind w:left="357" w:hanging="357"/>
              <w:contextualSpacing/>
              <w:rPr>
                <w:szCs w:val="22"/>
              </w:rPr>
            </w:pPr>
            <w:r w:rsidRPr="0042750D">
              <w:t>Arab group: 8 - 10 October 2019, Riyadh, Saudi Arabia</w:t>
            </w:r>
          </w:p>
          <w:p w14:paraId="7F95B367" w14:textId="03810B3E" w:rsidR="00893C8C" w:rsidRPr="00893C8C" w:rsidRDefault="008313C0" w:rsidP="00893C8C">
            <w:pPr>
              <w:pStyle w:val="Tabletext"/>
              <w:numPr>
                <w:ilvl w:val="0"/>
                <w:numId w:val="14"/>
              </w:numPr>
              <w:spacing w:before="120" w:after="0"/>
              <w:ind w:left="357" w:hanging="357"/>
              <w:contextualSpacing/>
              <w:rPr>
                <w:rFonts w:asciiTheme="majorHAnsi" w:hAnsiTheme="majorHAnsi" w:cstheme="minorHAnsi"/>
                <w:szCs w:val="22"/>
              </w:rPr>
            </w:pPr>
            <w:r w:rsidRPr="00893C8C">
              <w:rPr>
                <w:szCs w:val="22"/>
              </w:rPr>
              <w:t>CEPT PT Meeting: 21-23 January Copenhagen, Denmark</w:t>
            </w:r>
            <w:r w:rsidR="00CD15C5" w:rsidRPr="00893C8C">
              <w:rPr>
                <w:szCs w:val="22"/>
              </w:rPr>
              <w:t>.</w:t>
            </w:r>
          </w:p>
        </w:tc>
      </w:tr>
    </w:tbl>
    <w:bookmarkStart w:id="32" w:name="Item20_01"/>
    <w:bookmarkStart w:id="33" w:name="Item20_04"/>
    <w:bookmarkEnd w:id="32"/>
    <w:bookmarkEnd w:id="33"/>
    <w:p w14:paraId="6FA0F7E6" w14:textId="77777777" w:rsidR="00F0236A" w:rsidRPr="0042750D" w:rsidRDefault="00B37746" w:rsidP="00F0236A">
      <w:pPr>
        <w:rPr>
          <w:rStyle w:val="Hyperlink"/>
          <w:sz w:val="24"/>
        </w:rPr>
      </w:pPr>
      <w:r w:rsidRPr="0042750D">
        <w:rPr>
          <w:rStyle w:val="Hyperlink"/>
          <w:sz w:val="24"/>
        </w:rPr>
        <w:fldChar w:fldCharType="begin"/>
      </w:r>
      <w:r w:rsidRPr="0042750D">
        <w:rPr>
          <w:rStyle w:val="Hyperlink"/>
          <w:sz w:val="24"/>
        </w:rPr>
        <w:instrText xml:space="preserve"> HYPERLINK \l "Top" </w:instrText>
      </w:r>
      <w:r w:rsidRPr="0042750D">
        <w:rPr>
          <w:rStyle w:val="Hyperlink"/>
          <w:sz w:val="24"/>
        </w:rPr>
        <w:fldChar w:fldCharType="separate"/>
      </w:r>
      <w:r w:rsidR="00F0236A" w:rsidRPr="0042750D">
        <w:rPr>
          <w:rStyle w:val="Hyperlink"/>
          <w:sz w:val="24"/>
        </w:rPr>
        <w:t>» Top</w:t>
      </w:r>
      <w:r w:rsidRPr="0042750D">
        <w:rPr>
          <w:rStyle w:val="Hyperlink"/>
          <w:sz w:val="24"/>
        </w:rPr>
        <w:fldChar w:fldCharType="end"/>
      </w:r>
    </w:p>
    <w:p w14:paraId="49598A78" w14:textId="75024F1C" w:rsidR="00F0236A" w:rsidRPr="0042750D" w:rsidRDefault="00104094" w:rsidP="0048293B">
      <w:pPr>
        <w:pStyle w:val="Heading1"/>
        <w:keepNext/>
        <w:keepLines/>
        <w:rPr>
          <w:sz w:val="24"/>
          <w:szCs w:val="24"/>
          <w:lang w:val="en-GB"/>
        </w:rPr>
      </w:pPr>
      <w:bookmarkStart w:id="34" w:name="Resolution_22"/>
      <w:bookmarkStart w:id="35" w:name="_Toc30749150"/>
      <w:bookmarkEnd w:id="34"/>
      <w:r w:rsidRPr="0042750D">
        <w:rPr>
          <w:sz w:val="24"/>
          <w:szCs w:val="24"/>
          <w:lang w:val="en-GB"/>
        </w:rPr>
        <w:t>RESOLUTION 64 (REV. DUBAI, 2018) – Non-discriminatory access to modern telecommunication/information and communication technology facilities, services and applications, including applied research and transfer of technology, and e meetings, on mutually agreed terms</w:t>
      </w:r>
      <w:bookmarkEnd w:id="35"/>
    </w:p>
    <w:p w14:paraId="2BE64184" w14:textId="77777777" w:rsidR="00104094" w:rsidRPr="0042750D" w:rsidRDefault="00104094" w:rsidP="0048293B">
      <w:pPr>
        <w:pStyle w:val="Call"/>
        <w:rPr>
          <w:lang w:val="en-GB"/>
        </w:rPr>
      </w:pPr>
      <w:r w:rsidRPr="0042750D">
        <w:rPr>
          <w:lang w:val="en-GB"/>
        </w:rPr>
        <w:t>resolves</w:t>
      </w:r>
    </w:p>
    <w:p w14:paraId="3B6C2C6F" w14:textId="77777777" w:rsidR="00104094" w:rsidRPr="0042750D" w:rsidRDefault="00104094" w:rsidP="0048293B">
      <w:pPr>
        <w:keepNext/>
        <w:keepLines/>
      </w:pPr>
      <w:r w:rsidRPr="0042750D">
        <w:t>1</w:t>
      </w:r>
      <w:r w:rsidRPr="0042750D">
        <w:tab/>
        <w:t>to continue, within the mandate of ITU, fulfilling the need to endeavour to ensure non-discriminatory access to telecommunication and information technologies, facilities, services and related applications, including applied research and transfer of technology, on mutually agreed terms, established on the basis of ITU</w:t>
      </w:r>
      <w:r w:rsidRPr="0042750D">
        <w:noBreakHyphen/>
        <w:t>T and ITU</w:t>
      </w:r>
      <w:r w:rsidRPr="0042750D">
        <w:noBreakHyphen/>
        <w:t>R recommendations;</w:t>
      </w:r>
    </w:p>
    <w:p w14:paraId="3FF1831A" w14:textId="77777777" w:rsidR="00104094" w:rsidRPr="0042750D" w:rsidRDefault="00104094" w:rsidP="00104094">
      <w:r w:rsidRPr="0042750D">
        <w:t>2</w:t>
      </w:r>
      <w:r w:rsidRPr="0042750D">
        <w:tab/>
        <w:t>that ITU should facilitate non-discriminatory access to telecommunication and information technologies, facilities, services and applications established on the basis of ITU</w:t>
      </w:r>
      <w:r w:rsidRPr="0042750D">
        <w:noBreakHyphen/>
        <w:t>T and ITU</w:t>
      </w:r>
      <w:r w:rsidRPr="0042750D">
        <w:noBreakHyphen/>
        <w:t>R recommendations;</w:t>
      </w:r>
    </w:p>
    <w:p w14:paraId="2F3F620D" w14:textId="77777777" w:rsidR="00104094" w:rsidRPr="0042750D" w:rsidRDefault="00104094" w:rsidP="00104094">
      <w:r w:rsidRPr="0042750D">
        <w:t>3</w:t>
      </w:r>
      <w:r w:rsidRPr="0042750D">
        <w:tab/>
        <w:t>that ITU should encourage to the greatest extent possible cooperation among the members of the Union on the question of non-discriminatory access to telecommunication and information technologies, facilities, services and applications established on the basis of ITU</w:t>
      </w:r>
      <w:r w:rsidRPr="0042750D">
        <w:noBreakHyphen/>
        <w:t>T and ITU</w:t>
      </w:r>
      <w:r w:rsidRPr="0042750D">
        <w:noBreakHyphen/>
        <w:t>R recommendations with a view to satisfying user demand for modern telecommunication/ICT services and applications,</w:t>
      </w:r>
    </w:p>
    <w:p w14:paraId="2DA14BE3" w14:textId="77777777" w:rsidR="00104094" w:rsidRPr="0042750D" w:rsidRDefault="00104094" w:rsidP="00104094">
      <w:pPr>
        <w:pStyle w:val="Call"/>
        <w:rPr>
          <w:lang w:val="en-GB"/>
        </w:rPr>
      </w:pPr>
      <w:r w:rsidRPr="0042750D">
        <w:rPr>
          <w:lang w:val="en-GB"/>
        </w:rPr>
        <w:t>instructs the Directors of the three Bureaux</w:t>
      </w:r>
    </w:p>
    <w:p w14:paraId="1FE92207" w14:textId="77777777" w:rsidR="00104094" w:rsidRPr="0042750D" w:rsidRDefault="00104094" w:rsidP="00104094">
      <w:r w:rsidRPr="0042750D">
        <w:t>within their respective spheres of competence, to implement this resolution and achieve its goals,</w:t>
      </w:r>
    </w:p>
    <w:p w14:paraId="5D078E98" w14:textId="77777777" w:rsidR="00104094" w:rsidRPr="0042750D" w:rsidRDefault="00104094" w:rsidP="00104094">
      <w:pPr>
        <w:pStyle w:val="Call"/>
        <w:rPr>
          <w:lang w:val="en-GB"/>
        </w:rPr>
      </w:pPr>
      <w:r w:rsidRPr="0042750D">
        <w:rPr>
          <w:lang w:val="en-GB"/>
        </w:rPr>
        <w:t>instructs the Secretary-General, in close cooperation with the Directors of the three Bureaux</w:t>
      </w:r>
    </w:p>
    <w:p w14:paraId="05F634F7" w14:textId="77777777" w:rsidR="00104094" w:rsidRPr="0042750D" w:rsidRDefault="00104094" w:rsidP="00104094">
      <w:r w:rsidRPr="0042750D">
        <w:t>1</w:t>
      </w:r>
      <w:r w:rsidRPr="0042750D">
        <w:tab/>
        <w:t>to compile and distribute a list of available online services and applications relevant to ITU activities and identify those that cannot be accessed, based on information received from ITU Member States;</w:t>
      </w:r>
    </w:p>
    <w:p w14:paraId="515A8FBE" w14:textId="77777777" w:rsidR="00104094" w:rsidRPr="0042750D" w:rsidRDefault="00104094" w:rsidP="00104094">
      <w:r w:rsidRPr="0042750D">
        <w:t>2</w:t>
      </w:r>
      <w:r w:rsidRPr="0042750D">
        <w:tab/>
        <w:t>to take appropriate measures and steps to promote broad participation, as far as practical,</w:t>
      </w:r>
      <w:r w:rsidRPr="0042750D" w:rsidDel="00DA32E2">
        <w:t xml:space="preserve"> </w:t>
      </w:r>
      <w:r w:rsidRPr="0042750D">
        <w:t>to ensure the fair and equitable participation of all members in ITU online services and applications;</w:t>
      </w:r>
    </w:p>
    <w:p w14:paraId="1A4945B7" w14:textId="77777777" w:rsidR="00104094" w:rsidRPr="0042750D" w:rsidRDefault="00104094" w:rsidP="00104094">
      <w:r w:rsidRPr="0042750D">
        <w:t>3</w:t>
      </w:r>
      <w:r w:rsidRPr="0042750D">
        <w:tab/>
        <w:t>to cooperate and coordinate with the relevant organizations to take the appropriate measures to promote access to ITU online services and materials for all ITU members;</w:t>
      </w:r>
    </w:p>
    <w:p w14:paraId="02BEA084" w14:textId="4CB54DC0" w:rsidR="00104094" w:rsidRPr="0042750D" w:rsidRDefault="00104094" w:rsidP="00104094">
      <w:pPr>
        <w:spacing w:after="120"/>
      </w:pPr>
      <w:r w:rsidRPr="0042750D">
        <w:t>4</w:t>
      </w:r>
      <w:r w:rsidRPr="0042750D">
        <w:tab/>
        <w:t>to report to the ITU Council on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1"/>
        <w:gridCol w:w="1916"/>
        <w:gridCol w:w="1165"/>
        <w:gridCol w:w="1338"/>
      </w:tblGrid>
      <w:tr w:rsidR="00F0236A" w:rsidRPr="0042750D" w14:paraId="10A4B486" w14:textId="77777777" w:rsidTr="004A1F30">
        <w:trPr>
          <w:jc w:val="center"/>
        </w:trPr>
        <w:tc>
          <w:tcPr>
            <w:tcW w:w="912" w:type="dxa"/>
            <w:tcBorders>
              <w:top w:val="single" w:sz="12" w:space="0" w:color="auto"/>
              <w:bottom w:val="single" w:sz="12" w:space="0" w:color="auto"/>
            </w:tcBorders>
            <w:shd w:val="clear" w:color="auto" w:fill="auto"/>
            <w:vAlign w:val="center"/>
          </w:tcPr>
          <w:p w14:paraId="596063E0" w14:textId="77777777" w:rsidR="00F0236A" w:rsidRPr="0042750D" w:rsidRDefault="00F0236A" w:rsidP="00DF36E1">
            <w:pPr>
              <w:pStyle w:val="Tablehead"/>
              <w:rPr>
                <w:sz w:val="24"/>
                <w:szCs w:val="24"/>
              </w:rPr>
            </w:pPr>
            <w:r w:rsidRPr="0042750D">
              <w:rPr>
                <w:sz w:val="24"/>
                <w:szCs w:val="24"/>
              </w:rPr>
              <w:t>Action Item</w:t>
            </w:r>
          </w:p>
        </w:tc>
        <w:tc>
          <w:tcPr>
            <w:tcW w:w="4501" w:type="dxa"/>
            <w:tcBorders>
              <w:top w:val="single" w:sz="12" w:space="0" w:color="auto"/>
              <w:bottom w:val="single" w:sz="12" w:space="0" w:color="auto"/>
            </w:tcBorders>
            <w:shd w:val="clear" w:color="auto" w:fill="auto"/>
            <w:vAlign w:val="center"/>
            <w:hideMark/>
          </w:tcPr>
          <w:p w14:paraId="61E480DC" w14:textId="77777777" w:rsidR="00F0236A" w:rsidRPr="0042750D" w:rsidRDefault="00F0236A" w:rsidP="00DF36E1">
            <w:pPr>
              <w:pStyle w:val="Tablehead"/>
              <w:rPr>
                <w:sz w:val="24"/>
                <w:szCs w:val="24"/>
              </w:rPr>
            </w:pPr>
            <w:r w:rsidRPr="0042750D">
              <w:rPr>
                <w:sz w:val="24"/>
                <w:szCs w:val="24"/>
              </w:rPr>
              <w:t>Action</w:t>
            </w:r>
          </w:p>
        </w:tc>
        <w:tc>
          <w:tcPr>
            <w:tcW w:w="1916" w:type="dxa"/>
            <w:tcBorders>
              <w:top w:val="single" w:sz="12" w:space="0" w:color="auto"/>
              <w:bottom w:val="single" w:sz="12" w:space="0" w:color="auto"/>
            </w:tcBorders>
            <w:shd w:val="clear" w:color="auto" w:fill="auto"/>
            <w:vAlign w:val="center"/>
            <w:hideMark/>
          </w:tcPr>
          <w:p w14:paraId="163054C3" w14:textId="77777777" w:rsidR="00F0236A" w:rsidRPr="0042750D" w:rsidRDefault="00F0236A" w:rsidP="00DF36E1">
            <w:pPr>
              <w:pStyle w:val="Tablehead"/>
              <w:rPr>
                <w:sz w:val="24"/>
                <w:szCs w:val="24"/>
              </w:rPr>
            </w:pPr>
            <w:r w:rsidRPr="0042750D">
              <w:rPr>
                <w:sz w:val="24"/>
                <w:szCs w:val="24"/>
              </w:rPr>
              <w:t>Milestone</w:t>
            </w:r>
          </w:p>
        </w:tc>
        <w:tc>
          <w:tcPr>
            <w:tcW w:w="1165" w:type="dxa"/>
            <w:tcBorders>
              <w:top w:val="single" w:sz="12" w:space="0" w:color="auto"/>
              <w:bottom w:val="single" w:sz="12" w:space="0" w:color="auto"/>
            </w:tcBorders>
            <w:shd w:val="clear" w:color="auto" w:fill="auto"/>
          </w:tcPr>
          <w:p w14:paraId="57307256"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89F419A"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6ADE4C05" w14:textId="77777777" w:rsidTr="004A1F30">
        <w:trPr>
          <w:cantSplit/>
          <w:jc w:val="center"/>
        </w:trPr>
        <w:tc>
          <w:tcPr>
            <w:tcW w:w="912" w:type="dxa"/>
            <w:vMerge w:val="restart"/>
            <w:tcBorders>
              <w:top w:val="single" w:sz="12" w:space="0" w:color="auto"/>
            </w:tcBorders>
            <w:shd w:val="clear" w:color="auto" w:fill="auto"/>
          </w:tcPr>
          <w:p w14:paraId="73E55BF8" w14:textId="490DA2F5" w:rsidR="00F0236A" w:rsidRPr="0042750D" w:rsidRDefault="007E1E5F" w:rsidP="00DF36E1">
            <w:pPr>
              <w:pStyle w:val="Tabletext"/>
              <w:keepNext/>
              <w:keepLines/>
              <w:rPr>
                <w:b/>
                <w:bCs/>
                <w:sz w:val="24"/>
                <w:szCs w:val="24"/>
              </w:rPr>
            </w:pPr>
            <w:r w:rsidRPr="0042750D">
              <w:rPr>
                <w:b/>
                <w:bCs/>
                <w:sz w:val="24"/>
                <w:szCs w:val="24"/>
              </w:rPr>
              <w:t>64-03</w:t>
            </w:r>
          </w:p>
        </w:tc>
        <w:tc>
          <w:tcPr>
            <w:tcW w:w="4501" w:type="dxa"/>
            <w:tcBorders>
              <w:top w:val="single" w:sz="12" w:space="0" w:color="auto"/>
            </w:tcBorders>
            <w:shd w:val="clear" w:color="auto" w:fill="auto"/>
          </w:tcPr>
          <w:p w14:paraId="41063447" w14:textId="341FA73A" w:rsidR="00F0236A" w:rsidRPr="0042750D" w:rsidRDefault="007E1E5F" w:rsidP="00CE1942">
            <w:pPr>
              <w:pStyle w:val="Tabletext"/>
              <w:keepNext/>
              <w:keepLines/>
              <w:rPr>
                <w:b/>
                <w:bCs/>
                <w:sz w:val="24"/>
                <w:szCs w:val="24"/>
              </w:rPr>
            </w:pPr>
            <w:r w:rsidRPr="0042750D">
              <w:rPr>
                <w:b/>
                <w:bCs/>
                <w:sz w:val="24"/>
                <w:szCs w:val="24"/>
              </w:rPr>
              <w:t>TSBDir</w:t>
            </w:r>
            <w:r w:rsidR="00CE1942" w:rsidRPr="0042750D">
              <w:rPr>
                <w:b/>
                <w:bCs/>
                <w:sz w:val="24"/>
                <w:szCs w:val="24"/>
              </w:rPr>
              <w:t>,</w:t>
            </w:r>
            <w:r w:rsidRPr="0042750D">
              <w:rPr>
                <w:b/>
                <w:bCs/>
                <w:sz w:val="24"/>
                <w:szCs w:val="24"/>
              </w:rPr>
              <w:t xml:space="preserve"> </w:t>
            </w:r>
            <w:r w:rsidR="00CE1942" w:rsidRPr="0042750D">
              <w:rPr>
                <w:b/>
                <w:sz w:val="24"/>
                <w:szCs w:val="24"/>
              </w:rPr>
              <w:t>within his respective spheres of competence,</w:t>
            </w:r>
            <w:r w:rsidR="00CE1942" w:rsidRPr="0042750D">
              <w:rPr>
                <w:b/>
                <w:bCs/>
                <w:sz w:val="24"/>
                <w:szCs w:val="24"/>
              </w:rPr>
              <w:t xml:space="preserve"> </w:t>
            </w:r>
            <w:r w:rsidRPr="0042750D">
              <w:rPr>
                <w:b/>
                <w:bCs/>
                <w:sz w:val="24"/>
                <w:szCs w:val="24"/>
              </w:rPr>
              <w:t>to implement this resolution and achieve its goals</w:t>
            </w:r>
            <w:r w:rsidR="00677B92" w:rsidRPr="0042750D">
              <w:rPr>
                <w:b/>
                <w:bCs/>
                <w:sz w:val="24"/>
                <w:szCs w:val="24"/>
              </w:rPr>
              <w:t xml:space="preserve"> (</w:t>
            </w:r>
            <w:r w:rsidR="00677B92" w:rsidRPr="0042750D">
              <w:rPr>
                <w:b/>
                <w:bCs/>
                <w:i/>
                <w:sz w:val="24"/>
                <w:szCs w:val="24"/>
              </w:rPr>
              <w:t>instructs</w:t>
            </w:r>
            <w:r w:rsidR="00677B92" w:rsidRPr="0042750D">
              <w:rPr>
                <w:b/>
                <w:bCs/>
                <w:sz w:val="24"/>
                <w:szCs w:val="24"/>
              </w:rPr>
              <w:t>)</w:t>
            </w:r>
            <w:r w:rsidRPr="0042750D">
              <w:rPr>
                <w:b/>
                <w:bCs/>
                <w:sz w:val="24"/>
                <w:szCs w:val="24"/>
              </w:rPr>
              <w:t>.</w:t>
            </w:r>
          </w:p>
        </w:tc>
        <w:tc>
          <w:tcPr>
            <w:tcW w:w="1916" w:type="dxa"/>
            <w:tcBorders>
              <w:top w:val="single" w:sz="12" w:space="0" w:color="auto"/>
            </w:tcBorders>
            <w:shd w:val="clear" w:color="auto" w:fill="auto"/>
            <w:vAlign w:val="center"/>
          </w:tcPr>
          <w:p w14:paraId="261052F3" w14:textId="3C7A4855" w:rsidR="00F0236A" w:rsidRPr="0042750D" w:rsidRDefault="007E1E5F" w:rsidP="00DF36E1">
            <w:pPr>
              <w:pStyle w:val="Tabletext"/>
              <w:jc w:val="center"/>
              <w:rPr>
                <w:b/>
                <w:bCs/>
                <w:sz w:val="24"/>
                <w:szCs w:val="24"/>
              </w:rPr>
            </w:pPr>
            <w:r w:rsidRPr="0042750D">
              <w:rPr>
                <w:b/>
                <w:bCs/>
                <w:sz w:val="24"/>
                <w:szCs w:val="24"/>
              </w:rPr>
              <w:t>Ongoing</w:t>
            </w:r>
          </w:p>
        </w:tc>
        <w:tc>
          <w:tcPr>
            <w:tcW w:w="1165" w:type="dxa"/>
            <w:tcBorders>
              <w:top w:val="single" w:sz="12" w:space="0" w:color="auto"/>
            </w:tcBorders>
            <w:shd w:val="clear" w:color="auto" w:fill="auto"/>
            <w:vAlign w:val="center"/>
          </w:tcPr>
          <w:p w14:paraId="5B4AEEDF" w14:textId="77777777" w:rsidR="00F0236A" w:rsidRPr="0042750D"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64BABC7F" w14:textId="77777777" w:rsidR="00F0236A" w:rsidRPr="0042750D" w:rsidRDefault="00F0236A" w:rsidP="00DF36E1">
            <w:pPr>
              <w:pStyle w:val="Tabletext"/>
              <w:jc w:val="center"/>
              <w:rPr>
                <w:b/>
                <w:bCs/>
                <w:sz w:val="24"/>
                <w:szCs w:val="24"/>
              </w:rPr>
            </w:pPr>
          </w:p>
        </w:tc>
      </w:tr>
      <w:tr w:rsidR="00F0236A" w:rsidRPr="0042750D" w14:paraId="4809F2BD" w14:textId="77777777" w:rsidTr="00104094">
        <w:trPr>
          <w:cantSplit/>
          <w:jc w:val="center"/>
        </w:trPr>
        <w:tc>
          <w:tcPr>
            <w:tcW w:w="912" w:type="dxa"/>
            <w:vMerge/>
            <w:tcBorders>
              <w:bottom w:val="single" w:sz="12" w:space="0" w:color="auto"/>
            </w:tcBorders>
            <w:shd w:val="clear" w:color="auto" w:fill="auto"/>
          </w:tcPr>
          <w:p w14:paraId="6D174DA1" w14:textId="77777777" w:rsidR="00F0236A" w:rsidRPr="0042750D" w:rsidRDefault="00F0236A" w:rsidP="00DF36E1">
            <w:pPr>
              <w:pStyle w:val="Tabletext"/>
              <w:rPr>
                <w:sz w:val="24"/>
                <w:szCs w:val="24"/>
              </w:rPr>
            </w:pPr>
          </w:p>
        </w:tc>
        <w:tc>
          <w:tcPr>
            <w:tcW w:w="8920" w:type="dxa"/>
            <w:gridSpan w:val="4"/>
            <w:tcBorders>
              <w:bottom w:val="single" w:sz="12" w:space="0" w:color="auto"/>
            </w:tcBorders>
            <w:shd w:val="clear" w:color="auto" w:fill="auto"/>
          </w:tcPr>
          <w:p w14:paraId="320A1665" w14:textId="77777777" w:rsidR="00F0236A" w:rsidRPr="0042750D" w:rsidDel="00EC33B6" w:rsidRDefault="00F0236A" w:rsidP="00DF36E1">
            <w:pPr>
              <w:pStyle w:val="Tabletext"/>
              <w:rPr>
                <w:szCs w:val="22"/>
              </w:rPr>
            </w:pPr>
          </w:p>
        </w:tc>
      </w:tr>
    </w:tbl>
    <w:bookmarkStart w:id="36" w:name="Item22_01"/>
    <w:bookmarkStart w:id="37" w:name="Item22_02"/>
    <w:bookmarkStart w:id="38" w:name="Item22_03"/>
    <w:bookmarkStart w:id="39" w:name="Item22_04"/>
    <w:bookmarkStart w:id="40" w:name="Item22_05"/>
    <w:bookmarkStart w:id="41" w:name="Item22_06"/>
    <w:bookmarkStart w:id="42" w:name="Item22_07"/>
    <w:bookmarkStart w:id="43" w:name="Item22_08"/>
    <w:bookmarkStart w:id="44" w:name="Item22_09"/>
    <w:bookmarkEnd w:id="36"/>
    <w:bookmarkEnd w:id="37"/>
    <w:bookmarkEnd w:id="38"/>
    <w:bookmarkEnd w:id="39"/>
    <w:bookmarkEnd w:id="40"/>
    <w:bookmarkEnd w:id="41"/>
    <w:bookmarkEnd w:id="42"/>
    <w:bookmarkEnd w:id="43"/>
    <w:bookmarkEnd w:id="44"/>
    <w:p w14:paraId="33503E6F" w14:textId="77777777" w:rsidR="00F0236A" w:rsidRPr="0042750D" w:rsidRDefault="00B37746" w:rsidP="00F0236A">
      <w:pPr>
        <w:rPr>
          <w:rStyle w:val="Hyperlink"/>
          <w:sz w:val="24"/>
        </w:rPr>
      </w:pPr>
      <w:r w:rsidRPr="0042750D">
        <w:rPr>
          <w:rStyle w:val="Hyperlink"/>
          <w:sz w:val="24"/>
        </w:rPr>
        <w:fldChar w:fldCharType="begin"/>
      </w:r>
      <w:r w:rsidRPr="0042750D">
        <w:rPr>
          <w:rStyle w:val="Hyperlink"/>
          <w:sz w:val="24"/>
        </w:rPr>
        <w:instrText xml:space="preserve"> HYPERLINK \l "Top" </w:instrText>
      </w:r>
      <w:r w:rsidRPr="0042750D">
        <w:rPr>
          <w:rStyle w:val="Hyperlink"/>
          <w:sz w:val="24"/>
        </w:rPr>
        <w:fldChar w:fldCharType="separate"/>
      </w:r>
      <w:r w:rsidR="00F0236A" w:rsidRPr="0042750D">
        <w:rPr>
          <w:rStyle w:val="Hyperlink"/>
          <w:sz w:val="24"/>
        </w:rPr>
        <w:t>» Top</w:t>
      </w:r>
      <w:r w:rsidRPr="0042750D">
        <w:rPr>
          <w:rStyle w:val="Hyperlink"/>
          <w:sz w:val="24"/>
        </w:rPr>
        <w:fldChar w:fldCharType="end"/>
      </w:r>
    </w:p>
    <w:p w14:paraId="1B20C329" w14:textId="1BA7FCD9" w:rsidR="00F0236A" w:rsidRPr="0042750D" w:rsidRDefault="00CE15EF" w:rsidP="008F1D42">
      <w:pPr>
        <w:pStyle w:val="Heading1"/>
        <w:keepNext/>
        <w:keepLines/>
        <w:rPr>
          <w:sz w:val="24"/>
          <w:szCs w:val="24"/>
          <w:lang w:val="en-GB"/>
        </w:rPr>
      </w:pPr>
      <w:bookmarkStart w:id="45" w:name="Resolution_26"/>
      <w:bookmarkStart w:id="46" w:name="Resolution_29"/>
      <w:bookmarkStart w:id="47" w:name="_Toc30749151"/>
      <w:bookmarkEnd w:id="45"/>
      <w:bookmarkEnd w:id="46"/>
      <w:r w:rsidRPr="0042750D">
        <w:rPr>
          <w:sz w:val="24"/>
          <w:szCs w:val="24"/>
          <w:lang w:val="en-GB"/>
        </w:rPr>
        <w:t>RESOLUTION 66 (REV. DUBAI, 2018) – Documents and publications of the Union</w:t>
      </w:r>
      <w:bookmarkEnd w:id="47"/>
    </w:p>
    <w:p w14:paraId="3AE0F113" w14:textId="77777777" w:rsidR="00F0236A" w:rsidRPr="0042750D" w:rsidRDefault="00F0236A" w:rsidP="008F1D42">
      <w:pPr>
        <w:pStyle w:val="Call"/>
        <w:rPr>
          <w:szCs w:val="22"/>
          <w:lang w:val="en-GB"/>
        </w:rPr>
      </w:pPr>
      <w:r w:rsidRPr="0042750D">
        <w:rPr>
          <w:szCs w:val="22"/>
          <w:lang w:val="en-GB"/>
        </w:rPr>
        <w:t>resolves</w:t>
      </w:r>
    </w:p>
    <w:p w14:paraId="2E15FC80" w14:textId="77777777" w:rsidR="00CE15EF" w:rsidRPr="0042750D" w:rsidRDefault="00CE15EF" w:rsidP="008F1D42">
      <w:pPr>
        <w:keepNext/>
        <w:keepLines/>
        <w:rPr>
          <w:szCs w:val="22"/>
        </w:rPr>
      </w:pPr>
      <w:r w:rsidRPr="0042750D">
        <w:rPr>
          <w:szCs w:val="22"/>
        </w:rPr>
        <w:t>1</w:t>
      </w:r>
      <w:r w:rsidRPr="0042750D">
        <w:rPr>
          <w:szCs w:val="22"/>
        </w:rPr>
        <w:tab/>
        <w:t>that documents intended to facilitate the timely development of recommendations of the Union shall be made available also in electronic and open format and be accessible to any Member State, Sector Member</w:t>
      </w:r>
      <w:r w:rsidRPr="0042750D">
        <w:rPr>
          <w:szCs w:val="22"/>
          <w:lang w:eastAsia="ko-KR"/>
        </w:rPr>
        <w:t xml:space="preserve"> and</w:t>
      </w:r>
      <w:r w:rsidRPr="0042750D">
        <w:rPr>
          <w:szCs w:val="22"/>
        </w:rPr>
        <w:t xml:space="preserve"> Associate;</w:t>
      </w:r>
    </w:p>
    <w:p w14:paraId="1C848B33" w14:textId="77777777" w:rsidR="00CE15EF" w:rsidRPr="0042750D" w:rsidRDefault="00CE15EF" w:rsidP="00CE15EF">
      <w:pPr>
        <w:rPr>
          <w:szCs w:val="22"/>
        </w:rPr>
      </w:pPr>
      <w:r w:rsidRPr="0042750D">
        <w:rPr>
          <w:szCs w:val="22"/>
        </w:rPr>
        <w:t>2</w:t>
      </w:r>
      <w:r w:rsidRPr="0042750D">
        <w:rPr>
          <w:szCs w:val="22"/>
        </w:rPr>
        <w:tab/>
        <w:t>that documents should be published in various open formats, i.e. data file formats that are based on an underlying open standard, developed by an open community, affirmed and maintained by a standards body, fully documented and publicly available;</w:t>
      </w:r>
    </w:p>
    <w:p w14:paraId="23DCEF0F" w14:textId="77777777" w:rsidR="00CE15EF" w:rsidRPr="0042750D" w:rsidRDefault="00CE15EF" w:rsidP="00CE15EF">
      <w:pPr>
        <w:rPr>
          <w:szCs w:val="22"/>
        </w:rPr>
      </w:pPr>
      <w:r w:rsidRPr="0042750D">
        <w:rPr>
          <w:szCs w:val="22"/>
        </w:rPr>
        <w:t>3</w:t>
      </w:r>
      <w:r w:rsidRPr="0042750D">
        <w:rPr>
          <w:szCs w:val="22"/>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p>
    <w:p w14:paraId="6DCBC985" w14:textId="77777777" w:rsidR="00CE15EF" w:rsidRPr="0042750D" w:rsidRDefault="00CE15EF" w:rsidP="00CE15EF">
      <w:pPr>
        <w:rPr>
          <w:szCs w:val="22"/>
        </w:rPr>
      </w:pPr>
      <w:r w:rsidRPr="0042750D">
        <w:rPr>
          <w:szCs w:val="22"/>
        </w:rPr>
        <w:t>4</w:t>
      </w:r>
      <w:r w:rsidRPr="0042750D">
        <w:rPr>
          <w:szCs w:val="22"/>
        </w:rPr>
        <w:tab/>
        <w:t>that a request for any publication of the Union, regardless of its format, obliges those who obtain or purchase the publication to respect the copyright of the Union set forth in that publication;</w:t>
      </w:r>
    </w:p>
    <w:p w14:paraId="3DFEE090" w14:textId="77777777" w:rsidR="00CE15EF" w:rsidRPr="0042750D" w:rsidRDefault="00CE15EF" w:rsidP="00CE15EF">
      <w:pPr>
        <w:rPr>
          <w:szCs w:val="22"/>
        </w:rPr>
      </w:pPr>
      <w:r w:rsidRPr="0042750D">
        <w:rPr>
          <w:szCs w:val="22"/>
        </w:rPr>
        <w:t>5</w:t>
      </w:r>
      <w:r w:rsidRPr="0042750D">
        <w:rPr>
          <w:szCs w:val="22"/>
        </w:rPr>
        <w:tab/>
        <w:t>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p>
    <w:p w14:paraId="75F9C7DB" w14:textId="77777777" w:rsidR="00CE15EF" w:rsidRPr="0042750D" w:rsidRDefault="00CE15EF" w:rsidP="00CE15EF">
      <w:pPr>
        <w:rPr>
          <w:szCs w:val="22"/>
          <w:lang w:eastAsia="ko-KR"/>
        </w:rPr>
      </w:pPr>
      <w:r w:rsidRPr="0042750D">
        <w:rPr>
          <w:szCs w:val="22"/>
        </w:rPr>
        <w:t>6</w:t>
      </w:r>
      <w:r w:rsidRPr="0042750D">
        <w:rPr>
          <w:szCs w:val="22"/>
        </w:rPr>
        <w:tab/>
        <w:t>that none of the above is intended to breach the copyright held by the Union, so that any person or entity wishing to reproduce or duplicate all or parts of ITU publications for resale must obtain a specific agreement for such purpose</w:t>
      </w:r>
      <w:r w:rsidRPr="0042750D">
        <w:rPr>
          <w:szCs w:val="22"/>
          <w:lang w:eastAsia="ko-KR"/>
        </w:rPr>
        <w:t>;</w:t>
      </w:r>
    </w:p>
    <w:p w14:paraId="2BB587B9" w14:textId="7EF4424F" w:rsidR="00F0236A" w:rsidRPr="0042750D" w:rsidRDefault="00CE15EF" w:rsidP="00CE15EF">
      <w:pPr>
        <w:spacing w:after="120"/>
        <w:rPr>
          <w:position w:val="6"/>
          <w:szCs w:val="22"/>
          <w:lang w:eastAsia="ko-KR"/>
        </w:rPr>
      </w:pPr>
      <w:r w:rsidRPr="0042750D">
        <w:rPr>
          <w:szCs w:val="22"/>
        </w:rPr>
        <w:t>7</w:t>
      </w:r>
      <w:r w:rsidRPr="0042750D">
        <w:rPr>
          <w:szCs w:val="22"/>
        </w:rPr>
        <w:tab/>
        <w:t>that a two-tier pricing policy be established whereby Member States, Sector Members and Associates pay a price based on cost recovery, whereas all others, i.e. non-members, should pay a "market price"</w:t>
      </w:r>
      <w:r w:rsidRPr="0042750D">
        <w:rPr>
          <w:rStyle w:val="FootnoteReference"/>
          <w:sz w:val="22"/>
          <w:szCs w:val="22"/>
          <w:lang w:eastAsia="ko-KR"/>
        </w:rPr>
        <w:footnoteReference w:customMarkFollows="1" w:id="3"/>
        <w:t>1</w:t>
      </w:r>
      <w:r w:rsidR="001120D8" w:rsidRPr="0042750D">
        <w:rPr>
          <w:szCs w:val="22"/>
          <w:lang w:eastAsia="ko-KR"/>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5221"/>
        <w:gridCol w:w="1218"/>
        <w:gridCol w:w="1144"/>
        <w:gridCol w:w="1338"/>
      </w:tblGrid>
      <w:tr w:rsidR="00F0236A" w:rsidRPr="0042750D" w14:paraId="234307E7" w14:textId="77777777" w:rsidTr="00FB2B96">
        <w:trPr>
          <w:jc w:val="center"/>
        </w:trPr>
        <w:tc>
          <w:tcPr>
            <w:tcW w:w="911" w:type="dxa"/>
            <w:tcBorders>
              <w:top w:val="single" w:sz="12" w:space="0" w:color="auto"/>
              <w:bottom w:val="single" w:sz="12" w:space="0" w:color="auto"/>
            </w:tcBorders>
            <w:shd w:val="clear" w:color="auto" w:fill="auto"/>
            <w:vAlign w:val="center"/>
          </w:tcPr>
          <w:p w14:paraId="6E24A024" w14:textId="77777777" w:rsidR="00F0236A" w:rsidRPr="0042750D" w:rsidRDefault="00F0236A" w:rsidP="00D30A54">
            <w:pPr>
              <w:pStyle w:val="Tablehead"/>
              <w:keepLines/>
              <w:rPr>
                <w:sz w:val="24"/>
                <w:szCs w:val="24"/>
              </w:rPr>
            </w:pPr>
            <w:r w:rsidRPr="0042750D">
              <w:rPr>
                <w:sz w:val="24"/>
                <w:szCs w:val="24"/>
              </w:rPr>
              <w:t>Action Item</w:t>
            </w:r>
          </w:p>
        </w:tc>
        <w:tc>
          <w:tcPr>
            <w:tcW w:w="5221" w:type="dxa"/>
            <w:tcBorders>
              <w:top w:val="single" w:sz="12" w:space="0" w:color="auto"/>
              <w:bottom w:val="single" w:sz="12" w:space="0" w:color="auto"/>
            </w:tcBorders>
            <w:shd w:val="clear" w:color="auto" w:fill="auto"/>
            <w:vAlign w:val="center"/>
            <w:hideMark/>
          </w:tcPr>
          <w:p w14:paraId="0E20806A" w14:textId="77777777" w:rsidR="00F0236A" w:rsidRPr="0042750D" w:rsidRDefault="00F0236A" w:rsidP="00DF36E1">
            <w:pPr>
              <w:pStyle w:val="Tablehead"/>
              <w:rPr>
                <w:sz w:val="24"/>
                <w:szCs w:val="24"/>
              </w:rPr>
            </w:pPr>
            <w:r w:rsidRPr="0042750D">
              <w:rPr>
                <w:sz w:val="24"/>
                <w:szCs w:val="24"/>
              </w:rPr>
              <w:t>Action</w:t>
            </w:r>
          </w:p>
        </w:tc>
        <w:tc>
          <w:tcPr>
            <w:tcW w:w="1218" w:type="dxa"/>
            <w:tcBorders>
              <w:top w:val="single" w:sz="12" w:space="0" w:color="auto"/>
              <w:bottom w:val="single" w:sz="12" w:space="0" w:color="auto"/>
            </w:tcBorders>
            <w:shd w:val="clear" w:color="auto" w:fill="auto"/>
            <w:vAlign w:val="center"/>
            <w:hideMark/>
          </w:tcPr>
          <w:p w14:paraId="0FEB1563" w14:textId="77777777" w:rsidR="00F0236A" w:rsidRPr="0042750D" w:rsidRDefault="00F0236A" w:rsidP="00DF36E1">
            <w:pPr>
              <w:pStyle w:val="Tablehead"/>
              <w:rPr>
                <w:sz w:val="24"/>
                <w:szCs w:val="24"/>
              </w:rPr>
            </w:pPr>
            <w:r w:rsidRPr="0042750D">
              <w:rPr>
                <w:sz w:val="24"/>
                <w:szCs w:val="24"/>
              </w:rPr>
              <w:t>Milestone</w:t>
            </w:r>
          </w:p>
        </w:tc>
        <w:tc>
          <w:tcPr>
            <w:tcW w:w="1144" w:type="dxa"/>
            <w:tcBorders>
              <w:top w:val="single" w:sz="12" w:space="0" w:color="auto"/>
              <w:bottom w:val="single" w:sz="12" w:space="0" w:color="auto"/>
            </w:tcBorders>
            <w:shd w:val="clear" w:color="auto" w:fill="auto"/>
          </w:tcPr>
          <w:p w14:paraId="48A03741"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5748C9C"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0A07D1B9" w14:textId="77777777" w:rsidTr="00FB2B96">
        <w:trPr>
          <w:cantSplit/>
          <w:jc w:val="center"/>
        </w:trPr>
        <w:tc>
          <w:tcPr>
            <w:tcW w:w="911" w:type="dxa"/>
            <w:vMerge w:val="restart"/>
            <w:tcBorders>
              <w:top w:val="single" w:sz="12" w:space="0" w:color="auto"/>
            </w:tcBorders>
            <w:shd w:val="clear" w:color="auto" w:fill="auto"/>
          </w:tcPr>
          <w:p w14:paraId="16779444" w14:textId="57428CAC" w:rsidR="00F0236A" w:rsidRPr="0042750D" w:rsidRDefault="00BD3DE9" w:rsidP="00DF36E1">
            <w:pPr>
              <w:pStyle w:val="Tabletext"/>
              <w:rPr>
                <w:b/>
                <w:bCs/>
                <w:sz w:val="24"/>
                <w:szCs w:val="24"/>
              </w:rPr>
            </w:pPr>
            <w:r w:rsidRPr="0042750D">
              <w:rPr>
                <w:b/>
                <w:bCs/>
                <w:sz w:val="24"/>
                <w:szCs w:val="24"/>
              </w:rPr>
              <w:t>66-02</w:t>
            </w:r>
          </w:p>
        </w:tc>
        <w:tc>
          <w:tcPr>
            <w:tcW w:w="5221" w:type="dxa"/>
            <w:tcBorders>
              <w:top w:val="single" w:sz="12" w:space="0" w:color="auto"/>
            </w:tcBorders>
            <w:shd w:val="clear" w:color="auto" w:fill="auto"/>
          </w:tcPr>
          <w:p w14:paraId="047FB512" w14:textId="66B89D0F" w:rsidR="00F0236A" w:rsidRPr="0042750D" w:rsidRDefault="00BD3DE9" w:rsidP="00BD3DE9">
            <w:pPr>
              <w:pStyle w:val="Tabletext"/>
              <w:rPr>
                <w:b/>
                <w:bCs/>
                <w:sz w:val="24"/>
                <w:szCs w:val="24"/>
              </w:rPr>
            </w:pPr>
            <w:r w:rsidRPr="0042750D">
              <w:rPr>
                <w:b/>
                <w:bCs/>
                <w:sz w:val="24"/>
                <w:szCs w:val="24"/>
              </w:rPr>
              <w:t>Documents intended to facilitate the timely development of recommendations of the Union shall be made available (by TSB) also in electronic and open format and be accessible to any Member State, Sector Member and Associate</w:t>
            </w:r>
            <w:r w:rsidR="00AD185F" w:rsidRPr="0042750D">
              <w:rPr>
                <w:b/>
                <w:bCs/>
                <w:sz w:val="24"/>
                <w:szCs w:val="24"/>
              </w:rPr>
              <w:t xml:space="preserve"> (</w:t>
            </w:r>
            <w:r w:rsidR="00AD185F" w:rsidRPr="0042750D">
              <w:rPr>
                <w:b/>
                <w:bCs/>
                <w:i/>
                <w:sz w:val="24"/>
                <w:szCs w:val="24"/>
              </w:rPr>
              <w:t>resolves 1</w:t>
            </w:r>
            <w:r w:rsidR="00AD185F" w:rsidRPr="0042750D">
              <w:rPr>
                <w:b/>
                <w:bCs/>
                <w:sz w:val="24"/>
                <w:szCs w:val="24"/>
              </w:rPr>
              <w:t>)</w:t>
            </w:r>
            <w:r w:rsidRPr="0042750D">
              <w:rPr>
                <w:b/>
                <w:bCs/>
                <w:sz w:val="24"/>
                <w:szCs w:val="24"/>
              </w:rPr>
              <w:t>.</w:t>
            </w:r>
          </w:p>
        </w:tc>
        <w:tc>
          <w:tcPr>
            <w:tcW w:w="1218" w:type="dxa"/>
            <w:tcBorders>
              <w:top w:val="single" w:sz="12" w:space="0" w:color="auto"/>
            </w:tcBorders>
            <w:shd w:val="clear" w:color="auto" w:fill="auto"/>
            <w:vAlign w:val="center"/>
          </w:tcPr>
          <w:p w14:paraId="32522824" w14:textId="4670391E" w:rsidR="00F0236A" w:rsidRPr="0042750D" w:rsidRDefault="00BD3DE9" w:rsidP="00DF36E1">
            <w:pPr>
              <w:pStyle w:val="Tabletext"/>
              <w:jc w:val="center"/>
              <w:rPr>
                <w:b/>
                <w:bCs/>
                <w:sz w:val="24"/>
                <w:szCs w:val="24"/>
              </w:rPr>
            </w:pPr>
            <w:r w:rsidRPr="0042750D">
              <w:rPr>
                <w:b/>
                <w:bCs/>
                <w:sz w:val="24"/>
                <w:szCs w:val="24"/>
              </w:rPr>
              <w:t>Ongoing</w:t>
            </w:r>
          </w:p>
        </w:tc>
        <w:tc>
          <w:tcPr>
            <w:tcW w:w="1144" w:type="dxa"/>
            <w:tcBorders>
              <w:top w:val="single" w:sz="12" w:space="0" w:color="auto"/>
            </w:tcBorders>
            <w:shd w:val="clear" w:color="auto" w:fill="auto"/>
            <w:vAlign w:val="center"/>
          </w:tcPr>
          <w:p w14:paraId="14DAB430" w14:textId="71A8B7DE" w:rsidR="00F0236A" w:rsidRPr="0042750D" w:rsidRDefault="00713712"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253F5760" w14:textId="77777777" w:rsidR="00F0236A" w:rsidRPr="0042750D" w:rsidRDefault="00F0236A" w:rsidP="00DF36E1">
            <w:pPr>
              <w:pStyle w:val="Tabletext"/>
              <w:jc w:val="center"/>
              <w:rPr>
                <w:b/>
                <w:bCs/>
                <w:sz w:val="24"/>
                <w:szCs w:val="24"/>
              </w:rPr>
            </w:pPr>
          </w:p>
        </w:tc>
      </w:tr>
      <w:tr w:rsidR="00F0236A" w:rsidRPr="0042750D" w14:paraId="00D759F5" w14:textId="77777777" w:rsidTr="00BD3DE9">
        <w:trPr>
          <w:cantSplit/>
          <w:jc w:val="center"/>
        </w:trPr>
        <w:tc>
          <w:tcPr>
            <w:tcW w:w="911" w:type="dxa"/>
            <w:vMerge/>
            <w:tcBorders>
              <w:bottom w:val="single" w:sz="12" w:space="0" w:color="auto"/>
            </w:tcBorders>
            <w:shd w:val="clear" w:color="auto" w:fill="auto"/>
          </w:tcPr>
          <w:p w14:paraId="6905637F" w14:textId="77777777" w:rsidR="00F0236A" w:rsidRPr="0042750D" w:rsidRDefault="00F0236A" w:rsidP="00DF36E1">
            <w:pPr>
              <w:pStyle w:val="Tabletext"/>
              <w:rPr>
                <w:sz w:val="24"/>
                <w:szCs w:val="24"/>
              </w:rPr>
            </w:pPr>
          </w:p>
        </w:tc>
        <w:tc>
          <w:tcPr>
            <w:tcW w:w="8921" w:type="dxa"/>
            <w:gridSpan w:val="4"/>
            <w:tcBorders>
              <w:bottom w:val="single" w:sz="12" w:space="0" w:color="auto"/>
            </w:tcBorders>
            <w:shd w:val="clear" w:color="auto" w:fill="auto"/>
          </w:tcPr>
          <w:p w14:paraId="1510DDD2" w14:textId="2726DBA5" w:rsidR="006A75E5" w:rsidRPr="0042750D" w:rsidRDefault="007D12E6" w:rsidP="007D12E6">
            <w:pPr>
              <w:pStyle w:val="Tabletext"/>
              <w:rPr>
                <w:szCs w:val="22"/>
              </w:rPr>
            </w:pPr>
            <w:r w:rsidRPr="0042750D">
              <w:rPr>
                <w:szCs w:val="22"/>
              </w:rPr>
              <w:t>TSB is currently making Recommendations available in docx and pdf formats, and full revisions also in ePub format. Documents in any of these formats can currently be opened using open source free tools such as the free online version of MS Word, Google Docs, Online Document Viewer, LibreOffice or WPS Office for docx, Acrobat Reader for pdf and any idpf-based epub reader for ePub.</w:t>
            </w:r>
          </w:p>
          <w:p w14:paraId="0EC6EF4F" w14:textId="04B2EBC0" w:rsidR="00F0236A" w:rsidRPr="0042750D" w:rsidRDefault="006A75E5" w:rsidP="007D12E6">
            <w:pPr>
              <w:pStyle w:val="Tabletext"/>
              <w:rPr>
                <w:szCs w:val="22"/>
              </w:rPr>
            </w:pPr>
            <w:r w:rsidRPr="0042750D">
              <w:rPr>
                <w:szCs w:val="22"/>
              </w:rPr>
              <w:t>Other publications are also being published as flipbooks and can be read using the main web browsers.</w:t>
            </w:r>
          </w:p>
        </w:tc>
      </w:tr>
    </w:tbl>
    <w:bookmarkStart w:id="48" w:name="Item29_01"/>
    <w:bookmarkStart w:id="49" w:name="Item29_02"/>
    <w:bookmarkStart w:id="50" w:name="Item29_03"/>
    <w:bookmarkStart w:id="51" w:name="Item29_04"/>
    <w:bookmarkEnd w:id="48"/>
    <w:bookmarkEnd w:id="49"/>
    <w:bookmarkEnd w:id="50"/>
    <w:bookmarkEnd w:id="51"/>
    <w:p w14:paraId="4D54013F" w14:textId="77777777" w:rsidR="00F0236A" w:rsidRPr="0042750D" w:rsidRDefault="00F0236A" w:rsidP="00F0236A">
      <w:pPr>
        <w:rPr>
          <w:rStyle w:val="Hyperlink"/>
          <w:sz w:val="24"/>
        </w:rPr>
      </w:pPr>
      <w:r w:rsidRPr="0042750D">
        <w:fldChar w:fldCharType="begin"/>
      </w:r>
      <w:r w:rsidRPr="0042750D">
        <w:rPr>
          <w:sz w:val="24"/>
        </w:rPr>
        <w:instrText xml:space="preserve"> HYPERLINK \l "Top" </w:instrText>
      </w:r>
      <w:r w:rsidRPr="0042750D">
        <w:fldChar w:fldCharType="separate"/>
      </w:r>
      <w:r w:rsidRPr="0042750D">
        <w:rPr>
          <w:rStyle w:val="Hyperlink"/>
          <w:sz w:val="24"/>
        </w:rPr>
        <w:t>» Top</w:t>
      </w:r>
      <w:r w:rsidRPr="0042750D">
        <w:rPr>
          <w:rStyle w:val="Hyperlink"/>
          <w:sz w:val="24"/>
        </w:rPr>
        <w:fldChar w:fldCharType="end"/>
      </w:r>
    </w:p>
    <w:p w14:paraId="3BE99C80" w14:textId="2E7E3D44" w:rsidR="00F0236A" w:rsidRPr="0042750D" w:rsidRDefault="00A32DAB" w:rsidP="00EA18BD">
      <w:pPr>
        <w:pStyle w:val="Heading1"/>
        <w:rPr>
          <w:sz w:val="24"/>
          <w:szCs w:val="24"/>
          <w:lang w:val="en-GB"/>
        </w:rPr>
      </w:pPr>
      <w:bookmarkStart w:id="52" w:name="Resolution_31"/>
      <w:bookmarkStart w:id="53" w:name="_Toc30749152"/>
      <w:bookmarkEnd w:id="52"/>
      <w:r w:rsidRPr="0042750D">
        <w:rPr>
          <w:sz w:val="24"/>
          <w:szCs w:val="24"/>
          <w:lang w:val="en-GB"/>
        </w:rPr>
        <w:t>RESOLUTION 70 (REV. DUBAI, 2018) – Mainstreaming a gender perspective in ITU and promotion of gender equality and the empowerment of women through telecommunications/information and communication technologies</w:t>
      </w:r>
      <w:bookmarkEnd w:id="53"/>
    </w:p>
    <w:p w14:paraId="1EAF31D4" w14:textId="77777777" w:rsidR="00F0236A" w:rsidRPr="0042750D" w:rsidRDefault="00F0236A" w:rsidP="00F0236A">
      <w:pPr>
        <w:pStyle w:val="Call"/>
        <w:rPr>
          <w:szCs w:val="22"/>
          <w:lang w:val="en-GB"/>
        </w:rPr>
      </w:pPr>
      <w:r w:rsidRPr="0042750D">
        <w:rPr>
          <w:szCs w:val="22"/>
          <w:lang w:val="en-GB"/>
        </w:rPr>
        <w:t>resolves</w:t>
      </w:r>
    </w:p>
    <w:p w14:paraId="79805747" w14:textId="77777777" w:rsidR="00A32DAB" w:rsidRPr="0042750D" w:rsidRDefault="00A32DAB" w:rsidP="00A32DAB">
      <w:pPr>
        <w:rPr>
          <w:szCs w:val="22"/>
        </w:rPr>
      </w:pPr>
      <w:r w:rsidRPr="0042750D">
        <w:rPr>
          <w:szCs w:val="22"/>
        </w:rPr>
        <w:t>1</w:t>
      </w:r>
      <w:r w:rsidRPr="0042750D">
        <w:rPr>
          <w:szCs w:val="22"/>
        </w:rPr>
        <w:tab/>
        <w:t>to continue the work being done at ITU, and particularly in BDT, to promote gender equality in telecommunications/ICTs by recommending measures at the international, regional and national level on policies and programmes that improve socio-economic conditions for women and girls, particularly in developing countries</w:t>
      </w:r>
      <w:r w:rsidRPr="0042750D">
        <w:rPr>
          <w:rStyle w:val="FootnoteReference"/>
          <w:sz w:val="22"/>
          <w:szCs w:val="22"/>
        </w:rPr>
        <w:footnoteReference w:customMarkFollows="1" w:id="4"/>
        <w:t>5</w:t>
      </w:r>
      <w:r w:rsidRPr="0042750D">
        <w:rPr>
          <w:szCs w:val="22"/>
        </w:rPr>
        <w:t xml:space="preserve">; </w:t>
      </w:r>
    </w:p>
    <w:p w14:paraId="4BA145F7" w14:textId="77777777" w:rsidR="00A32DAB" w:rsidRPr="0042750D" w:rsidRDefault="00A32DAB" w:rsidP="00A32DAB">
      <w:pPr>
        <w:rPr>
          <w:szCs w:val="22"/>
        </w:rPr>
      </w:pPr>
      <w:r w:rsidRPr="0042750D">
        <w:rPr>
          <w:szCs w:val="22"/>
        </w:rPr>
        <w:t>2</w:t>
      </w:r>
      <w:r w:rsidRPr="0042750D">
        <w:rPr>
          <w:szCs w:val="22"/>
        </w:rPr>
        <w:tab/>
        <w:t xml:space="preserve">to accord high priority to the incorporation of gender policies in the management, staffing and operation of ITU, so that ITU can become a leading organization in the implementation of gender-equality values and principles to take advantage of the possibilities offered by ICTs to empower both men and women; </w:t>
      </w:r>
    </w:p>
    <w:p w14:paraId="0505E249" w14:textId="77777777" w:rsidR="00A32DAB" w:rsidRPr="0042750D" w:rsidRDefault="00A32DAB" w:rsidP="00A32DAB">
      <w:pPr>
        <w:rPr>
          <w:szCs w:val="22"/>
        </w:rPr>
      </w:pPr>
      <w:r w:rsidRPr="0042750D">
        <w:rPr>
          <w:szCs w:val="22"/>
        </w:rPr>
        <w:t>3</w:t>
      </w:r>
      <w:r w:rsidRPr="0042750D">
        <w:rPr>
          <w:szCs w:val="22"/>
        </w:rPr>
        <w:tab/>
        <w:t>to incorporate the gender perspective in the implementation of the ITU strategic and financial plans as well as in the operational plans of the Sectors and the General Secretariat;</w:t>
      </w:r>
    </w:p>
    <w:p w14:paraId="4DC6BDEB" w14:textId="77777777" w:rsidR="00A32DAB" w:rsidRPr="0042750D" w:rsidRDefault="00A32DAB" w:rsidP="00A32DAB">
      <w:pPr>
        <w:rPr>
          <w:szCs w:val="22"/>
        </w:rPr>
      </w:pPr>
      <w:r w:rsidRPr="0042750D">
        <w:rPr>
          <w:szCs w:val="22"/>
        </w:rPr>
        <w:t>4</w:t>
      </w:r>
      <w:r w:rsidRPr="0042750D">
        <w:rPr>
          <w:szCs w:val="22"/>
        </w:rPr>
        <w:tab/>
        <w:t>to have ITU compile and process statistical data from countries and draw up indicators that take into account gender equality issues and highlight trends in the sector, disaggregated by socio-economic factors, in particular sex and age,</w:t>
      </w:r>
    </w:p>
    <w:p w14:paraId="6BCFBB0A" w14:textId="77777777" w:rsidR="00A32DAB" w:rsidRPr="0042750D" w:rsidRDefault="00A32DAB" w:rsidP="00A32DAB">
      <w:pPr>
        <w:pStyle w:val="Call"/>
        <w:rPr>
          <w:szCs w:val="22"/>
          <w:lang w:val="en-GB"/>
        </w:rPr>
      </w:pPr>
      <w:r w:rsidRPr="0042750D">
        <w:rPr>
          <w:szCs w:val="22"/>
          <w:lang w:val="en-GB"/>
        </w:rPr>
        <w:t>instructs the Secretary-General and the Directors of the Bureaux</w:t>
      </w:r>
    </w:p>
    <w:p w14:paraId="1B476FE3" w14:textId="77777777" w:rsidR="00A32DAB" w:rsidRPr="0042750D" w:rsidRDefault="00A32DAB" w:rsidP="00A32DAB">
      <w:pPr>
        <w:rPr>
          <w:szCs w:val="22"/>
        </w:rPr>
      </w:pPr>
      <w:r w:rsidRPr="0042750D">
        <w:rPr>
          <w:szCs w:val="22"/>
        </w:rPr>
        <w:t>1</w:t>
      </w:r>
      <w:r w:rsidRPr="0042750D">
        <w:rPr>
          <w:szCs w:val="22"/>
        </w:rPr>
        <w:tab/>
        <w:t>to explore options for delivering a mentoring programme open to participation of the ITU membership under which young women and girls beginning their schooling in ICTs and STEM curricula may have mentors to accompany them and to transfer to them their expertise and knowledge throughout their careers;</w:t>
      </w:r>
    </w:p>
    <w:p w14:paraId="693F3261" w14:textId="3B8F392E" w:rsidR="00F0236A" w:rsidRPr="0042750D" w:rsidRDefault="00A32DAB" w:rsidP="00FB2B96">
      <w:pPr>
        <w:spacing w:after="120"/>
        <w:rPr>
          <w:szCs w:val="22"/>
        </w:rPr>
      </w:pPr>
      <w:r w:rsidRPr="0042750D">
        <w:rPr>
          <w:szCs w:val="22"/>
        </w:rPr>
        <w:t>2</w:t>
      </w:r>
      <w:r w:rsidRPr="0042750D">
        <w:rPr>
          <w:szCs w:val="22"/>
        </w:rPr>
        <w:tab/>
        <w:t>to continue and expand existing initiatives ensuring gender balance in granting ITU fellowships to participate in ITU meetings and activities</w:t>
      </w:r>
      <w:r w:rsidR="00F0236A" w:rsidRPr="0042750D">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19"/>
        <w:gridCol w:w="1218"/>
        <w:gridCol w:w="1145"/>
        <w:gridCol w:w="1338"/>
      </w:tblGrid>
      <w:tr w:rsidR="00F0236A" w:rsidRPr="0042750D" w14:paraId="59E70D6B" w14:textId="77777777" w:rsidTr="00FB2B96">
        <w:trPr>
          <w:jc w:val="center"/>
        </w:trPr>
        <w:tc>
          <w:tcPr>
            <w:tcW w:w="912" w:type="dxa"/>
            <w:tcBorders>
              <w:top w:val="single" w:sz="12" w:space="0" w:color="auto"/>
              <w:bottom w:val="single" w:sz="12" w:space="0" w:color="auto"/>
            </w:tcBorders>
            <w:shd w:val="clear" w:color="auto" w:fill="auto"/>
            <w:vAlign w:val="center"/>
          </w:tcPr>
          <w:p w14:paraId="1F707098" w14:textId="77777777" w:rsidR="00F0236A" w:rsidRPr="0042750D" w:rsidRDefault="00F0236A" w:rsidP="00DF36E1">
            <w:pPr>
              <w:pStyle w:val="Tablehead"/>
              <w:rPr>
                <w:sz w:val="24"/>
                <w:szCs w:val="24"/>
              </w:rPr>
            </w:pPr>
            <w:r w:rsidRPr="0042750D">
              <w:rPr>
                <w:sz w:val="24"/>
                <w:szCs w:val="24"/>
              </w:rPr>
              <w:t>Action Item</w:t>
            </w:r>
          </w:p>
        </w:tc>
        <w:tc>
          <w:tcPr>
            <w:tcW w:w="5219" w:type="dxa"/>
            <w:tcBorders>
              <w:top w:val="single" w:sz="12" w:space="0" w:color="auto"/>
              <w:bottom w:val="single" w:sz="12" w:space="0" w:color="auto"/>
            </w:tcBorders>
            <w:shd w:val="clear" w:color="auto" w:fill="auto"/>
            <w:vAlign w:val="center"/>
            <w:hideMark/>
          </w:tcPr>
          <w:p w14:paraId="379C2826" w14:textId="77777777" w:rsidR="00F0236A" w:rsidRPr="0042750D" w:rsidRDefault="00F0236A" w:rsidP="00DF36E1">
            <w:pPr>
              <w:pStyle w:val="Tablehead"/>
              <w:rPr>
                <w:sz w:val="24"/>
                <w:szCs w:val="24"/>
              </w:rPr>
            </w:pPr>
            <w:r w:rsidRPr="0042750D">
              <w:rPr>
                <w:sz w:val="24"/>
                <w:szCs w:val="24"/>
              </w:rPr>
              <w:t>Action</w:t>
            </w:r>
          </w:p>
        </w:tc>
        <w:tc>
          <w:tcPr>
            <w:tcW w:w="1218" w:type="dxa"/>
            <w:tcBorders>
              <w:top w:val="single" w:sz="12" w:space="0" w:color="auto"/>
              <w:bottom w:val="single" w:sz="12" w:space="0" w:color="auto"/>
            </w:tcBorders>
            <w:shd w:val="clear" w:color="auto" w:fill="auto"/>
            <w:vAlign w:val="center"/>
            <w:hideMark/>
          </w:tcPr>
          <w:p w14:paraId="7CBD04BB" w14:textId="77777777" w:rsidR="00F0236A" w:rsidRPr="0042750D" w:rsidRDefault="00F0236A" w:rsidP="00DF36E1">
            <w:pPr>
              <w:pStyle w:val="Tablehead"/>
              <w:rPr>
                <w:sz w:val="24"/>
                <w:szCs w:val="24"/>
              </w:rPr>
            </w:pPr>
            <w:r w:rsidRPr="0042750D">
              <w:rPr>
                <w:sz w:val="24"/>
                <w:szCs w:val="24"/>
              </w:rPr>
              <w:t>Milestone</w:t>
            </w:r>
          </w:p>
        </w:tc>
        <w:tc>
          <w:tcPr>
            <w:tcW w:w="1145" w:type="dxa"/>
            <w:tcBorders>
              <w:top w:val="single" w:sz="12" w:space="0" w:color="auto"/>
              <w:bottom w:val="single" w:sz="12" w:space="0" w:color="auto"/>
            </w:tcBorders>
            <w:shd w:val="clear" w:color="auto" w:fill="auto"/>
          </w:tcPr>
          <w:p w14:paraId="7A6B6C59"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6287A43"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113A5EB7" w14:textId="77777777" w:rsidTr="00FB2B96">
        <w:trPr>
          <w:jc w:val="center"/>
        </w:trPr>
        <w:tc>
          <w:tcPr>
            <w:tcW w:w="912" w:type="dxa"/>
            <w:vMerge w:val="restart"/>
            <w:shd w:val="clear" w:color="auto" w:fill="auto"/>
          </w:tcPr>
          <w:p w14:paraId="0FFA9ABD" w14:textId="0D1FBBE7" w:rsidR="00F0236A" w:rsidRPr="0042750D" w:rsidRDefault="00A32DAB" w:rsidP="00A32DAB">
            <w:pPr>
              <w:pStyle w:val="Tabletext"/>
              <w:rPr>
                <w:b/>
                <w:bCs/>
                <w:sz w:val="24"/>
                <w:szCs w:val="24"/>
              </w:rPr>
            </w:pPr>
            <w:r w:rsidRPr="0042750D">
              <w:rPr>
                <w:b/>
                <w:bCs/>
                <w:sz w:val="24"/>
                <w:szCs w:val="24"/>
              </w:rPr>
              <w:t>70</w:t>
            </w:r>
            <w:r w:rsidR="00F0236A" w:rsidRPr="0042750D">
              <w:rPr>
                <w:b/>
                <w:bCs/>
                <w:sz w:val="24"/>
                <w:szCs w:val="24"/>
              </w:rPr>
              <w:t>-0</w:t>
            </w:r>
            <w:r w:rsidRPr="0042750D">
              <w:rPr>
                <w:b/>
                <w:bCs/>
                <w:sz w:val="24"/>
                <w:szCs w:val="24"/>
              </w:rPr>
              <w:t>1</w:t>
            </w:r>
          </w:p>
        </w:tc>
        <w:tc>
          <w:tcPr>
            <w:tcW w:w="5219" w:type="dxa"/>
            <w:shd w:val="clear" w:color="auto" w:fill="auto"/>
            <w:hideMark/>
          </w:tcPr>
          <w:p w14:paraId="1C0F0879" w14:textId="2465F9B1" w:rsidR="00F0236A" w:rsidRPr="0042750D" w:rsidRDefault="00A32DAB" w:rsidP="00A32DAB">
            <w:pPr>
              <w:pStyle w:val="Tabletext"/>
              <w:rPr>
                <w:b/>
                <w:bCs/>
                <w:sz w:val="24"/>
                <w:szCs w:val="24"/>
              </w:rPr>
            </w:pPr>
            <w:r w:rsidRPr="0042750D">
              <w:rPr>
                <w:b/>
                <w:bCs/>
                <w:sz w:val="24"/>
                <w:szCs w:val="24"/>
              </w:rPr>
              <w:t>TSBDir to explore options for delivering a mentoring programme open to participation of the ITU membership under which young women and girls beginning their schooling in ICTs and STEM curricula may have mentors to accompany them and to transfer to them their expertise and knowledge throughout their careers</w:t>
            </w:r>
            <w:r w:rsidR="00473EAB" w:rsidRPr="0042750D">
              <w:rPr>
                <w:b/>
                <w:bCs/>
                <w:sz w:val="24"/>
                <w:szCs w:val="24"/>
              </w:rPr>
              <w:t xml:space="preserve"> (</w:t>
            </w:r>
            <w:r w:rsidR="00473EAB" w:rsidRPr="0042750D">
              <w:rPr>
                <w:b/>
                <w:bCs/>
                <w:i/>
                <w:sz w:val="24"/>
                <w:szCs w:val="24"/>
              </w:rPr>
              <w:t>instructs 1</w:t>
            </w:r>
            <w:r w:rsidR="00473EAB" w:rsidRPr="0042750D">
              <w:rPr>
                <w:b/>
                <w:bCs/>
                <w:sz w:val="24"/>
                <w:szCs w:val="24"/>
              </w:rPr>
              <w:t>)</w:t>
            </w:r>
            <w:r w:rsidRPr="0042750D">
              <w:rPr>
                <w:b/>
                <w:bCs/>
                <w:sz w:val="24"/>
                <w:szCs w:val="24"/>
              </w:rPr>
              <w:t>.</w:t>
            </w:r>
          </w:p>
        </w:tc>
        <w:tc>
          <w:tcPr>
            <w:tcW w:w="1218" w:type="dxa"/>
            <w:shd w:val="clear" w:color="auto" w:fill="auto"/>
            <w:vAlign w:val="center"/>
            <w:hideMark/>
          </w:tcPr>
          <w:p w14:paraId="07C4CC33"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5" w:type="dxa"/>
            <w:shd w:val="clear" w:color="auto" w:fill="auto"/>
            <w:vAlign w:val="center"/>
          </w:tcPr>
          <w:p w14:paraId="23DA6385" w14:textId="7939F4EC" w:rsidR="00F0236A" w:rsidRPr="0042750D" w:rsidRDefault="00F0236A" w:rsidP="00DF36E1">
            <w:pPr>
              <w:pStyle w:val="Tabletext"/>
              <w:jc w:val="center"/>
              <w:rPr>
                <w:b/>
                <w:bCs/>
                <w:sz w:val="24"/>
                <w:szCs w:val="24"/>
              </w:rPr>
            </w:pPr>
          </w:p>
        </w:tc>
        <w:tc>
          <w:tcPr>
            <w:tcW w:w="1338" w:type="dxa"/>
            <w:shd w:val="clear" w:color="auto" w:fill="auto"/>
            <w:vAlign w:val="center"/>
          </w:tcPr>
          <w:p w14:paraId="0C28B87E" w14:textId="77777777" w:rsidR="00F0236A" w:rsidRPr="0042750D" w:rsidRDefault="00F0236A" w:rsidP="00DF36E1">
            <w:pPr>
              <w:pStyle w:val="Tabletext"/>
              <w:jc w:val="center"/>
              <w:rPr>
                <w:b/>
                <w:bCs/>
                <w:sz w:val="24"/>
                <w:szCs w:val="24"/>
              </w:rPr>
            </w:pPr>
          </w:p>
        </w:tc>
      </w:tr>
      <w:tr w:rsidR="00F0236A" w:rsidRPr="0042750D" w14:paraId="4990D893" w14:textId="77777777" w:rsidTr="00373877">
        <w:trPr>
          <w:jc w:val="center"/>
        </w:trPr>
        <w:tc>
          <w:tcPr>
            <w:tcW w:w="912" w:type="dxa"/>
            <w:vMerge/>
            <w:shd w:val="clear" w:color="auto" w:fill="auto"/>
            <w:vAlign w:val="center"/>
          </w:tcPr>
          <w:p w14:paraId="07505B04" w14:textId="77777777" w:rsidR="00F0236A" w:rsidRPr="0042750D" w:rsidRDefault="00F0236A" w:rsidP="00DF36E1">
            <w:pPr>
              <w:pStyle w:val="Tabletext"/>
              <w:rPr>
                <w:sz w:val="24"/>
                <w:szCs w:val="24"/>
              </w:rPr>
            </w:pPr>
          </w:p>
        </w:tc>
        <w:tc>
          <w:tcPr>
            <w:tcW w:w="8920" w:type="dxa"/>
            <w:gridSpan w:val="4"/>
            <w:shd w:val="clear" w:color="auto" w:fill="auto"/>
          </w:tcPr>
          <w:p w14:paraId="4FD21588" w14:textId="3F75FA25" w:rsidR="00F0236A" w:rsidRPr="0042750D" w:rsidRDefault="00F0236A" w:rsidP="00F52576">
            <w:pPr>
              <w:spacing w:before="40" w:after="40"/>
              <w:rPr>
                <w:szCs w:val="22"/>
              </w:rPr>
            </w:pPr>
          </w:p>
        </w:tc>
      </w:tr>
      <w:tr w:rsidR="00373877" w:rsidRPr="0042750D" w14:paraId="5ADFECC6" w14:textId="77777777" w:rsidTr="00FB2B96">
        <w:trPr>
          <w:jc w:val="center"/>
        </w:trPr>
        <w:tc>
          <w:tcPr>
            <w:tcW w:w="912" w:type="dxa"/>
            <w:vMerge w:val="restart"/>
            <w:shd w:val="clear" w:color="auto" w:fill="auto"/>
          </w:tcPr>
          <w:p w14:paraId="0415267B" w14:textId="6CDB9C34" w:rsidR="00373877" w:rsidRPr="0042750D" w:rsidRDefault="00373877" w:rsidP="00373877">
            <w:pPr>
              <w:pStyle w:val="Tabletext"/>
              <w:rPr>
                <w:b/>
                <w:bCs/>
                <w:sz w:val="24"/>
                <w:szCs w:val="24"/>
              </w:rPr>
            </w:pPr>
            <w:bookmarkStart w:id="54" w:name="Item31_01"/>
            <w:bookmarkEnd w:id="54"/>
            <w:r w:rsidRPr="0042750D">
              <w:rPr>
                <w:b/>
                <w:bCs/>
                <w:sz w:val="24"/>
                <w:szCs w:val="24"/>
              </w:rPr>
              <w:t>70-02</w:t>
            </w:r>
          </w:p>
        </w:tc>
        <w:tc>
          <w:tcPr>
            <w:tcW w:w="5219" w:type="dxa"/>
            <w:shd w:val="clear" w:color="auto" w:fill="auto"/>
            <w:hideMark/>
          </w:tcPr>
          <w:p w14:paraId="401CE64F" w14:textId="1141EFD6" w:rsidR="00373877" w:rsidRPr="0042750D" w:rsidRDefault="00373877" w:rsidP="0077414C">
            <w:pPr>
              <w:pStyle w:val="Tabletext"/>
              <w:rPr>
                <w:b/>
                <w:bCs/>
                <w:sz w:val="24"/>
                <w:szCs w:val="24"/>
              </w:rPr>
            </w:pPr>
            <w:r w:rsidRPr="0042750D">
              <w:rPr>
                <w:b/>
                <w:bCs/>
                <w:sz w:val="24"/>
                <w:szCs w:val="24"/>
              </w:rPr>
              <w:t>TSBD</w:t>
            </w:r>
            <w:r w:rsidR="0077414C" w:rsidRPr="0042750D">
              <w:rPr>
                <w:b/>
                <w:bCs/>
                <w:sz w:val="24"/>
                <w:szCs w:val="24"/>
              </w:rPr>
              <w:t>ir</w:t>
            </w:r>
            <w:r w:rsidRPr="0042750D">
              <w:rPr>
                <w:b/>
                <w:bCs/>
                <w:sz w:val="24"/>
                <w:szCs w:val="24"/>
              </w:rPr>
              <w:t xml:space="preserve"> to continue and expand existing initiatives ensuring gender balance in granting ITU fellowships to participate in ITU meetings and activities</w:t>
            </w:r>
            <w:r w:rsidR="00473EAB" w:rsidRPr="0042750D">
              <w:rPr>
                <w:b/>
                <w:bCs/>
                <w:sz w:val="24"/>
                <w:szCs w:val="24"/>
              </w:rPr>
              <w:t xml:space="preserve"> (</w:t>
            </w:r>
            <w:r w:rsidR="00473EAB" w:rsidRPr="0042750D">
              <w:rPr>
                <w:b/>
                <w:bCs/>
                <w:i/>
                <w:sz w:val="24"/>
                <w:szCs w:val="24"/>
              </w:rPr>
              <w:t>instructs 2</w:t>
            </w:r>
            <w:r w:rsidR="00473EAB" w:rsidRPr="0042750D">
              <w:rPr>
                <w:b/>
                <w:bCs/>
                <w:sz w:val="24"/>
                <w:szCs w:val="24"/>
              </w:rPr>
              <w:t>)</w:t>
            </w:r>
            <w:r w:rsidRPr="0042750D">
              <w:rPr>
                <w:b/>
                <w:bCs/>
                <w:sz w:val="24"/>
                <w:szCs w:val="24"/>
              </w:rPr>
              <w:t>.</w:t>
            </w:r>
          </w:p>
        </w:tc>
        <w:tc>
          <w:tcPr>
            <w:tcW w:w="1218" w:type="dxa"/>
            <w:shd w:val="clear" w:color="auto" w:fill="auto"/>
            <w:vAlign w:val="center"/>
            <w:hideMark/>
          </w:tcPr>
          <w:p w14:paraId="2FBC35D9" w14:textId="77777777" w:rsidR="00373877" w:rsidRPr="0042750D" w:rsidRDefault="00373877" w:rsidP="004D03C1">
            <w:pPr>
              <w:pStyle w:val="Tabletext"/>
              <w:jc w:val="center"/>
              <w:rPr>
                <w:b/>
                <w:bCs/>
                <w:sz w:val="24"/>
                <w:szCs w:val="24"/>
              </w:rPr>
            </w:pPr>
            <w:r w:rsidRPr="0042750D">
              <w:rPr>
                <w:b/>
                <w:bCs/>
                <w:sz w:val="24"/>
                <w:szCs w:val="24"/>
              </w:rPr>
              <w:t>Ongoing</w:t>
            </w:r>
          </w:p>
        </w:tc>
        <w:tc>
          <w:tcPr>
            <w:tcW w:w="1145" w:type="dxa"/>
            <w:shd w:val="clear" w:color="auto" w:fill="auto"/>
            <w:vAlign w:val="center"/>
          </w:tcPr>
          <w:p w14:paraId="626A94CE" w14:textId="77777777" w:rsidR="00373877" w:rsidRPr="0042750D" w:rsidRDefault="00373877" w:rsidP="004D03C1">
            <w:pPr>
              <w:pStyle w:val="Tabletext"/>
              <w:jc w:val="center"/>
              <w:rPr>
                <w:b/>
                <w:bCs/>
                <w:sz w:val="24"/>
                <w:szCs w:val="24"/>
              </w:rPr>
            </w:pPr>
          </w:p>
        </w:tc>
        <w:tc>
          <w:tcPr>
            <w:tcW w:w="1338" w:type="dxa"/>
            <w:shd w:val="clear" w:color="auto" w:fill="auto"/>
            <w:vAlign w:val="center"/>
          </w:tcPr>
          <w:p w14:paraId="2DDB8DE9" w14:textId="77777777" w:rsidR="00373877" w:rsidRPr="0042750D" w:rsidRDefault="00373877" w:rsidP="004D03C1">
            <w:pPr>
              <w:pStyle w:val="Tabletext"/>
              <w:jc w:val="center"/>
              <w:rPr>
                <w:b/>
                <w:bCs/>
                <w:sz w:val="24"/>
                <w:szCs w:val="24"/>
              </w:rPr>
            </w:pPr>
          </w:p>
        </w:tc>
      </w:tr>
      <w:tr w:rsidR="00373877" w:rsidRPr="0042750D" w14:paraId="785031CD" w14:textId="77777777" w:rsidTr="00373877">
        <w:trPr>
          <w:jc w:val="center"/>
        </w:trPr>
        <w:tc>
          <w:tcPr>
            <w:tcW w:w="912" w:type="dxa"/>
            <w:vMerge/>
            <w:shd w:val="clear" w:color="auto" w:fill="auto"/>
            <w:vAlign w:val="center"/>
          </w:tcPr>
          <w:p w14:paraId="5B8B4C8F" w14:textId="77777777" w:rsidR="00373877" w:rsidRPr="0042750D" w:rsidRDefault="00373877" w:rsidP="004D03C1">
            <w:pPr>
              <w:pStyle w:val="Tabletext"/>
              <w:rPr>
                <w:sz w:val="24"/>
                <w:szCs w:val="24"/>
              </w:rPr>
            </w:pPr>
          </w:p>
        </w:tc>
        <w:tc>
          <w:tcPr>
            <w:tcW w:w="8920" w:type="dxa"/>
            <w:gridSpan w:val="4"/>
            <w:shd w:val="clear" w:color="auto" w:fill="auto"/>
          </w:tcPr>
          <w:p w14:paraId="0A04E19E" w14:textId="77777777" w:rsidR="00373877" w:rsidRPr="0042750D" w:rsidRDefault="00373877" w:rsidP="00F52576">
            <w:pPr>
              <w:spacing w:before="40" w:after="40"/>
              <w:rPr>
                <w:szCs w:val="22"/>
              </w:rPr>
            </w:pPr>
          </w:p>
        </w:tc>
      </w:tr>
    </w:tbl>
    <w:p w14:paraId="54D154E5" w14:textId="77777777" w:rsidR="00F0236A" w:rsidRPr="0042750D" w:rsidRDefault="00DD025B" w:rsidP="00F0236A">
      <w:pPr>
        <w:rPr>
          <w:rStyle w:val="Hyperlink"/>
          <w:sz w:val="24"/>
        </w:rPr>
      </w:pPr>
      <w:hyperlink w:anchor="Top" w:history="1">
        <w:r w:rsidR="00F0236A" w:rsidRPr="0042750D">
          <w:rPr>
            <w:rStyle w:val="Hyperlink"/>
            <w:sz w:val="24"/>
          </w:rPr>
          <w:t>» Top</w:t>
        </w:r>
      </w:hyperlink>
    </w:p>
    <w:p w14:paraId="4C6466E5" w14:textId="70D87FD1" w:rsidR="00F0236A" w:rsidRPr="0042750D" w:rsidRDefault="00A47E05" w:rsidP="00EA18BD">
      <w:pPr>
        <w:pStyle w:val="Heading1"/>
        <w:rPr>
          <w:sz w:val="24"/>
          <w:szCs w:val="24"/>
          <w:lang w:val="en-GB"/>
        </w:rPr>
      </w:pPr>
      <w:bookmarkStart w:id="55" w:name="Item31_02"/>
      <w:bookmarkStart w:id="56" w:name="Resolution_32"/>
      <w:bookmarkStart w:id="57" w:name="_Resolution_32_-"/>
      <w:bookmarkStart w:id="58" w:name="_Toc30749153"/>
      <w:bookmarkStart w:id="59" w:name="OLE_LINK3"/>
      <w:bookmarkStart w:id="60" w:name="OLE_LINK4"/>
      <w:bookmarkEnd w:id="55"/>
      <w:bookmarkEnd w:id="56"/>
      <w:bookmarkEnd w:id="57"/>
      <w:r w:rsidRPr="0042750D">
        <w:rPr>
          <w:sz w:val="24"/>
          <w:szCs w:val="24"/>
          <w:lang w:val="en-GB"/>
        </w:rPr>
        <w:t>RESOLUTION 71 (REV. DUBAI, 2018) – Strategic plan for the Union for 2020-2023</w:t>
      </w:r>
      <w:bookmarkEnd w:id="58"/>
    </w:p>
    <w:p w14:paraId="469A36B4" w14:textId="77777777" w:rsidR="00656401" w:rsidRPr="0042750D" w:rsidRDefault="00656401" w:rsidP="00656401">
      <w:pPr>
        <w:pStyle w:val="Call"/>
        <w:rPr>
          <w:szCs w:val="22"/>
          <w:lang w:val="en-GB"/>
        </w:rPr>
      </w:pPr>
      <w:r w:rsidRPr="0042750D">
        <w:rPr>
          <w:szCs w:val="22"/>
          <w:lang w:val="en-GB"/>
        </w:rPr>
        <w:t>resolves</w:t>
      </w:r>
    </w:p>
    <w:p w14:paraId="2531713B" w14:textId="77777777" w:rsidR="00656401" w:rsidRPr="0042750D" w:rsidRDefault="00656401" w:rsidP="00656401">
      <w:pPr>
        <w:rPr>
          <w:szCs w:val="22"/>
        </w:rPr>
      </w:pPr>
      <w:r w:rsidRPr="0042750D">
        <w:rPr>
          <w:szCs w:val="22"/>
        </w:rPr>
        <w:t>to adopt the strategic plan contained in Annex 1 to this resolution,</w:t>
      </w:r>
    </w:p>
    <w:p w14:paraId="74D1B61A" w14:textId="77777777" w:rsidR="00656401" w:rsidRPr="0042750D" w:rsidRDefault="00656401" w:rsidP="00656401">
      <w:pPr>
        <w:pStyle w:val="Call"/>
        <w:rPr>
          <w:szCs w:val="22"/>
          <w:lang w:val="en-GB"/>
        </w:rPr>
      </w:pPr>
      <w:r w:rsidRPr="0042750D">
        <w:rPr>
          <w:szCs w:val="22"/>
          <w:lang w:val="en-GB"/>
        </w:rPr>
        <w:t>instructs the Secretary-General and the Directors of the Bureaux</w:t>
      </w:r>
    </w:p>
    <w:p w14:paraId="2C440333" w14:textId="77777777" w:rsidR="00656401" w:rsidRPr="0042750D" w:rsidRDefault="00656401" w:rsidP="00656401">
      <w:pPr>
        <w:rPr>
          <w:szCs w:val="22"/>
        </w:rPr>
      </w:pPr>
      <w:r w:rsidRPr="0042750D">
        <w:rPr>
          <w:szCs w:val="22"/>
        </w:rPr>
        <w:t>1</w:t>
      </w:r>
      <w:r w:rsidRPr="0042750D">
        <w:rPr>
          <w:szCs w:val="22"/>
        </w:rPr>
        <w:tab/>
        <w:t>to develop and implement an ITU results framework for the strategic plan of the Union, following the principles of results-based management and results-based budgeting;</w:t>
      </w:r>
    </w:p>
    <w:p w14:paraId="483B89D4" w14:textId="77777777" w:rsidR="00656401" w:rsidRPr="0042750D" w:rsidRDefault="00656401" w:rsidP="00656401">
      <w:pPr>
        <w:rPr>
          <w:szCs w:val="22"/>
        </w:rPr>
      </w:pPr>
      <w:r w:rsidRPr="0042750D">
        <w:rPr>
          <w:szCs w:val="22"/>
        </w:rPr>
        <w:t>2</w:t>
      </w:r>
      <w:r w:rsidRPr="0042750D">
        <w:rPr>
          <w:szCs w:val="22"/>
        </w:rPr>
        <w:tab/>
        <w:t>to coordinate the implementation of the strategic plan, ensuring coherence between the strategic plan, the financial plan, the operational plans and the biennial budgets;</w:t>
      </w:r>
    </w:p>
    <w:p w14:paraId="2F235CBD" w14:textId="77777777" w:rsidR="00656401" w:rsidRPr="0042750D" w:rsidRDefault="00656401" w:rsidP="00656401">
      <w:pPr>
        <w:rPr>
          <w:szCs w:val="22"/>
        </w:rPr>
      </w:pPr>
      <w:r w:rsidRPr="0042750D">
        <w:rPr>
          <w:szCs w:val="22"/>
        </w:rPr>
        <w:t>3</w:t>
      </w:r>
      <w:r w:rsidRPr="0042750D">
        <w:rPr>
          <w:szCs w:val="22"/>
        </w:rPr>
        <w:tab/>
        <w:t>to report annually to the ITU Council on the implementation of the strategic plan and on the performance of the Union towards the achievement of its goals and objectives;</w:t>
      </w:r>
    </w:p>
    <w:p w14:paraId="7AA98683" w14:textId="77777777" w:rsidR="00656401" w:rsidRPr="0042750D" w:rsidRDefault="00656401" w:rsidP="00656401">
      <w:pPr>
        <w:rPr>
          <w:szCs w:val="22"/>
        </w:rPr>
      </w:pPr>
      <w:r w:rsidRPr="0042750D">
        <w:rPr>
          <w:szCs w:val="22"/>
        </w:rPr>
        <w:t>4</w:t>
      </w:r>
      <w:r w:rsidRPr="0042750D">
        <w:rPr>
          <w:szCs w:val="22"/>
        </w:rPr>
        <w:tab/>
        <w:t>to recommend to Council adjustments to the plan in the light of changes in the telecommunication/ICT environment and/or as a result of the performance evaluation and the risk-management framework, in particular by:</w:t>
      </w:r>
    </w:p>
    <w:p w14:paraId="549A5736" w14:textId="77777777" w:rsidR="00656401" w:rsidRPr="0042750D" w:rsidRDefault="00656401" w:rsidP="00CD7AE2">
      <w:pPr>
        <w:pStyle w:val="enumlev10"/>
        <w:jc w:val="left"/>
        <w:rPr>
          <w:szCs w:val="22"/>
        </w:rPr>
      </w:pPr>
      <w:r w:rsidRPr="0042750D">
        <w:rPr>
          <w:szCs w:val="22"/>
        </w:rPr>
        <w:t>i)</w:t>
      </w:r>
      <w:r w:rsidRPr="0042750D">
        <w:rPr>
          <w:szCs w:val="22"/>
        </w:rPr>
        <w:tab/>
        <w:t>making all modifications necessary to ensure that the strategic plan facilitates the accomplishment of ITU's goals and objectives, taking account of proposals by the Sector advisory groups, decisions by conferences and by assemblies of the Sectors and changes in the strategic focus of the Union's activities, within the financial limits established by the Plenipotentiary Conference;</w:t>
      </w:r>
    </w:p>
    <w:p w14:paraId="401083C4" w14:textId="77777777" w:rsidR="00656401" w:rsidRPr="0042750D" w:rsidRDefault="00656401" w:rsidP="00656401">
      <w:pPr>
        <w:pStyle w:val="enumlev10"/>
        <w:rPr>
          <w:szCs w:val="22"/>
        </w:rPr>
      </w:pPr>
      <w:r w:rsidRPr="0042750D">
        <w:rPr>
          <w:szCs w:val="22"/>
        </w:rPr>
        <w:t>ii)</w:t>
      </w:r>
      <w:r w:rsidRPr="0042750D">
        <w:rPr>
          <w:szCs w:val="22"/>
        </w:rPr>
        <w:tab/>
        <w:t>ensuring the linkage between the strategic, financial and operational plans in ITU, and developing the corresponding human resources strategic plan;</w:t>
      </w:r>
    </w:p>
    <w:p w14:paraId="549BC52D" w14:textId="77777777" w:rsidR="00656401" w:rsidRPr="0042750D" w:rsidRDefault="00656401" w:rsidP="00656401">
      <w:pPr>
        <w:rPr>
          <w:szCs w:val="22"/>
        </w:rPr>
      </w:pPr>
      <w:r w:rsidRPr="0042750D">
        <w:rPr>
          <w:szCs w:val="22"/>
        </w:rPr>
        <w:t>5</w:t>
      </w:r>
      <w:r w:rsidRPr="0042750D">
        <w:rPr>
          <w:szCs w:val="22"/>
        </w:rPr>
        <w:tab/>
        <w:t>to distribute these reports to all Member States, after consideration by the Council, urging them to circulate the reports to Sector Members, as well as to those entities and organizations referred to in No. 235 of the Convention which have participated in these activities;</w:t>
      </w:r>
    </w:p>
    <w:p w14:paraId="190383DD" w14:textId="248AB176" w:rsidR="00F0236A" w:rsidRPr="0042750D" w:rsidRDefault="00656401" w:rsidP="00656401">
      <w:pPr>
        <w:spacing w:after="120"/>
        <w:rPr>
          <w:szCs w:val="22"/>
        </w:rPr>
      </w:pPr>
      <w:r w:rsidRPr="0042750D">
        <w:rPr>
          <w:szCs w:val="22"/>
        </w:rPr>
        <w:t>6</w:t>
      </w:r>
      <w:r w:rsidRPr="0042750D">
        <w:rPr>
          <w:szCs w:val="22"/>
        </w:rPr>
        <w:tab/>
        <w:t>to continue to engage with the United Nations Secretary-General, other United Nations development system entities and Member States with a view to supporting full implementation of UNGA Resolutions 71/243 and 72/279</w:t>
      </w:r>
      <w:r w:rsidR="00F0236A" w:rsidRPr="0042750D">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7"/>
        <w:gridCol w:w="1216"/>
        <w:gridCol w:w="1143"/>
        <w:gridCol w:w="1336"/>
      </w:tblGrid>
      <w:tr w:rsidR="00F0236A" w:rsidRPr="0042750D" w14:paraId="1BCAA49E" w14:textId="77777777" w:rsidTr="00C73353">
        <w:trPr>
          <w:jc w:val="center"/>
        </w:trPr>
        <w:tc>
          <w:tcPr>
            <w:tcW w:w="910" w:type="dxa"/>
            <w:tcBorders>
              <w:top w:val="single" w:sz="12" w:space="0" w:color="auto"/>
              <w:bottom w:val="single" w:sz="12" w:space="0" w:color="auto"/>
            </w:tcBorders>
            <w:shd w:val="clear" w:color="auto" w:fill="auto"/>
            <w:vAlign w:val="center"/>
          </w:tcPr>
          <w:p w14:paraId="36E67F04" w14:textId="77777777" w:rsidR="00F0236A" w:rsidRPr="0042750D" w:rsidRDefault="00F0236A" w:rsidP="000661CE">
            <w:pPr>
              <w:pStyle w:val="Tablehead"/>
              <w:keepLines/>
              <w:rPr>
                <w:sz w:val="24"/>
                <w:szCs w:val="24"/>
              </w:rPr>
            </w:pPr>
            <w:r w:rsidRPr="0042750D">
              <w:rPr>
                <w:sz w:val="24"/>
                <w:szCs w:val="24"/>
              </w:rPr>
              <w:t>Action Item</w:t>
            </w:r>
          </w:p>
        </w:tc>
        <w:tc>
          <w:tcPr>
            <w:tcW w:w="5227" w:type="dxa"/>
            <w:tcBorders>
              <w:top w:val="single" w:sz="12" w:space="0" w:color="auto"/>
              <w:bottom w:val="single" w:sz="12" w:space="0" w:color="auto"/>
            </w:tcBorders>
            <w:shd w:val="clear" w:color="auto" w:fill="auto"/>
            <w:vAlign w:val="center"/>
            <w:hideMark/>
          </w:tcPr>
          <w:p w14:paraId="43A38C1A" w14:textId="77777777" w:rsidR="00F0236A" w:rsidRPr="0042750D" w:rsidRDefault="00F0236A" w:rsidP="00DF36E1">
            <w:pPr>
              <w:pStyle w:val="Tablehead"/>
              <w:keepNext w:val="0"/>
              <w:rPr>
                <w:sz w:val="24"/>
                <w:szCs w:val="24"/>
              </w:rPr>
            </w:pPr>
            <w:r w:rsidRPr="0042750D">
              <w:rPr>
                <w:sz w:val="24"/>
                <w:szCs w:val="24"/>
              </w:rPr>
              <w:t>Action</w:t>
            </w:r>
          </w:p>
        </w:tc>
        <w:tc>
          <w:tcPr>
            <w:tcW w:w="1216" w:type="dxa"/>
            <w:tcBorders>
              <w:top w:val="single" w:sz="12" w:space="0" w:color="auto"/>
              <w:bottom w:val="single" w:sz="12" w:space="0" w:color="auto"/>
            </w:tcBorders>
            <w:shd w:val="clear" w:color="auto" w:fill="auto"/>
            <w:vAlign w:val="center"/>
            <w:hideMark/>
          </w:tcPr>
          <w:p w14:paraId="74429E81" w14:textId="77777777" w:rsidR="00F0236A" w:rsidRPr="0042750D" w:rsidRDefault="00F0236A" w:rsidP="00DF36E1">
            <w:pPr>
              <w:pStyle w:val="Tablehead"/>
              <w:keepNext w:val="0"/>
              <w:rPr>
                <w:sz w:val="24"/>
                <w:szCs w:val="24"/>
              </w:rPr>
            </w:pPr>
            <w:r w:rsidRPr="0042750D">
              <w:rPr>
                <w:sz w:val="24"/>
                <w:szCs w:val="24"/>
              </w:rPr>
              <w:t>Milestone</w:t>
            </w:r>
          </w:p>
        </w:tc>
        <w:tc>
          <w:tcPr>
            <w:tcW w:w="1143" w:type="dxa"/>
            <w:tcBorders>
              <w:top w:val="single" w:sz="12" w:space="0" w:color="auto"/>
              <w:bottom w:val="single" w:sz="12" w:space="0" w:color="auto"/>
            </w:tcBorders>
            <w:shd w:val="clear" w:color="auto" w:fill="auto"/>
          </w:tcPr>
          <w:p w14:paraId="3AC7ABA2" w14:textId="77777777" w:rsidR="00F0236A" w:rsidRPr="0042750D" w:rsidRDefault="00F0236A" w:rsidP="00DF36E1">
            <w:pPr>
              <w:pStyle w:val="Tablehead"/>
              <w:keepNext w:val="0"/>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9102791" w14:textId="77777777" w:rsidR="00F0236A" w:rsidRPr="0042750D" w:rsidRDefault="00F0236A" w:rsidP="00DF36E1">
            <w:pPr>
              <w:pStyle w:val="Tablehead"/>
              <w:keepNext w:val="0"/>
              <w:rPr>
                <w:sz w:val="24"/>
                <w:szCs w:val="24"/>
              </w:rPr>
            </w:pPr>
            <w:r w:rsidRPr="0042750D">
              <w:rPr>
                <w:sz w:val="24"/>
                <w:szCs w:val="24"/>
              </w:rPr>
              <w:t>Completed</w:t>
            </w:r>
          </w:p>
        </w:tc>
      </w:tr>
      <w:tr w:rsidR="00F0236A" w:rsidRPr="0042750D" w14:paraId="33B584B0" w14:textId="77777777" w:rsidTr="00C73353">
        <w:trPr>
          <w:jc w:val="center"/>
        </w:trPr>
        <w:tc>
          <w:tcPr>
            <w:tcW w:w="910" w:type="dxa"/>
            <w:vMerge w:val="restart"/>
            <w:tcBorders>
              <w:top w:val="single" w:sz="12" w:space="0" w:color="auto"/>
            </w:tcBorders>
            <w:shd w:val="clear" w:color="auto" w:fill="auto"/>
          </w:tcPr>
          <w:p w14:paraId="481A0B0E" w14:textId="516407AD" w:rsidR="00F0236A" w:rsidRPr="0042750D" w:rsidRDefault="00EA18BD" w:rsidP="00EA18BD">
            <w:pPr>
              <w:pStyle w:val="Tabletext"/>
              <w:rPr>
                <w:b/>
                <w:bCs/>
                <w:sz w:val="24"/>
                <w:szCs w:val="24"/>
              </w:rPr>
            </w:pPr>
            <w:r w:rsidRPr="0042750D">
              <w:rPr>
                <w:b/>
                <w:bCs/>
                <w:sz w:val="24"/>
                <w:szCs w:val="24"/>
              </w:rPr>
              <w:t>71</w:t>
            </w:r>
            <w:r w:rsidR="00F0236A" w:rsidRPr="0042750D">
              <w:rPr>
                <w:b/>
                <w:bCs/>
                <w:sz w:val="24"/>
                <w:szCs w:val="24"/>
              </w:rPr>
              <w:t>-01</w:t>
            </w:r>
          </w:p>
        </w:tc>
        <w:tc>
          <w:tcPr>
            <w:tcW w:w="5227" w:type="dxa"/>
            <w:tcBorders>
              <w:top w:val="single" w:sz="12" w:space="0" w:color="auto"/>
              <w:bottom w:val="single" w:sz="4" w:space="0" w:color="auto"/>
            </w:tcBorders>
            <w:shd w:val="clear" w:color="auto" w:fill="auto"/>
            <w:hideMark/>
          </w:tcPr>
          <w:p w14:paraId="2A26E0C5" w14:textId="306B776E" w:rsidR="00F0236A" w:rsidRPr="0042750D" w:rsidRDefault="00C73353" w:rsidP="00C73353">
            <w:pPr>
              <w:pStyle w:val="Tabletext"/>
              <w:rPr>
                <w:b/>
                <w:bCs/>
                <w:sz w:val="24"/>
                <w:szCs w:val="24"/>
              </w:rPr>
            </w:pPr>
            <w:r w:rsidRPr="0042750D">
              <w:rPr>
                <w:b/>
                <w:bCs/>
                <w:sz w:val="24"/>
                <w:szCs w:val="24"/>
              </w:rPr>
              <w:t xml:space="preserve">TSBDir to contribute to SecGen’s annual progress report to Council </w:t>
            </w:r>
            <w:r w:rsidR="00EA18BD" w:rsidRPr="0042750D">
              <w:rPr>
                <w:b/>
                <w:bCs/>
                <w:sz w:val="24"/>
                <w:szCs w:val="24"/>
              </w:rPr>
              <w:t xml:space="preserve">on performance of the </w:t>
            </w:r>
            <w:r w:rsidRPr="0042750D">
              <w:rPr>
                <w:b/>
                <w:bCs/>
                <w:sz w:val="24"/>
                <w:szCs w:val="24"/>
              </w:rPr>
              <w:t>ITU-T</w:t>
            </w:r>
            <w:r w:rsidR="00EA18BD" w:rsidRPr="0042750D">
              <w:rPr>
                <w:b/>
                <w:bCs/>
                <w:sz w:val="24"/>
                <w:szCs w:val="24"/>
              </w:rPr>
              <w:t xml:space="preserve"> and adjust plan in light of changes in ICT environment</w:t>
            </w:r>
            <w:r w:rsidR="00DE58A4" w:rsidRPr="0042750D">
              <w:rPr>
                <w:b/>
                <w:bCs/>
                <w:sz w:val="24"/>
                <w:szCs w:val="24"/>
              </w:rPr>
              <w:t xml:space="preserve"> (</w:t>
            </w:r>
            <w:r w:rsidR="00DE58A4" w:rsidRPr="0042750D">
              <w:rPr>
                <w:b/>
                <w:bCs/>
                <w:i/>
                <w:sz w:val="24"/>
                <w:szCs w:val="24"/>
              </w:rPr>
              <w:t>instructs 3</w:t>
            </w:r>
            <w:r w:rsidR="00DE58A4" w:rsidRPr="0042750D">
              <w:rPr>
                <w:b/>
                <w:bCs/>
                <w:sz w:val="24"/>
                <w:szCs w:val="24"/>
              </w:rPr>
              <w:t>)</w:t>
            </w:r>
            <w:r w:rsidR="00EA18BD" w:rsidRPr="0042750D">
              <w:rPr>
                <w:b/>
                <w:bCs/>
                <w:sz w:val="24"/>
                <w:szCs w:val="24"/>
              </w:rPr>
              <w:t>.</w:t>
            </w:r>
          </w:p>
        </w:tc>
        <w:tc>
          <w:tcPr>
            <w:tcW w:w="1216" w:type="dxa"/>
            <w:tcBorders>
              <w:top w:val="single" w:sz="12" w:space="0" w:color="auto"/>
              <w:bottom w:val="single" w:sz="4" w:space="0" w:color="auto"/>
            </w:tcBorders>
            <w:shd w:val="clear" w:color="auto" w:fill="auto"/>
            <w:vAlign w:val="center"/>
            <w:hideMark/>
          </w:tcPr>
          <w:p w14:paraId="3089A063" w14:textId="0E58427A" w:rsidR="00F0236A" w:rsidRPr="0042750D" w:rsidRDefault="00C73353" w:rsidP="00DF36E1">
            <w:pPr>
              <w:pStyle w:val="Tabletext"/>
              <w:jc w:val="center"/>
              <w:rPr>
                <w:b/>
                <w:bCs/>
                <w:sz w:val="24"/>
                <w:szCs w:val="24"/>
              </w:rPr>
            </w:pPr>
            <w:r w:rsidRPr="0042750D">
              <w:rPr>
                <w:b/>
                <w:bCs/>
                <w:sz w:val="24"/>
                <w:szCs w:val="24"/>
              </w:rPr>
              <w:t>Council</w:t>
            </w:r>
          </w:p>
        </w:tc>
        <w:tc>
          <w:tcPr>
            <w:tcW w:w="1143" w:type="dxa"/>
            <w:tcBorders>
              <w:top w:val="single" w:sz="12" w:space="0" w:color="auto"/>
              <w:bottom w:val="single" w:sz="4" w:space="0" w:color="auto"/>
            </w:tcBorders>
            <w:shd w:val="clear" w:color="auto" w:fill="auto"/>
            <w:vAlign w:val="center"/>
          </w:tcPr>
          <w:p w14:paraId="2ADABFFF" w14:textId="5F700497" w:rsidR="00F0236A" w:rsidRPr="0042750D" w:rsidRDefault="00A4719A" w:rsidP="00DF36E1">
            <w:pPr>
              <w:pStyle w:val="Tabletext"/>
              <w:jc w:val="center"/>
              <w:rPr>
                <w:b/>
                <w:bCs/>
                <w:sz w:val="24"/>
                <w:szCs w:val="24"/>
              </w:rPr>
            </w:pPr>
            <w:r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25045ECC" w14:textId="77777777" w:rsidR="00F0236A" w:rsidRPr="0042750D" w:rsidRDefault="00F0236A" w:rsidP="00DF36E1">
            <w:pPr>
              <w:pStyle w:val="Tabletext"/>
              <w:jc w:val="center"/>
              <w:rPr>
                <w:b/>
                <w:bCs/>
                <w:sz w:val="24"/>
                <w:szCs w:val="24"/>
              </w:rPr>
            </w:pPr>
          </w:p>
        </w:tc>
      </w:tr>
      <w:tr w:rsidR="00F0236A" w:rsidRPr="0042750D" w14:paraId="1A447976" w14:textId="77777777" w:rsidTr="004C5E19">
        <w:trPr>
          <w:jc w:val="center"/>
        </w:trPr>
        <w:tc>
          <w:tcPr>
            <w:tcW w:w="910" w:type="dxa"/>
            <w:vMerge/>
            <w:tcBorders>
              <w:bottom w:val="single" w:sz="12" w:space="0" w:color="auto"/>
            </w:tcBorders>
            <w:shd w:val="clear" w:color="auto" w:fill="auto"/>
          </w:tcPr>
          <w:p w14:paraId="55B01FD7" w14:textId="77777777" w:rsidR="00F0236A" w:rsidRPr="0042750D"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60C25505" w14:textId="5EC9EDC9" w:rsidR="00F0236A" w:rsidRPr="0042750D" w:rsidRDefault="00A4719A" w:rsidP="00456CCC">
            <w:pPr>
              <w:spacing w:before="40" w:after="40"/>
              <w:rPr>
                <w:szCs w:val="22"/>
              </w:rPr>
            </w:pPr>
            <w:r w:rsidRPr="0042750D">
              <w:rPr>
                <w:szCs w:val="22"/>
              </w:rPr>
              <w:t xml:space="preserve">See </w:t>
            </w:r>
            <w:hyperlink r:id="rId26" w:history="1">
              <w:r w:rsidRPr="0042750D">
                <w:rPr>
                  <w:rStyle w:val="Hyperlink"/>
                  <w:szCs w:val="22"/>
                </w:rPr>
                <w:t>C19/35</w:t>
              </w:r>
            </w:hyperlink>
            <w:r w:rsidRPr="0042750D">
              <w:rPr>
                <w:szCs w:val="22"/>
              </w:rPr>
              <w:t>.</w:t>
            </w:r>
          </w:p>
        </w:tc>
      </w:tr>
      <w:tr w:rsidR="00F0236A" w:rsidRPr="0042750D" w14:paraId="2E6D467E" w14:textId="77777777" w:rsidTr="00C73353">
        <w:trPr>
          <w:jc w:val="center"/>
        </w:trPr>
        <w:tc>
          <w:tcPr>
            <w:tcW w:w="910" w:type="dxa"/>
            <w:vMerge w:val="restart"/>
            <w:tcBorders>
              <w:top w:val="single" w:sz="12" w:space="0" w:color="auto"/>
            </w:tcBorders>
            <w:shd w:val="clear" w:color="auto" w:fill="auto"/>
          </w:tcPr>
          <w:p w14:paraId="4FF452C6" w14:textId="3FC97979" w:rsidR="00F0236A" w:rsidRPr="0042750D" w:rsidRDefault="004C5E19" w:rsidP="001F12FA">
            <w:pPr>
              <w:pStyle w:val="Tabletext"/>
              <w:keepNext/>
              <w:keepLines/>
              <w:rPr>
                <w:b/>
                <w:bCs/>
                <w:sz w:val="24"/>
                <w:szCs w:val="24"/>
              </w:rPr>
            </w:pPr>
            <w:r w:rsidRPr="0042750D">
              <w:rPr>
                <w:b/>
                <w:bCs/>
                <w:sz w:val="24"/>
                <w:szCs w:val="24"/>
              </w:rPr>
              <w:t>71-02</w:t>
            </w:r>
          </w:p>
        </w:tc>
        <w:tc>
          <w:tcPr>
            <w:tcW w:w="5227" w:type="dxa"/>
            <w:tcBorders>
              <w:top w:val="single" w:sz="12" w:space="0" w:color="auto"/>
            </w:tcBorders>
            <w:shd w:val="clear" w:color="auto" w:fill="auto"/>
          </w:tcPr>
          <w:p w14:paraId="6B184487" w14:textId="56E23BFE" w:rsidR="00F0236A" w:rsidRPr="0042750D" w:rsidRDefault="004C5E19" w:rsidP="005D24C5">
            <w:pPr>
              <w:pStyle w:val="Tabletext"/>
              <w:rPr>
                <w:b/>
                <w:bCs/>
                <w:sz w:val="24"/>
                <w:szCs w:val="24"/>
              </w:rPr>
            </w:pPr>
            <w:r w:rsidRPr="0042750D">
              <w:rPr>
                <w:b/>
                <w:bCs/>
                <w:sz w:val="24"/>
                <w:szCs w:val="24"/>
              </w:rPr>
              <w:t xml:space="preserve">TSBDir to </w:t>
            </w:r>
            <w:r w:rsidR="005D24C5" w:rsidRPr="0042750D">
              <w:rPr>
                <w:b/>
                <w:bCs/>
                <w:sz w:val="24"/>
                <w:szCs w:val="24"/>
              </w:rPr>
              <w:t>contribute to</w:t>
            </w:r>
            <w:r w:rsidRPr="0042750D">
              <w:rPr>
                <w:b/>
                <w:bCs/>
                <w:sz w:val="24"/>
                <w:szCs w:val="24"/>
              </w:rPr>
              <w:t xml:space="preserve"> the implementation of the strategic plan, ensuring coherence between the strategic plan, the financial plan, the operational plans and the biennial budgets</w:t>
            </w:r>
            <w:r w:rsidR="00D913FA" w:rsidRPr="0042750D">
              <w:rPr>
                <w:b/>
                <w:bCs/>
                <w:sz w:val="24"/>
                <w:szCs w:val="24"/>
              </w:rPr>
              <w:t xml:space="preserve"> (</w:t>
            </w:r>
            <w:r w:rsidR="00D913FA" w:rsidRPr="0042750D">
              <w:rPr>
                <w:b/>
                <w:bCs/>
                <w:i/>
                <w:sz w:val="24"/>
                <w:szCs w:val="24"/>
              </w:rPr>
              <w:t>instructs 2</w:t>
            </w:r>
            <w:r w:rsidR="00D913FA" w:rsidRPr="0042750D">
              <w:rPr>
                <w:b/>
                <w:bCs/>
                <w:sz w:val="24"/>
                <w:szCs w:val="24"/>
              </w:rPr>
              <w:t>)</w:t>
            </w:r>
            <w:r w:rsidRPr="0042750D">
              <w:rPr>
                <w:b/>
                <w:bCs/>
                <w:sz w:val="24"/>
                <w:szCs w:val="24"/>
              </w:rPr>
              <w:t>.</w:t>
            </w:r>
          </w:p>
        </w:tc>
        <w:tc>
          <w:tcPr>
            <w:tcW w:w="1216" w:type="dxa"/>
            <w:tcBorders>
              <w:top w:val="single" w:sz="12" w:space="0" w:color="auto"/>
            </w:tcBorders>
            <w:shd w:val="clear" w:color="auto" w:fill="auto"/>
            <w:vAlign w:val="center"/>
          </w:tcPr>
          <w:p w14:paraId="1E8893F4" w14:textId="30D96D68" w:rsidR="00F0236A" w:rsidRPr="0042750D" w:rsidRDefault="004C5E19" w:rsidP="00DF36E1">
            <w:pPr>
              <w:pStyle w:val="Tabletext"/>
              <w:jc w:val="center"/>
              <w:rPr>
                <w:b/>
                <w:bCs/>
                <w:sz w:val="24"/>
                <w:szCs w:val="24"/>
              </w:rPr>
            </w:pPr>
            <w:r w:rsidRPr="0042750D">
              <w:rPr>
                <w:b/>
                <w:bCs/>
                <w:sz w:val="24"/>
                <w:szCs w:val="24"/>
              </w:rPr>
              <w:t>Ongoing</w:t>
            </w:r>
          </w:p>
        </w:tc>
        <w:tc>
          <w:tcPr>
            <w:tcW w:w="1143" w:type="dxa"/>
            <w:tcBorders>
              <w:top w:val="single" w:sz="12" w:space="0" w:color="auto"/>
            </w:tcBorders>
            <w:shd w:val="clear" w:color="auto" w:fill="auto"/>
            <w:vAlign w:val="center"/>
          </w:tcPr>
          <w:p w14:paraId="78A0B408" w14:textId="3763D9EE" w:rsidR="00F0236A" w:rsidRPr="0042750D" w:rsidRDefault="003D3F1B" w:rsidP="00DF36E1">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4827802E" w14:textId="77777777" w:rsidR="00F0236A" w:rsidRPr="0042750D" w:rsidRDefault="00F0236A" w:rsidP="00DF36E1">
            <w:pPr>
              <w:pStyle w:val="Tabletext"/>
              <w:jc w:val="center"/>
              <w:rPr>
                <w:b/>
                <w:bCs/>
                <w:sz w:val="24"/>
                <w:szCs w:val="24"/>
              </w:rPr>
            </w:pPr>
          </w:p>
        </w:tc>
      </w:tr>
      <w:tr w:rsidR="00F0236A" w:rsidRPr="0042750D" w14:paraId="3BC2656C" w14:textId="77777777" w:rsidTr="004C5E19">
        <w:trPr>
          <w:jc w:val="center"/>
        </w:trPr>
        <w:tc>
          <w:tcPr>
            <w:tcW w:w="910" w:type="dxa"/>
            <w:vMerge/>
            <w:tcBorders>
              <w:bottom w:val="single" w:sz="12" w:space="0" w:color="auto"/>
            </w:tcBorders>
            <w:shd w:val="clear" w:color="auto" w:fill="auto"/>
          </w:tcPr>
          <w:p w14:paraId="31362B30" w14:textId="77777777" w:rsidR="00F0236A" w:rsidRPr="0042750D" w:rsidRDefault="00F0236A" w:rsidP="00DF36E1">
            <w:pPr>
              <w:pStyle w:val="Tabletext"/>
              <w:rPr>
                <w:sz w:val="24"/>
                <w:szCs w:val="24"/>
              </w:rPr>
            </w:pPr>
          </w:p>
        </w:tc>
        <w:tc>
          <w:tcPr>
            <w:tcW w:w="8922" w:type="dxa"/>
            <w:gridSpan w:val="4"/>
            <w:tcBorders>
              <w:bottom w:val="single" w:sz="12" w:space="0" w:color="auto"/>
            </w:tcBorders>
            <w:shd w:val="clear" w:color="auto" w:fill="auto"/>
          </w:tcPr>
          <w:p w14:paraId="5B573613" w14:textId="08F7E2DC" w:rsidR="00587608" w:rsidRPr="0042750D" w:rsidRDefault="003D3F1B" w:rsidP="00456CCC">
            <w:pPr>
              <w:spacing w:before="40" w:after="40"/>
              <w:rPr>
                <w:rFonts w:asciiTheme="majorBidi" w:hAnsiTheme="majorBidi" w:cstheme="majorBidi"/>
                <w:szCs w:val="22"/>
                <w:highlight w:val="yellow"/>
              </w:rPr>
            </w:pPr>
            <w:r w:rsidRPr="0042750D">
              <w:rPr>
                <w:rFonts w:asciiTheme="majorBidi" w:hAnsiTheme="majorBidi" w:cstheme="majorBidi"/>
                <w:szCs w:val="22"/>
              </w:rPr>
              <w:t xml:space="preserve">See </w:t>
            </w:r>
            <w:hyperlink r:id="rId27" w:history="1">
              <w:r w:rsidRPr="0042750D">
                <w:rPr>
                  <w:rStyle w:val="Hyperlink"/>
                  <w:szCs w:val="22"/>
                </w:rPr>
                <w:t>C19/35</w:t>
              </w:r>
            </w:hyperlink>
            <w:r w:rsidRPr="0042750D">
              <w:rPr>
                <w:szCs w:val="22"/>
              </w:rPr>
              <w:t xml:space="preserve"> and </w:t>
            </w:r>
            <w:hyperlink r:id="rId28" w:history="1">
              <w:r w:rsidRPr="0042750D">
                <w:rPr>
                  <w:rStyle w:val="Hyperlink"/>
                  <w:szCs w:val="22"/>
                </w:rPr>
                <w:t>C19/15</w:t>
              </w:r>
            </w:hyperlink>
            <w:r w:rsidR="00032A00" w:rsidRPr="0042750D">
              <w:rPr>
                <w:szCs w:val="22"/>
              </w:rPr>
              <w:t xml:space="preserve">, and </w:t>
            </w:r>
            <w:hyperlink r:id="rId29" w:history="1">
              <w:r w:rsidR="00032A00" w:rsidRPr="0042750D">
                <w:rPr>
                  <w:rStyle w:val="Hyperlink"/>
                  <w:szCs w:val="22"/>
                </w:rPr>
                <w:t>C19/28</w:t>
              </w:r>
            </w:hyperlink>
            <w:r w:rsidR="00032A00" w:rsidRPr="0042750D">
              <w:rPr>
                <w:szCs w:val="22"/>
              </w:rPr>
              <w:t>.</w:t>
            </w:r>
          </w:p>
        </w:tc>
      </w:tr>
    </w:tbl>
    <w:bookmarkStart w:id="61" w:name="Item32_01"/>
    <w:bookmarkStart w:id="62" w:name="Item32_06"/>
    <w:bookmarkStart w:id="63" w:name="Item32_02"/>
    <w:bookmarkStart w:id="64" w:name="Item32_03"/>
    <w:bookmarkStart w:id="65" w:name="Item32_04"/>
    <w:bookmarkStart w:id="66" w:name="Item32_07"/>
    <w:bookmarkStart w:id="67" w:name="Item32_08"/>
    <w:bookmarkStart w:id="68" w:name="Item32_09"/>
    <w:bookmarkStart w:id="69" w:name="Item32_10"/>
    <w:bookmarkEnd w:id="59"/>
    <w:bookmarkEnd w:id="60"/>
    <w:bookmarkEnd w:id="61"/>
    <w:bookmarkEnd w:id="62"/>
    <w:bookmarkEnd w:id="63"/>
    <w:bookmarkEnd w:id="64"/>
    <w:bookmarkEnd w:id="65"/>
    <w:bookmarkEnd w:id="66"/>
    <w:bookmarkEnd w:id="67"/>
    <w:bookmarkEnd w:id="68"/>
    <w:bookmarkEnd w:id="69"/>
    <w:p w14:paraId="499802A0" w14:textId="77777777" w:rsidR="00F0236A" w:rsidRPr="0042750D" w:rsidRDefault="00F0236A" w:rsidP="00F0236A">
      <w:pPr>
        <w:rPr>
          <w:rStyle w:val="Hyperlink"/>
          <w:sz w:val="24"/>
        </w:rPr>
      </w:pPr>
      <w:r w:rsidRPr="0042750D">
        <w:fldChar w:fldCharType="begin"/>
      </w:r>
      <w:r w:rsidRPr="0042750D">
        <w:rPr>
          <w:sz w:val="24"/>
        </w:rPr>
        <w:instrText xml:space="preserve"> HYPERLINK \l "Top" </w:instrText>
      </w:r>
      <w:r w:rsidRPr="0042750D">
        <w:fldChar w:fldCharType="separate"/>
      </w:r>
      <w:r w:rsidRPr="0042750D">
        <w:rPr>
          <w:rStyle w:val="Hyperlink"/>
          <w:sz w:val="24"/>
        </w:rPr>
        <w:t>» Top</w:t>
      </w:r>
      <w:r w:rsidRPr="0042750D">
        <w:rPr>
          <w:rStyle w:val="Hyperlink"/>
          <w:sz w:val="24"/>
        </w:rPr>
        <w:fldChar w:fldCharType="end"/>
      </w:r>
    </w:p>
    <w:p w14:paraId="6CA72632" w14:textId="7FDA8F9D" w:rsidR="00F0236A" w:rsidRPr="0042750D" w:rsidRDefault="009665F4" w:rsidP="008F1D42">
      <w:pPr>
        <w:pStyle w:val="Heading1"/>
        <w:keepNext/>
        <w:keepLines/>
        <w:rPr>
          <w:sz w:val="24"/>
          <w:szCs w:val="24"/>
          <w:lang w:val="en-GB"/>
        </w:rPr>
      </w:pPr>
      <w:bookmarkStart w:id="70" w:name="Resolution_33"/>
      <w:bookmarkStart w:id="71" w:name="Resolution_34"/>
      <w:bookmarkStart w:id="72" w:name="_Toc30749154"/>
      <w:bookmarkEnd w:id="70"/>
      <w:bookmarkEnd w:id="71"/>
      <w:r w:rsidRPr="0042750D">
        <w:rPr>
          <w:sz w:val="24"/>
          <w:szCs w:val="24"/>
          <w:lang w:val="en-GB"/>
        </w:rPr>
        <w:t>RESOLUTION 77 (REV. DUBAI, 2018) – Scheduling and duration of conferences, forums, assemblies and Council sessions of the Union (2019-2023)</w:t>
      </w:r>
      <w:bookmarkEnd w:id="72"/>
    </w:p>
    <w:p w14:paraId="0B215432" w14:textId="77777777" w:rsidR="00F0236A" w:rsidRPr="0042750D" w:rsidRDefault="00F0236A" w:rsidP="008F1D42">
      <w:pPr>
        <w:pStyle w:val="Call"/>
        <w:rPr>
          <w:szCs w:val="22"/>
          <w:lang w:val="en-GB"/>
        </w:rPr>
      </w:pPr>
      <w:r w:rsidRPr="0042750D">
        <w:rPr>
          <w:szCs w:val="22"/>
          <w:lang w:val="en-GB"/>
        </w:rPr>
        <w:t>resolves</w:t>
      </w:r>
    </w:p>
    <w:p w14:paraId="0A012B5A" w14:textId="77777777" w:rsidR="009665F4" w:rsidRPr="0042750D" w:rsidRDefault="009665F4" w:rsidP="008F1D42">
      <w:pPr>
        <w:keepNext/>
        <w:keepLines/>
        <w:jc w:val="both"/>
        <w:rPr>
          <w:szCs w:val="22"/>
        </w:rPr>
      </w:pPr>
      <w:r w:rsidRPr="0042750D">
        <w:rPr>
          <w:szCs w:val="22"/>
        </w:rPr>
        <w:t>1</w:t>
      </w:r>
      <w:r w:rsidRPr="0042750D">
        <w:rPr>
          <w:szCs w:val="22"/>
        </w:rPr>
        <w:tab/>
        <w:t>that ITU conferences and assemblies shall, in principle, be held in the last quarter of the year, and not in the same year</w:t>
      </w:r>
      <w:r w:rsidRPr="0042750D">
        <w:rPr>
          <w:szCs w:val="22"/>
          <w:vertAlign w:val="superscript"/>
        </w:rPr>
        <w:footnoteReference w:customMarkFollows="1" w:id="5"/>
        <w:t>1</w:t>
      </w:r>
      <w:r w:rsidRPr="0042750D">
        <w:rPr>
          <w:szCs w:val="22"/>
        </w:rPr>
        <w:t xml:space="preserve">, except as provided in </w:t>
      </w:r>
      <w:r w:rsidRPr="0042750D">
        <w:rPr>
          <w:i/>
          <w:iCs/>
          <w:szCs w:val="22"/>
        </w:rPr>
        <w:t>recalling b)</w:t>
      </w:r>
      <w:r w:rsidRPr="0042750D">
        <w:rPr>
          <w:szCs w:val="22"/>
        </w:rPr>
        <w:t xml:space="preserve"> above;</w:t>
      </w:r>
    </w:p>
    <w:p w14:paraId="69E8D889" w14:textId="77777777" w:rsidR="009665F4" w:rsidRPr="0042750D" w:rsidRDefault="009665F4" w:rsidP="009665F4">
      <w:pPr>
        <w:rPr>
          <w:szCs w:val="22"/>
        </w:rPr>
      </w:pPr>
      <w:r w:rsidRPr="0042750D">
        <w:rPr>
          <w:szCs w:val="22"/>
        </w:rPr>
        <w:t>2</w:t>
      </w:r>
      <w:r w:rsidRPr="0042750D">
        <w:rPr>
          <w:szCs w:val="22"/>
        </w:rPr>
        <w:tab/>
        <w:t>that plenipotentiary conferences shall, unless there is a pressing need otherwise, be limited to a duration of three weeks;</w:t>
      </w:r>
    </w:p>
    <w:p w14:paraId="24C7EC7E" w14:textId="77777777" w:rsidR="009665F4" w:rsidRPr="0042750D" w:rsidRDefault="009665F4" w:rsidP="009665F4">
      <w:pPr>
        <w:rPr>
          <w:szCs w:val="22"/>
        </w:rPr>
      </w:pPr>
      <w:r w:rsidRPr="0042750D">
        <w:rPr>
          <w:szCs w:val="22"/>
        </w:rPr>
        <w:t>3</w:t>
      </w:r>
      <w:r w:rsidRPr="0042750D">
        <w:rPr>
          <w:szCs w:val="22"/>
        </w:rPr>
        <w:tab/>
        <w:t>that ITU exhibitions, forums, high-level events and symposia of a worldwide character shall be scheduled within the allocated resources in the financial plan and biennial budget approved by Council, and subject to the schedule and meeting space requirements of core activities of ITU and other mandatory Union events, such as conferences, assemblies and Council sessions;</w:t>
      </w:r>
    </w:p>
    <w:p w14:paraId="24C866C1" w14:textId="77777777" w:rsidR="009665F4" w:rsidRPr="0042750D" w:rsidRDefault="009665F4" w:rsidP="009665F4">
      <w:pPr>
        <w:tabs>
          <w:tab w:val="left" w:pos="540"/>
        </w:tabs>
        <w:rPr>
          <w:szCs w:val="22"/>
        </w:rPr>
      </w:pPr>
      <w:r w:rsidRPr="0042750D">
        <w:rPr>
          <w:szCs w:val="22"/>
        </w:rPr>
        <w:t>4</w:t>
      </w:r>
      <w:r w:rsidRPr="0042750D">
        <w:rPr>
          <w:szCs w:val="22"/>
        </w:rPr>
        <w:tab/>
        <w:t>that the schedule of future conferences, forums, assemblies and Council sessions for the years 2019-2023 shall be as follows:</w:t>
      </w:r>
    </w:p>
    <w:p w14:paraId="76E0D6D9" w14:textId="77777777" w:rsidR="009665F4" w:rsidRPr="0042750D" w:rsidRDefault="009665F4" w:rsidP="009665F4">
      <w:pPr>
        <w:pStyle w:val="enumlev10"/>
        <w:rPr>
          <w:szCs w:val="22"/>
        </w:rPr>
      </w:pPr>
      <w:r w:rsidRPr="0042750D">
        <w:rPr>
          <w:szCs w:val="22"/>
        </w:rPr>
        <w:t>4.3</w:t>
      </w:r>
      <w:r w:rsidRPr="0042750D">
        <w:rPr>
          <w:szCs w:val="22"/>
        </w:rPr>
        <w:tab/>
        <w:t>WTSA shall be held in the last quarter of 2020;</w:t>
      </w:r>
    </w:p>
    <w:p w14:paraId="2A9F2F68" w14:textId="77777777" w:rsidR="009665F4" w:rsidRPr="0042750D" w:rsidRDefault="009665F4" w:rsidP="009665F4">
      <w:pPr>
        <w:pStyle w:val="enumlev10"/>
        <w:rPr>
          <w:szCs w:val="22"/>
        </w:rPr>
      </w:pPr>
      <w:r w:rsidRPr="0042750D">
        <w:rPr>
          <w:szCs w:val="22"/>
        </w:rPr>
        <w:t>4.4</w:t>
      </w:r>
      <w:r w:rsidRPr="0042750D">
        <w:rPr>
          <w:szCs w:val="22"/>
        </w:rPr>
        <w:tab/>
        <w:t>the sixth World Telecommunication Policy Forum (WTPF) shall be held in 2021, preferably back to back with the World Summit on the Information Society (WSIS) Forum;</w:t>
      </w:r>
    </w:p>
    <w:p w14:paraId="36075475" w14:textId="77777777" w:rsidR="009665F4" w:rsidRPr="0042750D" w:rsidRDefault="009665F4" w:rsidP="009665F4">
      <w:pPr>
        <w:pStyle w:val="enumlev10"/>
        <w:tabs>
          <w:tab w:val="left" w:pos="0"/>
        </w:tabs>
        <w:ind w:left="0" w:firstLine="0"/>
        <w:rPr>
          <w:szCs w:val="22"/>
        </w:rPr>
      </w:pPr>
      <w:r w:rsidRPr="0042750D">
        <w:rPr>
          <w:szCs w:val="22"/>
        </w:rPr>
        <w:t>4.6</w:t>
      </w:r>
      <w:r w:rsidRPr="0042750D">
        <w:rPr>
          <w:szCs w:val="22"/>
        </w:rPr>
        <w:tab/>
        <w:t>the Plenipotentiary Conference shall be held in the last quarter of 2022;</w:t>
      </w:r>
    </w:p>
    <w:p w14:paraId="78A28D91" w14:textId="77777777" w:rsidR="009665F4" w:rsidRPr="0042750D" w:rsidRDefault="009665F4" w:rsidP="009665F4">
      <w:pPr>
        <w:rPr>
          <w:szCs w:val="22"/>
        </w:rPr>
      </w:pPr>
      <w:r w:rsidRPr="0042750D">
        <w:rPr>
          <w:szCs w:val="22"/>
        </w:rPr>
        <w:t>5</w:t>
      </w:r>
      <w:r w:rsidRPr="0042750D">
        <w:rPr>
          <w:szCs w:val="22"/>
        </w:rPr>
        <w:tab/>
        <w:t>that the agendas of world and regional conferences shall be established in accordance with the relevant provisions of the Convention and the agendas of assemblies shall be established, as appropriate, taking into account the resolutions and recommendations of the relevant conferences and assemblies;</w:t>
      </w:r>
    </w:p>
    <w:p w14:paraId="306FC927" w14:textId="1D618171" w:rsidR="00F0236A" w:rsidRPr="0042750D" w:rsidRDefault="009665F4" w:rsidP="009665F4">
      <w:pPr>
        <w:spacing w:after="120"/>
        <w:rPr>
          <w:szCs w:val="22"/>
        </w:rPr>
      </w:pPr>
      <w:r w:rsidRPr="0042750D">
        <w:rPr>
          <w:szCs w:val="22"/>
        </w:rPr>
        <w:t>6</w:t>
      </w:r>
      <w:r w:rsidRPr="0042750D">
        <w:rPr>
          <w:szCs w:val="22"/>
        </w:rPr>
        <w:tab/>
        <w:t xml:space="preserve">that the conferences and assemblies mentioned in </w:t>
      </w:r>
      <w:r w:rsidRPr="0042750D">
        <w:rPr>
          <w:i/>
          <w:iCs/>
          <w:szCs w:val="22"/>
        </w:rPr>
        <w:t>resolves</w:t>
      </w:r>
      <w:r w:rsidRPr="0042750D">
        <w:rPr>
          <w:szCs w:val="22"/>
        </w:rPr>
        <w:t> 4 should be held within the periods indicated there, that the precise dates and places will be set by the Council after consultation of the Member States, leaving sufficient time between the various conferences, and that the precise duration shall be decided by the Council after their agendas have been established.</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90"/>
        <w:gridCol w:w="1218"/>
        <w:gridCol w:w="1165"/>
        <w:gridCol w:w="1338"/>
      </w:tblGrid>
      <w:tr w:rsidR="00F0236A" w:rsidRPr="0042750D" w14:paraId="24CB5AE8" w14:textId="77777777" w:rsidTr="005D24C5">
        <w:trPr>
          <w:jc w:val="center"/>
        </w:trPr>
        <w:tc>
          <w:tcPr>
            <w:tcW w:w="911" w:type="dxa"/>
            <w:tcBorders>
              <w:top w:val="single" w:sz="12" w:space="0" w:color="auto"/>
              <w:bottom w:val="single" w:sz="12" w:space="0" w:color="auto"/>
            </w:tcBorders>
            <w:shd w:val="clear" w:color="auto" w:fill="auto"/>
            <w:vAlign w:val="center"/>
          </w:tcPr>
          <w:p w14:paraId="4B849956" w14:textId="77777777" w:rsidR="00F0236A" w:rsidRPr="0042750D" w:rsidRDefault="00F0236A" w:rsidP="00601595">
            <w:pPr>
              <w:pStyle w:val="Tablehead"/>
              <w:keepLines/>
              <w:rPr>
                <w:sz w:val="24"/>
                <w:szCs w:val="24"/>
              </w:rPr>
            </w:pPr>
            <w:r w:rsidRPr="0042750D">
              <w:rPr>
                <w:sz w:val="24"/>
                <w:szCs w:val="24"/>
              </w:rPr>
              <w:t>Action Item</w:t>
            </w:r>
          </w:p>
        </w:tc>
        <w:tc>
          <w:tcPr>
            <w:tcW w:w="4890" w:type="dxa"/>
            <w:tcBorders>
              <w:top w:val="single" w:sz="12" w:space="0" w:color="auto"/>
              <w:bottom w:val="single" w:sz="12" w:space="0" w:color="auto"/>
            </w:tcBorders>
            <w:shd w:val="clear" w:color="auto" w:fill="auto"/>
            <w:vAlign w:val="center"/>
            <w:hideMark/>
          </w:tcPr>
          <w:p w14:paraId="38FB4C9D" w14:textId="77777777" w:rsidR="00F0236A" w:rsidRPr="0042750D" w:rsidRDefault="00F0236A" w:rsidP="00601595">
            <w:pPr>
              <w:pStyle w:val="Tablehead"/>
              <w:keepLines/>
              <w:rPr>
                <w:sz w:val="24"/>
                <w:szCs w:val="24"/>
              </w:rPr>
            </w:pPr>
            <w:r w:rsidRPr="0042750D">
              <w:rPr>
                <w:sz w:val="24"/>
                <w:szCs w:val="24"/>
              </w:rPr>
              <w:t>Action</w:t>
            </w:r>
          </w:p>
        </w:tc>
        <w:tc>
          <w:tcPr>
            <w:tcW w:w="1218" w:type="dxa"/>
            <w:tcBorders>
              <w:top w:val="single" w:sz="12" w:space="0" w:color="auto"/>
              <w:bottom w:val="single" w:sz="12" w:space="0" w:color="auto"/>
            </w:tcBorders>
            <w:shd w:val="clear" w:color="auto" w:fill="auto"/>
            <w:vAlign w:val="center"/>
            <w:hideMark/>
          </w:tcPr>
          <w:p w14:paraId="1BB6EABE" w14:textId="77777777" w:rsidR="00F0236A" w:rsidRPr="0042750D" w:rsidRDefault="00F0236A" w:rsidP="00DF36E1">
            <w:pPr>
              <w:pStyle w:val="Tablehead"/>
              <w:rPr>
                <w:sz w:val="24"/>
                <w:szCs w:val="24"/>
              </w:rPr>
            </w:pPr>
            <w:r w:rsidRPr="0042750D">
              <w:rPr>
                <w:sz w:val="24"/>
                <w:szCs w:val="24"/>
              </w:rPr>
              <w:t>Milestone</w:t>
            </w:r>
          </w:p>
        </w:tc>
        <w:tc>
          <w:tcPr>
            <w:tcW w:w="1165" w:type="dxa"/>
            <w:tcBorders>
              <w:top w:val="single" w:sz="12" w:space="0" w:color="auto"/>
              <w:bottom w:val="single" w:sz="12" w:space="0" w:color="auto"/>
            </w:tcBorders>
            <w:shd w:val="clear" w:color="auto" w:fill="auto"/>
          </w:tcPr>
          <w:p w14:paraId="53584E58"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DC25F34"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6D4208E3" w14:textId="77777777" w:rsidTr="005D24C5">
        <w:trPr>
          <w:cantSplit/>
          <w:jc w:val="center"/>
        </w:trPr>
        <w:tc>
          <w:tcPr>
            <w:tcW w:w="911" w:type="dxa"/>
            <w:vMerge w:val="restart"/>
            <w:tcBorders>
              <w:top w:val="single" w:sz="12" w:space="0" w:color="auto"/>
            </w:tcBorders>
            <w:shd w:val="clear" w:color="auto" w:fill="auto"/>
          </w:tcPr>
          <w:p w14:paraId="286B4A6D" w14:textId="5DD9EBA1" w:rsidR="00F0236A" w:rsidRPr="0042750D" w:rsidRDefault="009665F4" w:rsidP="00601595">
            <w:pPr>
              <w:pStyle w:val="Tabletext"/>
              <w:keepNext/>
              <w:keepLines/>
              <w:rPr>
                <w:b/>
                <w:bCs/>
                <w:sz w:val="24"/>
                <w:szCs w:val="24"/>
              </w:rPr>
            </w:pPr>
            <w:r w:rsidRPr="0042750D">
              <w:rPr>
                <w:b/>
                <w:bCs/>
                <w:sz w:val="24"/>
                <w:szCs w:val="24"/>
              </w:rPr>
              <w:t>77</w:t>
            </w:r>
            <w:r w:rsidR="00F0236A" w:rsidRPr="0042750D">
              <w:rPr>
                <w:b/>
                <w:bCs/>
                <w:sz w:val="24"/>
                <w:szCs w:val="24"/>
              </w:rPr>
              <w:t>-01</w:t>
            </w:r>
          </w:p>
        </w:tc>
        <w:tc>
          <w:tcPr>
            <w:tcW w:w="4890" w:type="dxa"/>
            <w:tcBorders>
              <w:top w:val="single" w:sz="12" w:space="0" w:color="auto"/>
              <w:bottom w:val="single" w:sz="4" w:space="0" w:color="auto"/>
            </w:tcBorders>
            <w:shd w:val="clear" w:color="auto" w:fill="auto"/>
            <w:hideMark/>
          </w:tcPr>
          <w:p w14:paraId="371310C3" w14:textId="74FBE367" w:rsidR="00F0236A" w:rsidRPr="0042750D" w:rsidRDefault="005D24C5" w:rsidP="00373877">
            <w:pPr>
              <w:pStyle w:val="Tabletext"/>
              <w:keepNext/>
              <w:keepLines/>
              <w:rPr>
                <w:b/>
                <w:bCs/>
                <w:sz w:val="24"/>
                <w:szCs w:val="24"/>
              </w:rPr>
            </w:pPr>
            <w:r w:rsidRPr="0042750D">
              <w:rPr>
                <w:b/>
                <w:sz w:val="24"/>
                <w:szCs w:val="24"/>
              </w:rPr>
              <w:t>WTSA shall be held in the last quarter of 2020</w:t>
            </w:r>
            <w:r w:rsidR="00C909AA" w:rsidRPr="0042750D">
              <w:rPr>
                <w:b/>
                <w:sz w:val="24"/>
                <w:szCs w:val="24"/>
              </w:rPr>
              <w:t xml:space="preserve"> (</w:t>
            </w:r>
            <w:r w:rsidR="00C909AA" w:rsidRPr="0042750D">
              <w:rPr>
                <w:b/>
                <w:i/>
                <w:sz w:val="24"/>
                <w:szCs w:val="24"/>
              </w:rPr>
              <w:t>resolves 4.3</w:t>
            </w:r>
            <w:r w:rsidR="00C909AA" w:rsidRPr="0042750D">
              <w:rPr>
                <w:b/>
                <w:sz w:val="24"/>
                <w:szCs w:val="24"/>
              </w:rPr>
              <w:t>)</w:t>
            </w:r>
            <w:r w:rsidRPr="0042750D">
              <w:rPr>
                <w:b/>
                <w:sz w:val="24"/>
                <w:szCs w:val="24"/>
              </w:rPr>
              <w:t>.</w:t>
            </w:r>
          </w:p>
        </w:tc>
        <w:tc>
          <w:tcPr>
            <w:tcW w:w="1218" w:type="dxa"/>
            <w:tcBorders>
              <w:top w:val="single" w:sz="12" w:space="0" w:color="auto"/>
              <w:bottom w:val="single" w:sz="4" w:space="0" w:color="auto"/>
            </w:tcBorders>
            <w:shd w:val="clear" w:color="auto" w:fill="auto"/>
            <w:vAlign w:val="center"/>
            <w:hideMark/>
          </w:tcPr>
          <w:p w14:paraId="7176E885" w14:textId="1352D3C6" w:rsidR="00F0236A" w:rsidRPr="0042750D" w:rsidRDefault="005D24C5" w:rsidP="00DF36E1">
            <w:pPr>
              <w:pStyle w:val="Tabletext"/>
              <w:keepNext/>
              <w:keepLines/>
              <w:jc w:val="center"/>
              <w:rPr>
                <w:b/>
                <w:bCs/>
                <w:sz w:val="24"/>
                <w:szCs w:val="24"/>
              </w:rPr>
            </w:pPr>
            <w:r w:rsidRPr="0042750D">
              <w:rPr>
                <w:b/>
                <w:bCs/>
                <w:sz w:val="24"/>
                <w:szCs w:val="24"/>
              </w:rPr>
              <w:t>WTSA-20</w:t>
            </w:r>
          </w:p>
        </w:tc>
        <w:tc>
          <w:tcPr>
            <w:tcW w:w="1165" w:type="dxa"/>
            <w:tcBorders>
              <w:top w:val="single" w:sz="12" w:space="0" w:color="auto"/>
              <w:bottom w:val="single" w:sz="4" w:space="0" w:color="auto"/>
            </w:tcBorders>
            <w:shd w:val="clear" w:color="auto" w:fill="auto"/>
            <w:vAlign w:val="center"/>
          </w:tcPr>
          <w:p w14:paraId="79C334CB" w14:textId="332C9123" w:rsidR="00F0236A" w:rsidRPr="0042750D" w:rsidRDefault="001B6AF6" w:rsidP="00DF36E1">
            <w:pPr>
              <w:pStyle w:val="Tabletext"/>
              <w:keepNext/>
              <w:keepLines/>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50CD40F6" w14:textId="6B66E7F9" w:rsidR="00F0236A" w:rsidRPr="0042750D" w:rsidRDefault="00B962E3" w:rsidP="00DF36E1">
            <w:pPr>
              <w:pStyle w:val="Tabletext"/>
              <w:keepNext/>
              <w:keepLines/>
              <w:jc w:val="center"/>
              <w:rPr>
                <w:b/>
                <w:bCs/>
                <w:sz w:val="24"/>
                <w:szCs w:val="24"/>
              </w:rPr>
            </w:pPr>
            <w:r w:rsidRPr="0042750D">
              <w:rPr>
                <w:b/>
                <w:bCs/>
                <w:sz w:val="24"/>
                <w:szCs w:val="24"/>
              </w:rPr>
              <w:t>√</w:t>
            </w:r>
          </w:p>
        </w:tc>
      </w:tr>
      <w:tr w:rsidR="00F0236A" w:rsidRPr="0042750D" w14:paraId="48A7273B" w14:textId="77777777" w:rsidTr="00373877">
        <w:trPr>
          <w:cantSplit/>
          <w:jc w:val="center"/>
        </w:trPr>
        <w:tc>
          <w:tcPr>
            <w:tcW w:w="911" w:type="dxa"/>
            <w:vMerge/>
            <w:tcBorders>
              <w:bottom w:val="single" w:sz="12" w:space="0" w:color="auto"/>
            </w:tcBorders>
            <w:shd w:val="clear" w:color="auto" w:fill="auto"/>
          </w:tcPr>
          <w:p w14:paraId="195BDF68" w14:textId="77777777" w:rsidR="00F0236A" w:rsidRPr="0042750D" w:rsidRDefault="00F0236A" w:rsidP="00091191">
            <w:pPr>
              <w:pStyle w:val="Tabletext"/>
              <w:keepNext/>
              <w:keepLines/>
              <w:rPr>
                <w:sz w:val="24"/>
                <w:szCs w:val="24"/>
              </w:rPr>
            </w:pPr>
          </w:p>
        </w:tc>
        <w:tc>
          <w:tcPr>
            <w:tcW w:w="8611" w:type="dxa"/>
            <w:gridSpan w:val="4"/>
            <w:tcBorders>
              <w:top w:val="single" w:sz="4" w:space="0" w:color="auto"/>
              <w:bottom w:val="single" w:sz="12" w:space="0" w:color="auto"/>
            </w:tcBorders>
            <w:shd w:val="clear" w:color="auto" w:fill="auto"/>
          </w:tcPr>
          <w:p w14:paraId="749664D5" w14:textId="201B67BA" w:rsidR="0023696D" w:rsidRPr="0042750D" w:rsidRDefault="001B6AF6" w:rsidP="00CB3257">
            <w:pPr>
              <w:pStyle w:val="Tabletext"/>
              <w:keepNext/>
              <w:keepLines/>
              <w:rPr>
                <w:szCs w:val="22"/>
              </w:rPr>
            </w:pPr>
            <w:r w:rsidRPr="0042750D">
              <w:rPr>
                <w:szCs w:val="22"/>
              </w:rPr>
              <w:t>WTSA-20 will take place at Hyderabad, India, from 16 to 27 November 2020; ref</w:t>
            </w:r>
            <w:r w:rsidR="00CB3257" w:rsidRPr="0042750D">
              <w:rPr>
                <w:szCs w:val="22"/>
              </w:rPr>
              <w:t>.</w:t>
            </w:r>
            <w:r w:rsidRPr="0042750D">
              <w:rPr>
                <w:szCs w:val="22"/>
              </w:rPr>
              <w:t xml:space="preserve"> C19 Decsion </w:t>
            </w:r>
            <w:r w:rsidR="00CB3257" w:rsidRPr="0042750D">
              <w:rPr>
                <w:szCs w:val="22"/>
              </w:rPr>
              <w:t>608</w:t>
            </w:r>
            <w:r w:rsidR="00416B1A" w:rsidRPr="0042750D">
              <w:rPr>
                <w:szCs w:val="22"/>
              </w:rPr>
              <w:t>; CL-19/45 (3 October 2019)</w:t>
            </w:r>
            <w:r w:rsidRPr="0042750D">
              <w:rPr>
                <w:szCs w:val="22"/>
              </w:rPr>
              <w:t>.</w:t>
            </w:r>
          </w:p>
        </w:tc>
      </w:tr>
    </w:tbl>
    <w:bookmarkStart w:id="73" w:name="Item34_01"/>
    <w:bookmarkStart w:id="74" w:name="Item34_02"/>
    <w:bookmarkEnd w:id="73"/>
    <w:bookmarkEnd w:id="74"/>
    <w:p w14:paraId="319667E8" w14:textId="77777777" w:rsidR="00F0236A" w:rsidRPr="0042750D" w:rsidRDefault="00B37746" w:rsidP="00F0236A">
      <w:pPr>
        <w:rPr>
          <w:sz w:val="24"/>
        </w:rPr>
      </w:pPr>
      <w:r w:rsidRPr="0042750D">
        <w:rPr>
          <w:rStyle w:val="Hyperlink"/>
          <w:rFonts w:eastAsia="Times New Roman"/>
          <w:sz w:val="24"/>
        </w:rPr>
        <w:fldChar w:fldCharType="begin"/>
      </w:r>
      <w:r w:rsidRPr="0042750D">
        <w:rPr>
          <w:rStyle w:val="Hyperlink"/>
          <w:rFonts w:eastAsia="Times New Roman"/>
          <w:sz w:val="24"/>
        </w:rPr>
        <w:instrText xml:space="preserve"> HYPERLINK \l "Top" </w:instrText>
      </w:r>
      <w:r w:rsidRPr="0042750D">
        <w:rPr>
          <w:rStyle w:val="Hyperlink"/>
          <w:rFonts w:eastAsia="Times New Roman"/>
          <w:sz w:val="24"/>
        </w:rPr>
        <w:fldChar w:fldCharType="separate"/>
      </w:r>
      <w:r w:rsidR="00F0236A" w:rsidRPr="0042750D">
        <w:rPr>
          <w:rStyle w:val="Hyperlink"/>
          <w:rFonts w:eastAsia="Times New Roman"/>
          <w:sz w:val="24"/>
        </w:rPr>
        <w:t>» Top</w:t>
      </w:r>
      <w:r w:rsidRPr="0042750D">
        <w:rPr>
          <w:rStyle w:val="Hyperlink"/>
          <w:rFonts w:eastAsia="Times New Roman"/>
          <w:sz w:val="24"/>
        </w:rPr>
        <w:fldChar w:fldCharType="end"/>
      </w:r>
    </w:p>
    <w:p w14:paraId="653503D2" w14:textId="67F299D1" w:rsidR="00F0236A" w:rsidRPr="0042750D" w:rsidRDefault="00406EA9" w:rsidP="00EC1090">
      <w:pPr>
        <w:pStyle w:val="Heading1"/>
        <w:rPr>
          <w:sz w:val="24"/>
          <w:szCs w:val="24"/>
          <w:lang w:val="en-GB"/>
        </w:rPr>
      </w:pPr>
      <w:bookmarkStart w:id="75" w:name="Resolution_35"/>
      <w:bookmarkStart w:id="76" w:name="_Resolution_35_-"/>
      <w:bookmarkStart w:id="77" w:name="Resolution_38"/>
      <w:bookmarkStart w:id="78" w:name="Item38_01"/>
      <w:bookmarkStart w:id="79" w:name="Resolution_40"/>
      <w:bookmarkStart w:id="80" w:name="_Toc30749155"/>
      <w:bookmarkEnd w:id="75"/>
      <w:bookmarkEnd w:id="76"/>
      <w:bookmarkEnd w:id="77"/>
      <w:bookmarkEnd w:id="78"/>
      <w:bookmarkEnd w:id="79"/>
      <w:r w:rsidRPr="0042750D">
        <w:rPr>
          <w:sz w:val="24"/>
          <w:szCs w:val="24"/>
          <w:lang w:val="en-GB"/>
        </w:rPr>
        <w:t>RESOLUTION 101 (REV. DUBAI, 2018) –</w:t>
      </w:r>
      <w:r w:rsidR="00DF058E" w:rsidRPr="0042750D">
        <w:rPr>
          <w:sz w:val="24"/>
          <w:szCs w:val="24"/>
          <w:lang w:val="en-GB"/>
        </w:rPr>
        <w:t xml:space="preserve"> </w:t>
      </w:r>
      <w:r w:rsidRPr="0042750D">
        <w:rPr>
          <w:sz w:val="24"/>
          <w:szCs w:val="24"/>
          <w:lang w:val="en-GB"/>
        </w:rPr>
        <w:t>Internet Protocol-based networks</w:t>
      </w:r>
      <w:bookmarkEnd w:id="80"/>
    </w:p>
    <w:p w14:paraId="6DD60C16" w14:textId="77777777" w:rsidR="00406EA9" w:rsidRPr="0042750D" w:rsidRDefault="00406EA9" w:rsidP="00406EA9">
      <w:pPr>
        <w:pStyle w:val="Call"/>
        <w:rPr>
          <w:szCs w:val="22"/>
          <w:lang w:val="en-GB"/>
        </w:rPr>
      </w:pPr>
      <w:r w:rsidRPr="0042750D">
        <w:rPr>
          <w:szCs w:val="22"/>
          <w:lang w:val="en-GB"/>
        </w:rPr>
        <w:t>requests the ITU Telecommunication Standardization Sector</w:t>
      </w:r>
    </w:p>
    <w:p w14:paraId="479A8F9E" w14:textId="77777777" w:rsidR="00406EA9" w:rsidRPr="0042750D" w:rsidRDefault="00406EA9" w:rsidP="00406EA9">
      <w:pPr>
        <w:rPr>
          <w:szCs w:val="22"/>
        </w:rPr>
      </w:pPr>
      <w:r w:rsidRPr="0042750D">
        <w:rPr>
          <w:szCs w:val="22"/>
        </w:rPr>
        <w:t>to continue its collaborative activities on IP-based networks with ISOC/IETF and other relevant recognized organizations, in respect of interconnectivity with existing telecommunication networks and migration to NGN and future networks,</w:t>
      </w:r>
    </w:p>
    <w:p w14:paraId="0F848255" w14:textId="77777777" w:rsidR="00406EA9" w:rsidRPr="0042750D" w:rsidRDefault="00406EA9" w:rsidP="00406EA9">
      <w:pPr>
        <w:pStyle w:val="Call"/>
        <w:rPr>
          <w:szCs w:val="22"/>
          <w:lang w:val="en-GB"/>
        </w:rPr>
      </w:pPr>
      <w:r w:rsidRPr="0042750D">
        <w:rPr>
          <w:szCs w:val="22"/>
          <w:lang w:val="en-GB"/>
        </w:rPr>
        <w:t>requests the three Sectors</w:t>
      </w:r>
    </w:p>
    <w:p w14:paraId="6988B9DD" w14:textId="77777777" w:rsidR="00406EA9" w:rsidRPr="0042750D" w:rsidRDefault="00406EA9" w:rsidP="00406EA9">
      <w:pPr>
        <w:rPr>
          <w:szCs w:val="22"/>
        </w:rPr>
      </w:pPr>
      <w:r w:rsidRPr="0042750D">
        <w:rPr>
          <w:szCs w:val="22"/>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p>
    <w:p w14:paraId="3D4F3BF6" w14:textId="77777777" w:rsidR="00406EA9" w:rsidRPr="0042750D" w:rsidRDefault="00406EA9" w:rsidP="00406EA9">
      <w:pPr>
        <w:pStyle w:val="Call"/>
        <w:rPr>
          <w:szCs w:val="22"/>
          <w:lang w:val="en-GB"/>
        </w:rPr>
      </w:pPr>
      <w:r w:rsidRPr="0042750D">
        <w:rPr>
          <w:szCs w:val="22"/>
          <w:lang w:val="en-GB"/>
        </w:rPr>
        <w:t>resolves</w:t>
      </w:r>
    </w:p>
    <w:p w14:paraId="23BC1CB1" w14:textId="77777777" w:rsidR="00406EA9" w:rsidRPr="0042750D" w:rsidRDefault="00406EA9" w:rsidP="00406EA9">
      <w:pPr>
        <w:rPr>
          <w:color w:val="000000"/>
          <w:szCs w:val="22"/>
        </w:rPr>
      </w:pPr>
      <w:r w:rsidRPr="0042750D">
        <w:rPr>
          <w:color w:val="000000"/>
          <w:szCs w:val="22"/>
        </w:rPr>
        <w:t>1</w:t>
      </w:r>
      <w:r w:rsidRPr="0042750D">
        <w:rPr>
          <w:color w:val="000000"/>
          <w:szCs w:val="22"/>
        </w:rPr>
        <w:tab/>
        <w:t>to explore ways and means, in accordance with the Tunis Agenda for the Information Society, for greater reciprocal collaboration and coordination between ITU and relevant organizations</w:t>
      </w:r>
      <w:r w:rsidRPr="0042750D">
        <w:rPr>
          <w:rStyle w:val="FootnoteReference"/>
          <w:color w:val="000000"/>
          <w:sz w:val="22"/>
          <w:szCs w:val="22"/>
        </w:rPr>
        <w:footnoteReference w:customMarkFollows="1" w:id="6"/>
        <w:t>2</w:t>
      </w:r>
      <w:r w:rsidRPr="0042750D">
        <w:rPr>
          <w:color w:val="000000"/>
          <w:szCs w:val="22"/>
        </w:rPr>
        <w:t xml:space="preserve"> involved in the development of IP-based networks and the future Internet in the context of emerging telecommunications/ICTs, through cooperation agreements, as appropriate, in order to increase </w:t>
      </w:r>
      <w:r w:rsidRPr="0042750D">
        <w:rPr>
          <w:szCs w:val="22"/>
        </w:rPr>
        <w:t>the</w:t>
      </w:r>
      <w:r w:rsidRPr="0042750D">
        <w:rPr>
          <w:color w:val="000000"/>
          <w:szCs w:val="22"/>
        </w:rPr>
        <w:t xml:space="preserve"> role of ITU in Internet governance, and to promote greater participation by Member States in Internet governance, so as to ensure maximum benefits to the global community and promote affordable international connectivity;</w:t>
      </w:r>
    </w:p>
    <w:p w14:paraId="02A5815B" w14:textId="77777777" w:rsidR="00406EA9" w:rsidRPr="0042750D" w:rsidRDefault="00406EA9" w:rsidP="00406EA9">
      <w:pPr>
        <w:rPr>
          <w:szCs w:val="22"/>
        </w:rPr>
      </w:pPr>
      <w:r w:rsidRPr="0042750D">
        <w:rPr>
          <w:szCs w:val="22"/>
        </w:rPr>
        <w:t>2</w:t>
      </w:r>
      <w:r w:rsidRPr="0042750D">
        <w:rPr>
          <w:szCs w:val="22"/>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p>
    <w:p w14:paraId="22602560" w14:textId="77777777" w:rsidR="00406EA9" w:rsidRPr="0042750D" w:rsidRDefault="00406EA9" w:rsidP="00406EA9">
      <w:pPr>
        <w:rPr>
          <w:szCs w:val="22"/>
        </w:rPr>
      </w:pPr>
      <w:r w:rsidRPr="0042750D">
        <w:rPr>
          <w:szCs w:val="22"/>
        </w:rPr>
        <w:t>3</w:t>
      </w:r>
      <w:r w:rsidRPr="0042750D">
        <w:rPr>
          <w:szCs w:val="22"/>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p>
    <w:p w14:paraId="5D8698E3" w14:textId="77777777" w:rsidR="00406EA9" w:rsidRPr="0042750D" w:rsidRDefault="00406EA9" w:rsidP="00406EA9">
      <w:pPr>
        <w:rPr>
          <w:szCs w:val="22"/>
        </w:rPr>
      </w:pPr>
      <w:r w:rsidRPr="0042750D">
        <w:rPr>
          <w:szCs w:val="22"/>
        </w:rPr>
        <w:t>4</w:t>
      </w:r>
      <w:r w:rsidRPr="0042750D">
        <w:rPr>
          <w:szCs w:val="22"/>
        </w:rPr>
        <w:tab/>
        <w:t>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United Nations Broadband Commission for Sustainable Development formed for this purpose;</w:t>
      </w:r>
    </w:p>
    <w:p w14:paraId="24578741" w14:textId="77777777" w:rsidR="00406EA9" w:rsidRPr="0042750D" w:rsidRDefault="00406EA9" w:rsidP="00406EA9">
      <w:pPr>
        <w:rPr>
          <w:szCs w:val="22"/>
        </w:rPr>
      </w:pPr>
      <w:r w:rsidRPr="0042750D">
        <w:rPr>
          <w:szCs w:val="22"/>
        </w:rPr>
        <w:t>5</w:t>
      </w:r>
      <w:r w:rsidRPr="0042750D">
        <w:rPr>
          <w:szCs w:val="22"/>
        </w:rPr>
        <w:tab/>
        <w:t>to continue the study of international Internet connectivity as an urgent matter, as called for in § 50d) of the Tunis Agenda (2005)</w:t>
      </w:r>
      <w:r w:rsidRPr="0042750D">
        <w:rPr>
          <w:i/>
          <w:szCs w:val="22"/>
        </w:rPr>
        <w:t>,</w:t>
      </w:r>
      <w:r w:rsidRPr="0042750D">
        <w:rPr>
          <w:szCs w:val="22"/>
        </w:rPr>
        <w:t xml:space="preserve"> and to call upon ITU</w:t>
      </w:r>
      <w:r w:rsidRPr="0042750D">
        <w:rPr>
          <w:szCs w:val="22"/>
        </w:rPr>
        <w:noBreakHyphen/>
        <w:t>T, in particular Study Group 3, which has responsibility for Recommendation ITU</w:t>
      </w:r>
      <w:r w:rsidRPr="0042750D">
        <w:rPr>
          <w:szCs w:val="22"/>
        </w:rPr>
        <w:noBreakHyphen/>
        <w:t>T D.50 and which has compiled an initial set of guidelines in Supplement 2 to Recommendation ITU</w:t>
      </w:r>
      <w:r w:rsidRPr="0042750D">
        <w:rPr>
          <w:szCs w:val="22"/>
        </w:rPr>
        <w:noBreakHyphen/>
        <w:t>T D.50 (05/2013), to complete as soon as possible its studies that have been ongoing since WTSA</w:t>
      </w:r>
      <w:r w:rsidRPr="0042750D">
        <w:rPr>
          <w:szCs w:val="22"/>
        </w:rPr>
        <w:noBreakHyphen/>
        <w:t>2000;</w:t>
      </w:r>
    </w:p>
    <w:p w14:paraId="6D21FFD0" w14:textId="11766BB1" w:rsidR="00F0236A" w:rsidRPr="0042750D" w:rsidRDefault="00406EA9" w:rsidP="00AC6EF7">
      <w:pPr>
        <w:spacing w:after="120"/>
        <w:rPr>
          <w:sz w:val="24"/>
        </w:rPr>
      </w:pPr>
      <w:r w:rsidRPr="0042750D">
        <w:rPr>
          <w:szCs w:val="22"/>
        </w:rPr>
        <w:t>6</w:t>
      </w:r>
      <w:r w:rsidRPr="0042750D">
        <w:rPr>
          <w:szCs w:val="22"/>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w:t>
      </w:r>
      <w:r w:rsidR="00AC6EF7" w:rsidRPr="0042750D">
        <w:rPr>
          <w:szCs w:val="22"/>
        </w:rPr>
        <w:t>aul physical infrastructure</w:t>
      </w:r>
      <w:r w:rsidR="00F0236A" w:rsidRPr="0042750D">
        <w:rPr>
          <w:sz w:val="24"/>
        </w:rPr>
        <w:t>.</w:t>
      </w:r>
    </w:p>
    <w:p w14:paraId="423E22F3" w14:textId="77777777" w:rsidR="001346B0" w:rsidRPr="0042750D" w:rsidRDefault="001346B0" w:rsidP="001346B0">
      <w:pPr>
        <w:pStyle w:val="Call"/>
        <w:rPr>
          <w:lang w:val="en-GB"/>
        </w:rPr>
      </w:pPr>
      <w:r w:rsidRPr="0042750D">
        <w:rPr>
          <w:lang w:val="en-GB"/>
        </w:rPr>
        <w:t>instructs the Secretary-General</w:t>
      </w:r>
    </w:p>
    <w:p w14:paraId="64CF9606" w14:textId="77777777" w:rsidR="001346B0" w:rsidRPr="0042750D" w:rsidRDefault="001346B0" w:rsidP="001346B0">
      <w:r w:rsidRPr="0042750D">
        <w:t>1</w:t>
      </w:r>
      <w:r w:rsidRPr="0042750D">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p>
    <w:p w14:paraId="0ABB448B" w14:textId="77777777" w:rsidR="001346B0" w:rsidRPr="0042750D" w:rsidRDefault="001346B0" w:rsidP="001346B0">
      <w:r w:rsidRPr="0042750D">
        <w:t>2</w:t>
      </w:r>
      <w:r w:rsidRPr="0042750D">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42750D">
        <w:rPr>
          <w:rFonts w:ascii="MS Mincho" w:eastAsia="MS Mincho" w:hAnsi="MS Mincho" w:cs="MS Mincho"/>
        </w:rPr>
        <w:t>‑</w:t>
      </w:r>
      <w:r w:rsidRPr="0042750D">
        <w:t>coordinated WSIS+10 High-Level Event (Geneva, 2014), based on the MPP process, together with other United Nations agencies and inclusive of all WSIS Stakeholders, were endorsed by the Plenipotentiary Conference (Busan, 2014) and were submitted to the UNGA overall review;</w:t>
      </w:r>
    </w:p>
    <w:p w14:paraId="070E14BC" w14:textId="6326742B" w:rsidR="001346B0" w:rsidRPr="0042750D" w:rsidRDefault="001346B0" w:rsidP="001346B0">
      <w:pPr>
        <w:spacing w:after="120"/>
      </w:pPr>
      <w:r w:rsidRPr="0042750D">
        <w:rPr>
          <w:rFonts w:asciiTheme="minorHAnsi" w:hAnsiTheme="minorHAnsi"/>
        </w:rPr>
        <w:t>3</w:t>
      </w:r>
      <w:r w:rsidRPr="0042750D">
        <w:rPr>
          <w:rFonts w:asciiTheme="minorHAnsi" w:hAnsiTheme="minorHAnsi"/>
        </w:rPr>
        <w:tab/>
      </w:r>
      <w:r w:rsidRPr="0042750D">
        <w:t>to continue to raise awareness of the critical importance for sustainable development of affordable connectivity, including in the United Nations High-level Political Forum on Sustainable Development.</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04"/>
        <w:gridCol w:w="1218"/>
        <w:gridCol w:w="1252"/>
        <w:gridCol w:w="1338"/>
      </w:tblGrid>
      <w:tr w:rsidR="00F0236A" w:rsidRPr="0042750D" w14:paraId="005D91A2" w14:textId="77777777" w:rsidTr="00FC6DC4">
        <w:trPr>
          <w:tblHeader/>
          <w:jc w:val="center"/>
        </w:trPr>
        <w:tc>
          <w:tcPr>
            <w:tcW w:w="910" w:type="dxa"/>
            <w:tcBorders>
              <w:top w:val="single" w:sz="12" w:space="0" w:color="auto"/>
              <w:bottom w:val="single" w:sz="12" w:space="0" w:color="auto"/>
            </w:tcBorders>
            <w:shd w:val="clear" w:color="auto" w:fill="auto"/>
            <w:vAlign w:val="center"/>
          </w:tcPr>
          <w:p w14:paraId="4C5FB07E" w14:textId="77777777" w:rsidR="00F0236A" w:rsidRPr="0042750D" w:rsidRDefault="00F0236A" w:rsidP="00FC6DC4">
            <w:pPr>
              <w:pStyle w:val="Tablehead"/>
              <w:keepNext w:val="0"/>
              <w:rPr>
                <w:sz w:val="24"/>
                <w:szCs w:val="24"/>
              </w:rPr>
            </w:pPr>
            <w:r w:rsidRPr="0042750D">
              <w:rPr>
                <w:sz w:val="24"/>
                <w:szCs w:val="24"/>
              </w:rPr>
              <w:t>Action Item</w:t>
            </w:r>
          </w:p>
        </w:tc>
        <w:tc>
          <w:tcPr>
            <w:tcW w:w="4804" w:type="dxa"/>
            <w:tcBorders>
              <w:top w:val="single" w:sz="12" w:space="0" w:color="auto"/>
              <w:bottom w:val="single" w:sz="12" w:space="0" w:color="auto"/>
            </w:tcBorders>
            <w:shd w:val="clear" w:color="auto" w:fill="auto"/>
            <w:vAlign w:val="center"/>
            <w:hideMark/>
          </w:tcPr>
          <w:p w14:paraId="0E02BB33" w14:textId="77777777" w:rsidR="00F0236A" w:rsidRPr="0042750D" w:rsidRDefault="00F0236A" w:rsidP="00FC6DC4">
            <w:pPr>
              <w:pStyle w:val="Tablehead"/>
              <w:keepNext w:val="0"/>
              <w:rPr>
                <w:sz w:val="24"/>
                <w:szCs w:val="24"/>
              </w:rPr>
            </w:pPr>
            <w:r w:rsidRPr="0042750D">
              <w:rPr>
                <w:sz w:val="24"/>
                <w:szCs w:val="24"/>
              </w:rPr>
              <w:t>Action</w:t>
            </w:r>
          </w:p>
        </w:tc>
        <w:tc>
          <w:tcPr>
            <w:tcW w:w="1218" w:type="dxa"/>
            <w:tcBorders>
              <w:top w:val="single" w:sz="12" w:space="0" w:color="auto"/>
              <w:bottom w:val="single" w:sz="12" w:space="0" w:color="auto"/>
            </w:tcBorders>
            <w:shd w:val="clear" w:color="auto" w:fill="auto"/>
            <w:vAlign w:val="center"/>
            <w:hideMark/>
          </w:tcPr>
          <w:p w14:paraId="19D45CCF" w14:textId="77777777" w:rsidR="00F0236A" w:rsidRPr="0042750D" w:rsidRDefault="00F0236A" w:rsidP="00FC6DC4">
            <w:pPr>
              <w:pStyle w:val="Tablehead"/>
              <w:keepNext w:val="0"/>
              <w:rPr>
                <w:sz w:val="24"/>
                <w:szCs w:val="24"/>
              </w:rPr>
            </w:pPr>
            <w:r w:rsidRPr="0042750D">
              <w:rPr>
                <w:sz w:val="24"/>
                <w:szCs w:val="24"/>
              </w:rPr>
              <w:t>Milestone</w:t>
            </w:r>
          </w:p>
        </w:tc>
        <w:tc>
          <w:tcPr>
            <w:tcW w:w="1252" w:type="dxa"/>
            <w:tcBorders>
              <w:top w:val="single" w:sz="12" w:space="0" w:color="auto"/>
              <w:bottom w:val="single" w:sz="12" w:space="0" w:color="auto"/>
            </w:tcBorders>
            <w:shd w:val="clear" w:color="auto" w:fill="auto"/>
          </w:tcPr>
          <w:p w14:paraId="02F93D68" w14:textId="77777777" w:rsidR="00F0236A" w:rsidRPr="0042750D" w:rsidRDefault="00F0236A" w:rsidP="00FC6DC4">
            <w:pPr>
              <w:pStyle w:val="Tablehead"/>
              <w:keepNext w:val="0"/>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2EB567D8" w14:textId="77777777" w:rsidR="00F0236A" w:rsidRPr="0042750D" w:rsidRDefault="00F0236A" w:rsidP="00FC6DC4">
            <w:pPr>
              <w:pStyle w:val="Tablehead"/>
              <w:keepNext w:val="0"/>
              <w:rPr>
                <w:sz w:val="24"/>
                <w:szCs w:val="24"/>
              </w:rPr>
            </w:pPr>
            <w:r w:rsidRPr="0042750D">
              <w:rPr>
                <w:sz w:val="24"/>
                <w:szCs w:val="24"/>
              </w:rPr>
              <w:t>Completed</w:t>
            </w:r>
          </w:p>
        </w:tc>
      </w:tr>
      <w:tr w:rsidR="00F0236A" w:rsidRPr="0042750D" w14:paraId="7C5628BE" w14:textId="77777777" w:rsidTr="00FC6DC4">
        <w:trPr>
          <w:jc w:val="center"/>
        </w:trPr>
        <w:tc>
          <w:tcPr>
            <w:tcW w:w="910" w:type="dxa"/>
            <w:vMerge w:val="restart"/>
            <w:tcBorders>
              <w:top w:val="single" w:sz="12" w:space="0" w:color="auto"/>
            </w:tcBorders>
            <w:shd w:val="clear" w:color="auto" w:fill="auto"/>
          </w:tcPr>
          <w:p w14:paraId="20A894E6" w14:textId="787D52AF" w:rsidR="00F0236A" w:rsidRPr="0042750D" w:rsidRDefault="00406EA9" w:rsidP="00FC6DC4">
            <w:pPr>
              <w:pStyle w:val="Tabletext"/>
              <w:rPr>
                <w:b/>
                <w:bCs/>
                <w:sz w:val="24"/>
                <w:szCs w:val="24"/>
              </w:rPr>
            </w:pPr>
            <w:r w:rsidRPr="0042750D">
              <w:rPr>
                <w:b/>
                <w:bCs/>
                <w:sz w:val="24"/>
                <w:szCs w:val="24"/>
              </w:rPr>
              <w:t>101</w:t>
            </w:r>
            <w:r w:rsidR="00F0236A" w:rsidRPr="0042750D">
              <w:rPr>
                <w:b/>
                <w:bCs/>
                <w:sz w:val="24"/>
                <w:szCs w:val="24"/>
              </w:rPr>
              <w:t>-01</w:t>
            </w:r>
          </w:p>
        </w:tc>
        <w:tc>
          <w:tcPr>
            <w:tcW w:w="4804" w:type="dxa"/>
            <w:tcBorders>
              <w:top w:val="single" w:sz="12" w:space="0" w:color="auto"/>
              <w:bottom w:val="single" w:sz="4" w:space="0" w:color="auto"/>
            </w:tcBorders>
            <w:shd w:val="clear" w:color="auto" w:fill="auto"/>
            <w:hideMark/>
          </w:tcPr>
          <w:p w14:paraId="7E64F300" w14:textId="6B770115" w:rsidR="00F0236A" w:rsidRPr="0042750D" w:rsidRDefault="00406EA9" w:rsidP="00FC6DC4">
            <w:pPr>
              <w:pStyle w:val="Tabletext"/>
              <w:rPr>
                <w:b/>
                <w:bCs/>
                <w:sz w:val="24"/>
                <w:szCs w:val="24"/>
              </w:rPr>
            </w:pPr>
            <w:r w:rsidRPr="0042750D">
              <w:rPr>
                <w:b/>
                <w:bCs/>
                <w:sz w:val="24"/>
                <w:szCs w:val="24"/>
              </w:rPr>
              <w:t>ITU-T to continue its collaborative activities on IP-based networks with ISOC/IETF and other relevant recognized organizations</w:t>
            </w:r>
            <w:r w:rsidR="009101F6" w:rsidRPr="0042750D">
              <w:rPr>
                <w:b/>
                <w:bCs/>
                <w:sz w:val="24"/>
                <w:szCs w:val="24"/>
              </w:rPr>
              <w:t xml:space="preserve"> (</w:t>
            </w:r>
            <w:r w:rsidR="009101F6" w:rsidRPr="0042750D">
              <w:rPr>
                <w:b/>
                <w:bCs/>
                <w:i/>
                <w:sz w:val="24"/>
                <w:szCs w:val="24"/>
              </w:rPr>
              <w:t>requests</w:t>
            </w:r>
            <w:r w:rsidR="009101F6" w:rsidRPr="0042750D">
              <w:rPr>
                <w:b/>
                <w:bCs/>
                <w:sz w:val="24"/>
                <w:szCs w:val="24"/>
              </w:rPr>
              <w:t>)</w:t>
            </w:r>
            <w:r w:rsidRPr="0042750D">
              <w:rPr>
                <w:b/>
                <w:bCs/>
                <w:sz w:val="24"/>
                <w:szCs w:val="24"/>
              </w:rPr>
              <w:t>.</w:t>
            </w:r>
          </w:p>
        </w:tc>
        <w:tc>
          <w:tcPr>
            <w:tcW w:w="1218" w:type="dxa"/>
            <w:tcBorders>
              <w:top w:val="single" w:sz="12" w:space="0" w:color="auto"/>
              <w:bottom w:val="single" w:sz="4" w:space="0" w:color="auto"/>
            </w:tcBorders>
            <w:shd w:val="clear" w:color="auto" w:fill="auto"/>
            <w:vAlign w:val="center"/>
            <w:hideMark/>
          </w:tcPr>
          <w:p w14:paraId="6D40F59A" w14:textId="77777777" w:rsidR="00F0236A" w:rsidRPr="0042750D" w:rsidRDefault="00F0236A" w:rsidP="00FC6DC4">
            <w:pPr>
              <w:pStyle w:val="Tabletext"/>
              <w:jc w:val="center"/>
              <w:rPr>
                <w:b/>
                <w:bCs/>
                <w:sz w:val="24"/>
                <w:szCs w:val="24"/>
              </w:rPr>
            </w:pPr>
            <w:r w:rsidRPr="0042750D">
              <w:rPr>
                <w:b/>
                <w:bCs/>
                <w:sz w:val="24"/>
                <w:szCs w:val="24"/>
              </w:rPr>
              <w:t>Ongoing</w:t>
            </w:r>
          </w:p>
        </w:tc>
        <w:tc>
          <w:tcPr>
            <w:tcW w:w="1252" w:type="dxa"/>
            <w:tcBorders>
              <w:top w:val="single" w:sz="12" w:space="0" w:color="auto"/>
              <w:bottom w:val="single" w:sz="4" w:space="0" w:color="auto"/>
            </w:tcBorders>
            <w:shd w:val="clear" w:color="auto" w:fill="auto"/>
            <w:vAlign w:val="center"/>
          </w:tcPr>
          <w:p w14:paraId="701B0C61" w14:textId="35E13DBD" w:rsidR="00F0236A" w:rsidRPr="0042750D" w:rsidRDefault="007C3186" w:rsidP="00FC6DC4">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58B6EAAF" w14:textId="77777777" w:rsidR="00F0236A" w:rsidRPr="0042750D" w:rsidRDefault="00F0236A" w:rsidP="00FC6DC4">
            <w:pPr>
              <w:pStyle w:val="Tabletext"/>
              <w:jc w:val="center"/>
              <w:rPr>
                <w:b/>
                <w:bCs/>
                <w:sz w:val="24"/>
                <w:szCs w:val="24"/>
              </w:rPr>
            </w:pPr>
          </w:p>
        </w:tc>
      </w:tr>
      <w:tr w:rsidR="00F0236A" w:rsidRPr="0042750D" w14:paraId="45927D70" w14:textId="77777777" w:rsidTr="00FC6DC4">
        <w:trPr>
          <w:jc w:val="center"/>
        </w:trPr>
        <w:tc>
          <w:tcPr>
            <w:tcW w:w="910" w:type="dxa"/>
            <w:vMerge/>
            <w:tcBorders>
              <w:bottom w:val="single" w:sz="12" w:space="0" w:color="auto"/>
            </w:tcBorders>
            <w:shd w:val="clear" w:color="auto" w:fill="auto"/>
          </w:tcPr>
          <w:p w14:paraId="1065F3D1" w14:textId="77777777" w:rsidR="00F0236A" w:rsidRPr="0042750D" w:rsidRDefault="00F0236A" w:rsidP="00FC6DC4">
            <w:pPr>
              <w:pStyle w:val="Tabletext"/>
              <w:rPr>
                <w:sz w:val="24"/>
                <w:szCs w:val="24"/>
              </w:rPr>
            </w:pPr>
          </w:p>
        </w:tc>
        <w:tc>
          <w:tcPr>
            <w:tcW w:w="8612" w:type="dxa"/>
            <w:gridSpan w:val="4"/>
            <w:tcBorders>
              <w:top w:val="single" w:sz="4" w:space="0" w:color="auto"/>
              <w:bottom w:val="single" w:sz="12" w:space="0" w:color="auto"/>
            </w:tcBorders>
            <w:shd w:val="clear" w:color="auto" w:fill="auto"/>
          </w:tcPr>
          <w:p w14:paraId="7FD9DC6C" w14:textId="04006B77" w:rsidR="000E4FB1" w:rsidRPr="0042750D" w:rsidRDefault="000E4FB1" w:rsidP="00456CCC">
            <w:pPr>
              <w:pStyle w:val="ListParagraph"/>
              <w:numPr>
                <w:ilvl w:val="0"/>
                <w:numId w:val="5"/>
              </w:numPr>
              <w:spacing w:before="40" w:after="40"/>
              <w:ind w:left="357" w:hanging="357"/>
              <w:contextualSpacing w:val="0"/>
              <w:rPr>
                <w:szCs w:val="22"/>
              </w:rPr>
            </w:pPr>
            <w:r w:rsidRPr="0042750D">
              <w:rPr>
                <w:szCs w:val="22"/>
              </w:rPr>
              <w:t xml:space="preserve">SG2 liaised with </w:t>
            </w:r>
            <w:r w:rsidR="00F474EF" w:rsidRPr="0042750D">
              <w:rPr>
                <w:szCs w:val="22"/>
              </w:rPr>
              <w:t xml:space="preserve">IAB and RIPE NCC concerning the updated ENUM interim procedure for geographic country codes considering the issue of non-functioning ENUM delegations under e164.arpa. </w:t>
            </w:r>
            <w:r w:rsidR="00F474EF" w:rsidRPr="0042750D">
              <w:rPr>
                <w:spacing w:val="-2"/>
                <w:szCs w:val="22"/>
              </w:rPr>
              <w:t xml:space="preserve">Updates to 5GPPP SAVE (source address verification) using </w:t>
            </w:r>
            <w:r w:rsidR="0074419F" w:rsidRPr="0042750D">
              <w:rPr>
                <w:spacing w:val="-2"/>
                <w:szCs w:val="22"/>
              </w:rPr>
              <w:t xml:space="preserve">ITU-T </w:t>
            </w:r>
            <w:r w:rsidR="00F474EF" w:rsidRPr="0042750D">
              <w:rPr>
                <w:spacing w:val="-2"/>
                <w:szCs w:val="22"/>
              </w:rPr>
              <w:t>E.164 based IPv6 addresses were provided to ITU-T Study Group 2 meetings. SG2 is collaborating with IETF concerning clarifications to IETF Process related to individual drafts and requests for IANA allocation related to IPv6 addressing.</w:t>
            </w:r>
          </w:p>
          <w:p w14:paraId="1F277964" w14:textId="582485CA" w:rsidR="009D1144" w:rsidRPr="0042750D" w:rsidRDefault="009D1144" w:rsidP="00FC6DC4">
            <w:pPr>
              <w:pStyle w:val="ListParagraph"/>
              <w:numPr>
                <w:ilvl w:val="0"/>
                <w:numId w:val="5"/>
              </w:numPr>
              <w:spacing w:after="40"/>
              <w:contextualSpacing w:val="0"/>
              <w:rPr>
                <w:szCs w:val="22"/>
              </w:rPr>
            </w:pPr>
            <w:r w:rsidRPr="0042750D">
              <w:rPr>
                <w:spacing w:val="-2"/>
                <w:szCs w:val="22"/>
              </w:rPr>
              <w:t xml:space="preserve">SG11 informed IETF SFC </w:t>
            </w:r>
            <w:r w:rsidR="00CD15C5" w:rsidRPr="0042750D">
              <w:rPr>
                <w:spacing w:val="-2"/>
                <w:szCs w:val="22"/>
              </w:rPr>
              <w:t xml:space="preserve">WG </w:t>
            </w:r>
            <w:r w:rsidRPr="0042750D">
              <w:rPr>
                <w:spacing w:val="-2"/>
                <w:szCs w:val="22"/>
              </w:rPr>
              <w:t xml:space="preserve">on new work item dealing with </w:t>
            </w:r>
            <w:r w:rsidRPr="0042750D">
              <w:rPr>
                <w:lang w:eastAsia="zh-CN"/>
              </w:rPr>
              <w:t xml:space="preserve">signalling requirements for service function paths load balancing traceroute. Also, SG11 informed IETF ppm WG on </w:t>
            </w:r>
            <w:r w:rsidRPr="0042750D">
              <w:rPr>
                <w:spacing w:val="-2"/>
                <w:szCs w:val="22"/>
              </w:rPr>
              <w:t>agreed new Supplement 71 to ITU-T Q-series Recommendations “Testing methodologies of Internet related performance measurements including e2e bit rate within the fixed and mobile operator’s networks”. SG11 liaised with RIPE NCC on approved ITU-T Q.3916 “Signalling requirements and architecture for the Internet service quality monitoring system”</w:t>
            </w:r>
            <w:r w:rsidR="00CD15C5" w:rsidRPr="0042750D">
              <w:rPr>
                <w:spacing w:val="-2"/>
                <w:szCs w:val="22"/>
              </w:rPr>
              <w:t>.</w:t>
            </w:r>
          </w:p>
          <w:p w14:paraId="3933949E" w14:textId="6E69D504" w:rsidR="002237D7" w:rsidRPr="0042750D" w:rsidRDefault="002237D7" w:rsidP="00FC6DC4">
            <w:pPr>
              <w:pStyle w:val="ListParagraph"/>
              <w:numPr>
                <w:ilvl w:val="0"/>
                <w:numId w:val="5"/>
              </w:numPr>
              <w:spacing w:after="40"/>
              <w:contextualSpacing w:val="0"/>
              <w:rPr>
                <w:szCs w:val="22"/>
              </w:rPr>
            </w:pPr>
            <w:r w:rsidRPr="0042750D">
              <w:rPr>
                <w:szCs w:val="22"/>
              </w:rPr>
              <w:t>SG12 liaises, collaborates and harmonizes its work on IP packet transfer and availability performance parameters with the IETF IP performance measurement working group (ippm) and other SDOs.</w:t>
            </w:r>
          </w:p>
          <w:p w14:paraId="40EB3EB3" w14:textId="77777777" w:rsidR="00F740B5" w:rsidRPr="0042750D" w:rsidRDefault="0006366E" w:rsidP="00FC6DC4">
            <w:pPr>
              <w:pStyle w:val="ListParagraph"/>
              <w:numPr>
                <w:ilvl w:val="0"/>
                <w:numId w:val="5"/>
              </w:numPr>
              <w:spacing w:after="40"/>
              <w:ind w:left="357" w:hanging="357"/>
              <w:contextualSpacing w:val="0"/>
              <w:rPr>
                <w:szCs w:val="22"/>
              </w:rPr>
            </w:pPr>
            <w:r w:rsidRPr="0042750D">
              <w:rPr>
                <w:szCs w:val="22"/>
              </w:rPr>
              <w:t>SG15 is collaborating with ISOC/IETF by dual participation and exchanging liaisons for relevant technical areas.</w:t>
            </w:r>
          </w:p>
          <w:p w14:paraId="75DD4AFB" w14:textId="3998DE4A" w:rsidR="004817DE" w:rsidRPr="0042750D" w:rsidRDefault="004817DE" w:rsidP="00FC6DC4">
            <w:pPr>
              <w:pStyle w:val="ListParagraph"/>
              <w:numPr>
                <w:ilvl w:val="0"/>
                <w:numId w:val="5"/>
              </w:numPr>
              <w:spacing w:after="40"/>
              <w:contextualSpacing w:val="0"/>
              <w:rPr>
                <w:szCs w:val="22"/>
              </w:rPr>
            </w:pPr>
            <w:r w:rsidRPr="0042750D">
              <w:rPr>
                <w:szCs w:val="22"/>
              </w:rPr>
              <w:t>TSAG liaised with IETF and IAB on “New IP, Shaping Future Network” (TSAG-LS23).</w:t>
            </w:r>
          </w:p>
        </w:tc>
      </w:tr>
      <w:tr w:rsidR="00F0236A" w:rsidRPr="0042750D" w14:paraId="2C415DAF" w14:textId="77777777" w:rsidTr="00FC6DC4">
        <w:trPr>
          <w:jc w:val="center"/>
        </w:trPr>
        <w:tc>
          <w:tcPr>
            <w:tcW w:w="910" w:type="dxa"/>
            <w:vMerge w:val="restart"/>
            <w:tcBorders>
              <w:top w:val="single" w:sz="12" w:space="0" w:color="auto"/>
            </w:tcBorders>
            <w:shd w:val="clear" w:color="auto" w:fill="auto"/>
          </w:tcPr>
          <w:p w14:paraId="1FE30E14" w14:textId="60398FC7" w:rsidR="00F0236A" w:rsidRPr="0042750D" w:rsidRDefault="00DC5739" w:rsidP="00FC6DC4">
            <w:pPr>
              <w:pStyle w:val="Tabletext"/>
              <w:rPr>
                <w:b/>
                <w:bCs/>
                <w:sz w:val="24"/>
                <w:szCs w:val="24"/>
              </w:rPr>
            </w:pPr>
            <w:r w:rsidRPr="0042750D">
              <w:rPr>
                <w:b/>
                <w:bCs/>
                <w:sz w:val="24"/>
                <w:szCs w:val="24"/>
              </w:rPr>
              <w:t>101</w:t>
            </w:r>
            <w:r w:rsidR="00F0236A" w:rsidRPr="0042750D">
              <w:rPr>
                <w:b/>
                <w:bCs/>
                <w:sz w:val="24"/>
                <w:szCs w:val="24"/>
              </w:rPr>
              <w:t>-02</w:t>
            </w:r>
          </w:p>
        </w:tc>
        <w:tc>
          <w:tcPr>
            <w:tcW w:w="4804" w:type="dxa"/>
            <w:tcBorders>
              <w:top w:val="single" w:sz="12" w:space="0" w:color="auto"/>
            </w:tcBorders>
            <w:shd w:val="clear" w:color="auto" w:fill="auto"/>
            <w:hideMark/>
          </w:tcPr>
          <w:p w14:paraId="649FC751" w14:textId="6CAD17F9" w:rsidR="00F0236A" w:rsidRPr="0042750D" w:rsidRDefault="00DC5739" w:rsidP="00FC6DC4">
            <w:pPr>
              <w:pStyle w:val="Tabletext"/>
              <w:rPr>
                <w:b/>
                <w:bCs/>
                <w:sz w:val="24"/>
                <w:szCs w:val="24"/>
              </w:rPr>
            </w:pPr>
            <w:r w:rsidRPr="0042750D">
              <w:rPr>
                <w:b/>
                <w:bCs/>
                <w:sz w:val="24"/>
                <w:szCs w:val="24"/>
              </w:rPr>
              <w:t>ITU-T to continue to consider and update their work programmes on IP-based networks and on migration to NGN and future networks including strengthening collaboration with other entities and organizations</w:t>
            </w:r>
            <w:r w:rsidR="009101F6" w:rsidRPr="0042750D">
              <w:rPr>
                <w:b/>
                <w:bCs/>
                <w:sz w:val="24"/>
                <w:szCs w:val="24"/>
              </w:rPr>
              <w:t xml:space="preserve"> (</w:t>
            </w:r>
            <w:r w:rsidR="009101F6" w:rsidRPr="0042750D">
              <w:rPr>
                <w:b/>
                <w:bCs/>
                <w:i/>
                <w:sz w:val="24"/>
                <w:szCs w:val="24"/>
              </w:rPr>
              <w:t>requests</w:t>
            </w:r>
            <w:r w:rsidR="009101F6" w:rsidRPr="0042750D">
              <w:rPr>
                <w:b/>
                <w:bCs/>
                <w:sz w:val="24"/>
                <w:szCs w:val="24"/>
              </w:rPr>
              <w:t>)</w:t>
            </w:r>
            <w:r w:rsidRPr="0042750D">
              <w:rPr>
                <w:b/>
                <w:bCs/>
                <w:sz w:val="24"/>
                <w:szCs w:val="24"/>
              </w:rPr>
              <w:t>.</w:t>
            </w:r>
          </w:p>
        </w:tc>
        <w:tc>
          <w:tcPr>
            <w:tcW w:w="1218" w:type="dxa"/>
            <w:tcBorders>
              <w:top w:val="single" w:sz="12" w:space="0" w:color="auto"/>
            </w:tcBorders>
            <w:shd w:val="clear" w:color="auto" w:fill="auto"/>
            <w:vAlign w:val="center"/>
            <w:hideMark/>
          </w:tcPr>
          <w:p w14:paraId="1B059422" w14:textId="77777777" w:rsidR="00F0236A" w:rsidRPr="0042750D" w:rsidRDefault="00F0236A" w:rsidP="00FC6DC4">
            <w:pPr>
              <w:pStyle w:val="Tabletext"/>
              <w:jc w:val="center"/>
              <w:rPr>
                <w:b/>
                <w:bCs/>
                <w:sz w:val="24"/>
                <w:szCs w:val="24"/>
              </w:rPr>
            </w:pPr>
            <w:r w:rsidRPr="0042750D">
              <w:rPr>
                <w:b/>
                <w:bCs/>
                <w:sz w:val="24"/>
                <w:szCs w:val="24"/>
              </w:rPr>
              <w:t>Ongoing</w:t>
            </w:r>
          </w:p>
        </w:tc>
        <w:tc>
          <w:tcPr>
            <w:tcW w:w="1252" w:type="dxa"/>
            <w:tcBorders>
              <w:top w:val="single" w:sz="12" w:space="0" w:color="auto"/>
            </w:tcBorders>
            <w:shd w:val="clear" w:color="auto" w:fill="auto"/>
            <w:vAlign w:val="center"/>
          </w:tcPr>
          <w:p w14:paraId="4010A375" w14:textId="551EEAC9" w:rsidR="00F0236A" w:rsidRPr="0042750D" w:rsidRDefault="00DB169F" w:rsidP="00FC6DC4">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595BA7CE" w14:textId="77777777" w:rsidR="00F0236A" w:rsidRPr="0042750D" w:rsidRDefault="00F0236A" w:rsidP="00FC6DC4">
            <w:pPr>
              <w:pStyle w:val="Tabletext"/>
              <w:jc w:val="center"/>
              <w:rPr>
                <w:b/>
                <w:bCs/>
                <w:sz w:val="24"/>
                <w:szCs w:val="24"/>
              </w:rPr>
            </w:pPr>
          </w:p>
        </w:tc>
      </w:tr>
      <w:tr w:rsidR="00F0236A" w:rsidRPr="0042750D" w14:paraId="051145C3" w14:textId="77777777" w:rsidTr="00FC6DC4">
        <w:trPr>
          <w:jc w:val="center"/>
        </w:trPr>
        <w:tc>
          <w:tcPr>
            <w:tcW w:w="910" w:type="dxa"/>
            <w:vMerge/>
            <w:shd w:val="clear" w:color="auto" w:fill="auto"/>
            <w:vAlign w:val="center"/>
          </w:tcPr>
          <w:p w14:paraId="62B3BFDD" w14:textId="77777777" w:rsidR="00F0236A" w:rsidRPr="0042750D" w:rsidRDefault="00F0236A" w:rsidP="00FC6DC4">
            <w:pPr>
              <w:pStyle w:val="Tabletext"/>
              <w:rPr>
                <w:sz w:val="24"/>
                <w:szCs w:val="24"/>
              </w:rPr>
            </w:pPr>
          </w:p>
        </w:tc>
        <w:tc>
          <w:tcPr>
            <w:tcW w:w="8612" w:type="dxa"/>
            <w:gridSpan w:val="4"/>
            <w:shd w:val="clear" w:color="auto" w:fill="auto"/>
          </w:tcPr>
          <w:p w14:paraId="10349A9F" w14:textId="78C2A517" w:rsidR="00F0236A" w:rsidRPr="0042750D" w:rsidRDefault="00DB169F" w:rsidP="00456CCC">
            <w:pPr>
              <w:spacing w:before="40"/>
              <w:rPr>
                <w:szCs w:val="22"/>
              </w:rPr>
            </w:pPr>
            <w:r w:rsidRPr="0042750D">
              <w:rPr>
                <w:szCs w:val="22"/>
              </w:rPr>
              <w:t>TSB is regularil</w:t>
            </w:r>
            <w:r w:rsidR="00D728CE" w:rsidRPr="0042750D">
              <w:rPr>
                <w:szCs w:val="22"/>
              </w:rPr>
              <w:t>y up</w:t>
            </w:r>
            <w:r w:rsidRPr="0042750D">
              <w:rPr>
                <w:szCs w:val="22"/>
              </w:rPr>
              <w:t>dating the work programme of ITU-T study groups.</w:t>
            </w:r>
          </w:p>
          <w:p w14:paraId="65955CC2" w14:textId="77777777" w:rsidR="00D728CE" w:rsidRPr="0042750D" w:rsidRDefault="00D728CE" w:rsidP="00FC6DC4">
            <w:pPr>
              <w:pStyle w:val="ListParagraph"/>
              <w:numPr>
                <w:ilvl w:val="0"/>
                <w:numId w:val="5"/>
              </w:numPr>
              <w:rPr>
                <w:szCs w:val="22"/>
              </w:rPr>
            </w:pPr>
            <w:r w:rsidRPr="0042750D">
              <w:rPr>
                <w:szCs w:val="22"/>
              </w:rPr>
              <w:t xml:space="preserve">SG3, in April 2019, started new studies on IMT2020-related policy considering MVNOs, on guidelines on implementation of Recommendation ITU-T D.52 focusing on operationalization of regional Internet exchange points, on roaming aspects of IoT and M2M including any related economic and tariff principles, and is continuing studies on </w:t>
            </w:r>
            <w:r w:rsidRPr="0042750D">
              <w:rPr>
                <w:rFonts w:asciiTheme="majorBidi" w:eastAsia="Arial Unicode MS" w:hAnsiTheme="majorBidi" w:cstheme="majorBidi"/>
                <w:bCs/>
                <w:kern w:val="1"/>
                <w:lang w:eastAsia="hi-IN" w:bidi="hi-IN"/>
              </w:rPr>
              <w:t xml:space="preserve">Interoperability for Competition in Mobile Financial Services, on </w:t>
            </w:r>
            <w:r w:rsidRPr="0042750D">
              <w:rPr>
                <w:rFonts w:eastAsia="Times New Roman"/>
                <w:szCs w:val="22"/>
              </w:rPr>
              <w:t>Reducing the cost of the international Internet connectivity of the Central African Backbone (CAB) project, Central African Republic component, on International Internet Connectivity, on Cost model for international Internet connectivity, on Framework for the Competitive Provision of International Internet Connectivity (IIC), on Guidelines on implementation of Recommendation ITU-T D.52 focusing on operationalization of regional Internet exchange points, on International Internet Connectivity, including IP peering, Regional Traffic Exchange Points, and cost of provision of services, and on Economic impact of transition from IPv4 to IPv6.</w:t>
            </w:r>
          </w:p>
          <w:p w14:paraId="3200CF3E" w14:textId="77777777" w:rsidR="001A2274" w:rsidRPr="0042750D" w:rsidRDefault="001A2274" w:rsidP="00FC6DC4">
            <w:pPr>
              <w:pStyle w:val="ListParagraph"/>
              <w:numPr>
                <w:ilvl w:val="0"/>
                <w:numId w:val="5"/>
              </w:numPr>
              <w:spacing w:after="40"/>
              <w:ind w:left="357" w:hanging="357"/>
              <w:contextualSpacing w:val="0"/>
              <w:rPr>
                <w:szCs w:val="22"/>
              </w:rPr>
            </w:pPr>
            <w:r w:rsidRPr="0042750D">
              <w:rPr>
                <w:szCs w:val="22"/>
              </w:rPr>
              <w:t>A forward looking FG NET2030 attracts the organizations and entities from all over the world.</w:t>
            </w:r>
          </w:p>
          <w:p w14:paraId="24D47174" w14:textId="566710DA" w:rsidR="0006366E" w:rsidRPr="0042750D" w:rsidRDefault="0006366E" w:rsidP="00FC6DC4">
            <w:pPr>
              <w:pStyle w:val="ListParagraph"/>
              <w:numPr>
                <w:ilvl w:val="0"/>
                <w:numId w:val="5"/>
              </w:numPr>
              <w:spacing w:after="40"/>
              <w:ind w:left="357" w:hanging="357"/>
              <w:contextualSpacing w:val="0"/>
              <w:rPr>
                <w:szCs w:val="22"/>
              </w:rPr>
            </w:pPr>
            <w:r w:rsidRPr="0042750D">
              <w:rPr>
                <w:szCs w:val="22"/>
              </w:rPr>
              <w:t>SG</w:t>
            </w:r>
            <w:r w:rsidR="002237D7" w:rsidRPr="0042750D">
              <w:rPr>
                <w:szCs w:val="22"/>
              </w:rPr>
              <w:t xml:space="preserve">s 12 and </w:t>
            </w:r>
            <w:r w:rsidRPr="0042750D">
              <w:rPr>
                <w:szCs w:val="22"/>
              </w:rPr>
              <w:t xml:space="preserve">15 </w:t>
            </w:r>
            <w:r w:rsidR="002237D7" w:rsidRPr="0042750D">
              <w:rPr>
                <w:szCs w:val="22"/>
              </w:rPr>
              <w:t xml:space="preserve">are </w:t>
            </w:r>
            <w:r w:rsidRPr="0042750D">
              <w:rPr>
                <w:szCs w:val="22"/>
              </w:rPr>
              <w:t>collaborating with other entities by dual participation and exchanging liaisons for relevant technical areas.</w:t>
            </w:r>
          </w:p>
        </w:tc>
      </w:tr>
      <w:tr w:rsidR="002157BC" w:rsidRPr="0042750D" w14:paraId="32684F9F" w14:textId="77777777" w:rsidTr="00FC6DC4">
        <w:trPr>
          <w:jc w:val="center"/>
        </w:trPr>
        <w:tc>
          <w:tcPr>
            <w:tcW w:w="910" w:type="dxa"/>
            <w:vMerge w:val="restart"/>
            <w:tcBorders>
              <w:top w:val="single" w:sz="12" w:space="0" w:color="auto"/>
            </w:tcBorders>
            <w:shd w:val="clear" w:color="auto" w:fill="auto"/>
          </w:tcPr>
          <w:p w14:paraId="63E3D093" w14:textId="546744F1" w:rsidR="002157BC" w:rsidRPr="0042750D" w:rsidRDefault="002157BC" w:rsidP="00FC6DC4">
            <w:pPr>
              <w:pStyle w:val="Tabletext"/>
              <w:rPr>
                <w:b/>
                <w:bCs/>
                <w:sz w:val="24"/>
                <w:szCs w:val="24"/>
              </w:rPr>
            </w:pPr>
            <w:bookmarkStart w:id="81" w:name="Item40_01"/>
            <w:bookmarkStart w:id="82" w:name="Item40_02"/>
            <w:bookmarkEnd w:id="81"/>
            <w:bookmarkEnd w:id="82"/>
            <w:r w:rsidRPr="0042750D">
              <w:rPr>
                <w:b/>
                <w:bCs/>
                <w:sz w:val="24"/>
                <w:szCs w:val="24"/>
              </w:rPr>
              <w:t>101-03</w:t>
            </w:r>
          </w:p>
        </w:tc>
        <w:tc>
          <w:tcPr>
            <w:tcW w:w="4804" w:type="dxa"/>
            <w:tcBorders>
              <w:top w:val="single" w:sz="12" w:space="0" w:color="auto"/>
            </w:tcBorders>
            <w:shd w:val="clear" w:color="auto" w:fill="auto"/>
            <w:hideMark/>
          </w:tcPr>
          <w:p w14:paraId="188EE978" w14:textId="5ACE441F" w:rsidR="002157BC" w:rsidRPr="0042750D" w:rsidRDefault="002157BC" w:rsidP="00FC6DC4">
            <w:pPr>
              <w:pStyle w:val="Tabletext"/>
              <w:rPr>
                <w:b/>
                <w:bCs/>
                <w:sz w:val="24"/>
                <w:szCs w:val="24"/>
              </w:rPr>
            </w:pPr>
            <w:r w:rsidRPr="0042750D">
              <w:rPr>
                <w:b/>
                <w:bCs/>
                <w:sz w:val="24"/>
                <w:szCs w:val="24"/>
              </w:rPr>
              <w:t>ITU</w:t>
            </w:r>
            <w:r w:rsidR="00D24200" w:rsidRPr="0042750D">
              <w:rPr>
                <w:b/>
                <w:bCs/>
                <w:sz w:val="24"/>
                <w:szCs w:val="24"/>
              </w:rPr>
              <w:t>-T</w:t>
            </w:r>
            <w:r w:rsidRPr="0042750D">
              <w:rPr>
                <w:b/>
                <w:bCs/>
                <w:sz w:val="24"/>
                <w:szCs w:val="24"/>
              </w:rPr>
              <w:t xml:space="preserve"> shall continue to collaborate with other relevant organizations</w:t>
            </w:r>
            <w:r w:rsidR="00C03C7C" w:rsidRPr="0042750D">
              <w:rPr>
                <w:b/>
                <w:bCs/>
                <w:sz w:val="24"/>
                <w:szCs w:val="24"/>
              </w:rPr>
              <w:t xml:space="preserve"> (</w:t>
            </w:r>
            <w:r w:rsidR="00C03C7C" w:rsidRPr="0042750D">
              <w:rPr>
                <w:b/>
                <w:bCs/>
                <w:i/>
                <w:sz w:val="24"/>
                <w:szCs w:val="24"/>
              </w:rPr>
              <w:t>resolves 4</w:t>
            </w:r>
            <w:r w:rsidR="00C03C7C" w:rsidRPr="0042750D">
              <w:rPr>
                <w:b/>
                <w:bCs/>
                <w:sz w:val="24"/>
                <w:szCs w:val="24"/>
              </w:rPr>
              <w:t>)</w:t>
            </w:r>
            <w:r w:rsidRPr="0042750D">
              <w:rPr>
                <w:b/>
                <w:bCs/>
                <w:sz w:val="24"/>
                <w:szCs w:val="24"/>
              </w:rPr>
              <w:t>.</w:t>
            </w:r>
          </w:p>
        </w:tc>
        <w:tc>
          <w:tcPr>
            <w:tcW w:w="1218" w:type="dxa"/>
            <w:tcBorders>
              <w:top w:val="single" w:sz="12" w:space="0" w:color="auto"/>
            </w:tcBorders>
            <w:shd w:val="clear" w:color="auto" w:fill="auto"/>
            <w:vAlign w:val="center"/>
            <w:hideMark/>
          </w:tcPr>
          <w:p w14:paraId="3D9F6B99" w14:textId="77777777" w:rsidR="002157BC" w:rsidRPr="0042750D" w:rsidRDefault="002157BC" w:rsidP="00FC6DC4">
            <w:pPr>
              <w:pStyle w:val="Tabletext"/>
              <w:jc w:val="center"/>
              <w:rPr>
                <w:b/>
                <w:bCs/>
                <w:sz w:val="24"/>
                <w:szCs w:val="24"/>
              </w:rPr>
            </w:pPr>
            <w:r w:rsidRPr="0042750D">
              <w:rPr>
                <w:b/>
                <w:bCs/>
                <w:sz w:val="24"/>
                <w:szCs w:val="24"/>
              </w:rPr>
              <w:t>Ongoing</w:t>
            </w:r>
          </w:p>
        </w:tc>
        <w:tc>
          <w:tcPr>
            <w:tcW w:w="1252" w:type="dxa"/>
            <w:tcBorders>
              <w:top w:val="single" w:sz="12" w:space="0" w:color="auto"/>
            </w:tcBorders>
            <w:shd w:val="clear" w:color="auto" w:fill="auto"/>
            <w:vAlign w:val="center"/>
          </w:tcPr>
          <w:p w14:paraId="27EF9F9B" w14:textId="6A17D4A7" w:rsidR="002157BC" w:rsidRPr="0042750D" w:rsidRDefault="007C3186" w:rsidP="00FC6DC4">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2ECABAAD" w14:textId="77777777" w:rsidR="002157BC" w:rsidRPr="0042750D" w:rsidRDefault="002157BC" w:rsidP="00FC6DC4">
            <w:pPr>
              <w:pStyle w:val="Tabletext"/>
              <w:jc w:val="center"/>
              <w:rPr>
                <w:b/>
                <w:bCs/>
                <w:sz w:val="24"/>
                <w:szCs w:val="24"/>
              </w:rPr>
            </w:pPr>
          </w:p>
        </w:tc>
      </w:tr>
      <w:tr w:rsidR="0006366E" w:rsidRPr="0042750D" w14:paraId="217E8E81" w14:textId="77777777" w:rsidTr="00FC6DC4">
        <w:trPr>
          <w:jc w:val="center"/>
        </w:trPr>
        <w:tc>
          <w:tcPr>
            <w:tcW w:w="910" w:type="dxa"/>
            <w:vMerge/>
            <w:shd w:val="clear" w:color="auto" w:fill="auto"/>
            <w:vAlign w:val="center"/>
          </w:tcPr>
          <w:p w14:paraId="66C35941" w14:textId="77777777" w:rsidR="0006366E" w:rsidRPr="0042750D" w:rsidRDefault="0006366E" w:rsidP="00FC6DC4">
            <w:pPr>
              <w:pStyle w:val="Tabletext"/>
              <w:rPr>
                <w:sz w:val="24"/>
                <w:szCs w:val="24"/>
              </w:rPr>
            </w:pPr>
          </w:p>
        </w:tc>
        <w:tc>
          <w:tcPr>
            <w:tcW w:w="8612" w:type="dxa"/>
            <w:gridSpan w:val="4"/>
            <w:shd w:val="clear" w:color="auto" w:fill="auto"/>
          </w:tcPr>
          <w:p w14:paraId="699898AF" w14:textId="33E48D8C" w:rsidR="00F474EF" w:rsidRPr="0042750D" w:rsidRDefault="00F474EF" w:rsidP="00456CCC">
            <w:pPr>
              <w:pStyle w:val="ListParagraph"/>
              <w:numPr>
                <w:ilvl w:val="0"/>
                <w:numId w:val="7"/>
              </w:numPr>
              <w:spacing w:before="40" w:after="40"/>
              <w:ind w:left="357" w:hanging="357"/>
              <w:contextualSpacing w:val="0"/>
              <w:rPr>
                <w:szCs w:val="22"/>
              </w:rPr>
            </w:pPr>
            <w:r w:rsidRPr="0042750D">
              <w:rPr>
                <w:szCs w:val="22"/>
              </w:rPr>
              <w:t>SG2: see 101-01</w:t>
            </w:r>
            <w:r w:rsidR="0074419F" w:rsidRPr="0042750D">
              <w:rPr>
                <w:szCs w:val="22"/>
              </w:rPr>
              <w:t>.</w:t>
            </w:r>
          </w:p>
          <w:p w14:paraId="6216F040" w14:textId="269EE2D2" w:rsidR="009D1144" w:rsidRPr="0042750D" w:rsidRDefault="009D1144" w:rsidP="00FC6DC4">
            <w:pPr>
              <w:pStyle w:val="ListParagraph"/>
              <w:numPr>
                <w:ilvl w:val="0"/>
                <w:numId w:val="7"/>
              </w:numPr>
              <w:spacing w:after="40"/>
              <w:ind w:left="357" w:hanging="357"/>
              <w:contextualSpacing w:val="0"/>
              <w:rPr>
                <w:szCs w:val="22"/>
              </w:rPr>
            </w:pPr>
            <w:r w:rsidRPr="0042750D">
              <w:rPr>
                <w:szCs w:val="22"/>
              </w:rPr>
              <w:t>SG11: see 101-01.</w:t>
            </w:r>
          </w:p>
          <w:p w14:paraId="7F72801B" w14:textId="04627D36" w:rsidR="0006366E" w:rsidRPr="0042750D" w:rsidRDefault="0006366E" w:rsidP="00FC6DC4">
            <w:pPr>
              <w:pStyle w:val="ListParagraph"/>
              <w:numPr>
                <w:ilvl w:val="0"/>
                <w:numId w:val="7"/>
              </w:numPr>
              <w:spacing w:after="40"/>
              <w:ind w:left="357" w:hanging="357"/>
              <w:contextualSpacing w:val="0"/>
              <w:rPr>
                <w:szCs w:val="22"/>
              </w:rPr>
            </w:pPr>
            <w:r w:rsidRPr="0042750D">
              <w:rPr>
                <w:szCs w:val="22"/>
              </w:rPr>
              <w:t>SG</w:t>
            </w:r>
            <w:r w:rsidR="002237D7" w:rsidRPr="0042750D">
              <w:rPr>
                <w:szCs w:val="22"/>
              </w:rPr>
              <w:t xml:space="preserve">s 12 and </w:t>
            </w:r>
            <w:r w:rsidRPr="0042750D">
              <w:rPr>
                <w:szCs w:val="22"/>
              </w:rPr>
              <w:t xml:space="preserve">15: see </w:t>
            </w:r>
            <w:r w:rsidR="002237D7" w:rsidRPr="0042750D">
              <w:rPr>
                <w:szCs w:val="22"/>
              </w:rPr>
              <w:t xml:space="preserve">101-01 and </w:t>
            </w:r>
            <w:r w:rsidRPr="0042750D">
              <w:rPr>
                <w:szCs w:val="22"/>
              </w:rPr>
              <w:t>101-02</w:t>
            </w:r>
            <w:r w:rsidR="007C3186" w:rsidRPr="0042750D">
              <w:rPr>
                <w:szCs w:val="22"/>
              </w:rPr>
              <w:t>.</w:t>
            </w:r>
          </w:p>
          <w:p w14:paraId="6F44124A" w14:textId="52D293B2" w:rsidR="00D2257C" w:rsidRPr="0042750D" w:rsidRDefault="00D2257C" w:rsidP="00FC6DC4">
            <w:pPr>
              <w:pStyle w:val="ListParagraph"/>
              <w:numPr>
                <w:ilvl w:val="0"/>
                <w:numId w:val="7"/>
              </w:numPr>
              <w:spacing w:after="40"/>
              <w:ind w:left="357" w:hanging="357"/>
              <w:contextualSpacing w:val="0"/>
              <w:rPr>
                <w:szCs w:val="22"/>
              </w:rPr>
            </w:pPr>
            <w:r w:rsidRPr="0042750D">
              <w:rPr>
                <w:szCs w:val="22"/>
              </w:rPr>
              <w:t>TSAG: see 101-01.</w:t>
            </w:r>
          </w:p>
        </w:tc>
      </w:tr>
      <w:tr w:rsidR="0006366E" w:rsidRPr="0042750D" w14:paraId="76B29DBB" w14:textId="77777777" w:rsidTr="00FC6DC4">
        <w:trPr>
          <w:jc w:val="center"/>
        </w:trPr>
        <w:tc>
          <w:tcPr>
            <w:tcW w:w="910" w:type="dxa"/>
            <w:vMerge w:val="restart"/>
            <w:tcBorders>
              <w:top w:val="single" w:sz="12" w:space="0" w:color="auto"/>
            </w:tcBorders>
            <w:shd w:val="clear" w:color="auto" w:fill="auto"/>
          </w:tcPr>
          <w:p w14:paraId="77B6EE46" w14:textId="14BE2ED1" w:rsidR="0006366E" w:rsidRPr="0042750D" w:rsidRDefault="0006366E" w:rsidP="00FC6DC4">
            <w:pPr>
              <w:pStyle w:val="Tabletext"/>
              <w:rPr>
                <w:b/>
                <w:bCs/>
                <w:sz w:val="24"/>
                <w:szCs w:val="24"/>
              </w:rPr>
            </w:pPr>
            <w:r w:rsidRPr="0042750D">
              <w:rPr>
                <w:b/>
                <w:bCs/>
                <w:sz w:val="24"/>
                <w:szCs w:val="24"/>
              </w:rPr>
              <w:t>101-04</w:t>
            </w:r>
          </w:p>
        </w:tc>
        <w:tc>
          <w:tcPr>
            <w:tcW w:w="4804" w:type="dxa"/>
            <w:tcBorders>
              <w:top w:val="single" w:sz="12" w:space="0" w:color="auto"/>
            </w:tcBorders>
            <w:shd w:val="clear" w:color="auto" w:fill="auto"/>
            <w:hideMark/>
          </w:tcPr>
          <w:p w14:paraId="0A67C412" w14:textId="68090458" w:rsidR="0006366E" w:rsidRPr="0042750D" w:rsidRDefault="0006366E" w:rsidP="00FC6DC4">
            <w:pPr>
              <w:pStyle w:val="Tabletext"/>
              <w:rPr>
                <w:b/>
                <w:bCs/>
                <w:sz w:val="24"/>
                <w:szCs w:val="24"/>
              </w:rPr>
            </w:pPr>
            <w:r w:rsidRPr="0042750D">
              <w:rPr>
                <w:b/>
                <w:bCs/>
                <w:sz w:val="24"/>
                <w:szCs w:val="24"/>
              </w:rPr>
              <w:t>ITU-T to continue the study of international Internet connectivity as an urgent matter (</w:t>
            </w:r>
            <w:r w:rsidRPr="0042750D">
              <w:rPr>
                <w:b/>
                <w:bCs/>
                <w:i/>
                <w:sz w:val="24"/>
                <w:szCs w:val="24"/>
              </w:rPr>
              <w:t>resolves 5</w:t>
            </w:r>
            <w:r w:rsidRPr="0042750D">
              <w:rPr>
                <w:b/>
                <w:bCs/>
                <w:sz w:val="24"/>
                <w:szCs w:val="24"/>
              </w:rPr>
              <w:t>).</w:t>
            </w:r>
          </w:p>
        </w:tc>
        <w:tc>
          <w:tcPr>
            <w:tcW w:w="1218" w:type="dxa"/>
            <w:tcBorders>
              <w:top w:val="single" w:sz="12" w:space="0" w:color="auto"/>
            </w:tcBorders>
            <w:shd w:val="clear" w:color="auto" w:fill="auto"/>
            <w:vAlign w:val="center"/>
            <w:hideMark/>
          </w:tcPr>
          <w:p w14:paraId="49D9ABC6" w14:textId="77777777" w:rsidR="0006366E" w:rsidRPr="0042750D" w:rsidRDefault="0006366E" w:rsidP="00FC6DC4">
            <w:pPr>
              <w:pStyle w:val="Tabletext"/>
              <w:jc w:val="center"/>
              <w:rPr>
                <w:b/>
                <w:bCs/>
                <w:sz w:val="24"/>
                <w:szCs w:val="24"/>
              </w:rPr>
            </w:pPr>
            <w:r w:rsidRPr="0042750D">
              <w:rPr>
                <w:b/>
                <w:bCs/>
                <w:sz w:val="24"/>
                <w:szCs w:val="24"/>
              </w:rPr>
              <w:t>Ongoing</w:t>
            </w:r>
          </w:p>
        </w:tc>
        <w:tc>
          <w:tcPr>
            <w:tcW w:w="1252" w:type="dxa"/>
            <w:tcBorders>
              <w:top w:val="single" w:sz="12" w:space="0" w:color="auto"/>
            </w:tcBorders>
            <w:shd w:val="clear" w:color="auto" w:fill="auto"/>
            <w:vAlign w:val="center"/>
          </w:tcPr>
          <w:p w14:paraId="3E9F9E7A" w14:textId="588AAA5E" w:rsidR="0006366E" w:rsidRPr="0042750D" w:rsidRDefault="0006366E" w:rsidP="00FC6DC4">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0C8F761B" w14:textId="77777777" w:rsidR="0006366E" w:rsidRPr="0042750D" w:rsidRDefault="0006366E" w:rsidP="00FC6DC4">
            <w:pPr>
              <w:pStyle w:val="Tabletext"/>
              <w:jc w:val="center"/>
              <w:rPr>
                <w:b/>
                <w:bCs/>
                <w:sz w:val="24"/>
                <w:szCs w:val="24"/>
              </w:rPr>
            </w:pPr>
          </w:p>
        </w:tc>
      </w:tr>
      <w:tr w:rsidR="0006366E" w:rsidRPr="0042750D" w14:paraId="5580373E" w14:textId="77777777" w:rsidTr="00FC6DC4">
        <w:trPr>
          <w:jc w:val="center"/>
        </w:trPr>
        <w:tc>
          <w:tcPr>
            <w:tcW w:w="910" w:type="dxa"/>
            <w:vMerge/>
            <w:shd w:val="clear" w:color="auto" w:fill="auto"/>
            <w:vAlign w:val="center"/>
          </w:tcPr>
          <w:p w14:paraId="3D5A0A6A" w14:textId="77777777" w:rsidR="0006366E" w:rsidRPr="0042750D" w:rsidRDefault="0006366E" w:rsidP="00FC6DC4">
            <w:pPr>
              <w:pStyle w:val="Tabletext"/>
              <w:rPr>
                <w:sz w:val="24"/>
                <w:szCs w:val="24"/>
              </w:rPr>
            </w:pPr>
          </w:p>
        </w:tc>
        <w:tc>
          <w:tcPr>
            <w:tcW w:w="8612" w:type="dxa"/>
            <w:gridSpan w:val="4"/>
            <w:shd w:val="clear" w:color="auto" w:fill="auto"/>
          </w:tcPr>
          <w:p w14:paraId="424E6B89" w14:textId="45BEA63C" w:rsidR="0006366E" w:rsidRPr="0042750D" w:rsidRDefault="0006366E" w:rsidP="00456CCC">
            <w:pPr>
              <w:pStyle w:val="ListParagraph"/>
              <w:numPr>
                <w:ilvl w:val="0"/>
                <w:numId w:val="5"/>
              </w:numPr>
              <w:spacing w:before="40" w:after="40"/>
              <w:ind w:left="357" w:hanging="357"/>
              <w:contextualSpacing w:val="0"/>
              <w:rPr>
                <w:szCs w:val="22"/>
              </w:rPr>
            </w:pPr>
            <w:r w:rsidRPr="0042750D">
              <w:rPr>
                <w:szCs w:val="22"/>
              </w:rPr>
              <w:t xml:space="preserve">SG3, in April 2019, started new studies on IMT2020-related policy considering MVNOs, on guidelines on implementation of Recommendation ITU-T D.52 focusing on operationalization of regional Internet exchange points, on roaming aspects of IoT and M2M including any related economic and tariff principles, and is continuing studies on </w:t>
            </w:r>
            <w:r w:rsidRPr="0042750D">
              <w:rPr>
                <w:rFonts w:asciiTheme="majorBidi" w:eastAsia="Arial Unicode MS" w:hAnsiTheme="majorBidi" w:cstheme="majorBidi"/>
                <w:bCs/>
                <w:kern w:val="1"/>
                <w:lang w:eastAsia="hi-IN" w:bidi="hi-IN"/>
              </w:rPr>
              <w:t xml:space="preserve">Interoperability for Competition in Mobile Financial Services, on </w:t>
            </w:r>
            <w:r w:rsidRPr="0042750D">
              <w:rPr>
                <w:rFonts w:eastAsia="Times New Roman"/>
                <w:szCs w:val="22"/>
              </w:rPr>
              <w:t>Reducing the cost of the international Internet connectivity of the Central African Backbone (CAB) project, Central African Republic component, on International Internet Connectivity, on Cost model for international Internet connectivity, on Framework for the Competitive Provision of International Internet Connectivity (IIC), on Guidelines on implementation of Recommendation ITU-T D.52 focusing on operationalization of regional Internet exchange points, on International Internet Connectivity, including IP peering, Regional Traffic Exchange Points, and cost of provision of services, and on Economic impact of transition from IPv4 to IPv6.</w:t>
            </w:r>
          </w:p>
        </w:tc>
      </w:tr>
      <w:tr w:rsidR="0006366E" w:rsidRPr="0042750D" w14:paraId="6B1FE977" w14:textId="77777777" w:rsidTr="00FC6DC4">
        <w:trPr>
          <w:jc w:val="center"/>
        </w:trPr>
        <w:tc>
          <w:tcPr>
            <w:tcW w:w="910" w:type="dxa"/>
            <w:vMerge w:val="restart"/>
            <w:tcBorders>
              <w:top w:val="single" w:sz="12" w:space="0" w:color="auto"/>
            </w:tcBorders>
            <w:shd w:val="clear" w:color="auto" w:fill="auto"/>
          </w:tcPr>
          <w:p w14:paraId="307646B1" w14:textId="1AB2F62C" w:rsidR="0006366E" w:rsidRPr="0042750D" w:rsidRDefault="0006366E" w:rsidP="00FC6DC4">
            <w:pPr>
              <w:pStyle w:val="Tabletext"/>
              <w:rPr>
                <w:b/>
                <w:bCs/>
                <w:sz w:val="24"/>
                <w:szCs w:val="24"/>
              </w:rPr>
            </w:pPr>
            <w:r w:rsidRPr="0042750D">
              <w:rPr>
                <w:b/>
                <w:bCs/>
                <w:sz w:val="24"/>
                <w:szCs w:val="24"/>
              </w:rPr>
              <w:t>101-05</w:t>
            </w:r>
          </w:p>
        </w:tc>
        <w:tc>
          <w:tcPr>
            <w:tcW w:w="4804" w:type="dxa"/>
            <w:tcBorders>
              <w:top w:val="single" w:sz="12" w:space="0" w:color="auto"/>
            </w:tcBorders>
            <w:shd w:val="clear" w:color="auto" w:fill="auto"/>
            <w:hideMark/>
          </w:tcPr>
          <w:p w14:paraId="4482CFA3" w14:textId="642FD61A" w:rsidR="0006366E" w:rsidRPr="0042750D" w:rsidRDefault="0006366E" w:rsidP="00FC6DC4">
            <w:pPr>
              <w:pStyle w:val="Tabletext"/>
              <w:rPr>
                <w:b/>
                <w:bCs/>
                <w:sz w:val="24"/>
                <w:szCs w:val="24"/>
              </w:rPr>
            </w:pPr>
            <w:r w:rsidRPr="0042750D">
              <w:rPr>
                <w:b/>
                <w:bCs/>
                <w:sz w:val="24"/>
                <w:szCs w:val="24"/>
              </w:rPr>
              <w:t>TSBDir to contribute to SecGen’s annual report to Council t</w:t>
            </w:r>
            <w:r w:rsidRPr="0042750D">
              <w:rPr>
                <w:b/>
                <w:sz w:val="24"/>
                <w:szCs w:val="24"/>
              </w:rPr>
              <w:t>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w:t>
            </w:r>
            <w:r w:rsidRPr="0042750D">
              <w:rPr>
                <w:b/>
                <w:i/>
                <w:sz w:val="24"/>
                <w:szCs w:val="24"/>
              </w:rPr>
              <w:t>instructs 1</w:t>
            </w:r>
            <w:r w:rsidRPr="0042750D">
              <w:rPr>
                <w:b/>
                <w:sz w:val="24"/>
                <w:szCs w:val="24"/>
              </w:rPr>
              <w:t>).</w:t>
            </w:r>
          </w:p>
        </w:tc>
        <w:tc>
          <w:tcPr>
            <w:tcW w:w="1218" w:type="dxa"/>
            <w:tcBorders>
              <w:top w:val="single" w:sz="12" w:space="0" w:color="auto"/>
            </w:tcBorders>
            <w:shd w:val="clear" w:color="auto" w:fill="auto"/>
            <w:vAlign w:val="center"/>
            <w:hideMark/>
          </w:tcPr>
          <w:p w14:paraId="69648A29" w14:textId="06145D7A" w:rsidR="0006366E" w:rsidRPr="0042750D" w:rsidRDefault="0006366E" w:rsidP="00FC6DC4">
            <w:pPr>
              <w:pStyle w:val="Tabletext"/>
              <w:jc w:val="center"/>
              <w:rPr>
                <w:b/>
                <w:bCs/>
                <w:sz w:val="24"/>
                <w:szCs w:val="24"/>
              </w:rPr>
            </w:pPr>
            <w:r w:rsidRPr="0042750D">
              <w:rPr>
                <w:b/>
                <w:bCs/>
                <w:sz w:val="24"/>
                <w:szCs w:val="24"/>
              </w:rPr>
              <w:t>Council</w:t>
            </w:r>
          </w:p>
        </w:tc>
        <w:tc>
          <w:tcPr>
            <w:tcW w:w="1252" w:type="dxa"/>
            <w:tcBorders>
              <w:top w:val="single" w:sz="12" w:space="0" w:color="auto"/>
            </w:tcBorders>
            <w:shd w:val="clear" w:color="auto" w:fill="auto"/>
            <w:vAlign w:val="center"/>
          </w:tcPr>
          <w:p w14:paraId="511540F4" w14:textId="0F9F7733" w:rsidR="0006366E" w:rsidRPr="0042750D" w:rsidRDefault="0006366E" w:rsidP="00FC6DC4">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3769A65C" w14:textId="77777777" w:rsidR="0006366E" w:rsidRPr="0042750D" w:rsidRDefault="0006366E" w:rsidP="00FC6DC4">
            <w:pPr>
              <w:pStyle w:val="Tabletext"/>
              <w:jc w:val="center"/>
              <w:rPr>
                <w:b/>
                <w:bCs/>
                <w:sz w:val="24"/>
                <w:szCs w:val="24"/>
              </w:rPr>
            </w:pPr>
          </w:p>
        </w:tc>
      </w:tr>
      <w:tr w:rsidR="0006366E" w:rsidRPr="0042750D" w14:paraId="09877491" w14:textId="77777777" w:rsidTr="00FC6DC4">
        <w:trPr>
          <w:jc w:val="center"/>
        </w:trPr>
        <w:tc>
          <w:tcPr>
            <w:tcW w:w="910" w:type="dxa"/>
            <w:vMerge/>
            <w:shd w:val="clear" w:color="auto" w:fill="auto"/>
            <w:vAlign w:val="center"/>
          </w:tcPr>
          <w:p w14:paraId="424C7676" w14:textId="77777777" w:rsidR="0006366E" w:rsidRPr="0042750D" w:rsidRDefault="0006366E" w:rsidP="00FC6DC4">
            <w:pPr>
              <w:pStyle w:val="Tabletext"/>
              <w:rPr>
                <w:sz w:val="24"/>
                <w:szCs w:val="24"/>
              </w:rPr>
            </w:pPr>
          </w:p>
        </w:tc>
        <w:tc>
          <w:tcPr>
            <w:tcW w:w="8612" w:type="dxa"/>
            <w:gridSpan w:val="4"/>
            <w:shd w:val="clear" w:color="auto" w:fill="auto"/>
          </w:tcPr>
          <w:p w14:paraId="0A696D01" w14:textId="5DA949D9" w:rsidR="0006366E" w:rsidRPr="0042750D" w:rsidRDefault="0006366E" w:rsidP="00456CCC">
            <w:pPr>
              <w:spacing w:before="40" w:after="40"/>
              <w:rPr>
                <w:szCs w:val="22"/>
              </w:rPr>
            </w:pPr>
            <w:r w:rsidRPr="0042750D">
              <w:t xml:space="preserve">See </w:t>
            </w:r>
            <w:hyperlink r:id="rId30" w:history="1">
              <w:r w:rsidRPr="0042750D">
                <w:rPr>
                  <w:rStyle w:val="Hyperlink"/>
                </w:rPr>
                <w:t>CWG-Internet 12/2</w:t>
              </w:r>
            </w:hyperlink>
            <w:r w:rsidR="00C80058" w:rsidRPr="0042750D">
              <w:rPr>
                <w:rStyle w:val="Hyperlink"/>
                <w:u w:val="none"/>
              </w:rPr>
              <w:t xml:space="preserve">, </w:t>
            </w:r>
            <w:hyperlink r:id="rId31" w:history="1">
              <w:r w:rsidR="00C80058" w:rsidRPr="0042750D">
                <w:rPr>
                  <w:rStyle w:val="Hyperlink"/>
                </w:rPr>
                <w:t>CWG-Internet-13/3</w:t>
              </w:r>
            </w:hyperlink>
            <w:r w:rsidRPr="0042750D">
              <w:t xml:space="preserve"> “ITU Internet Activities </w:t>
            </w:r>
            <w:r w:rsidR="00C80058" w:rsidRPr="0042750D">
              <w:t xml:space="preserve">- Resolutions 101, 102, 133, </w:t>
            </w:r>
            <w:r w:rsidRPr="0042750D">
              <w:t>180</w:t>
            </w:r>
            <w:r w:rsidR="00C80058" w:rsidRPr="0042750D">
              <w:t>, and 206</w:t>
            </w:r>
            <w:r w:rsidRPr="0042750D">
              <w:t xml:space="preserve">”; see </w:t>
            </w:r>
            <w:hyperlink r:id="rId32" w:history="1">
              <w:r w:rsidRPr="0042750D">
                <w:rPr>
                  <w:rStyle w:val="Hyperlink"/>
                </w:rPr>
                <w:t>C19/33</w:t>
              </w:r>
            </w:hyperlink>
            <w:r w:rsidRPr="0042750D">
              <w:t>.</w:t>
            </w:r>
          </w:p>
        </w:tc>
      </w:tr>
    </w:tbl>
    <w:p w14:paraId="02ADFC6C" w14:textId="00BAA67F" w:rsidR="00F0236A" w:rsidRPr="0042750D" w:rsidRDefault="00DD025B" w:rsidP="00F0236A">
      <w:pPr>
        <w:rPr>
          <w:rStyle w:val="Hyperlink"/>
          <w:sz w:val="24"/>
        </w:rPr>
      </w:pPr>
      <w:hyperlink w:anchor="Top" w:history="1">
        <w:r w:rsidR="00F0236A" w:rsidRPr="0042750D">
          <w:rPr>
            <w:rStyle w:val="Hyperlink"/>
            <w:sz w:val="24"/>
          </w:rPr>
          <w:t>» Top</w:t>
        </w:r>
      </w:hyperlink>
    </w:p>
    <w:p w14:paraId="4D9747C9" w14:textId="2584D7E7" w:rsidR="00F0236A" w:rsidRPr="0042750D" w:rsidRDefault="00135C2F" w:rsidP="003900C2">
      <w:pPr>
        <w:pStyle w:val="Heading1"/>
        <w:rPr>
          <w:sz w:val="24"/>
          <w:szCs w:val="24"/>
          <w:lang w:val="en-GB"/>
        </w:rPr>
      </w:pPr>
      <w:bookmarkStart w:id="83" w:name="Resolution_43"/>
      <w:bookmarkStart w:id="84" w:name="_Toc30749156"/>
      <w:bookmarkEnd w:id="83"/>
      <w:r w:rsidRPr="0042750D">
        <w:rPr>
          <w:sz w:val="24"/>
          <w:szCs w:val="24"/>
          <w:lang w:val="en-GB"/>
        </w:rPr>
        <w:t>RESOLUTION 102 (REV. DUBAI, 2018) – ITU's role with regard to international public policy issues pertaining to the Internet and the management of Internet resources, including domain names and addresses</w:t>
      </w:r>
      <w:bookmarkEnd w:id="84"/>
    </w:p>
    <w:p w14:paraId="4C5A8FAF" w14:textId="77777777" w:rsidR="00135C2F" w:rsidRPr="0042750D" w:rsidRDefault="00135C2F" w:rsidP="003900C2">
      <w:pPr>
        <w:pStyle w:val="Call"/>
        <w:keepNext w:val="0"/>
        <w:keepLines w:val="0"/>
        <w:rPr>
          <w:lang w:val="en-GB"/>
        </w:rPr>
      </w:pPr>
      <w:r w:rsidRPr="0042750D">
        <w:rPr>
          <w:lang w:val="en-GB"/>
        </w:rPr>
        <w:t>resolves</w:t>
      </w:r>
    </w:p>
    <w:p w14:paraId="4946FCBF" w14:textId="77777777" w:rsidR="00135C2F" w:rsidRPr="0042750D" w:rsidRDefault="00135C2F" w:rsidP="003900C2">
      <w:r w:rsidRPr="0042750D">
        <w:t>1</w:t>
      </w:r>
      <w:r w:rsidRPr="0042750D">
        <w:tab/>
        <w:t>to explore ways and means, in accordance with the Tunis Agenda for the Information Society, for greater reciprocal collaboration and coordination between ITU and relevant organizations</w:t>
      </w:r>
      <w:r w:rsidRPr="0042750D">
        <w:rPr>
          <w:rStyle w:val="FootnoteReference"/>
        </w:rPr>
        <w:footnoteReference w:customMarkFollows="1" w:id="7"/>
        <w:t>2</w:t>
      </w:r>
      <w:r w:rsidRPr="0042750D">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435B12DD" w14:textId="77777777" w:rsidR="00135C2F" w:rsidRPr="0042750D" w:rsidRDefault="00135C2F" w:rsidP="00135C2F">
      <w:r w:rsidRPr="0042750D">
        <w:t>2</w:t>
      </w:r>
      <w:r w:rsidRPr="0042750D">
        <w:tab/>
        <w:t>that the sovereign and legitimate interests, as expressed and defined by each country, in diverse ways, regarding decisions affecting their ccTLDs, need to be respected and ensured, upheld and addressed via flexible and improved frameworks and mechanisms;</w:t>
      </w:r>
    </w:p>
    <w:p w14:paraId="17EF7C35" w14:textId="77777777" w:rsidR="00135C2F" w:rsidRPr="0042750D" w:rsidRDefault="00135C2F" w:rsidP="00135C2F">
      <w:pPr>
        <w:rPr>
          <w:color w:val="000000"/>
        </w:rPr>
      </w:pPr>
      <w:r w:rsidRPr="0042750D">
        <w:t>3</w:t>
      </w:r>
      <w:r w:rsidRPr="0042750D">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p>
    <w:p w14:paraId="597CC183" w14:textId="77777777" w:rsidR="00135C2F" w:rsidRPr="0042750D" w:rsidRDefault="00135C2F" w:rsidP="00135C2F">
      <w:pPr>
        <w:rPr>
          <w:color w:val="000000"/>
        </w:rPr>
      </w:pPr>
      <w:r w:rsidRPr="0042750D">
        <w:t>4</w:t>
      </w:r>
      <w:r w:rsidRPr="0042750D">
        <w:tab/>
        <w:t>to continue the CWG-Internet activities as listed in the relevant Council resolutions,</w:t>
      </w:r>
    </w:p>
    <w:p w14:paraId="27570635" w14:textId="77777777" w:rsidR="00135C2F" w:rsidRPr="0042750D" w:rsidRDefault="00135C2F" w:rsidP="00135C2F">
      <w:pPr>
        <w:pStyle w:val="Call"/>
        <w:rPr>
          <w:lang w:val="en-GB"/>
        </w:rPr>
      </w:pPr>
      <w:r w:rsidRPr="0042750D">
        <w:rPr>
          <w:lang w:val="en-GB"/>
        </w:rPr>
        <w:t>instructs the Secretary-General</w:t>
      </w:r>
    </w:p>
    <w:p w14:paraId="5095F4AC" w14:textId="77777777" w:rsidR="00135C2F" w:rsidRPr="0042750D" w:rsidRDefault="00135C2F" w:rsidP="00135C2F">
      <w:r w:rsidRPr="0042750D">
        <w:t>1</w:t>
      </w:r>
      <w:r w:rsidRPr="0042750D">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p>
    <w:p w14:paraId="23D84706" w14:textId="77777777" w:rsidR="00135C2F" w:rsidRPr="0042750D" w:rsidRDefault="00135C2F" w:rsidP="00135C2F">
      <w:r w:rsidRPr="0042750D">
        <w:t>2</w:t>
      </w:r>
      <w:r w:rsidRPr="0042750D">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p>
    <w:p w14:paraId="3B29712B" w14:textId="77777777" w:rsidR="00135C2F" w:rsidRPr="0042750D" w:rsidRDefault="00135C2F" w:rsidP="00135C2F">
      <w:r w:rsidRPr="0042750D">
        <w:t>3</w:t>
      </w:r>
      <w:r w:rsidRPr="0042750D">
        <w:rPr>
          <w:rFonts w:asciiTheme="minorHAnsi" w:hAnsiTheme="minorHAnsi"/>
        </w:rPr>
        <w:tab/>
      </w:r>
      <w:r w:rsidRPr="0042750D">
        <w:t>to continue to raise awareness of the critical importance of sustainable development in discussions and initiatives on international public policy issues pertaining to the Internet and the management of Internet resources;</w:t>
      </w:r>
    </w:p>
    <w:p w14:paraId="3FE75D1B" w14:textId="77777777" w:rsidR="00135C2F" w:rsidRPr="0042750D" w:rsidRDefault="00135C2F" w:rsidP="00135C2F">
      <w:r w:rsidRPr="0042750D">
        <w:t>4</w:t>
      </w:r>
      <w:r w:rsidRPr="0042750D">
        <w:tab/>
        <w:t>in line with § 78a) of the Tunis Agenda, to continue to contribute as appropriate to the work of IGF;</w:t>
      </w:r>
    </w:p>
    <w:p w14:paraId="29EBB086" w14:textId="77777777" w:rsidR="00135C2F" w:rsidRPr="0042750D" w:rsidRDefault="00135C2F" w:rsidP="00135C2F">
      <w:r w:rsidRPr="0042750D">
        <w:t>5</w:t>
      </w:r>
      <w:r w:rsidRPr="0042750D">
        <w:tab/>
        <w:t>to continue to take the necessary steps for ITU to play an active and constructive role in the process towards enhanced cooperation as expressed in § 71 of the Tunis Agenda;</w:t>
      </w:r>
    </w:p>
    <w:p w14:paraId="51DFC4BE" w14:textId="77777777" w:rsidR="00135C2F" w:rsidRPr="0042750D" w:rsidRDefault="00135C2F" w:rsidP="00135C2F">
      <w:r w:rsidRPr="0042750D">
        <w:t>6</w:t>
      </w:r>
      <w:r w:rsidRPr="0042750D">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p>
    <w:p w14:paraId="108B927B" w14:textId="77777777" w:rsidR="00135C2F" w:rsidRPr="0042750D" w:rsidRDefault="00135C2F" w:rsidP="00135C2F">
      <w:r w:rsidRPr="0042750D">
        <w:t>7</w:t>
      </w:r>
      <w:r w:rsidRPr="0042750D">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p>
    <w:p w14:paraId="557F29E9" w14:textId="77777777" w:rsidR="00135C2F" w:rsidRPr="0042750D" w:rsidRDefault="00135C2F" w:rsidP="00135C2F">
      <w:r w:rsidRPr="0042750D">
        <w:t>8</w:t>
      </w:r>
      <w:r w:rsidRPr="0042750D">
        <w:tab/>
        <w:t>to continue to disseminate, as appropriate, the reports of CWG-Internet to all relevant international organizations and stakeholders actively involved in such matters for their consideration in their policy-making processes,</w:t>
      </w:r>
    </w:p>
    <w:p w14:paraId="0A77B673" w14:textId="77777777" w:rsidR="00135C2F" w:rsidRPr="0042750D" w:rsidRDefault="00135C2F" w:rsidP="00135C2F">
      <w:pPr>
        <w:pStyle w:val="Call"/>
        <w:rPr>
          <w:lang w:val="en-GB"/>
        </w:rPr>
      </w:pPr>
      <w:r w:rsidRPr="0042750D">
        <w:rPr>
          <w:lang w:val="en-GB"/>
        </w:rPr>
        <w:t xml:space="preserve">instructs the Directors of the Bureaux </w:t>
      </w:r>
    </w:p>
    <w:p w14:paraId="2D9F1559" w14:textId="77777777" w:rsidR="00135C2F" w:rsidRPr="0042750D" w:rsidRDefault="00135C2F" w:rsidP="00135C2F">
      <w:r w:rsidRPr="0042750D">
        <w:t>1</w:t>
      </w:r>
      <w:r w:rsidRPr="0042750D">
        <w:tab/>
        <w:t>to contribute to CWG-Internet concerning the activities undertaken by their respective Sectors which are relevant to the work of the group;</w:t>
      </w:r>
    </w:p>
    <w:p w14:paraId="4B02BA51" w14:textId="77777777" w:rsidR="00135C2F" w:rsidRPr="0042750D" w:rsidRDefault="00135C2F" w:rsidP="00135C2F">
      <w:r w:rsidRPr="0042750D">
        <w:t>2</w:t>
      </w:r>
      <w:r w:rsidRPr="0042750D">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p>
    <w:p w14:paraId="59681BC4" w14:textId="77777777" w:rsidR="00135C2F" w:rsidRPr="0042750D" w:rsidRDefault="00135C2F" w:rsidP="00135C2F">
      <w:r w:rsidRPr="0042750D">
        <w:t>3</w:t>
      </w:r>
      <w:r w:rsidRPr="0042750D">
        <w:tab/>
        <w:t>to liaise and to cooperate with the regional telecommunication organizations pursuant to this resolution,</w:t>
      </w:r>
    </w:p>
    <w:p w14:paraId="09FE239F" w14:textId="77777777" w:rsidR="00135C2F" w:rsidRPr="0042750D" w:rsidRDefault="00135C2F" w:rsidP="00135C2F">
      <w:pPr>
        <w:pStyle w:val="Call"/>
        <w:rPr>
          <w:lang w:val="en-GB"/>
        </w:rPr>
      </w:pPr>
      <w:r w:rsidRPr="0042750D">
        <w:rPr>
          <w:lang w:val="en-GB"/>
        </w:rPr>
        <w:t>instructs the Director of the Telecommunication Standardization Bureau</w:t>
      </w:r>
    </w:p>
    <w:p w14:paraId="75A93013" w14:textId="77777777" w:rsidR="00135C2F" w:rsidRPr="0042750D" w:rsidRDefault="00135C2F" w:rsidP="00135C2F">
      <w:r w:rsidRPr="0042750D">
        <w:t>1</w:t>
      </w:r>
      <w:r w:rsidRPr="0042750D">
        <w:tab/>
        <w:t>to ensure that ITU</w:t>
      </w:r>
      <w:r w:rsidRPr="0042750D">
        <w:noBreakHyphen/>
        <w:t>T performs its role in technical issues, and to continue to contribute ITU</w:t>
      </w:r>
      <w:r w:rsidRPr="0042750D">
        <w:noBreakHyphen/>
        <w:t>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these issues by relevant ITU</w:t>
      </w:r>
      <w:r w:rsidRPr="0042750D">
        <w:noBreakHyphen/>
        <w:t>T study groups and other groups;</w:t>
      </w:r>
    </w:p>
    <w:p w14:paraId="76A63446" w14:textId="77777777" w:rsidR="00135C2F" w:rsidRPr="0042750D" w:rsidRDefault="00135C2F" w:rsidP="00135C2F">
      <w:r w:rsidRPr="0042750D">
        <w:t>2</w:t>
      </w:r>
      <w:r w:rsidRPr="0042750D">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p>
    <w:p w14:paraId="61304682" w14:textId="77777777" w:rsidR="00135C2F" w:rsidRPr="0042750D" w:rsidRDefault="00135C2F" w:rsidP="00135C2F">
      <w:r w:rsidRPr="0042750D">
        <w:t>3</w:t>
      </w:r>
      <w:r w:rsidRPr="0042750D">
        <w:tab/>
        <w:t>to work with Member States, Sector Members and relevant international organizations, as appropriate, on issues concerning Member States' ccTLDs and related experiences;</w:t>
      </w:r>
    </w:p>
    <w:p w14:paraId="5CE461AE" w14:textId="52169BA5" w:rsidR="00F0236A" w:rsidRPr="0042750D" w:rsidRDefault="00135C2F" w:rsidP="00135C2F">
      <w:pPr>
        <w:spacing w:after="120"/>
      </w:pPr>
      <w:r w:rsidRPr="0042750D">
        <w:t>4</w:t>
      </w:r>
      <w:r w:rsidRPr="0042750D">
        <w:tab/>
        <w:t>to report annually to the Council, the Telecommunication Standardization Advisory Group and also to WTSA, on the activities undertaken and achievements on these subjects, including proposals for further consideration as appropriate.</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51"/>
        <w:gridCol w:w="1254"/>
        <w:gridCol w:w="1171"/>
        <w:gridCol w:w="1336"/>
      </w:tblGrid>
      <w:tr w:rsidR="00F0236A" w:rsidRPr="0042750D" w14:paraId="61E8FA15" w14:textId="77777777" w:rsidTr="0048293B">
        <w:trPr>
          <w:tblHeader/>
          <w:jc w:val="center"/>
        </w:trPr>
        <w:tc>
          <w:tcPr>
            <w:tcW w:w="910" w:type="dxa"/>
            <w:tcBorders>
              <w:top w:val="single" w:sz="12" w:space="0" w:color="auto"/>
              <w:bottom w:val="single" w:sz="12" w:space="0" w:color="auto"/>
            </w:tcBorders>
            <w:shd w:val="clear" w:color="auto" w:fill="auto"/>
            <w:vAlign w:val="center"/>
          </w:tcPr>
          <w:p w14:paraId="40843AD6" w14:textId="77777777" w:rsidR="00F0236A" w:rsidRPr="0042750D" w:rsidRDefault="00F0236A" w:rsidP="00B60FE6">
            <w:pPr>
              <w:pStyle w:val="Tablehead"/>
              <w:keepNext w:val="0"/>
              <w:rPr>
                <w:sz w:val="24"/>
                <w:szCs w:val="24"/>
              </w:rPr>
            </w:pPr>
            <w:r w:rsidRPr="0042750D">
              <w:rPr>
                <w:sz w:val="24"/>
                <w:szCs w:val="24"/>
              </w:rPr>
              <w:t>Action Item</w:t>
            </w:r>
          </w:p>
        </w:tc>
        <w:tc>
          <w:tcPr>
            <w:tcW w:w="4851" w:type="dxa"/>
            <w:tcBorders>
              <w:top w:val="single" w:sz="12" w:space="0" w:color="auto"/>
              <w:bottom w:val="single" w:sz="12" w:space="0" w:color="auto"/>
            </w:tcBorders>
            <w:shd w:val="clear" w:color="auto" w:fill="auto"/>
            <w:vAlign w:val="center"/>
            <w:hideMark/>
          </w:tcPr>
          <w:p w14:paraId="2BD1E96D" w14:textId="77777777" w:rsidR="00F0236A" w:rsidRPr="0042750D" w:rsidRDefault="00F0236A" w:rsidP="00DF36E1">
            <w:pPr>
              <w:pStyle w:val="Tablehead"/>
              <w:rPr>
                <w:sz w:val="24"/>
                <w:szCs w:val="24"/>
              </w:rPr>
            </w:pPr>
            <w:r w:rsidRPr="0042750D">
              <w:rPr>
                <w:sz w:val="24"/>
                <w:szCs w:val="24"/>
              </w:rPr>
              <w:t>Action</w:t>
            </w:r>
          </w:p>
        </w:tc>
        <w:tc>
          <w:tcPr>
            <w:tcW w:w="1254" w:type="dxa"/>
            <w:tcBorders>
              <w:top w:val="single" w:sz="12" w:space="0" w:color="auto"/>
              <w:bottom w:val="single" w:sz="12" w:space="0" w:color="auto"/>
            </w:tcBorders>
            <w:shd w:val="clear" w:color="auto" w:fill="auto"/>
            <w:vAlign w:val="center"/>
            <w:hideMark/>
          </w:tcPr>
          <w:p w14:paraId="2EF4D197" w14:textId="77777777" w:rsidR="00F0236A" w:rsidRPr="0042750D" w:rsidRDefault="00F0236A" w:rsidP="00DF36E1">
            <w:pPr>
              <w:pStyle w:val="Tablehead"/>
              <w:rPr>
                <w:sz w:val="24"/>
                <w:szCs w:val="24"/>
              </w:rPr>
            </w:pPr>
            <w:r w:rsidRPr="0042750D">
              <w:rPr>
                <w:sz w:val="24"/>
                <w:szCs w:val="24"/>
              </w:rPr>
              <w:t>Milestone</w:t>
            </w:r>
          </w:p>
        </w:tc>
        <w:tc>
          <w:tcPr>
            <w:tcW w:w="1171" w:type="dxa"/>
            <w:tcBorders>
              <w:top w:val="single" w:sz="12" w:space="0" w:color="auto"/>
              <w:bottom w:val="single" w:sz="12" w:space="0" w:color="auto"/>
            </w:tcBorders>
            <w:shd w:val="clear" w:color="auto" w:fill="auto"/>
          </w:tcPr>
          <w:p w14:paraId="01196347" w14:textId="77777777" w:rsidR="00F0236A" w:rsidRPr="0042750D" w:rsidRDefault="00F0236A" w:rsidP="00DF36E1">
            <w:pPr>
              <w:pStyle w:val="Tablehead"/>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0250F7"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511D11DA" w14:textId="77777777" w:rsidTr="00AD73FA">
        <w:trPr>
          <w:cantSplit/>
          <w:jc w:val="center"/>
        </w:trPr>
        <w:tc>
          <w:tcPr>
            <w:tcW w:w="910" w:type="dxa"/>
            <w:vMerge w:val="restart"/>
            <w:tcBorders>
              <w:top w:val="single" w:sz="12" w:space="0" w:color="auto"/>
            </w:tcBorders>
            <w:shd w:val="clear" w:color="auto" w:fill="auto"/>
          </w:tcPr>
          <w:p w14:paraId="41CEE194" w14:textId="61553605" w:rsidR="00F0236A" w:rsidRPr="0042750D" w:rsidRDefault="00135C2F" w:rsidP="00DF36E1">
            <w:pPr>
              <w:pStyle w:val="Tabletext"/>
              <w:keepNext/>
              <w:keepLines/>
              <w:rPr>
                <w:b/>
                <w:bCs/>
                <w:sz w:val="24"/>
                <w:szCs w:val="24"/>
              </w:rPr>
            </w:pPr>
            <w:r w:rsidRPr="0042750D">
              <w:rPr>
                <w:b/>
                <w:bCs/>
                <w:sz w:val="24"/>
                <w:szCs w:val="24"/>
              </w:rPr>
              <w:t>102</w:t>
            </w:r>
            <w:r w:rsidR="00F0236A" w:rsidRPr="0042750D">
              <w:rPr>
                <w:b/>
                <w:bCs/>
                <w:sz w:val="24"/>
                <w:szCs w:val="24"/>
              </w:rPr>
              <w:t>-01</w:t>
            </w:r>
          </w:p>
        </w:tc>
        <w:tc>
          <w:tcPr>
            <w:tcW w:w="4851" w:type="dxa"/>
            <w:tcBorders>
              <w:top w:val="single" w:sz="12" w:space="0" w:color="auto"/>
              <w:bottom w:val="single" w:sz="4" w:space="0" w:color="auto"/>
            </w:tcBorders>
            <w:shd w:val="clear" w:color="auto" w:fill="auto"/>
          </w:tcPr>
          <w:p w14:paraId="38B0BE76" w14:textId="390D6119" w:rsidR="00F0236A" w:rsidRPr="0042750D" w:rsidRDefault="00135C2F" w:rsidP="00A746E2">
            <w:pPr>
              <w:pStyle w:val="Tabletext"/>
              <w:keepNext/>
              <w:keepLines/>
              <w:rPr>
                <w:b/>
                <w:bCs/>
                <w:sz w:val="24"/>
                <w:szCs w:val="24"/>
              </w:rPr>
            </w:pPr>
            <w:r w:rsidRPr="0042750D">
              <w:rPr>
                <w:b/>
                <w:bCs/>
                <w:sz w:val="24"/>
                <w:szCs w:val="24"/>
              </w:rPr>
              <w:t xml:space="preserve">TSBDir to contribute to CWG-Internet concerning the activities undertaken by </w:t>
            </w:r>
            <w:r w:rsidR="00A746E2" w:rsidRPr="0042750D">
              <w:rPr>
                <w:b/>
                <w:bCs/>
                <w:sz w:val="24"/>
                <w:szCs w:val="24"/>
              </w:rPr>
              <w:t>ITU-T</w:t>
            </w:r>
            <w:r w:rsidRPr="0042750D">
              <w:rPr>
                <w:b/>
                <w:bCs/>
                <w:sz w:val="24"/>
                <w:szCs w:val="24"/>
              </w:rPr>
              <w:t xml:space="preserve"> which are relevant to the work of the group</w:t>
            </w:r>
            <w:r w:rsidR="00903BE8" w:rsidRPr="0042750D">
              <w:rPr>
                <w:b/>
                <w:bCs/>
                <w:sz w:val="24"/>
                <w:szCs w:val="24"/>
              </w:rPr>
              <w:t xml:space="preserve"> (</w:t>
            </w:r>
            <w:r w:rsidR="00903BE8" w:rsidRPr="0042750D">
              <w:rPr>
                <w:b/>
                <w:bCs/>
                <w:i/>
                <w:sz w:val="24"/>
                <w:szCs w:val="24"/>
              </w:rPr>
              <w:t>instructs 1</w:t>
            </w:r>
            <w:r w:rsidR="00903BE8" w:rsidRPr="0042750D">
              <w:rPr>
                <w:b/>
                <w:bCs/>
                <w:sz w:val="24"/>
                <w:szCs w:val="24"/>
              </w:rPr>
              <w:t>)</w:t>
            </w:r>
            <w:r w:rsidRPr="0042750D">
              <w:rPr>
                <w:b/>
                <w:bCs/>
                <w:sz w:val="24"/>
                <w:szCs w:val="24"/>
              </w:rPr>
              <w:t>.</w:t>
            </w:r>
          </w:p>
        </w:tc>
        <w:tc>
          <w:tcPr>
            <w:tcW w:w="1254" w:type="dxa"/>
            <w:tcBorders>
              <w:top w:val="single" w:sz="12" w:space="0" w:color="auto"/>
              <w:bottom w:val="single" w:sz="4" w:space="0" w:color="auto"/>
            </w:tcBorders>
            <w:shd w:val="clear" w:color="auto" w:fill="auto"/>
            <w:vAlign w:val="center"/>
          </w:tcPr>
          <w:p w14:paraId="6F878A95" w14:textId="22EFC925" w:rsidR="00F0236A" w:rsidRPr="0042750D" w:rsidRDefault="00135C2F" w:rsidP="00DF36E1">
            <w:pPr>
              <w:pStyle w:val="Tabletext"/>
              <w:jc w:val="center"/>
              <w:rPr>
                <w:b/>
                <w:bCs/>
                <w:sz w:val="24"/>
                <w:szCs w:val="24"/>
              </w:rPr>
            </w:pPr>
            <w:r w:rsidRPr="0042750D">
              <w:rPr>
                <w:b/>
                <w:bCs/>
                <w:sz w:val="24"/>
                <w:szCs w:val="24"/>
              </w:rPr>
              <w:t>Ongoing</w:t>
            </w:r>
          </w:p>
        </w:tc>
        <w:tc>
          <w:tcPr>
            <w:tcW w:w="1171" w:type="dxa"/>
            <w:tcBorders>
              <w:top w:val="single" w:sz="12" w:space="0" w:color="auto"/>
              <w:bottom w:val="single" w:sz="4" w:space="0" w:color="auto"/>
            </w:tcBorders>
            <w:shd w:val="clear" w:color="auto" w:fill="auto"/>
            <w:vAlign w:val="center"/>
          </w:tcPr>
          <w:p w14:paraId="3DDC6E8A" w14:textId="02725B82" w:rsidR="00F0236A" w:rsidRPr="0042750D" w:rsidRDefault="0000143E" w:rsidP="00DF36E1">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4C897A13" w14:textId="77777777" w:rsidR="00F0236A" w:rsidRPr="0042750D" w:rsidRDefault="00F0236A" w:rsidP="00DF36E1">
            <w:pPr>
              <w:pStyle w:val="Tabletext"/>
              <w:jc w:val="center"/>
              <w:rPr>
                <w:b/>
                <w:bCs/>
                <w:sz w:val="24"/>
                <w:szCs w:val="24"/>
              </w:rPr>
            </w:pPr>
          </w:p>
        </w:tc>
      </w:tr>
      <w:tr w:rsidR="00F0236A" w:rsidRPr="0042750D" w14:paraId="293796CC" w14:textId="77777777" w:rsidTr="00552760">
        <w:trPr>
          <w:cantSplit/>
          <w:jc w:val="center"/>
        </w:trPr>
        <w:tc>
          <w:tcPr>
            <w:tcW w:w="910" w:type="dxa"/>
            <w:vMerge/>
            <w:tcBorders>
              <w:bottom w:val="single" w:sz="12" w:space="0" w:color="auto"/>
            </w:tcBorders>
            <w:shd w:val="clear" w:color="auto" w:fill="auto"/>
          </w:tcPr>
          <w:p w14:paraId="6342C810" w14:textId="77777777" w:rsidR="00F0236A" w:rsidRPr="0042750D" w:rsidRDefault="00F0236A" w:rsidP="00DF36E1">
            <w:pPr>
              <w:pStyle w:val="Tabletext"/>
              <w:rPr>
                <w:sz w:val="24"/>
                <w:szCs w:val="24"/>
              </w:rPr>
            </w:pPr>
          </w:p>
        </w:tc>
        <w:tc>
          <w:tcPr>
            <w:tcW w:w="8612" w:type="dxa"/>
            <w:gridSpan w:val="4"/>
            <w:tcBorders>
              <w:top w:val="single" w:sz="4" w:space="0" w:color="auto"/>
              <w:bottom w:val="single" w:sz="12" w:space="0" w:color="auto"/>
            </w:tcBorders>
            <w:shd w:val="clear" w:color="auto" w:fill="auto"/>
          </w:tcPr>
          <w:p w14:paraId="1401EEEC" w14:textId="3A42CBC4" w:rsidR="00F0236A" w:rsidRPr="0042750D" w:rsidDel="00185EAB" w:rsidRDefault="0000143E" w:rsidP="00DF36E1">
            <w:pPr>
              <w:pStyle w:val="Tabletext"/>
              <w:rPr>
                <w:szCs w:val="22"/>
              </w:rPr>
            </w:pPr>
            <w:r w:rsidRPr="0042750D">
              <w:t xml:space="preserve">See </w:t>
            </w:r>
            <w:hyperlink r:id="rId33" w:history="1">
              <w:r w:rsidRPr="0042750D">
                <w:rPr>
                  <w:rStyle w:val="Hyperlink"/>
                </w:rPr>
                <w:t>CWG-Internet 12/2</w:t>
              </w:r>
            </w:hyperlink>
            <w:r w:rsidR="00237DC6" w:rsidRPr="0042750D">
              <w:rPr>
                <w:rStyle w:val="Hyperlink"/>
              </w:rPr>
              <w:t xml:space="preserve">, </w:t>
            </w:r>
            <w:hyperlink r:id="rId34" w:history="1">
              <w:r w:rsidR="00237DC6" w:rsidRPr="0042750D">
                <w:rPr>
                  <w:rStyle w:val="Hyperlink"/>
                </w:rPr>
                <w:t>CWG-Internet-13/3</w:t>
              </w:r>
            </w:hyperlink>
            <w:r w:rsidR="00237DC6" w:rsidRPr="0042750D">
              <w:t xml:space="preserve"> </w:t>
            </w:r>
            <w:r w:rsidRPr="0042750D">
              <w:t>“ITU Internet Activities - Resolutions 101, 102, 133 and 180”.</w:t>
            </w:r>
          </w:p>
        </w:tc>
      </w:tr>
      <w:tr w:rsidR="00F0236A" w:rsidRPr="0042750D" w14:paraId="18053CA6" w14:textId="77777777" w:rsidTr="00AD73FA">
        <w:trPr>
          <w:cantSplit/>
          <w:jc w:val="center"/>
        </w:trPr>
        <w:tc>
          <w:tcPr>
            <w:tcW w:w="910" w:type="dxa"/>
            <w:vMerge w:val="restart"/>
            <w:tcBorders>
              <w:top w:val="single" w:sz="12" w:space="0" w:color="auto"/>
            </w:tcBorders>
            <w:shd w:val="clear" w:color="auto" w:fill="auto"/>
          </w:tcPr>
          <w:p w14:paraId="54A0D963" w14:textId="074433E4" w:rsidR="00F0236A" w:rsidRPr="0042750D" w:rsidRDefault="00120F23" w:rsidP="00601595">
            <w:pPr>
              <w:pStyle w:val="Tabletext"/>
              <w:keepNext/>
              <w:keepLines/>
              <w:rPr>
                <w:b/>
                <w:bCs/>
                <w:sz w:val="24"/>
                <w:szCs w:val="24"/>
              </w:rPr>
            </w:pPr>
            <w:r w:rsidRPr="0042750D">
              <w:rPr>
                <w:b/>
                <w:bCs/>
                <w:sz w:val="24"/>
                <w:szCs w:val="24"/>
              </w:rPr>
              <w:t>102-02</w:t>
            </w:r>
          </w:p>
        </w:tc>
        <w:tc>
          <w:tcPr>
            <w:tcW w:w="4851" w:type="dxa"/>
            <w:tcBorders>
              <w:top w:val="single" w:sz="12" w:space="0" w:color="auto"/>
            </w:tcBorders>
            <w:shd w:val="clear" w:color="auto" w:fill="auto"/>
          </w:tcPr>
          <w:p w14:paraId="39C09D88" w14:textId="172D853F" w:rsidR="00F0236A" w:rsidRPr="0042750D" w:rsidRDefault="00120F23" w:rsidP="00860E65">
            <w:pPr>
              <w:pStyle w:val="Tabletext"/>
              <w:keepNext/>
              <w:keepLines/>
              <w:rPr>
                <w:b/>
                <w:bCs/>
                <w:sz w:val="24"/>
                <w:szCs w:val="24"/>
              </w:rPr>
            </w:pPr>
            <w:r w:rsidRPr="0042750D">
              <w:rPr>
                <w:b/>
                <w:bCs/>
                <w:sz w:val="24"/>
                <w:szCs w:val="24"/>
              </w:rPr>
              <w:t xml:space="preserve">TSBDir to provide advice and assistance to </w:t>
            </w:r>
            <w:r w:rsidR="00860E65" w:rsidRPr="0042750D">
              <w:rPr>
                <w:b/>
                <w:bCs/>
                <w:sz w:val="24"/>
                <w:szCs w:val="24"/>
              </w:rPr>
              <w:t xml:space="preserve">Member States </w:t>
            </w:r>
            <w:r w:rsidRPr="0042750D">
              <w:rPr>
                <w:b/>
                <w:bCs/>
                <w:sz w:val="24"/>
                <w:szCs w:val="24"/>
              </w:rPr>
              <w:t>in cooperation with relevant organizations, if so requested</w:t>
            </w:r>
            <w:r w:rsidR="00903BE8" w:rsidRPr="0042750D">
              <w:rPr>
                <w:b/>
                <w:bCs/>
                <w:sz w:val="24"/>
                <w:szCs w:val="24"/>
              </w:rPr>
              <w:t xml:space="preserve"> (</w:t>
            </w:r>
            <w:r w:rsidR="00903BE8" w:rsidRPr="0042750D">
              <w:rPr>
                <w:b/>
                <w:bCs/>
                <w:i/>
                <w:sz w:val="24"/>
                <w:szCs w:val="24"/>
              </w:rPr>
              <w:t>instructs 2</w:t>
            </w:r>
            <w:r w:rsidR="00903BE8" w:rsidRPr="0042750D">
              <w:rPr>
                <w:b/>
                <w:bCs/>
                <w:sz w:val="24"/>
                <w:szCs w:val="24"/>
              </w:rPr>
              <w:t>)</w:t>
            </w:r>
            <w:r w:rsidRPr="0042750D">
              <w:rPr>
                <w:b/>
                <w:bCs/>
                <w:sz w:val="24"/>
                <w:szCs w:val="24"/>
              </w:rPr>
              <w:t>.</w:t>
            </w:r>
          </w:p>
        </w:tc>
        <w:tc>
          <w:tcPr>
            <w:tcW w:w="1254" w:type="dxa"/>
            <w:tcBorders>
              <w:top w:val="single" w:sz="12" w:space="0" w:color="auto"/>
            </w:tcBorders>
            <w:shd w:val="clear" w:color="auto" w:fill="auto"/>
            <w:vAlign w:val="center"/>
          </w:tcPr>
          <w:p w14:paraId="2D6839D5" w14:textId="4CA9C50B" w:rsidR="00F0236A" w:rsidRPr="0042750D" w:rsidRDefault="00120F23" w:rsidP="00DF36E1">
            <w:pPr>
              <w:pStyle w:val="Tabletext"/>
              <w:jc w:val="center"/>
              <w:rPr>
                <w:b/>
                <w:bCs/>
                <w:sz w:val="24"/>
                <w:szCs w:val="24"/>
                <w:highlight w:val="yellow"/>
              </w:rPr>
            </w:pPr>
            <w:r w:rsidRPr="0042750D">
              <w:rPr>
                <w:b/>
                <w:bCs/>
                <w:sz w:val="24"/>
                <w:szCs w:val="24"/>
              </w:rPr>
              <w:t>Ongoing</w:t>
            </w:r>
          </w:p>
        </w:tc>
        <w:tc>
          <w:tcPr>
            <w:tcW w:w="1171" w:type="dxa"/>
            <w:tcBorders>
              <w:top w:val="single" w:sz="12" w:space="0" w:color="auto"/>
            </w:tcBorders>
            <w:shd w:val="clear" w:color="auto" w:fill="auto"/>
            <w:vAlign w:val="center"/>
          </w:tcPr>
          <w:p w14:paraId="127F688A" w14:textId="77777777" w:rsidR="00F0236A" w:rsidRPr="0042750D"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CDA2689" w14:textId="77777777" w:rsidR="00F0236A" w:rsidRPr="0042750D" w:rsidRDefault="00F0236A" w:rsidP="00DF36E1">
            <w:pPr>
              <w:pStyle w:val="Tabletext"/>
              <w:jc w:val="center"/>
              <w:rPr>
                <w:b/>
                <w:bCs/>
                <w:sz w:val="24"/>
                <w:szCs w:val="24"/>
              </w:rPr>
            </w:pPr>
          </w:p>
        </w:tc>
      </w:tr>
      <w:tr w:rsidR="00F0236A" w:rsidRPr="0042750D" w14:paraId="26EB8CEE" w14:textId="77777777" w:rsidTr="00552760">
        <w:trPr>
          <w:cantSplit/>
          <w:jc w:val="center"/>
        </w:trPr>
        <w:tc>
          <w:tcPr>
            <w:tcW w:w="910" w:type="dxa"/>
            <w:vMerge/>
            <w:shd w:val="clear" w:color="auto" w:fill="auto"/>
            <w:vAlign w:val="center"/>
          </w:tcPr>
          <w:p w14:paraId="1BF46ED8" w14:textId="77777777" w:rsidR="00F0236A" w:rsidRPr="0042750D" w:rsidRDefault="00F0236A" w:rsidP="00DF36E1">
            <w:pPr>
              <w:pStyle w:val="Tabletext"/>
              <w:rPr>
                <w:sz w:val="24"/>
                <w:szCs w:val="24"/>
              </w:rPr>
            </w:pPr>
          </w:p>
        </w:tc>
        <w:tc>
          <w:tcPr>
            <w:tcW w:w="8612" w:type="dxa"/>
            <w:gridSpan w:val="4"/>
            <w:shd w:val="clear" w:color="auto" w:fill="auto"/>
          </w:tcPr>
          <w:p w14:paraId="0B4D1356" w14:textId="50911162" w:rsidR="00F0236A" w:rsidRPr="0042750D" w:rsidDel="00B94D6B" w:rsidRDefault="00F0236A" w:rsidP="00DF36E1">
            <w:pPr>
              <w:rPr>
                <w:szCs w:val="22"/>
              </w:rPr>
            </w:pPr>
          </w:p>
        </w:tc>
      </w:tr>
      <w:tr w:rsidR="00613DC6" w:rsidRPr="0042750D" w14:paraId="299CC305" w14:textId="77777777" w:rsidTr="00AD73FA">
        <w:trPr>
          <w:cantSplit/>
          <w:jc w:val="center"/>
        </w:trPr>
        <w:tc>
          <w:tcPr>
            <w:tcW w:w="910" w:type="dxa"/>
            <w:vMerge w:val="restart"/>
            <w:tcBorders>
              <w:top w:val="single" w:sz="12" w:space="0" w:color="auto"/>
            </w:tcBorders>
            <w:shd w:val="clear" w:color="auto" w:fill="auto"/>
          </w:tcPr>
          <w:p w14:paraId="1250026A" w14:textId="411BBFA2" w:rsidR="00613DC6" w:rsidRPr="0042750D" w:rsidRDefault="00613DC6" w:rsidP="00775B4B">
            <w:pPr>
              <w:pStyle w:val="Tabletext"/>
              <w:rPr>
                <w:b/>
                <w:bCs/>
                <w:sz w:val="24"/>
                <w:szCs w:val="24"/>
              </w:rPr>
            </w:pPr>
            <w:bookmarkStart w:id="85" w:name="Item43_01"/>
            <w:bookmarkStart w:id="86" w:name="Item43_02"/>
            <w:bookmarkStart w:id="87" w:name="Item43_03"/>
            <w:bookmarkEnd w:id="85"/>
            <w:bookmarkEnd w:id="86"/>
            <w:bookmarkEnd w:id="87"/>
            <w:r w:rsidRPr="0042750D">
              <w:rPr>
                <w:b/>
                <w:bCs/>
                <w:sz w:val="24"/>
                <w:szCs w:val="24"/>
              </w:rPr>
              <w:t>102-03</w:t>
            </w:r>
          </w:p>
        </w:tc>
        <w:tc>
          <w:tcPr>
            <w:tcW w:w="4851" w:type="dxa"/>
            <w:tcBorders>
              <w:top w:val="single" w:sz="12" w:space="0" w:color="auto"/>
            </w:tcBorders>
            <w:shd w:val="clear" w:color="auto" w:fill="auto"/>
          </w:tcPr>
          <w:p w14:paraId="5518962E" w14:textId="07689D77" w:rsidR="00613DC6" w:rsidRPr="0042750D" w:rsidRDefault="00613DC6" w:rsidP="00552760">
            <w:pPr>
              <w:pStyle w:val="Tabletext"/>
              <w:keepNext/>
              <w:keepLines/>
              <w:rPr>
                <w:b/>
                <w:bCs/>
                <w:sz w:val="24"/>
                <w:szCs w:val="24"/>
              </w:rPr>
            </w:pPr>
            <w:r w:rsidRPr="0042750D">
              <w:rPr>
                <w:b/>
                <w:bCs/>
                <w:sz w:val="24"/>
                <w:szCs w:val="24"/>
              </w:rPr>
              <w:t>TSBDir to liaise and to cooperate with the regional telecommunication organizations pursuant to this resolution</w:t>
            </w:r>
            <w:r w:rsidR="00903BE8" w:rsidRPr="0042750D">
              <w:rPr>
                <w:b/>
                <w:bCs/>
                <w:sz w:val="24"/>
                <w:szCs w:val="24"/>
              </w:rPr>
              <w:t xml:space="preserve"> (</w:t>
            </w:r>
            <w:r w:rsidR="00903BE8" w:rsidRPr="0042750D">
              <w:rPr>
                <w:b/>
                <w:bCs/>
                <w:i/>
                <w:sz w:val="24"/>
                <w:szCs w:val="24"/>
              </w:rPr>
              <w:t>instructs 3</w:t>
            </w:r>
            <w:r w:rsidR="00903BE8" w:rsidRPr="0042750D">
              <w:rPr>
                <w:b/>
                <w:bCs/>
                <w:sz w:val="24"/>
                <w:szCs w:val="24"/>
              </w:rPr>
              <w:t>)</w:t>
            </w:r>
            <w:r w:rsidRPr="0042750D">
              <w:rPr>
                <w:b/>
                <w:bCs/>
                <w:sz w:val="24"/>
                <w:szCs w:val="24"/>
              </w:rPr>
              <w:t>.</w:t>
            </w:r>
          </w:p>
        </w:tc>
        <w:tc>
          <w:tcPr>
            <w:tcW w:w="1254" w:type="dxa"/>
            <w:tcBorders>
              <w:top w:val="single" w:sz="12" w:space="0" w:color="auto"/>
            </w:tcBorders>
            <w:shd w:val="clear" w:color="auto" w:fill="auto"/>
            <w:vAlign w:val="center"/>
          </w:tcPr>
          <w:p w14:paraId="2B464E89" w14:textId="77777777" w:rsidR="00613DC6" w:rsidRPr="0042750D" w:rsidRDefault="00613DC6" w:rsidP="00EC1090">
            <w:pPr>
              <w:pStyle w:val="Tabletext"/>
              <w:jc w:val="center"/>
              <w:rPr>
                <w:b/>
                <w:bCs/>
                <w:sz w:val="24"/>
                <w:szCs w:val="24"/>
                <w:highlight w:val="yellow"/>
              </w:rPr>
            </w:pPr>
            <w:r w:rsidRPr="0042750D">
              <w:rPr>
                <w:b/>
                <w:bCs/>
                <w:sz w:val="24"/>
                <w:szCs w:val="24"/>
              </w:rPr>
              <w:t>Ongoing</w:t>
            </w:r>
          </w:p>
        </w:tc>
        <w:tc>
          <w:tcPr>
            <w:tcW w:w="1171" w:type="dxa"/>
            <w:tcBorders>
              <w:top w:val="single" w:sz="12" w:space="0" w:color="auto"/>
            </w:tcBorders>
            <w:shd w:val="clear" w:color="auto" w:fill="auto"/>
            <w:vAlign w:val="center"/>
          </w:tcPr>
          <w:p w14:paraId="433F9FDB" w14:textId="77777777" w:rsidR="00613DC6" w:rsidRPr="0042750D" w:rsidRDefault="00613DC6" w:rsidP="00EC1090">
            <w:pPr>
              <w:pStyle w:val="Tabletext"/>
              <w:jc w:val="center"/>
              <w:rPr>
                <w:b/>
                <w:bCs/>
                <w:sz w:val="24"/>
                <w:szCs w:val="24"/>
              </w:rPr>
            </w:pPr>
          </w:p>
        </w:tc>
        <w:tc>
          <w:tcPr>
            <w:tcW w:w="1336" w:type="dxa"/>
            <w:tcBorders>
              <w:top w:val="single" w:sz="12" w:space="0" w:color="auto"/>
            </w:tcBorders>
            <w:shd w:val="clear" w:color="auto" w:fill="auto"/>
            <w:vAlign w:val="center"/>
          </w:tcPr>
          <w:p w14:paraId="7AE47656" w14:textId="77777777" w:rsidR="00613DC6" w:rsidRPr="0042750D" w:rsidRDefault="00613DC6" w:rsidP="00EC1090">
            <w:pPr>
              <w:pStyle w:val="Tabletext"/>
              <w:jc w:val="center"/>
              <w:rPr>
                <w:b/>
                <w:bCs/>
                <w:sz w:val="24"/>
                <w:szCs w:val="24"/>
              </w:rPr>
            </w:pPr>
          </w:p>
        </w:tc>
      </w:tr>
      <w:tr w:rsidR="00613DC6" w:rsidRPr="0042750D" w14:paraId="77838FCD" w14:textId="77777777" w:rsidTr="004D03C1">
        <w:trPr>
          <w:cantSplit/>
          <w:jc w:val="center"/>
        </w:trPr>
        <w:tc>
          <w:tcPr>
            <w:tcW w:w="910" w:type="dxa"/>
            <w:vMerge/>
            <w:shd w:val="clear" w:color="auto" w:fill="auto"/>
          </w:tcPr>
          <w:p w14:paraId="324104C2" w14:textId="77777777" w:rsidR="00613DC6" w:rsidRPr="0042750D" w:rsidRDefault="00613DC6" w:rsidP="00775B4B">
            <w:pPr>
              <w:pStyle w:val="Tabletext"/>
              <w:rPr>
                <w:b/>
                <w:bCs/>
                <w:sz w:val="24"/>
                <w:szCs w:val="24"/>
              </w:rPr>
            </w:pPr>
          </w:p>
        </w:tc>
        <w:tc>
          <w:tcPr>
            <w:tcW w:w="8612" w:type="dxa"/>
            <w:gridSpan w:val="4"/>
            <w:tcBorders>
              <w:top w:val="single" w:sz="12" w:space="0" w:color="auto"/>
            </w:tcBorders>
            <w:shd w:val="clear" w:color="auto" w:fill="auto"/>
          </w:tcPr>
          <w:p w14:paraId="63BD7D7A" w14:textId="77777777" w:rsidR="00613DC6" w:rsidRPr="0042750D" w:rsidRDefault="00613DC6" w:rsidP="00613DC6">
            <w:pPr>
              <w:pStyle w:val="Tabletext"/>
              <w:rPr>
                <w:bCs/>
                <w:sz w:val="24"/>
                <w:szCs w:val="24"/>
              </w:rPr>
            </w:pPr>
          </w:p>
        </w:tc>
      </w:tr>
      <w:tr w:rsidR="00613DC6" w:rsidRPr="0042750D" w14:paraId="01C1185C" w14:textId="77777777" w:rsidTr="00AD73FA">
        <w:trPr>
          <w:cantSplit/>
          <w:jc w:val="center"/>
        </w:trPr>
        <w:tc>
          <w:tcPr>
            <w:tcW w:w="910" w:type="dxa"/>
            <w:vMerge w:val="restart"/>
            <w:tcBorders>
              <w:top w:val="single" w:sz="12" w:space="0" w:color="auto"/>
              <w:left w:val="single" w:sz="12" w:space="0" w:color="auto"/>
              <w:right w:val="single" w:sz="4" w:space="0" w:color="auto"/>
            </w:tcBorders>
            <w:shd w:val="clear" w:color="auto" w:fill="auto"/>
          </w:tcPr>
          <w:p w14:paraId="3645E835" w14:textId="369ECEDB" w:rsidR="00613DC6" w:rsidRPr="0042750D" w:rsidRDefault="00613DC6" w:rsidP="00775B4B">
            <w:pPr>
              <w:pStyle w:val="Tabletext"/>
              <w:rPr>
                <w:b/>
                <w:bCs/>
                <w:sz w:val="24"/>
                <w:szCs w:val="24"/>
              </w:rPr>
            </w:pPr>
            <w:r w:rsidRPr="0042750D">
              <w:rPr>
                <w:b/>
                <w:bCs/>
                <w:sz w:val="24"/>
                <w:szCs w:val="24"/>
              </w:rPr>
              <w:t>102-04</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348F374D" w14:textId="05B7126C" w:rsidR="00613DC6" w:rsidRPr="0042750D" w:rsidRDefault="00613DC6" w:rsidP="00552760">
            <w:pPr>
              <w:pStyle w:val="Tabletext"/>
              <w:keepNext/>
              <w:keepLines/>
              <w:rPr>
                <w:b/>
                <w:bCs/>
                <w:sz w:val="24"/>
                <w:szCs w:val="24"/>
              </w:rPr>
            </w:pPr>
            <w:r w:rsidRPr="0042750D">
              <w:rPr>
                <w:b/>
                <w:bCs/>
                <w:sz w:val="24"/>
                <w:szCs w:val="24"/>
              </w:rPr>
              <w:t>TSBDir to ensure that ITU-T performs its role in technical issues, and to continue to contribute ITU-T expertise and to liaise and cooperate with appropriate entities on issues related to the management of Internet domain names and addresses and other Internet resources (IPv6, ENUM and IDNs)</w:t>
            </w:r>
            <w:r w:rsidR="00903BE8" w:rsidRPr="0042750D">
              <w:rPr>
                <w:b/>
                <w:bCs/>
                <w:sz w:val="24"/>
                <w:szCs w:val="24"/>
              </w:rPr>
              <w:t xml:space="preserve"> (</w:t>
            </w:r>
            <w:r w:rsidR="00903BE8" w:rsidRPr="0042750D">
              <w:rPr>
                <w:b/>
                <w:bCs/>
                <w:i/>
                <w:sz w:val="24"/>
                <w:szCs w:val="24"/>
              </w:rPr>
              <w:t>instructs 1</w:t>
            </w:r>
            <w:r w:rsidR="00903BE8" w:rsidRPr="0042750D">
              <w:rPr>
                <w:b/>
                <w:bCs/>
                <w:sz w:val="24"/>
                <w:szCs w:val="24"/>
              </w:rPr>
              <w:t>)</w:t>
            </w:r>
            <w:r w:rsidRPr="0042750D">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754959F0" w14:textId="77777777" w:rsidR="00613DC6" w:rsidRPr="0042750D" w:rsidRDefault="00613DC6" w:rsidP="00EC1090">
            <w:pPr>
              <w:pStyle w:val="Tabletext"/>
              <w:jc w:val="center"/>
              <w:rPr>
                <w:b/>
                <w:bCs/>
                <w:sz w:val="24"/>
                <w:szCs w:val="24"/>
              </w:rPr>
            </w:pPr>
            <w:r w:rsidRPr="0042750D">
              <w:rPr>
                <w:b/>
                <w:bCs/>
                <w:sz w:val="24"/>
                <w:szCs w:val="24"/>
              </w:rPr>
              <w:t>Ongoing</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1A0C4BA5" w14:textId="25958CBB" w:rsidR="00613DC6" w:rsidRPr="0042750D" w:rsidRDefault="0074419F" w:rsidP="00EC1090">
            <w:pPr>
              <w:pStyle w:val="Tabletext"/>
              <w:jc w:val="center"/>
              <w:rPr>
                <w:b/>
                <w:bCs/>
                <w:sz w:val="24"/>
                <w:szCs w:val="24"/>
              </w:rPr>
            </w:pPr>
            <w:r w:rsidRPr="0042750D">
              <w:rPr>
                <w:b/>
                <w:bCs/>
                <w:sz w:val="24"/>
                <w:szCs w:val="24"/>
              </w:rPr>
              <w:t>√</w:t>
            </w: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64BEAB5E" w14:textId="77777777" w:rsidR="00613DC6" w:rsidRPr="0042750D" w:rsidRDefault="00613DC6" w:rsidP="00EC1090">
            <w:pPr>
              <w:pStyle w:val="Tabletext"/>
              <w:jc w:val="center"/>
              <w:rPr>
                <w:b/>
                <w:bCs/>
                <w:sz w:val="24"/>
                <w:szCs w:val="24"/>
              </w:rPr>
            </w:pPr>
          </w:p>
        </w:tc>
      </w:tr>
      <w:tr w:rsidR="00613DC6" w:rsidRPr="0042750D" w14:paraId="66DD837E" w14:textId="77777777" w:rsidTr="004D03C1">
        <w:trPr>
          <w:cantSplit/>
          <w:jc w:val="center"/>
        </w:trPr>
        <w:tc>
          <w:tcPr>
            <w:tcW w:w="910" w:type="dxa"/>
            <w:vMerge/>
            <w:tcBorders>
              <w:left w:val="single" w:sz="12" w:space="0" w:color="auto"/>
              <w:bottom w:val="single" w:sz="12" w:space="0" w:color="auto"/>
              <w:right w:val="single" w:sz="4" w:space="0" w:color="auto"/>
            </w:tcBorders>
            <w:shd w:val="clear" w:color="auto" w:fill="auto"/>
          </w:tcPr>
          <w:p w14:paraId="1D3228AF" w14:textId="77777777" w:rsidR="00613DC6" w:rsidRPr="0042750D" w:rsidRDefault="00613DC6" w:rsidP="00775B4B">
            <w:pPr>
              <w:pStyle w:val="Tabletext"/>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096E486F" w14:textId="4C556E8B" w:rsidR="00613DC6" w:rsidRPr="0042750D" w:rsidRDefault="00747F62" w:rsidP="00613DC6">
            <w:pPr>
              <w:pStyle w:val="Tabletext"/>
              <w:rPr>
                <w:bCs/>
                <w:szCs w:val="22"/>
              </w:rPr>
            </w:pPr>
            <w:r w:rsidRPr="0042750D">
              <w:rPr>
                <w:bCs/>
                <w:szCs w:val="22"/>
              </w:rPr>
              <w:t>SG2: See 101-01</w:t>
            </w:r>
            <w:r w:rsidR="0074419F" w:rsidRPr="0042750D">
              <w:rPr>
                <w:bCs/>
                <w:szCs w:val="22"/>
              </w:rPr>
              <w:t>.</w:t>
            </w:r>
          </w:p>
        </w:tc>
      </w:tr>
      <w:tr w:rsidR="00613DC6" w:rsidRPr="0042750D" w14:paraId="219D82D6" w14:textId="77777777" w:rsidTr="00AD73FA">
        <w:trPr>
          <w:cantSplit/>
          <w:jc w:val="center"/>
        </w:trPr>
        <w:tc>
          <w:tcPr>
            <w:tcW w:w="910" w:type="dxa"/>
            <w:vMerge w:val="restart"/>
            <w:tcBorders>
              <w:top w:val="single" w:sz="12" w:space="0" w:color="auto"/>
              <w:left w:val="single" w:sz="12" w:space="0" w:color="auto"/>
              <w:right w:val="single" w:sz="4" w:space="0" w:color="auto"/>
            </w:tcBorders>
            <w:shd w:val="clear" w:color="auto" w:fill="auto"/>
          </w:tcPr>
          <w:p w14:paraId="2A525974" w14:textId="4C586C36" w:rsidR="00613DC6" w:rsidRPr="0042750D" w:rsidRDefault="00613DC6" w:rsidP="003900C2">
            <w:pPr>
              <w:pStyle w:val="Tabletext"/>
              <w:keepNext/>
              <w:keepLines/>
              <w:rPr>
                <w:b/>
                <w:bCs/>
                <w:sz w:val="24"/>
                <w:szCs w:val="24"/>
              </w:rPr>
            </w:pPr>
            <w:r w:rsidRPr="0042750D">
              <w:rPr>
                <w:b/>
                <w:bCs/>
                <w:sz w:val="24"/>
                <w:szCs w:val="24"/>
              </w:rPr>
              <w:t>102-05</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099B51C7" w14:textId="50EBD1AE" w:rsidR="00613DC6" w:rsidRPr="0042750D" w:rsidRDefault="00613DC6" w:rsidP="003900C2">
            <w:pPr>
              <w:pStyle w:val="Tabletext"/>
              <w:keepNext/>
              <w:keepLines/>
              <w:rPr>
                <w:b/>
                <w:bCs/>
                <w:sz w:val="24"/>
                <w:szCs w:val="24"/>
              </w:rPr>
            </w:pPr>
            <w:r w:rsidRPr="0042750D">
              <w:rPr>
                <w:b/>
                <w:bCs/>
                <w:sz w:val="24"/>
                <w:szCs w:val="24"/>
              </w:rPr>
              <w:t>TSBDir to continue to play a facilitating role in coordination and assistance in the development of public policy issues pertaining to Internet domain names and addresses and other Internet resources</w:t>
            </w:r>
            <w:r w:rsidR="00903BE8" w:rsidRPr="0042750D">
              <w:rPr>
                <w:b/>
                <w:bCs/>
                <w:sz w:val="24"/>
                <w:szCs w:val="24"/>
              </w:rPr>
              <w:t xml:space="preserve"> (</w:t>
            </w:r>
            <w:r w:rsidR="00903BE8" w:rsidRPr="0042750D">
              <w:rPr>
                <w:b/>
                <w:bCs/>
                <w:i/>
                <w:sz w:val="24"/>
                <w:szCs w:val="24"/>
              </w:rPr>
              <w:t>instructs 2</w:t>
            </w:r>
            <w:r w:rsidR="00903BE8" w:rsidRPr="0042750D">
              <w:rPr>
                <w:b/>
                <w:bCs/>
                <w:sz w:val="24"/>
                <w:szCs w:val="24"/>
              </w:rPr>
              <w:t>)</w:t>
            </w:r>
            <w:r w:rsidRPr="0042750D">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269CF924" w14:textId="77777777" w:rsidR="00613DC6" w:rsidRPr="0042750D" w:rsidRDefault="00613DC6" w:rsidP="003900C2">
            <w:pPr>
              <w:pStyle w:val="Tabletext"/>
              <w:keepNext/>
              <w:keepLines/>
              <w:jc w:val="center"/>
              <w:rPr>
                <w:b/>
                <w:bCs/>
                <w:sz w:val="24"/>
                <w:szCs w:val="24"/>
              </w:rPr>
            </w:pPr>
            <w:r w:rsidRPr="0042750D">
              <w:rPr>
                <w:b/>
                <w:bCs/>
                <w:sz w:val="24"/>
                <w:szCs w:val="24"/>
              </w:rPr>
              <w:t>Ongoing</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6F0E963E" w14:textId="77777777" w:rsidR="00613DC6" w:rsidRPr="0042750D" w:rsidRDefault="00613DC6" w:rsidP="003900C2">
            <w:pPr>
              <w:pStyle w:val="Tabletext"/>
              <w:keepNext/>
              <w:keepLines/>
              <w:jc w:val="center"/>
              <w:rPr>
                <w:b/>
                <w:bCs/>
                <w:sz w:val="24"/>
                <w:szCs w:val="24"/>
              </w:rPr>
            </w:pP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1DA6C342" w14:textId="77777777" w:rsidR="00613DC6" w:rsidRPr="0042750D" w:rsidRDefault="00613DC6" w:rsidP="003900C2">
            <w:pPr>
              <w:pStyle w:val="Tabletext"/>
              <w:keepNext/>
              <w:keepLines/>
              <w:jc w:val="center"/>
              <w:rPr>
                <w:b/>
                <w:bCs/>
                <w:sz w:val="24"/>
                <w:szCs w:val="24"/>
              </w:rPr>
            </w:pPr>
          </w:p>
        </w:tc>
      </w:tr>
      <w:tr w:rsidR="00613DC6" w:rsidRPr="0042750D" w14:paraId="3DE490C6" w14:textId="77777777" w:rsidTr="004D03C1">
        <w:trPr>
          <w:cantSplit/>
          <w:jc w:val="center"/>
        </w:trPr>
        <w:tc>
          <w:tcPr>
            <w:tcW w:w="910" w:type="dxa"/>
            <w:vMerge/>
            <w:tcBorders>
              <w:left w:val="single" w:sz="12" w:space="0" w:color="auto"/>
              <w:bottom w:val="single" w:sz="12" w:space="0" w:color="auto"/>
              <w:right w:val="single" w:sz="4" w:space="0" w:color="auto"/>
            </w:tcBorders>
            <w:shd w:val="clear" w:color="auto" w:fill="auto"/>
          </w:tcPr>
          <w:p w14:paraId="5E122CB8" w14:textId="77777777" w:rsidR="00613DC6" w:rsidRPr="0042750D" w:rsidRDefault="00613DC6" w:rsidP="003900C2">
            <w:pPr>
              <w:pStyle w:val="Tabletext"/>
              <w:keepNext/>
              <w:keepLines/>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1585824D" w14:textId="77777777" w:rsidR="00613DC6" w:rsidRPr="0042750D" w:rsidRDefault="00613DC6" w:rsidP="003900C2">
            <w:pPr>
              <w:pStyle w:val="Tabletext"/>
              <w:keepNext/>
              <w:keepLines/>
              <w:rPr>
                <w:bCs/>
                <w:sz w:val="24"/>
                <w:szCs w:val="24"/>
              </w:rPr>
            </w:pPr>
          </w:p>
        </w:tc>
      </w:tr>
      <w:tr w:rsidR="00613DC6" w:rsidRPr="0042750D" w14:paraId="14ABB2B6" w14:textId="77777777" w:rsidTr="00BD4DAC">
        <w:trPr>
          <w:jc w:val="center"/>
        </w:trPr>
        <w:tc>
          <w:tcPr>
            <w:tcW w:w="910" w:type="dxa"/>
            <w:vMerge w:val="restart"/>
            <w:tcBorders>
              <w:top w:val="single" w:sz="12" w:space="0" w:color="auto"/>
              <w:left w:val="single" w:sz="12" w:space="0" w:color="auto"/>
              <w:right w:val="single" w:sz="4" w:space="0" w:color="auto"/>
            </w:tcBorders>
            <w:shd w:val="clear" w:color="auto" w:fill="auto"/>
          </w:tcPr>
          <w:p w14:paraId="69A9893E" w14:textId="3527F540" w:rsidR="00613DC6" w:rsidRPr="0042750D" w:rsidRDefault="00613DC6" w:rsidP="00FC6DC4">
            <w:pPr>
              <w:pStyle w:val="Tabletext"/>
              <w:rPr>
                <w:b/>
                <w:bCs/>
                <w:sz w:val="24"/>
                <w:szCs w:val="24"/>
              </w:rPr>
            </w:pPr>
            <w:r w:rsidRPr="0042750D">
              <w:rPr>
                <w:b/>
                <w:bCs/>
                <w:sz w:val="24"/>
                <w:szCs w:val="24"/>
              </w:rPr>
              <w:t>102-06</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72F35F8E" w14:textId="35F5CE6E" w:rsidR="00613DC6" w:rsidRPr="0042750D" w:rsidRDefault="00613DC6" w:rsidP="00BD4DAC">
            <w:pPr>
              <w:pStyle w:val="Tabletext"/>
              <w:keepNext/>
              <w:keepLines/>
              <w:rPr>
                <w:b/>
                <w:bCs/>
                <w:sz w:val="24"/>
                <w:szCs w:val="24"/>
              </w:rPr>
            </w:pPr>
            <w:r w:rsidRPr="0042750D">
              <w:rPr>
                <w:b/>
                <w:bCs/>
                <w:sz w:val="24"/>
                <w:szCs w:val="24"/>
              </w:rPr>
              <w:t>TSBDir to work with Member States, Sector Members and relevant international organizations, as appropriate, on issues concerning Member States' ccTLDs and related experiences</w:t>
            </w:r>
            <w:r w:rsidR="00903BE8" w:rsidRPr="0042750D">
              <w:rPr>
                <w:b/>
                <w:bCs/>
                <w:sz w:val="24"/>
                <w:szCs w:val="24"/>
              </w:rPr>
              <w:t xml:space="preserve"> (</w:t>
            </w:r>
            <w:r w:rsidR="00903BE8" w:rsidRPr="0042750D">
              <w:rPr>
                <w:b/>
                <w:bCs/>
                <w:i/>
                <w:sz w:val="24"/>
                <w:szCs w:val="24"/>
              </w:rPr>
              <w:t>instructs 3</w:t>
            </w:r>
            <w:r w:rsidR="00903BE8" w:rsidRPr="0042750D">
              <w:rPr>
                <w:b/>
                <w:bCs/>
                <w:sz w:val="24"/>
                <w:szCs w:val="24"/>
              </w:rPr>
              <w:t>)</w:t>
            </w:r>
            <w:r w:rsidRPr="0042750D">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7DA5B821" w14:textId="77777777" w:rsidR="00613DC6" w:rsidRPr="0042750D" w:rsidRDefault="00613DC6" w:rsidP="00BD4DAC">
            <w:pPr>
              <w:pStyle w:val="Tabletext"/>
              <w:keepNext/>
              <w:keepLines/>
              <w:jc w:val="center"/>
              <w:rPr>
                <w:b/>
                <w:bCs/>
                <w:sz w:val="24"/>
                <w:szCs w:val="24"/>
              </w:rPr>
            </w:pPr>
            <w:r w:rsidRPr="0042750D">
              <w:rPr>
                <w:b/>
                <w:bCs/>
                <w:sz w:val="24"/>
                <w:szCs w:val="24"/>
              </w:rPr>
              <w:t>Ongoing</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5995B968" w14:textId="77777777" w:rsidR="00613DC6" w:rsidRPr="0042750D" w:rsidRDefault="00613DC6" w:rsidP="00BD4DAC">
            <w:pPr>
              <w:pStyle w:val="Tabletext"/>
              <w:keepNext/>
              <w:keepLines/>
              <w:jc w:val="center"/>
              <w:rPr>
                <w:b/>
                <w:bCs/>
                <w:sz w:val="24"/>
                <w:szCs w:val="24"/>
              </w:rPr>
            </w:pP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5FF6A884" w14:textId="77777777" w:rsidR="00613DC6" w:rsidRPr="0042750D" w:rsidRDefault="00613DC6" w:rsidP="00BD4DAC">
            <w:pPr>
              <w:pStyle w:val="Tabletext"/>
              <w:keepNext/>
              <w:keepLines/>
              <w:jc w:val="center"/>
              <w:rPr>
                <w:b/>
                <w:bCs/>
                <w:sz w:val="24"/>
                <w:szCs w:val="24"/>
              </w:rPr>
            </w:pPr>
          </w:p>
        </w:tc>
      </w:tr>
      <w:tr w:rsidR="00613DC6" w:rsidRPr="0042750D" w14:paraId="5417BCA6" w14:textId="77777777" w:rsidTr="00BD4DAC">
        <w:trPr>
          <w:jc w:val="center"/>
        </w:trPr>
        <w:tc>
          <w:tcPr>
            <w:tcW w:w="910" w:type="dxa"/>
            <w:vMerge/>
            <w:tcBorders>
              <w:left w:val="single" w:sz="12" w:space="0" w:color="auto"/>
              <w:bottom w:val="single" w:sz="12" w:space="0" w:color="auto"/>
              <w:right w:val="single" w:sz="4" w:space="0" w:color="auto"/>
            </w:tcBorders>
            <w:shd w:val="clear" w:color="auto" w:fill="auto"/>
          </w:tcPr>
          <w:p w14:paraId="04ECF82B" w14:textId="77777777" w:rsidR="00613DC6" w:rsidRPr="0042750D" w:rsidRDefault="00613DC6" w:rsidP="00BD4DAC">
            <w:pPr>
              <w:pStyle w:val="Tabletext"/>
              <w:keepNext/>
              <w:keepLines/>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640CA4B6" w14:textId="77777777" w:rsidR="00613DC6" w:rsidRPr="0042750D" w:rsidRDefault="00613DC6" w:rsidP="00BD4DAC">
            <w:pPr>
              <w:pStyle w:val="Tabletext"/>
              <w:keepNext/>
              <w:keepLines/>
              <w:rPr>
                <w:bCs/>
                <w:sz w:val="24"/>
                <w:szCs w:val="24"/>
              </w:rPr>
            </w:pPr>
          </w:p>
        </w:tc>
      </w:tr>
      <w:tr w:rsidR="00613DC6" w:rsidRPr="0042750D" w14:paraId="5B00A742" w14:textId="77777777" w:rsidTr="00AD73FA">
        <w:trPr>
          <w:cantSplit/>
          <w:jc w:val="center"/>
        </w:trPr>
        <w:tc>
          <w:tcPr>
            <w:tcW w:w="910" w:type="dxa"/>
            <w:vMerge w:val="restart"/>
            <w:tcBorders>
              <w:top w:val="single" w:sz="12" w:space="0" w:color="auto"/>
              <w:left w:val="single" w:sz="12" w:space="0" w:color="auto"/>
              <w:right w:val="single" w:sz="4" w:space="0" w:color="auto"/>
            </w:tcBorders>
            <w:shd w:val="clear" w:color="auto" w:fill="auto"/>
          </w:tcPr>
          <w:p w14:paraId="12AD20BA" w14:textId="5D27EA9E" w:rsidR="00613DC6" w:rsidRPr="0042750D" w:rsidRDefault="00613DC6" w:rsidP="009C5672">
            <w:pPr>
              <w:pStyle w:val="Tabletext"/>
              <w:rPr>
                <w:b/>
                <w:bCs/>
                <w:sz w:val="24"/>
                <w:szCs w:val="24"/>
              </w:rPr>
            </w:pPr>
            <w:r w:rsidRPr="0042750D">
              <w:rPr>
                <w:b/>
                <w:bCs/>
                <w:sz w:val="24"/>
                <w:szCs w:val="24"/>
              </w:rPr>
              <w:t>102-07</w:t>
            </w:r>
          </w:p>
        </w:tc>
        <w:tc>
          <w:tcPr>
            <w:tcW w:w="4851" w:type="dxa"/>
            <w:tcBorders>
              <w:top w:val="single" w:sz="12" w:space="0" w:color="auto"/>
              <w:left w:val="single" w:sz="4" w:space="0" w:color="auto"/>
              <w:bottom w:val="single" w:sz="12" w:space="0" w:color="auto"/>
              <w:right w:val="single" w:sz="4" w:space="0" w:color="auto"/>
            </w:tcBorders>
            <w:shd w:val="clear" w:color="auto" w:fill="auto"/>
          </w:tcPr>
          <w:p w14:paraId="588E0C25" w14:textId="03012DE3" w:rsidR="00613DC6" w:rsidRPr="0042750D" w:rsidRDefault="00613DC6" w:rsidP="00860E65">
            <w:pPr>
              <w:pStyle w:val="Tabletext"/>
              <w:keepNext/>
              <w:keepLines/>
              <w:rPr>
                <w:b/>
                <w:bCs/>
                <w:sz w:val="24"/>
                <w:szCs w:val="24"/>
              </w:rPr>
            </w:pPr>
            <w:r w:rsidRPr="0042750D">
              <w:rPr>
                <w:b/>
                <w:bCs/>
                <w:sz w:val="24"/>
                <w:szCs w:val="24"/>
              </w:rPr>
              <w:t>TSBD</w:t>
            </w:r>
            <w:r w:rsidR="00860E65" w:rsidRPr="0042750D">
              <w:rPr>
                <w:b/>
                <w:bCs/>
                <w:sz w:val="24"/>
                <w:szCs w:val="24"/>
              </w:rPr>
              <w:t>ir</w:t>
            </w:r>
            <w:r w:rsidRPr="0042750D">
              <w:rPr>
                <w:b/>
                <w:bCs/>
                <w:sz w:val="24"/>
                <w:szCs w:val="24"/>
              </w:rPr>
              <w:t xml:space="preserve"> to </w:t>
            </w:r>
            <w:r w:rsidR="00860E65" w:rsidRPr="0042750D">
              <w:rPr>
                <w:b/>
                <w:bCs/>
                <w:sz w:val="24"/>
                <w:szCs w:val="24"/>
              </w:rPr>
              <w:t xml:space="preserve">contribute to SecGen’s annual </w:t>
            </w:r>
            <w:r w:rsidRPr="0042750D">
              <w:rPr>
                <w:b/>
                <w:bCs/>
                <w:sz w:val="24"/>
                <w:szCs w:val="24"/>
              </w:rPr>
              <w:t>report to the Council, the Telecommunication Standardization Advisory Group and also to WTSA, on the activities undertaken and achievements on these subjects, including proposals for further consideration as appropriate</w:t>
            </w:r>
            <w:r w:rsidR="00903BE8" w:rsidRPr="0042750D">
              <w:rPr>
                <w:b/>
                <w:bCs/>
                <w:sz w:val="24"/>
                <w:szCs w:val="24"/>
              </w:rPr>
              <w:t xml:space="preserve"> (</w:t>
            </w:r>
            <w:r w:rsidR="00903BE8" w:rsidRPr="0042750D">
              <w:rPr>
                <w:b/>
                <w:bCs/>
                <w:i/>
                <w:sz w:val="24"/>
                <w:szCs w:val="24"/>
              </w:rPr>
              <w:t>instructs 4</w:t>
            </w:r>
            <w:r w:rsidR="00903BE8" w:rsidRPr="0042750D">
              <w:rPr>
                <w:b/>
                <w:bCs/>
                <w:sz w:val="24"/>
                <w:szCs w:val="24"/>
              </w:rPr>
              <w:t>)</w:t>
            </w:r>
            <w:r w:rsidRPr="0042750D">
              <w:rPr>
                <w:b/>
                <w:bCs/>
                <w:sz w:val="24"/>
                <w:szCs w:val="24"/>
              </w:rPr>
              <w:t>.</w:t>
            </w:r>
          </w:p>
        </w:tc>
        <w:tc>
          <w:tcPr>
            <w:tcW w:w="1254" w:type="dxa"/>
            <w:tcBorders>
              <w:top w:val="single" w:sz="12" w:space="0" w:color="auto"/>
              <w:left w:val="single" w:sz="4" w:space="0" w:color="auto"/>
              <w:bottom w:val="single" w:sz="12" w:space="0" w:color="auto"/>
              <w:right w:val="single" w:sz="4" w:space="0" w:color="auto"/>
            </w:tcBorders>
            <w:shd w:val="clear" w:color="auto" w:fill="auto"/>
            <w:vAlign w:val="center"/>
          </w:tcPr>
          <w:p w14:paraId="5C74BD4F" w14:textId="008FFCB2" w:rsidR="00613DC6" w:rsidRPr="0042750D" w:rsidRDefault="00860E65" w:rsidP="00EC1090">
            <w:pPr>
              <w:pStyle w:val="Tabletext"/>
              <w:jc w:val="center"/>
              <w:rPr>
                <w:b/>
                <w:bCs/>
                <w:sz w:val="24"/>
                <w:szCs w:val="24"/>
              </w:rPr>
            </w:pPr>
            <w:r w:rsidRPr="0042750D">
              <w:rPr>
                <w:b/>
                <w:bCs/>
                <w:sz w:val="24"/>
                <w:szCs w:val="24"/>
              </w:rPr>
              <w:t>Council, TSAG, WTSA-20</w:t>
            </w:r>
          </w:p>
        </w:tc>
        <w:tc>
          <w:tcPr>
            <w:tcW w:w="1171" w:type="dxa"/>
            <w:tcBorders>
              <w:top w:val="single" w:sz="12" w:space="0" w:color="auto"/>
              <w:left w:val="single" w:sz="4" w:space="0" w:color="auto"/>
              <w:bottom w:val="single" w:sz="12" w:space="0" w:color="auto"/>
              <w:right w:val="single" w:sz="4" w:space="0" w:color="auto"/>
            </w:tcBorders>
            <w:shd w:val="clear" w:color="auto" w:fill="auto"/>
            <w:vAlign w:val="center"/>
          </w:tcPr>
          <w:p w14:paraId="058F5FB0" w14:textId="5ED21A0C" w:rsidR="00613DC6" w:rsidRPr="0042750D" w:rsidRDefault="00AD73FA" w:rsidP="00EC1090">
            <w:pPr>
              <w:pStyle w:val="Tabletext"/>
              <w:jc w:val="center"/>
              <w:rPr>
                <w:b/>
                <w:bCs/>
                <w:sz w:val="24"/>
                <w:szCs w:val="24"/>
              </w:rPr>
            </w:pPr>
            <w:r w:rsidRPr="0042750D">
              <w:rPr>
                <w:b/>
                <w:bCs/>
                <w:sz w:val="24"/>
                <w:szCs w:val="24"/>
              </w:rPr>
              <w:t>√</w:t>
            </w:r>
          </w:p>
        </w:tc>
        <w:tc>
          <w:tcPr>
            <w:tcW w:w="1336" w:type="dxa"/>
            <w:tcBorders>
              <w:top w:val="single" w:sz="12" w:space="0" w:color="auto"/>
              <w:left w:val="single" w:sz="4" w:space="0" w:color="auto"/>
              <w:bottom w:val="single" w:sz="12" w:space="0" w:color="auto"/>
              <w:right w:val="single" w:sz="12" w:space="0" w:color="auto"/>
            </w:tcBorders>
            <w:shd w:val="clear" w:color="auto" w:fill="auto"/>
            <w:vAlign w:val="center"/>
          </w:tcPr>
          <w:p w14:paraId="68568A33" w14:textId="77777777" w:rsidR="00613DC6" w:rsidRPr="0042750D" w:rsidRDefault="00613DC6" w:rsidP="00EC1090">
            <w:pPr>
              <w:pStyle w:val="Tabletext"/>
              <w:jc w:val="center"/>
              <w:rPr>
                <w:b/>
                <w:bCs/>
                <w:sz w:val="24"/>
                <w:szCs w:val="24"/>
              </w:rPr>
            </w:pPr>
          </w:p>
        </w:tc>
      </w:tr>
      <w:tr w:rsidR="00613DC6" w:rsidRPr="0042750D" w14:paraId="000D9103" w14:textId="77777777" w:rsidTr="00DA1509">
        <w:trPr>
          <w:cantSplit/>
          <w:jc w:val="center"/>
        </w:trPr>
        <w:tc>
          <w:tcPr>
            <w:tcW w:w="910" w:type="dxa"/>
            <w:vMerge/>
            <w:tcBorders>
              <w:left w:val="single" w:sz="12" w:space="0" w:color="auto"/>
              <w:bottom w:val="single" w:sz="12" w:space="0" w:color="auto"/>
              <w:right w:val="single" w:sz="4" w:space="0" w:color="auto"/>
            </w:tcBorders>
            <w:shd w:val="clear" w:color="auto" w:fill="auto"/>
          </w:tcPr>
          <w:p w14:paraId="4221AD80" w14:textId="77777777" w:rsidR="00613DC6" w:rsidRPr="0042750D" w:rsidRDefault="00613DC6" w:rsidP="00552760">
            <w:pPr>
              <w:pStyle w:val="Tabletext"/>
              <w:keepNext/>
              <w:keepLines/>
              <w:rPr>
                <w:b/>
                <w:bCs/>
                <w:sz w:val="24"/>
                <w:szCs w:val="24"/>
              </w:rPr>
            </w:pPr>
          </w:p>
        </w:tc>
        <w:tc>
          <w:tcPr>
            <w:tcW w:w="8612" w:type="dxa"/>
            <w:gridSpan w:val="4"/>
            <w:tcBorders>
              <w:top w:val="single" w:sz="12" w:space="0" w:color="auto"/>
              <w:left w:val="single" w:sz="4" w:space="0" w:color="auto"/>
              <w:bottom w:val="single" w:sz="12" w:space="0" w:color="auto"/>
              <w:right w:val="single" w:sz="12" w:space="0" w:color="auto"/>
            </w:tcBorders>
            <w:shd w:val="clear" w:color="auto" w:fill="auto"/>
          </w:tcPr>
          <w:p w14:paraId="78DAE199" w14:textId="5EA8B451" w:rsidR="00613DC6" w:rsidRPr="0042750D" w:rsidRDefault="00AD73FA" w:rsidP="005170FA">
            <w:pPr>
              <w:pStyle w:val="Tabletext"/>
              <w:rPr>
                <w:bCs/>
                <w:sz w:val="24"/>
                <w:szCs w:val="24"/>
              </w:rPr>
            </w:pPr>
            <w:r w:rsidRPr="0042750D">
              <w:t xml:space="preserve">See </w:t>
            </w:r>
            <w:hyperlink r:id="rId35" w:history="1">
              <w:r w:rsidRPr="0042750D">
                <w:rPr>
                  <w:rStyle w:val="Hyperlink"/>
                </w:rPr>
                <w:t>CWG-Internet 12/2</w:t>
              </w:r>
            </w:hyperlink>
            <w:r w:rsidR="00237DC6" w:rsidRPr="0042750D">
              <w:rPr>
                <w:rStyle w:val="Hyperlink"/>
              </w:rPr>
              <w:t xml:space="preserve">, </w:t>
            </w:r>
            <w:hyperlink r:id="rId36" w:history="1">
              <w:r w:rsidR="00237DC6" w:rsidRPr="0042750D">
                <w:rPr>
                  <w:rStyle w:val="Hyperlink"/>
                </w:rPr>
                <w:t>CWG-Internet-13/3</w:t>
              </w:r>
            </w:hyperlink>
            <w:r w:rsidR="00237DC6" w:rsidRPr="0042750D">
              <w:t xml:space="preserve"> </w:t>
            </w:r>
            <w:r w:rsidRPr="0042750D">
              <w:t>“ITU Internet Activit</w:t>
            </w:r>
            <w:r w:rsidR="005170FA" w:rsidRPr="0042750D">
              <w:t xml:space="preserve">ies - Resolutions 101, 102, 133, </w:t>
            </w:r>
            <w:r w:rsidRPr="0042750D">
              <w:t>180</w:t>
            </w:r>
            <w:r w:rsidR="005170FA" w:rsidRPr="0042750D">
              <w:t>, and 206</w:t>
            </w:r>
            <w:r w:rsidRPr="0042750D">
              <w:t>”</w:t>
            </w:r>
            <w:r w:rsidR="002C0F47" w:rsidRPr="0042750D">
              <w:t xml:space="preserve">; see </w:t>
            </w:r>
            <w:hyperlink r:id="rId37" w:history="1">
              <w:r w:rsidR="002C0F47" w:rsidRPr="0042750D">
                <w:rPr>
                  <w:rStyle w:val="Hyperlink"/>
                </w:rPr>
                <w:t>C19/33</w:t>
              </w:r>
            </w:hyperlink>
            <w:r w:rsidR="002C0F47" w:rsidRPr="0042750D">
              <w:t>.</w:t>
            </w:r>
          </w:p>
        </w:tc>
      </w:tr>
    </w:tbl>
    <w:p w14:paraId="358A5343" w14:textId="77777777" w:rsidR="00F0236A" w:rsidRPr="0042750D" w:rsidRDefault="00DD025B" w:rsidP="00F0236A">
      <w:pPr>
        <w:rPr>
          <w:rStyle w:val="Hyperlink"/>
          <w:sz w:val="24"/>
        </w:rPr>
      </w:pPr>
      <w:hyperlink w:anchor="Top" w:history="1">
        <w:r w:rsidR="00F0236A" w:rsidRPr="0042750D">
          <w:rPr>
            <w:rStyle w:val="Hyperlink"/>
            <w:sz w:val="24"/>
          </w:rPr>
          <w:t>» Top</w:t>
        </w:r>
      </w:hyperlink>
    </w:p>
    <w:p w14:paraId="6F2A095A" w14:textId="163881E5" w:rsidR="00F0236A" w:rsidRPr="0042750D" w:rsidRDefault="00A73D7C" w:rsidP="00EC1090">
      <w:pPr>
        <w:pStyle w:val="Heading1"/>
        <w:rPr>
          <w:sz w:val="24"/>
          <w:szCs w:val="24"/>
          <w:lang w:val="en-GB"/>
        </w:rPr>
      </w:pPr>
      <w:bookmarkStart w:id="88" w:name="Resolution_44"/>
      <w:bookmarkStart w:id="89" w:name="_Resolution_44_-"/>
      <w:bookmarkStart w:id="90" w:name="_Toc30749157"/>
      <w:bookmarkEnd w:id="88"/>
      <w:bookmarkEnd w:id="89"/>
      <w:r w:rsidRPr="0042750D">
        <w:rPr>
          <w:sz w:val="24"/>
          <w:szCs w:val="24"/>
          <w:lang w:val="en-GB"/>
        </w:rPr>
        <w:t>RESOLUTION 111 (REV. BUSAN, 2014) – Considering major religious periods in the scheduling of ITU conferences, assemblies and Council sessions</w:t>
      </w:r>
      <w:bookmarkEnd w:id="90"/>
    </w:p>
    <w:p w14:paraId="78624B7F" w14:textId="77777777" w:rsidR="00A73D7C" w:rsidRPr="0042750D" w:rsidRDefault="00A73D7C" w:rsidP="00A73D7C">
      <w:pPr>
        <w:pStyle w:val="Call"/>
        <w:rPr>
          <w:lang w:val="en-GB"/>
        </w:rPr>
      </w:pPr>
      <w:r w:rsidRPr="0042750D">
        <w:rPr>
          <w:lang w:val="en-GB"/>
        </w:rPr>
        <w:t>resolves</w:t>
      </w:r>
    </w:p>
    <w:p w14:paraId="6DF73EDF" w14:textId="77777777" w:rsidR="00A73D7C" w:rsidRPr="0042750D" w:rsidRDefault="00A73D7C" w:rsidP="00A73D7C">
      <w:r w:rsidRPr="0042750D">
        <w:t>1</w:t>
      </w:r>
      <w:r w:rsidRPr="0042750D">
        <w:tab/>
        <w:t>that the Union and its Member States should make every effort, as far as practicable, in order that the planned period of any ITU conference or assembly not be scheduled during a period which is considered a major religious period by a Member State;</w:t>
      </w:r>
    </w:p>
    <w:p w14:paraId="4133D50B" w14:textId="77777777" w:rsidR="00A73D7C" w:rsidRPr="0042750D" w:rsidRDefault="00A73D7C" w:rsidP="00A73D7C">
      <w:r w:rsidRPr="0042750D">
        <w:t>2</w:t>
      </w:r>
      <w:r w:rsidRPr="0042750D">
        <w:tab/>
        <w:t>that the Union and the Member States of the Council should make every effort, as far as practicable, in order that the planned period of any Council session not be scheduled during a period which is considered a major religious period by a Member State of the Council;</w:t>
      </w:r>
    </w:p>
    <w:p w14:paraId="3114E09E" w14:textId="7452E509" w:rsidR="00F0236A" w:rsidRPr="0042750D" w:rsidRDefault="00A73D7C" w:rsidP="00A73D7C">
      <w:pPr>
        <w:spacing w:after="240"/>
        <w:rPr>
          <w:sz w:val="24"/>
        </w:rPr>
      </w:pPr>
      <w:r w:rsidRPr="0042750D">
        <w:t>3</w:t>
      </w:r>
      <w:r w:rsidRPr="0042750D">
        <w:rPr>
          <w:i/>
          <w:iCs/>
        </w:rPr>
        <w:tab/>
      </w:r>
      <w:r w:rsidRPr="0042750D">
        <w:t>that the inviting government for a given ITU conference or assembly or, in the absence of an inviting government, the Secretary-General, shall be responsible for verifying with Member States that the proposed period of that conference or assembly does not coincide with a major religious period.</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12"/>
        <w:gridCol w:w="1637"/>
        <w:gridCol w:w="1129"/>
        <w:gridCol w:w="1336"/>
        <w:gridCol w:w="12"/>
      </w:tblGrid>
      <w:tr w:rsidR="00F0236A" w:rsidRPr="0042750D" w14:paraId="5911EF0B" w14:textId="77777777" w:rsidTr="00832AF5">
        <w:trPr>
          <w:gridAfter w:val="1"/>
          <w:wAfter w:w="12" w:type="dxa"/>
          <w:jc w:val="center"/>
        </w:trPr>
        <w:tc>
          <w:tcPr>
            <w:tcW w:w="896" w:type="dxa"/>
            <w:tcBorders>
              <w:top w:val="single" w:sz="12" w:space="0" w:color="auto"/>
              <w:bottom w:val="single" w:sz="12" w:space="0" w:color="auto"/>
            </w:tcBorders>
            <w:shd w:val="clear" w:color="auto" w:fill="auto"/>
          </w:tcPr>
          <w:p w14:paraId="08F9DC60" w14:textId="77777777" w:rsidR="00F0236A" w:rsidRPr="0042750D" w:rsidRDefault="00F0236A" w:rsidP="00FC6DC4">
            <w:pPr>
              <w:pStyle w:val="Tablehead"/>
              <w:keepNext w:val="0"/>
              <w:pageBreakBefore/>
              <w:rPr>
                <w:sz w:val="24"/>
                <w:szCs w:val="24"/>
              </w:rPr>
            </w:pPr>
            <w:r w:rsidRPr="0042750D">
              <w:rPr>
                <w:sz w:val="24"/>
                <w:szCs w:val="24"/>
              </w:rPr>
              <w:t>Action Item</w:t>
            </w:r>
          </w:p>
        </w:tc>
        <w:tc>
          <w:tcPr>
            <w:tcW w:w="4512" w:type="dxa"/>
            <w:tcBorders>
              <w:top w:val="single" w:sz="12" w:space="0" w:color="auto"/>
              <w:bottom w:val="single" w:sz="12" w:space="0" w:color="auto"/>
            </w:tcBorders>
            <w:shd w:val="clear" w:color="auto" w:fill="auto"/>
            <w:hideMark/>
          </w:tcPr>
          <w:p w14:paraId="74881395" w14:textId="77777777" w:rsidR="00F0236A" w:rsidRPr="0042750D" w:rsidRDefault="00F0236A" w:rsidP="00DF36E1">
            <w:pPr>
              <w:pStyle w:val="Tablehead"/>
              <w:keepNext w:val="0"/>
              <w:rPr>
                <w:sz w:val="24"/>
                <w:szCs w:val="24"/>
              </w:rPr>
            </w:pPr>
            <w:r w:rsidRPr="0042750D">
              <w:rPr>
                <w:sz w:val="24"/>
                <w:szCs w:val="24"/>
              </w:rPr>
              <w:t>Action</w:t>
            </w:r>
          </w:p>
        </w:tc>
        <w:tc>
          <w:tcPr>
            <w:tcW w:w="1637" w:type="dxa"/>
            <w:tcBorders>
              <w:top w:val="single" w:sz="12" w:space="0" w:color="auto"/>
              <w:bottom w:val="single" w:sz="12" w:space="0" w:color="auto"/>
            </w:tcBorders>
            <w:shd w:val="clear" w:color="auto" w:fill="auto"/>
            <w:hideMark/>
          </w:tcPr>
          <w:p w14:paraId="23642AA0" w14:textId="77777777" w:rsidR="00F0236A" w:rsidRPr="0042750D" w:rsidRDefault="00F0236A" w:rsidP="00DF36E1">
            <w:pPr>
              <w:pStyle w:val="Tablehead"/>
              <w:keepNext w:val="0"/>
              <w:rPr>
                <w:sz w:val="24"/>
                <w:szCs w:val="24"/>
              </w:rPr>
            </w:pPr>
            <w:r w:rsidRPr="0042750D">
              <w:rPr>
                <w:sz w:val="24"/>
                <w:szCs w:val="24"/>
              </w:rPr>
              <w:t>Milestone</w:t>
            </w:r>
          </w:p>
        </w:tc>
        <w:tc>
          <w:tcPr>
            <w:tcW w:w="1129" w:type="dxa"/>
            <w:tcBorders>
              <w:top w:val="single" w:sz="12" w:space="0" w:color="auto"/>
              <w:bottom w:val="single" w:sz="12" w:space="0" w:color="auto"/>
            </w:tcBorders>
            <w:shd w:val="clear" w:color="auto" w:fill="auto"/>
          </w:tcPr>
          <w:p w14:paraId="54C3FA64" w14:textId="77777777" w:rsidR="00F0236A" w:rsidRPr="0042750D" w:rsidRDefault="00F0236A" w:rsidP="00DF36E1">
            <w:pPr>
              <w:pStyle w:val="Tablehead"/>
              <w:keepNext w:val="0"/>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auto"/>
          </w:tcPr>
          <w:p w14:paraId="7D69A5FE" w14:textId="77777777" w:rsidR="00F0236A" w:rsidRPr="0042750D" w:rsidRDefault="00F0236A" w:rsidP="00DF36E1">
            <w:pPr>
              <w:pStyle w:val="Tablehead"/>
              <w:keepNext w:val="0"/>
              <w:rPr>
                <w:sz w:val="24"/>
                <w:szCs w:val="24"/>
              </w:rPr>
            </w:pPr>
            <w:r w:rsidRPr="0042750D">
              <w:rPr>
                <w:sz w:val="24"/>
                <w:szCs w:val="24"/>
              </w:rPr>
              <w:t>Completed</w:t>
            </w:r>
          </w:p>
        </w:tc>
      </w:tr>
      <w:tr w:rsidR="00F0236A" w:rsidRPr="0042750D" w14:paraId="57E3877C" w14:textId="77777777" w:rsidTr="00586F97">
        <w:trPr>
          <w:jc w:val="center"/>
        </w:trPr>
        <w:tc>
          <w:tcPr>
            <w:tcW w:w="896" w:type="dxa"/>
            <w:vMerge w:val="restart"/>
            <w:shd w:val="clear" w:color="auto" w:fill="auto"/>
          </w:tcPr>
          <w:p w14:paraId="200C56E2" w14:textId="323CB468" w:rsidR="00F0236A" w:rsidRPr="0042750D" w:rsidRDefault="00A73D7C" w:rsidP="00DF36E1">
            <w:pPr>
              <w:pStyle w:val="Tabletext"/>
              <w:rPr>
                <w:b/>
                <w:bCs/>
                <w:sz w:val="24"/>
                <w:szCs w:val="24"/>
              </w:rPr>
            </w:pPr>
            <w:r w:rsidRPr="0042750D">
              <w:rPr>
                <w:b/>
                <w:bCs/>
                <w:sz w:val="24"/>
                <w:szCs w:val="24"/>
              </w:rPr>
              <w:t>111</w:t>
            </w:r>
            <w:r w:rsidR="00F0236A" w:rsidRPr="0042750D">
              <w:rPr>
                <w:b/>
                <w:bCs/>
                <w:sz w:val="24"/>
                <w:szCs w:val="24"/>
              </w:rPr>
              <w:t>-01</w:t>
            </w:r>
          </w:p>
        </w:tc>
        <w:tc>
          <w:tcPr>
            <w:tcW w:w="4512" w:type="dxa"/>
            <w:shd w:val="clear" w:color="auto" w:fill="auto"/>
          </w:tcPr>
          <w:p w14:paraId="146DE66F" w14:textId="7ECA5D74" w:rsidR="00F0236A" w:rsidRPr="0042750D" w:rsidRDefault="0082040B" w:rsidP="0082040B">
            <w:pPr>
              <w:pStyle w:val="Tabletext"/>
              <w:rPr>
                <w:b/>
                <w:bCs/>
                <w:sz w:val="24"/>
                <w:szCs w:val="24"/>
              </w:rPr>
            </w:pPr>
            <w:r w:rsidRPr="0042750D">
              <w:rPr>
                <w:b/>
                <w:bCs/>
                <w:sz w:val="24"/>
                <w:szCs w:val="24"/>
              </w:rPr>
              <w:t>TSBDir to m</w:t>
            </w:r>
            <w:r w:rsidR="00A73D7C" w:rsidRPr="0042750D">
              <w:rPr>
                <w:b/>
                <w:bCs/>
                <w:sz w:val="24"/>
                <w:szCs w:val="24"/>
              </w:rPr>
              <w:t>ake every effort to plan ITU</w:t>
            </w:r>
            <w:r w:rsidRPr="0042750D">
              <w:rPr>
                <w:b/>
                <w:bCs/>
                <w:sz w:val="24"/>
                <w:szCs w:val="24"/>
              </w:rPr>
              <w:t>-T</w:t>
            </w:r>
            <w:r w:rsidR="00A73D7C" w:rsidRPr="0042750D">
              <w:rPr>
                <w:b/>
                <w:bCs/>
                <w:sz w:val="24"/>
                <w:szCs w:val="24"/>
              </w:rPr>
              <w:t xml:space="preserve"> conferences, assemblies to avoid scheduling on any period which is considered a major religious period by a Member State. See also Res 77</w:t>
            </w:r>
            <w:r w:rsidR="006F76A5" w:rsidRPr="0042750D">
              <w:rPr>
                <w:b/>
                <w:bCs/>
                <w:sz w:val="24"/>
                <w:szCs w:val="24"/>
              </w:rPr>
              <w:t xml:space="preserve"> (</w:t>
            </w:r>
            <w:r w:rsidR="006F76A5" w:rsidRPr="0042750D">
              <w:rPr>
                <w:b/>
                <w:bCs/>
                <w:i/>
                <w:sz w:val="24"/>
                <w:szCs w:val="24"/>
              </w:rPr>
              <w:t>resolves 1</w:t>
            </w:r>
            <w:r w:rsidR="006F76A5" w:rsidRPr="0042750D">
              <w:rPr>
                <w:b/>
                <w:bCs/>
                <w:sz w:val="24"/>
                <w:szCs w:val="24"/>
              </w:rPr>
              <w:t>)</w:t>
            </w:r>
            <w:r w:rsidR="00A73D7C" w:rsidRPr="0042750D">
              <w:rPr>
                <w:b/>
                <w:bCs/>
                <w:sz w:val="24"/>
                <w:szCs w:val="24"/>
              </w:rPr>
              <w:t>.</w:t>
            </w:r>
          </w:p>
        </w:tc>
        <w:tc>
          <w:tcPr>
            <w:tcW w:w="1637" w:type="dxa"/>
            <w:shd w:val="clear" w:color="auto" w:fill="auto"/>
            <w:vAlign w:val="center"/>
          </w:tcPr>
          <w:p w14:paraId="179CF4BB" w14:textId="1BAA3954" w:rsidR="00F0236A" w:rsidRPr="0042750D" w:rsidRDefault="00A73D7C" w:rsidP="00A73D7C">
            <w:pPr>
              <w:pStyle w:val="Tabletext"/>
              <w:jc w:val="center"/>
              <w:rPr>
                <w:b/>
                <w:bCs/>
                <w:sz w:val="24"/>
                <w:szCs w:val="24"/>
              </w:rPr>
            </w:pPr>
            <w:r w:rsidRPr="0042750D">
              <w:rPr>
                <w:b/>
                <w:bCs/>
                <w:sz w:val="24"/>
                <w:szCs w:val="24"/>
              </w:rPr>
              <w:t xml:space="preserve">WSTA-20, </w:t>
            </w:r>
            <w:r w:rsidR="00F0236A" w:rsidRPr="0042750D">
              <w:rPr>
                <w:b/>
                <w:bCs/>
                <w:sz w:val="24"/>
                <w:szCs w:val="24"/>
              </w:rPr>
              <w:t>Ongoing</w:t>
            </w:r>
          </w:p>
        </w:tc>
        <w:tc>
          <w:tcPr>
            <w:tcW w:w="1129" w:type="dxa"/>
            <w:shd w:val="clear" w:color="auto" w:fill="auto"/>
            <w:vAlign w:val="center"/>
          </w:tcPr>
          <w:p w14:paraId="7B657755" w14:textId="23818286" w:rsidR="00F0236A" w:rsidRPr="0042750D" w:rsidRDefault="00805872" w:rsidP="00DF36E1">
            <w:pPr>
              <w:pStyle w:val="Tabletext"/>
              <w:jc w:val="center"/>
              <w:rPr>
                <w:b/>
                <w:bCs/>
                <w:sz w:val="24"/>
                <w:szCs w:val="24"/>
              </w:rPr>
            </w:pPr>
            <w:r w:rsidRPr="0042750D">
              <w:rPr>
                <w:b/>
                <w:bCs/>
                <w:sz w:val="24"/>
                <w:szCs w:val="24"/>
              </w:rPr>
              <w:t>√</w:t>
            </w:r>
          </w:p>
        </w:tc>
        <w:tc>
          <w:tcPr>
            <w:tcW w:w="1348" w:type="dxa"/>
            <w:gridSpan w:val="2"/>
            <w:shd w:val="clear" w:color="auto" w:fill="auto"/>
            <w:vAlign w:val="center"/>
          </w:tcPr>
          <w:p w14:paraId="7E9FEA11" w14:textId="77777777" w:rsidR="00F0236A" w:rsidRPr="0042750D" w:rsidRDefault="00F0236A" w:rsidP="00DF36E1">
            <w:pPr>
              <w:pStyle w:val="Tabletext"/>
              <w:jc w:val="center"/>
              <w:rPr>
                <w:b/>
                <w:bCs/>
                <w:sz w:val="24"/>
                <w:szCs w:val="24"/>
              </w:rPr>
            </w:pPr>
          </w:p>
        </w:tc>
      </w:tr>
      <w:tr w:rsidR="00F0236A" w:rsidRPr="0042750D" w14:paraId="79A762BA" w14:textId="77777777" w:rsidTr="00586F97">
        <w:trPr>
          <w:jc w:val="center"/>
        </w:trPr>
        <w:tc>
          <w:tcPr>
            <w:tcW w:w="896" w:type="dxa"/>
            <w:vMerge/>
            <w:tcBorders>
              <w:bottom w:val="single" w:sz="12" w:space="0" w:color="auto"/>
            </w:tcBorders>
            <w:shd w:val="clear" w:color="auto" w:fill="auto"/>
          </w:tcPr>
          <w:p w14:paraId="4ED17CE2" w14:textId="77777777" w:rsidR="00F0236A" w:rsidRPr="0042750D" w:rsidRDefault="00F0236A" w:rsidP="00DF36E1">
            <w:pPr>
              <w:pStyle w:val="Tabletext"/>
              <w:rPr>
                <w:sz w:val="24"/>
                <w:szCs w:val="24"/>
              </w:rPr>
            </w:pPr>
          </w:p>
        </w:tc>
        <w:tc>
          <w:tcPr>
            <w:tcW w:w="8626" w:type="dxa"/>
            <w:gridSpan w:val="5"/>
            <w:tcBorders>
              <w:bottom w:val="single" w:sz="12" w:space="0" w:color="auto"/>
            </w:tcBorders>
            <w:shd w:val="clear" w:color="auto" w:fill="auto"/>
          </w:tcPr>
          <w:p w14:paraId="55B0C5F6" w14:textId="4AFE6392" w:rsidR="00F0236A" w:rsidRPr="0042750D" w:rsidRDefault="00805872" w:rsidP="00456CCC">
            <w:pPr>
              <w:spacing w:before="40" w:after="40"/>
              <w:rPr>
                <w:szCs w:val="22"/>
              </w:rPr>
            </w:pPr>
            <w:r w:rsidRPr="0042750D">
              <w:rPr>
                <w:szCs w:val="22"/>
              </w:rPr>
              <w:t>WTSA-20 will take place at Hyderabad, India, from 16 to 27 November 2020; ref</w:t>
            </w:r>
            <w:r w:rsidR="00597F2B" w:rsidRPr="0042750D">
              <w:rPr>
                <w:szCs w:val="22"/>
              </w:rPr>
              <w:t>.</w:t>
            </w:r>
            <w:r w:rsidRPr="0042750D">
              <w:rPr>
                <w:szCs w:val="22"/>
              </w:rPr>
              <w:t xml:space="preserve"> C19 Decsion </w:t>
            </w:r>
            <w:r w:rsidR="00597F2B" w:rsidRPr="0042750D">
              <w:rPr>
                <w:szCs w:val="22"/>
              </w:rPr>
              <w:t>608</w:t>
            </w:r>
            <w:r w:rsidR="00212ED1" w:rsidRPr="0042750D">
              <w:rPr>
                <w:szCs w:val="22"/>
              </w:rPr>
              <w:t>; CL-19/45 (3 October 2019)</w:t>
            </w:r>
            <w:r w:rsidRPr="0042750D">
              <w:rPr>
                <w:szCs w:val="22"/>
              </w:rPr>
              <w:t>.</w:t>
            </w:r>
          </w:p>
        </w:tc>
      </w:tr>
    </w:tbl>
    <w:p w14:paraId="09664299" w14:textId="77777777" w:rsidR="00F0236A" w:rsidRPr="0042750D" w:rsidRDefault="00DD025B" w:rsidP="00F0236A">
      <w:pPr>
        <w:rPr>
          <w:sz w:val="24"/>
        </w:rPr>
      </w:pPr>
      <w:hyperlink w:anchor="Top" w:history="1">
        <w:r w:rsidR="00F0236A" w:rsidRPr="0042750D">
          <w:rPr>
            <w:rStyle w:val="Hyperlink"/>
            <w:sz w:val="24"/>
          </w:rPr>
          <w:t>» Top</w:t>
        </w:r>
      </w:hyperlink>
    </w:p>
    <w:p w14:paraId="3315A6F9" w14:textId="2C7C0CFA" w:rsidR="00F0236A" w:rsidRPr="0042750D" w:rsidRDefault="003F6A04" w:rsidP="00EC1090">
      <w:pPr>
        <w:pStyle w:val="Heading1"/>
        <w:rPr>
          <w:sz w:val="24"/>
          <w:szCs w:val="24"/>
          <w:lang w:val="en-GB"/>
        </w:rPr>
      </w:pPr>
      <w:bookmarkStart w:id="91" w:name="Resolution_45"/>
      <w:bookmarkStart w:id="92" w:name="_Toc30749158"/>
      <w:bookmarkEnd w:id="91"/>
      <w:r w:rsidRPr="0042750D">
        <w:rPr>
          <w:sz w:val="24"/>
          <w:szCs w:val="24"/>
          <w:lang w:val="en-GB"/>
        </w:rPr>
        <w:t>RESOLUTION 122 (Rev. Guadalajara, 2010) – The evolving role of the World Telecommunication Standardization Assembly</w:t>
      </w:r>
      <w:bookmarkEnd w:id="92"/>
    </w:p>
    <w:p w14:paraId="2DFFE6AA" w14:textId="77777777" w:rsidR="000D6B4C" w:rsidRPr="0042750D" w:rsidRDefault="000D6B4C" w:rsidP="000D6B4C">
      <w:pPr>
        <w:pStyle w:val="Call"/>
        <w:rPr>
          <w:szCs w:val="22"/>
          <w:lang w:val="en-GB"/>
        </w:rPr>
      </w:pPr>
      <w:r w:rsidRPr="0042750D">
        <w:rPr>
          <w:szCs w:val="22"/>
          <w:lang w:val="en-GB"/>
        </w:rPr>
        <w:t>resolves</w:t>
      </w:r>
    </w:p>
    <w:p w14:paraId="4D40D6BB" w14:textId="77777777" w:rsidR="000D6B4C" w:rsidRPr="0042750D" w:rsidRDefault="000D6B4C" w:rsidP="000D6B4C">
      <w:pPr>
        <w:rPr>
          <w:szCs w:val="22"/>
        </w:rPr>
      </w:pPr>
      <w:r w:rsidRPr="0042750D">
        <w:rPr>
          <w:szCs w:val="22"/>
        </w:rPr>
        <w:t>1</w:t>
      </w:r>
      <w:r w:rsidRPr="0042750D">
        <w:rPr>
          <w:szCs w:val="22"/>
        </w:rPr>
        <w:tab/>
        <w:t>to encourage WTSA to further develop its working methods and procedures for the purpose of improving the management of ITU-T's standardization activities;</w:t>
      </w:r>
    </w:p>
    <w:p w14:paraId="3C98A8DB" w14:textId="77777777" w:rsidR="000D6B4C" w:rsidRPr="0042750D" w:rsidRDefault="000D6B4C" w:rsidP="000D6B4C">
      <w:pPr>
        <w:rPr>
          <w:szCs w:val="22"/>
        </w:rPr>
      </w:pPr>
      <w:r w:rsidRPr="0042750D">
        <w:rPr>
          <w:szCs w:val="22"/>
        </w:rPr>
        <w:t>2</w:t>
      </w:r>
      <w:r w:rsidRPr="0042750D">
        <w:rPr>
          <w:szCs w:val="22"/>
        </w:rPr>
        <w:tab/>
        <w:t xml:space="preserve">that WTSA shall continue, in accordance with its responsibilities, and subject to available financial resources, to promote the continued evolution of the standardization sector by means </w:t>
      </w:r>
      <w:r w:rsidRPr="0042750D">
        <w:rPr>
          <w:szCs w:val="22"/>
          <w:lang w:eastAsia="ko-KR"/>
        </w:rPr>
        <w:t xml:space="preserve">such as, but not limited to, </w:t>
      </w:r>
      <w:r w:rsidRPr="0042750D">
        <w:rPr>
          <w:szCs w:val="22"/>
        </w:rPr>
        <w:t>the strengthening of the role of TSAG;</w:t>
      </w:r>
    </w:p>
    <w:p w14:paraId="4792BE30" w14:textId="77777777" w:rsidR="000D6B4C" w:rsidRPr="0042750D" w:rsidRDefault="000D6B4C" w:rsidP="000D6B4C">
      <w:pPr>
        <w:rPr>
          <w:szCs w:val="22"/>
        </w:rPr>
      </w:pPr>
      <w:r w:rsidRPr="0042750D">
        <w:rPr>
          <w:szCs w:val="22"/>
        </w:rPr>
        <w:t>3</w:t>
      </w:r>
      <w:r w:rsidRPr="0042750D">
        <w:rPr>
          <w:szCs w:val="22"/>
        </w:rPr>
        <w:tab/>
        <w:t>that WTSA shall continue to adequately address strategic issues in standardization and, through the Director of the Telecommunication Standardization Bureau, provide its proposals and comments to the ITU Council;</w:t>
      </w:r>
    </w:p>
    <w:p w14:paraId="63970F1A" w14:textId="77777777" w:rsidR="000D6B4C" w:rsidRPr="0042750D" w:rsidRDefault="000D6B4C" w:rsidP="000D6B4C">
      <w:pPr>
        <w:rPr>
          <w:szCs w:val="22"/>
          <w:lang w:eastAsia="ko-KR"/>
        </w:rPr>
      </w:pPr>
      <w:r w:rsidRPr="0042750D">
        <w:rPr>
          <w:szCs w:val="22"/>
        </w:rPr>
        <w:t>4</w:t>
      </w:r>
      <w:r w:rsidRPr="0042750D">
        <w:rPr>
          <w:szCs w:val="22"/>
        </w:rPr>
        <w:tab/>
        <w:t>that WTSA, in its conclusions, should continue to take into account the Union's strategic plan and, consistent with No. 188 of the ITU Convention, take into consideration the financial status of the Sector;</w:t>
      </w:r>
    </w:p>
    <w:p w14:paraId="352B4637" w14:textId="77777777" w:rsidR="000D6B4C" w:rsidRPr="0042750D" w:rsidRDefault="000D6B4C" w:rsidP="000D6B4C">
      <w:pPr>
        <w:rPr>
          <w:szCs w:val="22"/>
        </w:rPr>
      </w:pPr>
      <w:r w:rsidRPr="0042750D">
        <w:rPr>
          <w:szCs w:val="22"/>
        </w:rPr>
        <w:t>5</w:t>
      </w:r>
      <w:r w:rsidRPr="0042750D">
        <w:rPr>
          <w:szCs w:val="22"/>
        </w:rPr>
        <w:tab/>
        <w:t>that WTSA encourage continuing close cooperation and coordination with international, regional and national organizations that formulate standards relevant to the work of ITU-T,</w:t>
      </w:r>
    </w:p>
    <w:p w14:paraId="583189CA" w14:textId="77777777" w:rsidR="000D6B4C" w:rsidRPr="0042750D" w:rsidRDefault="000D6B4C" w:rsidP="000D6B4C">
      <w:pPr>
        <w:pStyle w:val="Call"/>
        <w:rPr>
          <w:b/>
          <w:bCs/>
          <w:szCs w:val="22"/>
          <w:lang w:val="en-GB"/>
        </w:rPr>
      </w:pPr>
      <w:r w:rsidRPr="0042750D">
        <w:rPr>
          <w:szCs w:val="22"/>
          <w:lang w:val="en-GB"/>
        </w:rPr>
        <w:t>instructs the Director of the Telecommunication Standardization Bureau</w:t>
      </w:r>
    </w:p>
    <w:p w14:paraId="7F7FF41A" w14:textId="77777777" w:rsidR="000D6B4C" w:rsidRPr="0042750D" w:rsidRDefault="000D6B4C" w:rsidP="000D6B4C">
      <w:pPr>
        <w:rPr>
          <w:szCs w:val="22"/>
        </w:rPr>
      </w:pPr>
      <w:r w:rsidRPr="0042750D">
        <w:rPr>
          <w:szCs w:val="22"/>
        </w:rPr>
        <w:t>1</w:t>
      </w:r>
      <w:r w:rsidRPr="0042750D">
        <w:rPr>
          <w:szCs w:val="22"/>
        </w:rPr>
        <w:tab/>
        <w:t>in preparing the Director's report to WTSA, to include a report on the financial status of the Sector in order to assist WTSA in its functions;</w:t>
      </w:r>
    </w:p>
    <w:p w14:paraId="6AC494F6" w14:textId="77777777" w:rsidR="000D6B4C" w:rsidRPr="0042750D" w:rsidRDefault="000D6B4C" w:rsidP="000D6B4C">
      <w:pPr>
        <w:rPr>
          <w:szCs w:val="22"/>
        </w:rPr>
      </w:pPr>
      <w:r w:rsidRPr="0042750D">
        <w:rPr>
          <w:szCs w:val="22"/>
        </w:rPr>
        <w:t>2</w:t>
      </w:r>
      <w:r w:rsidRPr="0042750D">
        <w:rPr>
          <w:szCs w:val="22"/>
        </w:rPr>
        <w:tab/>
        <w:t>to continue, in consultation with relevant bodies, and the ITU membership, and in collaboration with the ITU Radiocommunication Sector and the ITU Telecommunication Development Sector, as appropriate, to organize GSS;</w:t>
      </w:r>
    </w:p>
    <w:p w14:paraId="1293839A" w14:textId="77777777" w:rsidR="000D6B4C" w:rsidRPr="0042750D" w:rsidRDefault="000D6B4C" w:rsidP="000D6B4C">
      <w:pPr>
        <w:pStyle w:val="Call"/>
        <w:rPr>
          <w:szCs w:val="22"/>
          <w:lang w:val="en-GB"/>
        </w:rPr>
      </w:pPr>
      <w:r w:rsidRPr="0042750D">
        <w:rPr>
          <w:szCs w:val="22"/>
          <w:lang w:val="en-GB"/>
        </w:rPr>
        <w:t>invites the World Telecommunication Standardization Assembly</w:t>
      </w:r>
    </w:p>
    <w:p w14:paraId="6101FBD9" w14:textId="6C8AE5F2" w:rsidR="00F0236A" w:rsidRPr="0042750D" w:rsidRDefault="000D6B4C" w:rsidP="000D6B4C">
      <w:pPr>
        <w:spacing w:after="240"/>
        <w:rPr>
          <w:i/>
          <w:iCs/>
          <w:szCs w:val="22"/>
        </w:rPr>
      </w:pPr>
      <w:r w:rsidRPr="0042750D">
        <w:rPr>
          <w:szCs w:val="22"/>
        </w:rPr>
        <w:t>to continue to take into consi</w:t>
      </w:r>
      <w:r w:rsidR="00E92DDD" w:rsidRPr="0042750D">
        <w:rPr>
          <w:szCs w:val="22"/>
        </w:rPr>
        <w:t>deration the conclusions of GSS</w:t>
      </w:r>
      <w:r w:rsidR="00F0236A" w:rsidRPr="0042750D">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35"/>
        <w:gridCol w:w="1889"/>
        <w:gridCol w:w="1159"/>
        <w:gridCol w:w="1338"/>
      </w:tblGrid>
      <w:tr w:rsidR="00F0236A" w:rsidRPr="0042750D" w14:paraId="17A91B4B" w14:textId="77777777" w:rsidTr="0048293B">
        <w:trPr>
          <w:tblHeader/>
          <w:jc w:val="center"/>
        </w:trPr>
        <w:tc>
          <w:tcPr>
            <w:tcW w:w="911" w:type="dxa"/>
            <w:tcBorders>
              <w:top w:val="single" w:sz="12" w:space="0" w:color="auto"/>
              <w:bottom w:val="single" w:sz="12" w:space="0" w:color="auto"/>
            </w:tcBorders>
            <w:shd w:val="clear" w:color="auto" w:fill="auto"/>
            <w:vAlign w:val="center"/>
          </w:tcPr>
          <w:p w14:paraId="242797F0" w14:textId="77777777" w:rsidR="00F0236A" w:rsidRPr="0042750D" w:rsidRDefault="00F0236A" w:rsidP="008C7A96">
            <w:pPr>
              <w:pStyle w:val="Tablehead"/>
              <w:keepNext w:val="0"/>
              <w:rPr>
                <w:sz w:val="24"/>
                <w:szCs w:val="24"/>
              </w:rPr>
            </w:pPr>
            <w:r w:rsidRPr="0042750D">
              <w:rPr>
                <w:sz w:val="24"/>
                <w:szCs w:val="24"/>
              </w:rPr>
              <w:t>Action Item</w:t>
            </w:r>
          </w:p>
        </w:tc>
        <w:tc>
          <w:tcPr>
            <w:tcW w:w="4535" w:type="dxa"/>
            <w:tcBorders>
              <w:top w:val="single" w:sz="12" w:space="0" w:color="auto"/>
              <w:bottom w:val="single" w:sz="12" w:space="0" w:color="auto"/>
            </w:tcBorders>
            <w:shd w:val="clear" w:color="auto" w:fill="auto"/>
            <w:vAlign w:val="center"/>
            <w:hideMark/>
          </w:tcPr>
          <w:p w14:paraId="1DFC9F71" w14:textId="77777777" w:rsidR="00F0236A" w:rsidRPr="0042750D" w:rsidRDefault="00F0236A" w:rsidP="00DF36E1">
            <w:pPr>
              <w:pStyle w:val="Tablehead"/>
              <w:rPr>
                <w:sz w:val="24"/>
                <w:szCs w:val="24"/>
              </w:rPr>
            </w:pPr>
            <w:r w:rsidRPr="0042750D">
              <w:rPr>
                <w:sz w:val="24"/>
                <w:szCs w:val="24"/>
              </w:rPr>
              <w:t>Action</w:t>
            </w:r>
          </w:p>
        </w:tc>
        <w:tc>
          <w:tcPr>
            <w:tcW w:w="1889" w:type="dxa"/>
            <w:tcBorders>
              <w:top w:val="single" w:sz="12" w:space="0" w:color="auto"/>
              <w:bottom w:val="single" w:sz="12" w:space="0" w:color="auto"/>
            </w:tcBorders>
            <w:shd w:val="clear" w:color="auto" w:fill="auto"/>
            <w:vAlign w:val="center"/>
            <w:hideMark/>
          </w:tcPr>
          <w:p w14:paraId="7F7D6FF0" w14:textId="77777777" w:rsidR="00F0236A" w:rsidRPr="0042750D" w:rsidRDefault="00F0236A" w:rsidP="00DF36E1">
            <w:pPr>
              <w:pStyle w:val="Tablehead"/>
              <w:rPr>
                <w:sz w:val="24"/>
                <w:szCs w:val="24"/>
              </w:rPr>
            </w:pPr>
            <w:r w:rsidRPr="0042750D">
              <w:rPr>
                <w:sz w:val="24"/>
                <w:szCs w:val="24"/>
              </w:rPr>
              <w:t>Milestone</w:t>
            </w:r>
          </w:p>
        </w:tc>
        <w:tc>
          <w:tcPr>
            <w:tcW w:w="1159" w:type="dxa"/>
            <w:tcBorders>
              <w:top w:val="single" w:sz="12" w:space="0" w:color="auto"/>
              <w:bottom w:val="single" w:sz="12" w:space="0" w:color="auto"/>
            </w:tcBorders>
            <w:shd w:val="clear" w:color="auto" w:fill="auto"/>
          </w:tcPr>
          <w:p w14:paraId="0A3C4BBE"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6326DBF"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3715C2AD" w14:textId="77777777" w:rsidTr="00E92DDD">
        <w:trPr>
          <w:cantSplit/>
          <w:jc w:val="center"/>
        </w:trPr>
        <w:tc>
          <w:tcPr>
            <w:tcW w:w="911" w:type="dxa"/>
            <w:vMerge w:val="restart"/>
            <w:tcBorders>
              <w:top w:val="single" w:sz="12" w:space="0" w:color="auto"/>
            </w:tcBorders>
            <w:shd w:val="clear" w:color="auto" w:fill="auto"/>
          </w:tcPr>
          <w:p w14:paraId="4D88DD18" w14:textId="3A3B4EAC" w:rsidR="00F0236A" w:rsidRPr="0042750D" w:rsidRDefault="003F6A04" w:rsidP="00DF36E1">
            <w:pPr>
              <w:pStyle w:val="Tabletext"/>
              <w:rPr>
                <w:b/>
                <w:bCs/>
                <w:sz w:val="24"/>
                <w:szCs w:val="24"/>
              </w:rPr>
            </w:pPr>
            <w:r w:rsidRPr="0042750D">
              <w:rPr>
                <w:b/>
                <w:bCs/>
                <w:sz w:val="24"/>
                <w:szCs w:val="24"/>
              </w:rPr>
              <w:t>122</w:t>
            </w:r>
            <w:r w:rsidR="00F0236A" w:rsidRPr="0042750D">
              <w:rPr>
                <w:b/>
                <w:bCs/>
                <w:sz w:val="24"/>
                <w:szCs w:val="24"/>
              </w:rPr>
              <w:t>-01</w:t>
            </w:r>
          </w:p>
        </w:tc>
        <w:tc>
          <w:tcPr>
            <w:tcW w:w="4535" w:type="dxa"/>
            <w:tcBorders>
              <w:top w:val="single" w:sz="12" w:space="0" w:color="auto"/>
              <w:bottom w:val="single" w:sz="4" w:space="0" w:color="auto"/>
            </w:tcBorders>
            <w:shd w:val="clear" w:color="auto" w:fill="auto"/>
          </w:tcPr>
          <w:p w14:paraId="1696BB30" w14:textId="275E5E7B" w:rsidR="00F0236A" w:rsidRPr="0042750D" w:rsidRDefault="000D6B4C" w:rsidP="00DF36E1">
            <w:pPr>
              <w:pStyle w:val="Tabletext"/>
              <w:rPr>
                <w:b/>
                <w:bCs/>
                <w:sz w:val="24"/>
                <w:szCs w:val="24"/>
              </w:rPr>
            </w:pPr>
            <w:r w:rsidRPr="0042750D">
              <w:rPr>
                <w:b/>
                <w:bCs/>
                <w:sz w:val="24"/>
                <w:szCs w:val="24"/>
              </w:rPr>
              <w:t>WTSA to further develop work methods and procedures to improve management of ITU-T standardization activities. Continue to promote evolution of standards, address strategic issues, collaborate with international, regional and national orgs</w:t>
            </w:r>
            <w:r w:rsidR="006F76A5" w:rsidRPr="0042750D">
              <w:rPr>
                <w:b/>
                <w:bCs/>
                <w:sz w:val="24"/>
                <w:szCs w:val="24"/>
              </w:rPr>
              <w:t xml:space="preserve"> (</w:t>
            </w:r>
            <w:r w:rsidR="006F76A5" w:rsidRPr="0042750D">
              <w:rPr>
                <w:b/>
                <w:bCs/>
                <w:i/>
                <w:sz w:val="24"/>
                <w:szCs w:val="24"/>
              </w:rPr>
              <w:t>resolves 1</w:t>
            </w:r>
            <w:r w:rsidR="006F76A5" w:rsidRPr="0042750D">
              <w:rPr>
                <w:b/>
                <w:bCs/>
                <w:sz w:val="24"/>
                <w:szCs w:val="24"/>
              </w:rPr>
              <w:t>)</w:t>
            </w:r>
            <w:r w:rsidRPr="0042750D">
              <w:rPr>
                <w:b/>
                <w:bCs/>
                <w:sz w:val="24"/>
                <w:szCs w:val="24"/>
              </w:rPr>
              <w:t>.</w:t>
            </w:r>
          </w:p>
        </w:tc>
        <w:tc>
          <w:tcPr>
            <w:tcW w:w="1889" w:type="dxa"/>
            <w:tcBorders>
              <w:top w:val="single" w:sz="12" w:space="0" w:color="auto"/>
              <w:bottom w:val="single" w:sz="4" w:space="0" w:color="auto"/>
            </w:tcBorders>
            <w:shd w:val="clear" w:color="auto" w:fill="auto"/>
            <w:vAlign w:val="center"/>
            <w:hideMark/>
          </w:tcPr>
          <w:p w14:paraId="2F97CF45" w14:textId="08F7D088" w:rsidR="00F0236A" w:rsidRPr="0042750D" w:rsidRDefault="000D6B4C" w:rsidP="00E92DDD">
            <w:pPr>
              <w:pStyle w:val="Tabletext"/>
              <w:jc w:val="center"/>
              <w:rPr>
                <w:b/>
                <w:bCs/>
                <w:sz w:val="24"/>
                <w:szCs w:val="24"/>
              </w:rPr>
            </w:pPr>
            <w:r w:rsidRPr="0042750D">
              <w:rPr>
                <w:b/>
                <w:bCs/>
                <w:sz w:val="24"/>
                <w:szCs w:val="24"/>
              </w:rPr>
              <w:t>WTSA-20</w:t>
            </w:r>
          </w:p>
        </w:tc>
        <w:tc>
          <w:tcPr>
            <w:tcW w:w="1159" w:type="dxa"/>
            <w:tcBorders>
              <w:top w:val="single" w:sz="12" w:space="0" w:color="auto"/>
              <w:bottom w:val="single" w:sz="4" w:space="0" w:color="auto"/>
            </w:tcBorders>
            <w:shd w:val="clear" w:color="auto" w:fill="auto"/>
            <w:vAlign w:val="center"/>
          </w:tcPr>
          <w:p w14:paraId="6DF751B2" w14:textId="660AAB34" w:rsidR="00F0236A" w:rsidRPr="0042750D" w:rsidRDefault="00F0236A" w:rsidP="00DF36E1">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44060C61" w14:textId="77777777" w:rsidR="00F0236A" w:rsidRPr="0042750D" w:rsidRDefault="00F0236A" w:rsidP="00DF36E1">
            <w:pPr>
              <w:pStyle w:val="Tabletext"/>
              <w:jc w:val="center"/>
              <w:rPr>
                <w:b/>
                <w:bCs/>
                <w:sz w:val="24"/>
                <w:szCs w:val="24"/>
              </w:rPr>
            </w:pPr>
          </w:p>
        </w:tc>
      </w:tr>
      <w:tr w:rsidR="00F0236A" w:rsidRPr="0042750D" w14:paraId="72ACA0B9" w14:textId="77777777" w:rsidTr="00E44E48">
        <w:trPr>
          <w:cantSplit/>
          <w:jc w:val="center"/>
        </w:trPr>
        <w:tc>
          <w:tcPr>
            <w:tcW w:w="911" w:type="dxa"/>
            <w:vMerge/>
            <w:tcBorders>
              <w:bottom w:val="single" w:sz="12" w:space="0" w:color="auto"/>
            </w:tcBorders>
            <w:shd w:val="clear" w:color="auto" w:fill="auto"/>
          </w:tcPr>
          <w:p w14:paraId="58DA2DBB" w14:textId="77777777" w:rsidR="00F0236A" w:rsidRPr="0042750D"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5193254" w14:textId="5531AD2B" w:rsidR="00F0236A" w:rsidRPr="0042750D" w:rsidRDefault="006D7E18" w:rsidP="00F43D52">
            <w:pPr>
              <w:pStyle w:val="Tabletext"/>
              <w:rPr>
                <w:szCs w:val="22"/>
              </w:rPr>
            </w:pPr>
            <w:r w:rsidRPr="0042750D">
              <w:rPr>
                <w:szCs w:val="22"/>
              </w:rPr>
              <w:t>Ongoing.</w:t>
            </w:r>
          </w:p>
        </w:tc>
      </w:tr>
      <w:tr w:rsidR="00E92DDD" w:rsidRPr="0042750D" w14:paraId="0EA91408" w14:textId="77777777" w:rsidTr="00E92DDD">
        <w:trPr>
          <w:cantSplit/>
          <w:jc w:val="center"/>
        </w:trPr>
        <w:tc>
          <w:tcPr>
            <w:tcW w:w="911" w:type="dxa"/>
            <w:vMerge w:val="restart"/>
            <w:tcBorders>
              <w:top w:val="single" w:sz="12" w:space="0" w:color="auto"/>
            </w:tcBorders>
            <w:shd w:val="clear" w:color="auto" w:fill="auto"/>
          </w:tcPr>
          <w:p w14:paraId="43B4FAB3" w14:textId="724F41B8" w:rsidR="00E92DDD" w:rsidRPr="0042750D" w:rsidRDefault="00E92DDD" w:rsidP="00E92DDD">
            <w:pPr>
              <w:pStyle w:val="Tabletext"/>
              <w:rPr>
                <w:b/>
                <w:bCs/>
                <w:sz w:val="24"/>
                <w:szCs w:val="24"/>
              </w:rPr>
            </w:pPr>
            <w:bookmarkStart w:id="93" w:name="Item45_01"/>
            <w:bookmarkStart w:id="94" w:name="Item45_02"/>
            <w:bookmarkEnd w:id="93"/>
            <w:bookmarkEnd w:id="94"/>
            <w:r w:rsidRPr="0042750D">
              <w:rPr>
                <w:b/>
                <w:bCs/>
                <w:sz w:val="24"/>
                <w:szCs w:val="24"/>
              </w:rPr>
              <w:t>122-02</w:t>
            </w:r>
          </w:p>
        </w:tc>
        <w:tc>
          <w:tcPr>
            <w:tcW w:w="4535" w:type="dxa"/>
            <w:tcBorders>
              <w:top w:val="single" w:sz="12" w:space="0" w:color="auto"/>
              <w:bottom w:val="single" w:sz="4" w:space="0" w:color="auto"/>
            </w:tcBorders>
            <w:shd w:val="clear" w:color="auto" w:fill="auto"/>
          </w:tcPr>
          <w:p w14:paraId="11028A42" w14:textId="3783FE4E" w:rsidR="00E92DDD" w:rsidRPr="0042750D" w:rsidRDefault="00E92DDD" w:rsidP="0069118A">
            <w:pPr>
              <w:pStyle w:val="Tabletext"/>
              <w:rPr>
                <w:b/>
                <w:bCs/>
                <w:sz w:val="24"/>
                <w:szCs w:val="24"/>
              </w:rPr>
            </w:pPr>
            <w:r w:rsidRPr="0042750D">
              <w:rPr>
                <w:b/>
                <w:bCs/>
                <w:sz w:val="24"/>
                <w:szCs w:val="24"/>
              </w:rPr>
              <w:t>WTSA</w:t>
            </w:r>
            <w:r w:rsidRPr="0042750D">
              <w:rPr>
                <w:b/>
                <w:sz w:val="24"/>
                <w:szCs w:val="24"/>
              </w:rPr>
              <w:t xml:space="preserve">, in accordance with its responsibilities, and subject to available financial resources, to promote the continued evolution of the standardization sector by means </w:t>
            </w:r>
            <w:r w:rsidRPr="0042750D">
              <w:rPr>
                <w:b/>
                <w:sz w:val="24"/>
                <w:szCs w:val="24"/>
                <w:lang w:eastAsia="ko-KR"/>
              </w:rPr>
              <w:t xml:space="preserve">such as, but not limited to, </w:t>
            </w:r>
            <w:r w:rsidRPr="0042750D">
              <w:rPr>
                <w:b/>
                <w:sz w:val="24"/>
                <w:szCs w:val="24"/>
              </w:rPr>
              <w:t>the strengthening of the role of TSAG</w:t>
            </w:r>
            <w:r w:rsidR="006F76A5" w:rsidRPr="0042750D">
              <w:rPr>
                <w:b/>
                <w:sz w:val="24"/>
                <w:szCs w:val="24"/>
              </w:rPr>
              <w:t xml:space="preserve"> (</w:t>
            </w:r>
            <w:r w:rsidR="006F76A5" w:rsidRPr="0042750D">
              <w:rPr>
                <w:b/>
                <w:i/>
                <w:sz w:val="24"/>
                <w:szCs w:val="24"/>
              </w:rPr>
              <w:t>resolves 2</w:t>
            </w:r>
            <w:r w:rsidR="006F76A5" w:rsidRPr="0042750D">
              <w:rPr>
                <w:b/>
                <w:sz w:val="24"/>
                <w:szCs w:val="24"/>
              </w:rPr>
              <w:t>)</w:t>
            </w:r>
            <w:r w:rsidRPr="0042750D">
              <w:rPr>
                <w:b/>
                <w:sz w:val="24"/>
                <w:szCs w:val="24"/>
              </w:rPr>
              <w:t>.</w:t>
            </w:r>
          </w:p>
        </w:tc>
        <w:tc>
          <w:tcPr>
            <w:tcW w:w="1889" w:type="dxa"/>
            <w:tcBorders>
              <w:top w:val="single" w:sz="12" w:space="0" w:color="auto"/>
              <w:bottom w:val="single" w:sz="4" w:space="0" w:color="auto"/>
            </w:tcBorders>
            <w:shd w:val="clear" w:color="auto" w:fill="auto"/>
            <w:vAlign w:val="center"/>
            <w:hideMark/>
          </w:tcPr>
          <w:p w14:paraId="297EC8AA" w14:textId="2607A017" w:rsidR="00E92DDD" w:rsidRPr="0042750D" w:rsidRDefault="00E92DDD" w:rsidP="00E92DDD">
            <w:pPr>
              <w:pStyle w:val="Tabletext"/>
              <w:jc w:val="center"/>
              <w:rPr>
                <w:b/>
                <w:bCs/>
                <w:sz w:val="24"/>
                <w:szCs w:val="24"/>
              </w:rPr>
            </w:pPr>
            <w:r w:rsidRPr="0042750D">
              <w:rPr>
                <w:b/>
                <w:bCs/>
                <w:sz w:val="24"/>
                <w:szCs w:val="24"/>
              </w:rPr>
              <w:t>WTSA-20</w:t>
            </w:r>
          </w:p>
        </w:tc>
        <w:tc>
          <w:tcPr>
            <w:tcW w:w="1159" w:type="dxa"/>
            <w:tcBorders>
              <w:top w:val="single" w:sz="12" w:space="0" w:color="auto"/>
              <w:bottom w:val="single" w:sz="4" w:space="0" w:color="auto"/>
            </w:tcBorders>
            <w:shd w:val="clear" w:color="auto" w:fill="auto"/>
            <w:vAlign w:val="center"/>
          </w:tcPr>
          <w:p w14:paraId="7FE4EE8E" w14:textId="77777777" w:rsidR="00E92DDD" w:rsidRPr="0042750D"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0CA0C4C3" w14:textId="77777777" w:rsidR="00E92DDD" w:rsidRPr="0042750D" w:rsidRDefault="00E92DDD" w:rsidP="00D50A4E">
            <w:pPr>
              <w:pStyle w:val="Tabletext"/>
              <w:jc w:val="center"/>
              <w:rPr>
                <w:b/>
                <w:bCs/>
                <w:sz w:val="24"/>
                <w:szCs w:val="24"/>
              </w:rPr>
            </w:pPr>
          </w:p>
        </w:tc>
      </w:tr>
      <w:tr w:rsidR="00E92DDD" w:rsidRPr="0042750D" w14:paraId="1299C3EE" w14:textId="77777777" w:rsidTr="00D50A4E">
        <w:trPr>
          <w:cantSplit/>
          <w:jc w:val="center"/>
        </w:trPr>
        <w:tc>
          <w:tcPr>
            <w:tcW w:w="911" w:type="dxa"/>
            <w:vMerge/>
            <w:tcBorders>
              <w:bottom w:val="single" w:sz="12" w:space="0" w:color="auto"/>
            </w:tcBorders>
            <w:shd w:val="clear" w:color="auto" w:fill="auto"/>
          </w:tcPr>
          <w:p w14:paraId="07722A50" w14:textId="77777777" w:rsidR="00E92DDD" w:rsidRPr="0042750D"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41CDE367" w14:textId="77777777" w:rsidR="00E92DDD" w:rsidRPr="0042750D" w:rsidRDefault="00E92DDD" w:rsidP="00D50A4E">
            <w:pPr>
              <w:pStyle w:val="Tabletext"/>
              <w:rPr>
                <w:szCs w:val="22"/>
              </w:rPr>
            </w:pPr>
          </w:p>
        </w:tc>
      </w:tr>
      <w:tr w:rsidR="00E92DDD" w:rsidRPr="0042750D" w14:paraId="636EF67E" w14:textId="77777777" w:rsidTr="00D50A4E">
        <w:trPr>
          <w:cantSplit/>
          <w:jc w:val="center"/>
        </w:trPr>
        <w:tc>
          <w:tcPr>
            <w:tcW w:w="911" w:type="dxa"/>
            <w:vMerge w:val="restart"/>
            <w:tcBorders>
              <w:top w:val="single" w:sz="12" w:space="0" w:color="auto"/>
            </w:tcBorders>
            <w:shd w:val="clear" w:color="auto" w:fill="auto"/>
          </w:tcPr>
          <w:p w14:paraId="3A4E07AE" w14:textId="1A994BAF" w:rsidR="00E92DDD" w:rsidRPr="0042750D" w:rsidRDefault="00E92DDD" w:rsidP="00E92DDD">
            <w:pPr>
              <w:pStyle w:val="Tabletext"/>
              <w:rPr>
                <w:b/>
                <w:bCs/>
                <w:sz w:val="24"/>
                <w:szCs w:val="24"/>
              </w:rPr>
            </w:pPr>
            <w:r w:rsidRPr="0042750D">
              <w:rPr>
                <w:b/>
                <w:bCs/>
                <w:sz w:val="24"/>
                <w:szCs w:val="24"/>
              </w:rPr>
              <w:t>122-03</w:t>
            </w:r>
          </w:p>
        </w:tc>
        <w:tc>
          <w:tcPr>
            <w:tcW w:w="4535" w:type="dxa"/>
            <w:tcBorders>
              <w:top w:val="single" w:sz="12" w:space="0" w:color="auto"/>
              <w:bottom w:val="single" w:sz="4" w:space="0" w:color="auto"/>
            </w:tcBorders>
            <w:shd w:val="clear" w:color="auto" w:fill="auto"/>
          </w:tcPr>
          <w:p w14:paraId="5E89823D" w14:textId="36722A70" w:rsidR="00E92DDD" w:rsidRPr="0042750D" w:rsidRDefault="00E92DDD" w:rsidP="0069118A">
            <w:pPr>
              <w:pStyle w:val="Tabletext"/>
              <w:rPr>
                <w:b/>
                <w:bCs/>
                <w:sz w:val="24"/>
                <w:szCs w:val="24"/>
              </w:rPr>
            </w:pPr>
            <w:r w:rsidRPr="0042750D">
              <w:rPr>
                <w:b/>
                <w:bCs/>
                <w:sz w:val="24"/>
                <w:szCs w:val="24"/>
              </w:rPr>
              <w:t xml:space="preserve">WTSA to </w:t>
            </w:r>
            <w:r w:rsidRPr="0042750D">
              <w:rPr>
                <w:b/>
                <w:sz w:val="24"/>
                <w:szCs w:val="24"/>
              </w:rPr>
              <w:t>adequately address strategic issues in standardization and, through the Director of the Telecommunication Standardization Bureau, provide its proposals and comments to the ITU Council</w:t>
            </w:r>
            <w:r w:rsidR="006F76A5" w:rsidRPr="0042750D">
              <w:rPr>
                <w:b/>
                <w:sz w:val="24"/>
                <w:szCs w:val="24"/>
              </w:rPr>
              <w:t xml:space="preserve"> (</w:t>
            </w:r>
            <w:r w:rsidR="006F76A5" w:rsidRPr="0042750D">
              <w:rPr>
                <w:b/>
                <w:i/>
                <w:sz w:val="24"/>
                <w:szCs w:val="24"/>
              </w:rPr>
              <w:t>resolves 3</w:t>
            </w:r>
            <w:r w:rsidR="006F76A5" w:rsidRPr="0042750D">
              <w:rPr>
                <w:b/>
                <w:sz w:val="24"/>
                <w:szCs w:val="24"/>
              </w:rPr>
              <w:t>)</w:t>
            </w:r>
            <w:r w:rsidRPr="0042750D">
              <w:rPr>
                <w:b/>
                <w:sz w:val="24"/>
                <w:szCs w:val="24"/>
              </w:rPr>
              <w:t>.</w:t>
            </w:r>
          </w:p>
        </w:tc>
        <w:tc>
          <w:tcPr>
            <w:tcW w:w="1889" w:type="dxa"/>
            <w:tcBorders>
              <w:top w:val="single" w:sz="12" w:space="0" w:color="auto"/>
              <w:bottom w:val="single" w:sz="4" w:space="0" w:color="auto"/>
            </w:tcBorders>
            <w:shd w:val="clear" w:color="auto" w:fill="auto"/>
            <w:vAlign w:val="center"/>
            <w:hideMark/>
          </w:tcPr>
          <w:p w14:paraId="5C564ACE" w14:textId="77777777" w:rsidR="00E92DDD" w:rsidRPr="0042750D" w:rsidRDefault="00E92DDD" w:rsidP="00D50A4E">
            <w:pPr>
              <w:pStyle w:val="Tabletext"/>
              <w:jc w:val="center"/>
              <w:rPr>
                <w:b/>
                <w:bCs/>
                <w:sz w:val="24"/>
                <w:szCs w:val="24"/>
              </w:rPr>
            </w:pPr>
            <w:r w:rsidRPr="0042750D">
              <w:rPr>
                <w:b/>
                <w:bCs/>
                <w:sz w:val="24"/>
                <w:szCs w:val="24"/>
              </w:rPr>
              <w:t>WTSA-20</w:t>
            </w:r>
          </w:p>
        </w:tc>
        <w:tc>
          <w:tcPr>
            <w:tcW w:w="1159" w:type="dxa"/>
            <w:tcBorders>
              <w:top w:val="single" w:sz="12" w:space="0" w:color="auto"/>
              <w:bottom w:val="single" w:sz="4" w:space="0" w:color="auto"/>
            </w:tcBorders>
            <w:shd w:val="clear" w:color="auto" w:fill="auto"/>
            <w:vAlign w:val="center"/>
          </w:tcPr>
          <w:p w14:paraId="7580A935" w14:textId="77777777" w:rsidR="00E92DDD" w:rsidRPr="0042750D"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3E8576E" w14:textId="77777777" w:rsidR="00E92DDD" w:rsidRPr="0042750D" w:rsidRDefault="00E92DDD" w:rsidP="00D50A4E">
            <w:pPr>
              <w:pStyle w:val="Tabletext"/>
              <w:jc w:val="center"/>
              <w:rPr>
                <w:b/>
                <w:bCs/>
                <w:sz w:val="24"/>
                <w:szCs w:val="24"/>
              </w:rPr>
            </w:pPr>
          </w:p>
        </w:tc>
      </w:tr>
      <w:tr w:rsidR="00E92DDD" w:rsidRPr="0042750D" w14:paraId="0316E705" w14:textId="77777777" w:rsidTr="00D50A4E">
        <w:trPr>
          <w:cantSplit/>
          <w:jc w:val="center"/>
        </w:trPr>
        <w:tc>
          <w:tcPr>
            <w:tcW w:w="911" w:type="dxa"/>
            <w:vMerge/>
            <w:tcBorders>
              <w:bottom w:val="single" w:sz="12" w:space="0" w:color="auto"/>
            </w:tcBorders>
            <w:shd w:val="clear" w:color="auto" w:fill="auto"/>
          </w:tcPr>
          <w:p w14:paraId="32F33051" w14:textId="77777777" w:rsidR="00E92DDD" w:rsidRPr="0042750D"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36916686" w14:textId="77777777" w:rsidR="00E92DDD" w:rsidRPr="0042750D" w:rsidRDefault="00E92DDD" w:rsidP="00D50A4E">
            <w:pPr>
              <w:pStyle w:val="Tabletext"/>
              <w:rPr>
                <w:szCs w:val="22"/>
              </w:rPr>
            </w:pPr>
          </w:p>
        </w:tc>
      </w:tr>
      <w:tr w:rsidR="00E92DDD" w:rsidRPr="0042750D" w14:paraId="77DF8402" w14:textId="77777777" w:rsidTr="00D50A4E">
        <w:trPr>
          <w:cantSplit/>
          <w:jc w:val="center"/>
        </w:trPr>
        <w:tc>
          <w:tcPr>
            <w:tcW w:w="911" w:type="dxa"/>
            <w:vMerge w:val="restart"/>
            <w:tcBorders>
              <w:top w:val="single" w:sz="12" w:space="0" w:color="auto"/>
            </w:tcBorders>
            <w:shd w:val="clear" w:color="auto" w:fill="auto"/>
          </w:tcPr>
          <w:p w14:paraId="1CBC6A95" w14:textId="558A458E" w:rsidR="00E92DDD" w:rsidRPr="0042750D" w:rsidRDefault="00E92DDD" w:rsidP="00E92DDD">
            <w:pPr>
              <w:pStyle w:val="Tabletext"/>
              <w:rPr>
                <w:b/>
                <w:bCs/>
                <w:sz w:val="24"/>
                <w:szCs w:val="24"/>
              </w:rPr>
            </w:pPr>
            <w:r w:rsidRPr="0042750D">
              <w:rPr>
                <w:b/>
                <w:bCs/>
                <w:sz w:val="24"/>
                <w:szCs w:val="24"/>
              </w:rPr>
              <w:t>122-04</w:t>
            </w:r>
          </w:p>
        </w:tc>
        <w:tc>
          <w:tcPr>
            <w:tcW w:w="4535" w:type="dxa"/>
            <w:tcBorders>
              <w:top w:val="single" w:sz="12" w:space="0" w:color="auto"/>
              <w:bottom w:val="single" w:sz="4" w:space="0" w:color="auto"/>
            </w:tcBorders>
            <w:shd w:val="clear" w:color="auto" w:fill="auto"/>
          </w:tcPr>
          <w:p w14:paraId="03519034" w14:textId="5E98875E" w:rsidR="00E92DDD" w:rsidRPr="0042750D" w:rsidRDefault="00E92DDD" w:rsidP="0069118A">
            <w:pPr>
              <w:pStyle w:val="Tabletext"/>
              <w:rPr>
                <w:b/>
                <w:bCs/>
                <w:sz w:val="24"/>
                <w:szCs w:val="24"/>
              </w:rPr>
            </w:pPr>
            <w:r w:rsidRPr="0042750D">
              <w:rPr>
                <w:b/>
                <w:bCs/>
                <w:sz w:val="24"/>
                <w:szCs w:val="24"/>
              </w:rPr>
              <w:t xml:space="preserve">WTSA </w:t>
            </w:r>
            <w:r w:rsidRPr="0042750D">
              <w:rPr>
                <w:b/>
                <w:sz w:val="24"/>
                <w:szCs w:val="24"/>
              </w:rPr>
              <w:t>should take into account the Union's strategic plan and, consistent with No. 188 of the ITU Convention, take into consideration the financial status of the Sector</w:t>
            </w:r>
            <w:r w:rsidR="006F76A5" w:rsidRPr="0042750D">
              <w:rPr>
                <w:b/>
                <w:sz w:val="24"/>
                <w:szCs w:val="24"/>
              </w:rPr>
              <w:t xml:space="preserve"> (</w:t>
            </w:r>
            <w:r w:rsidR="006F76A5" w:rsidRPr="0042750D">
              <w:rPr>
                <w:b/>
                <w:i/>
                <w:sz w:val="24"/>
                <w:szCs w:val="24"/>
              </w:rPr>
              <w:t>resolves 4</w:t>
            </w:r>
            <w:r w:rsidR="006F76A5" w:rsidRPr="0042750D">
              <w:rPr>
                <w:b/>
                <w:sz w:val="24"/>
                <w:szCs w:val="24"/>
              </w:rPr>
              <w:t>)</w:t>
            </w:r>
            <w:r w:rsidRPr="0042750D">
              <w:rPr>
                <w:b/>
                <w:sz w:val="24"/>
                <w:szCs w:val="24"/>
              </w:rPr>
              <w:t>.</w:t>
            </w:r>
          </w:p>
        </w:tc>
        <w:tc>
          <w:tcPr>
            <w:tcW w:w="1889" w:type="dxa"/>
            <w:tcBorders>
              <w:top w:val="single" w:sz="12" w:space="0" w:color="auto"/>
              <w:bottom w:val="single" w:sz="4" w:space="0" w:color="auto"/>
            </w:tcBorders>
            <w:shd w:val="clear" w:color="auto" w:fill="auto"/>
            <w:vAlign w:val="center"/>
            <w:hideMark/>
          </w:tcPr>
          <w:p w14:paraId="6B15C599" w14:textId="77777777" w:rsidR="00E92DDD" w:rsidRPr="0042750D" w:rsidRDefault="00E92DDD" w:rsidP="00D50A4E">
            <w:pPr>
              <w:pStyle w:val="Tabletext"/>
              <w:jc w:val="center"/>
              <w:rPr>
                <w:b/>
                <w:bCs/>
                <w:sz w:val="24"/>
                <w:szCs w:val="24"/>
              </w:rPr>
            </w:pPr>
            <w:r w:rsidRPr="0042750D">
              <w:rPr>
                <w:b/>
                <w:bCs/>
                <w:sz w:val="24"/>
                <w:szCs w:val="24"/>
              </w:rPr>
              <w:t>WTSA-20</w:t>
            </w:r>
          </w:p>
        </w:tc>
        <w:tc>
          <w:tcPr>
            <w:tcW w:w="1159" w:type="dxa"/>
            <w:tcBorders>
              <w:top w:val="single" w:sz="12" w:space="0" w:color="auto"/>
              <w:bottom w:val="single" w:sz="4" w:space="0" w:color="auto"/>
            </w:tcBorders>
            <w:shd w:val="clear" w:color="auto" w:fill="auto"/>
            <w:vAlign w:val="center"/>
          </w:tcPr>
          <w:p w14:paraId="3D4A6CF4" w14:textId="77777777" w:rsidR="00E92DDD" w:rsidRPr="0042750D"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B42AC79" w14:textId="77777777" w:rsidR="00E92DDD" w:rsidRPr="0042750D" w:rsidRDefault="00E92DDD" w:rsidP="00D50A4E">
            <w:pPr>
              <w:pStyle w:val="Tabletext"/>
              <w:jc w:val="center"/>
              <w:rPr>
                <w:b/>
                <w:bCs/>
                <w:sz w:val="24"/>
                <w:szCs w:val="24"/>
              </w:rPr>
            </w:pPr>
          </w:p>
        </w:tc>
      </w:tr>
      <w:tr w:rsidR="00E92DDD" w:rsidRPr="0042750D" w14:paraId="066CB74B" w14:textId="77777777" w:rsidTr="00D50A4E">
        <w:trPr>
          <w:cantSplit/>
          <w:jc w:val="center"/>
        </w:trPr>
        <w:tc>
          <w:tcPr>
            <w:tcW w:w="911" w:type="dxa"/>
            <w:vMerge/>
            <w:tcBorders>
              <w:bottom w:val="single" w:sz="12" w:space="0" w:color="auto"/>
            </w:tcBorders>
            <w:shd w:val="clear" w:color="auto" w:fill="auto"/>
          </w:tcPr>
          <w:p w14:paraId="54D829DA" w14:textId="77777777" w:rsidR="00E92DDD" w:rsidRPr="0042750D"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03CA640B" w14:textId="77777777" w:rsidR="00E92DDD" w:rsidRPr="0042750D" w:rsidRDefault="00E92DDD" w:rsidP="00D50A4E">
            <w:pPr>
              <w:pStyle w:val="Tabletext"/>
              <w:rPr>
                <w:szCs w:val="22"/>
              </w:rPr>
            </w:pPr>
          </w:p>
        </w:tc>
      </w:tr>
      <w:tr w:rsidR="00E92DDD" w:rsidRPr="0042750D" w14:paraId="6566B23E" w14:textId="77777777" w:rsidTr="00D50A4E">
        <w:trPr>
          <w:cantSplit/>
          <w:jc w:val="center"/>
        </w:trPr>
        <w:tc>
          <w:tcPr>
            <w:tcW w:w="911" w:type="dxa"/>
            <w:vMerge w:val="restart"/>
            <w:tcBorders>
              <w:top w:val="single" w:sz="12" w:space="0" w:color="auto"/>
            </w:tcBorders>
            <w:shd w:val="clear" w:color="auto" w:fill="auto"/>
          </w:tcPr>
          <w:p w14:paraId="7FDCAE1C" w14:textId="3D3C11C2" w:rsidR="00E92DDD" w:rsidRPr="0042750D" w:rsidRDefault="00E92DDD" w:rsidP="00E92DDD">
            <w:pPr>
              <w:pStyle w:val="Tabletext"/>
              <w:rPr>
                <w:b/>
                <w:bCs/>
                <w:sz w:val="24"/>
                <w:szCs w:val="24"/>
              </w:rPr>
            </w:pPr>
            <w:r w:rsidRPr="0042750D">
              <w:rPr>
                <w:b/>
                <w:bCs/>
                <w:sz w:val="24"/>
                <w:szCs w:val="24"/>
              </w:rPr>
              <w:t>122-05</w:t>
            </w:r>
          </w:p>
        </w:tc>
        <w:tc>
          <w:tcPr>
            <w:tcW w:w="4535" w:type="dxa"/>
            <w:tcBorders>
              <w:top w:val="single" w:sz="12" w:space="0" w:color="auto"/>
              <w:bottom w:val="single" w:sz="4" w:space="0" w:color="auto"/>
            </w:tcBorders>
            <w:shd w:val="clear" w:color="auto" w:fill="auto"/>
          </w:tcPr>
          <w:p w14:paraId="501052DE" w14:textId="0AC5E839" w:rsidR="00E92DDD" w:rsidRPr="0042750D" w:rsidRDefault="00E92DDD" w:rsidP="00D50A4E">
            <w:pPr>
              <w:pStyle w:val="Tabletext"/>
              <w:rPr>
                <w:b/>
                <w:bCs/>
                <w:sz w:val="24"/>
                <w:szCs w:val="24"/>
              </w:rPr>
            </w:pPr>
            <w:r w:rsidRPr="0042750D">
              <w:rPr>
                <w:b/>
                <w:sz w:val="24"/>
                <w:szCs w:val="24"/>
              </w:rPr>
              <w:t>WTSA to encourage continuing close cooperation and coordination with international, regional and national organizations that formulate standards relevant to the work of ITU-T</w:t>
            </w:r>
            <w:r w:rsidR="006F76A5" w:rsidRPr="0042750D">
              <w:rPr>
                <w:b/>
                <w:sz w:val="24"/>
                <w:szCs w:val="24"/>
              </w:rPr>
              <w:t xml:space="preserve"> (</w:t>
            </w:r>
            <w:r w:rsidR="006F76A5" w:rsidRPr="0042750D">
              <w:rPr>
                <w:b/>
                <w:i/>
                <w:sz w:val="24"/>
                <w:szCs w:val="24"/>
              </w:rPr>
              <w:t>resolves 5</w:t>
            </w:r>
            <w:r w:rsidR="006F76A5" w:rsidRPr="0042750D">
              <w:rPr>
                <w:b/>
                <w:sz w:val="24"/>
                <w:szCs w:val="24"/>
              </w:rPr>
              <w:t>)</w:t>
            </w:r>
            <w:r w:rsidRPr="0042750D">
              <w:rPr>
                <w:b/>
                <w:sz w:val="24"/>
                <w:szCs w:val="24"/>
              </w:rPr>
              <w:t>.</w:t>
            </w:r>
          </w:p>
        </w:tc>
        <w:tc>
          <w:tcPr>
            <w:tcW w:w="1889" w:type="dxa"/>
            <w:tcBorders>
              <w:top w:val="single" w:sz="12" w:space="0" w:color="auto"/>
              <w:bottom w:val="single" w:sz="4" w:space="0" w:color="auto"/>
            </w:tcBorders>
            <w:shd w:val="clear" w:color="auto" w:fill="auto"/>
            <w:vAlign w:val="center"/>
            <w:hideMark/>
          </w:tcPr>
          <w:p w14:paraId="1D4801AA" w14:textId="77777777" w:rsidR="00E92DDD" w:rsidRPr="0042750D" w:rsidRDefault="00E92DDD" w:rsidP="00D50A4E">
            <w:pPr>
              <w:pStyle w:val="Tabletext"/>
              <w:jc w:val="center"/>
              <w:rPr>
                <w:b/>
                <w:bCs/>
                <w:sz w:val="24"/>
                <w:szCs w:val="24"/>
              </w:rPr>
            </w:pPr>
            <w:r w:rsidRPr="0042750D">
              <w:rPr>
                <w:b/>
                <w:bCs/>
                <w:sz w:val="24"/>
                <w:szCs w:val="24"/>
              </w:rPr>
              <w:t>WTSA-20</w:t>
            </w:r>
          </w:p>
        </w:tc>
        <w:tc>
          <w:tcPr>
            <w:tcW w:w="1159" w:type="dxa"/>
            <w:tcBorders>
              <w:top w:val="single" w:sz="12" w:space="0" w:color="auto"/>
              <w:bottom w:val="single" w:sz="4" w:space="0" w:color="auto"/>
            </w:tcBorders>
            <w:shd w:val="clear" w:color="auto" w:fill="auto"/>
            <w:vAlign w:val="center"/>
          </w:tcPr>
          <w:p w14:paraId="6E74A9A0" w14:textId="77777777" w:rsidR="00E92DDD" w:rsidRPr="0042750D" w:rsidRDefault="00E92DDD"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0C9C5B49" w14:textId="77777777" w:rsidR="00E92DDD" w:rsidRPr="0042750D" w:rsidRDefault="00E92DDD" w:rsidP="00D50A4E">
            <w:pPr>
              <w:pStyle w:val="Tabletext"/>
              <w:jc w:val="center"/>
              <w:rPr>
                <w:b/>
                <w:bCs/>
                <w:sz w:val="24"/>
                <w:szCs w:val="24"/>
              </w:rPr>
            </w:pPr>
          </w:p>
        </w:tc>
      </w:tr>
      <w:tr w:rsidR="00E92DDD" w:rsidRPr="0042750D" w14:paraId="6837D08D" w14:textId="77777777" w:rsidTr="00D50A4E">
        <w:trPr>
          <w:cantSplit/>
          <w:jc w:val="center"/>
        </w:trPr>
        <w:tc>
          <w:tcPr>
            <w:tcW w:w="911" w:type="dxa"/>
            <w:vMerge/>
            <w:tcBorders>
              <w:bottom w:val="single" w:sz="12" w:space="0" w:color="auto"/>
            </w:tcBorders>
            <w:shd w:val="clear" w:color="auto" w:fill="auto"/>
          </w:tcPr>
          <w:p w14:paraId="2FD0F39A" w14:textId="77777777" w:rsidR="00E92DDD" w:rsidRPr="0042750D" w:rsidRDefault="00E92DDD"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7E1E372E" w14:textId="77777777" w:rsidR="00E92DDD" w:rsidRPr="0042750D" w:rsidRDefault="00E92DDD" w:rsidP="00D50A4E">
            <w:pPr>
              <w:pStyle w:val="Tabletext"/>
              <w:rPr>
                <w:szCs w:val="22"/>
              </w:rPr>
            </w:pPr>
          </w:p>
        </w:tc>
      </w:tr>
      <w:tr w:rsidR="0091535E" w:rsidRPr="0042750D" w14:paraId="45CFC105" w14:textId="77777777" w:rsidTr="00D50A4E">
        <w:trPr>
          <w:cantSplit/>
          <w:jc w:val="center"/>
        </w:trPr>
        <w:tc>
          <w:tcPr>
            <w:tcW w:w="911" w:type="dxa"/>
            <w:vMerge w:val="restart"/>
            <w:tcBorders>
              <w:top w:val="single" w:sz="12" w:space="0" w:color="auto"/>
            </w:tcBorders>
            <w:shd w:val="clear" w:color="auto" w:fill="auto"/>
          </w:tcPr>
          <w:p w14:paraId="01AE23F8" w14:textId="7E267746" w:rsidR="0091535E" w:rsidRPr="0042750D" w:rsidRDefault="0091535E" w:rsidP="0091535E">
            <w:pPr>
              <w:pStyle w:val="Tabletext"/>
              <w:rPr>
                <w:b/>
                <w:bCs/>
                <w:sz w:val="24"/>
                <w:szCs w:val="24"/>
              </w:rPr>
            </w:pPr>
            <w:r w:rsidRPr="0042750D">
              <w:rPr>
                <w:b/>
                <w:bCs/>
                <w:sz w:val="24"/>
                <w:szCs w:val="24"/>
              </w:rPr>
              <w:t>122-06</w:t>
            </w:r>
          </w:p>
        </w:tc>
        <w:tc>
          <w:tcPr>
            <w:tcW w:w="4535" w:type="dxa"/>
            <w:tcBorders>
              <w:top w:val="single" w:sz="12" w:space="0" w:color="auto"/>
              <w:bottom w:val="single" w:sz="4" w:space="0" w:color="auto"/>
            </w:tcBorders>
            <w:shd w:val="clear" w:color="auto" w:fill="auto"/>
          </w:tcPr>
          <w:p w14:paraId="10A68104" w14:textId="52627560" w:rsidR="0091535E" w:rsidRPr="0042750D" w:rsidRDefault="0091535E" w:rsidP="00D50A4E">
            <w:pPr>
              <w:pStyle w:val="Tabletext"/>
              <w:rPr>
                <w:b/>
                <w:bCs/>
                <w:sz w:val="24"/>
                <w:szCs w:val="24"/>
              </w:rPr>
            </w:pPr>
            <w:r w:rsidRPr="0042750D">
              <w:rPr>
                <w:b/>
                <w:bCs/>
                <w:sz w:val="24"/>
                <w:szCs w:val="24"/>
              </w:rPr>
              <w:t xml:space="preserve">TSBDir to </w:t>
            </w:r>
            <w:r w:rsidRPr="0042750D">
              <w:rPr>
                <w:b/>
                <w:sz w:val="24"/>
                <w:szCs w:val="24"/>
              </w:rPr>
              <w:t>report on the financial status of the Sector in order to assist WTSA in its functions</w:t>
            </w:r>
            <w:r w:rsidR="00925C5F" w:rsidRPr="0042750D">
              <w:rPr>
                <w:b/>
                <w:sz w:val="24"/>
                <w:szCs w:val="24"/>
              </w:rPr>
              <w:t xml:space="preserve"> (</w:t>
            </w:r>
            <w:r w:rsidR="00925C5F" w:rsidRPr="0042750D">
              <w:rPr>
                <w:b/>
                <w:i/>
                <w:sz w:val="24"/>
                <w:szCs w:val="24"/>
              </w:rPr>
              <w:t>instructs 1</w:t>
            </w:r>
            <w:r w:rsidR="00925C5F" w:rsidRPr="0042750D">
              <w:rPr>
                <w:b/>
                <w:sz w:val="24"/>
                <w:szCs w:val="24"/>
              </w:rPr>
              <w:t>)</w:t>
            </w:r>
            <w:r w:rsidRPr="0042750D">
              <w:rPr>
                <w:sz w:val="24"/>
                <w:szCs w:val="24"/>
              </w:rPr>
              <w:t>.</w:t>
            </w:r>
          </w:p>
        </w:tc>
        <w:tc>
          <w:tcPr>
            <w:tcW w:w="1889" w:type="dxa"/>
            <w:tcBorders>
              <w:top w:val="single" w:sz="12" w:space="0" w:color="auto"/>
              <w:bottom w:val="single" w:sz="4" w:space="0" w:color="auto"/>
            </w:tcBorders>
            <w:shd w:val="clear" w:color="auto" w:fill="auto"/>
            <w:vAlign w:val="center"/>
            <w:hideMark/>
          </w:tcPr>
          <w:p w14:paraId="5EB03877" w14:textId="77777777" w:rsidR="0091535E" w:rsidRPr="0042750D" w:rsidRDefault="0091535E" w:rsidP="00D50A4E">
            <w:pPr>
              <w:pStyle w:val="Tabletext"/>
              <w:jc w:val="center"/>
              <w:rPr>
                <w:b/>
                <w:bCs/>
                <w:sz w:val="24"/>
                <w:szCs w:val="24"/>
              </w:rPr>
            </w:pPr>
            <w:r w:rsidRPr="0042750D">
              <w:rPr>
                <w:b/>
                <w:bCs/>
                <w:sz w:val="24"/>
                <w:szCs w:val="24"/>
              </w:rPr>
              <w:t>WTSA-20</w:t>
            </w:r>
          </w:p>
        </w:tc>
        <w:tc>
          <w:tcPr>
            <w:tcW w:w="1159" w:type="dxa"/>
            <w:tcBorders>
              <w:top w:val="single" w:sz="12" w:space="0" w:color="auto"/>
              <w:bottom w:val="single" w:sz="4" w:space="0" w:color="auto"/>
            </w:tcBorders>
            <w:shd w:val="clear" w:color="auto" w:fill="auto"/>
            <w:vAlign w:val="center"/>
          </w:tcPr>
          <w:p w14:paraId="29731F0C" w14:textId="77777777" w:rsidR="0091535E" w:rsidRPr="0042750D" w:rsidRDefault="0091535E" w:rsidP="00D50A4E">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407AE5D4" w14:textId="77777777" w:rsidR="0091535E" w:rsidRPr="0042750D" w:rsidRDefault="0091535E" w:rsidP="00D50A4E">
            <w:pPr>
              <w:pStyle w:val="Tabletext"/>
              <w:jc w:val="center"/>
              <w:rPr>
                <w:b/>
                <w:bCs/>
                <w:sz w:val="24"/>
                <w:szCs w:val="24"/>
              </w:rPr>
            </w:pPr>
          </w:p>
        </w:tc>
      </w:tr>
      <w:tr w:rsidR="0091535E" w:rsidRPr="0042750D" w14:paraId="161A5ABC" w14:textId="77777777" w:rsidTr="00D50A4E">
        <w:trPr>
          <w:cantSplit/>
          <w:jc w:val="center"/>
        </w:trPr>
        <w:tc>
          <w:tcPr>
            <w:tcW w:w="911" w:type="dxa"/>
            <w:vMerge/>
            <w:tcBorders>
              <w:bottom w:val="single" w:sz="12" w:space="0" w:color="auto"/>
            </w:tcBorders>
            <w:shd w:val="clear" w:color="auto" w:fill="auto"/>
          </w:tcPr>
          <w:p w14:paraId="4E2CAFD6" w14:textId="77777777" w:rsidR="0091535E" w:rsidRPr="0042750D" w:rsidRDefault="0091535E"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3628879" w14:textId="77777777" w:rsidR="0091535E" w:rsidRPr="0042750D" w:rsidRDefault="0091535E" w:rsidP="00D50A4E">
            <w:pPr>
              <w:pStyle w:val="Tabletext"/>
              <w:rPr>
                <w:szCs w:val="22"/>
              </w:rPr>
            </w:pPr>
          </w:p>
        </w:tc>
      </w:tr>
      <w:tr w:rsidR="0091535E" w:rsidRPr="0042750D" w14:paraId="2AC00AB1" w14:textId="77777777" w:rsidTr="00D50A4E">
        <w:trPr>
          <w:cantSplit/>
          <w:jc w:val="center"/>
        </w:trPr>
        <w:tc>
          <w:tcPr>
            <w:tcW w:w="911" w:type="dxa"/>
            <w:vMerge w:val="restart"/>
            <w:tcBorders>
              <w:top w:val="single" w:sz="12" w:space="0" w:color="auto"/>
            </w:tcBorders>
            <w:shd w:val="clear" w:color="auto" w:fill="auto"/>
          </w:tcPr>
          <w:p w14:paraId="3733EFD7" w14:textId="7608AABD" w:rsidR="0091535E" w:rsidRPr="0042750D" w:rsidRDefault="0091535E" w:rsidP="0091535E">
            <w:pPr>
              <w:pStyle w:val="Tabletext"/>
              <w:rPr>
                <w:b/>
                <w:bCs/>
                <w:sz w:val="24"/>
                <w:szCs w:val="24"/>
              </w:rPr>
            </w:pPr>
            <w:r w:rsidRPr="0042750D">
              <w:rPr>
                <w:b/>
                <w:bCs/>
                <w:sz w:val="24"/>
                <w:szCs w:val="24"/>
              </w:rPr>
              <w:t>122-07</w:t>
            </w:r>
          </w:p>
        </w:tc>
        <w:tc>
          <w:tcPr>
            <w:tcW w:w="4535" w:type="dxa"/>
            <w:tcBorders>
              <w:top w:val="single" w:sz="12" w:space="0" w:color="auto"/>
              <w:bottom w:val="single" w:sz="4" w:space="0" w:color="auto"/>
            </w:tcBorders>
            <w:shd w:val="clear" w:color="auto" w:fill="auto"/>
          </w:tcPr>
          <w:p w14:paraId="5E84C9D2" w14:textId="5D7210D4" w:rsidR="0091535E" w:rsidRPr="0042750D" w:rsidRDefault="0091535E" w:rsidP="0091535E">
            <w:pPr>
              <w:pStyle w:val="Tabletext"/>
              <w:rPr>
                <w:b/>
                <w:bCs/>
                <w:sz w:val="24"/>
                <w:szCs w:val="24"/>
              </w:rPr>
            </w:pPr>
            <w:r w:rsidRPr="0042750D">
              <w:rPr>
                <w:b/>
                <w:bCs/>
                <w:sz w:val="24"/>
                <w:szCs w:val="24"/>
              </w:rPr>
              <w:t xml:space="preserve">TSBDir to </w:t>
            </w:r>
            <w:r w:rsidRPr="0042750D">
              <w:rPr>
                <w:b/>
                <w:sz w:val="24"/>
                <w:szCs w:val="24"/>
              </w:rPr>
              <w:t>organize GSS</w:t>
            </w:r>
            <w:r w:rsidR="00925C5F" w:rsidRPr="0042750D">
              <w:rPr>
                <w:b/>
                <w:sz w:val="24"/>
                <w:szCs w:val="24"/>
              </w:rPr>
              <w:t xml:space="preserve"> (</w:t>
            </w:r>
            <w:r w:rsidR="00925C5F" w:rsidRPr="0042750D">
              <w:rPr>
                <w:b/>
                <w:i/>
                <w:sz w:val="24"/>
                <w:szCs w:val="24"/>
              </w:rPr>
              <w:t>instructs 2</w:t>
            </w:r>
            <w:r w:rsidR="00925C5F" w:rsidRPr="0042750D">
              <w:rPr>
                <w:b/>
                <w:sz w:val="24"/>
                <w:szCs w:val="24"/>
              </w:rPr>
              <w:t>)</w:t>
            </w:r>
            <w:r w:rsidRPr="0042750D">
              <w:rPr>
                <w:b/>
                <w:sz w:val="24"/>
                <w:szCs w:val="24"/>
              </w:rPr>
              <w:t>.</w:t>
            </w:r>
          </w:p>
        </w:tc>
        <w:tc>
          <w:tcPr>
            <w:tcW w:w="1889" w:type="dxa"/>
            <w:tcBorders>
              <w:top w:val="single" w:sz="12" w:space="0" w:color="auto"/>
              <w:bottom w:val="single" w:sz="4" w:space="0" w:color="auto"/>
            </w:tcBorders>
            <w:shd w:val="clear" w:color="auto" w:fill="auto"/>
            <w:vAlign w:val="center"/>
            <w:hideMark/>
          </w:tcPr>
          <w:p w14:paraId="273F5867" w14:textId="77777777" w:rsidR="0091535E" w:rsidRPr="0042750D" w:rsidRDefault="0091535E" w:rsidP="00D50A4E">
            <w:pPr>
              <w:pStyle w:val="Tabletext"/>
              <w:jc w:val="center"/>
              <w:rPr>
                <w:b/>
                <w:bCs/>
                <w:sz w:val="24"/>
                <w:szCs w:val="24"/>
              </w:rPr>
            </w:pPr>
            <w:r w:rsidRPr="0042750D">
              <w:rPr>
                <w:b/>
                <w:bCs/>
                <w:sz w:val="24"/>
                <w:szCs w:val="24"/>
              </w:rPr>
              <w:t>WTSA-20</w:t>
            </w:r>
          </w:p>
        </w:tc>
        <w:tc>
          <w:tcPr>
            <w:tcW w:w="1159" w:type="dxa"/>
            <w:tcBorders>
              <w:top w:val="single" w:sz="12" w:space="0" w:color="auto"/>
              <w:bottom w:val="single" w:sz="4" w:space="0" w:color="auto"/>
            </w:tcBorders>
            <w:shd w:val="clear" w:color="auto" w:fill="auto"/>
            <w:vAlign w:val="center"/>
          </w:tcPr>
          <w:p w14:paraId="442F3C76" w14:textId="535C352F" w:rsidR="0091535E" w:rsidRPr="0042750D" w:rsidRDefault="005E78C3"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632F5AEC" w14:textId="77777777" w:rsidR="0091535E" w:rsidRPr="0042750D" w:rsidRDefault="0091535E" w:rsidP="00D50A4E">
            <w:pPr>
              <w:pStyle w:val="Tabletext"/>
              <w:jc w:val="center"/>
              <w:rPr>
                <w:b/>
                <w:bCs/>
                <w:sz w:val="24"/>
                <w:szCs w:val="24"/>
              </w:rPr>
            </w:pPr>
          </w:p>
        </w:tc>
      </w:tr>
      <w:tr w:rsidR="0091535E" w:rsidRPr="0042750D" w14:paraId="34531D18" w14:textId="77777777" w:rsidTr="00D50A4E">
        <w:trPr>
          <w:cantSplit/>
          <w:jc w:val="center"/>
        </w:trPr>
        <w:tc>
          <w:tcPr>
            <w:tcW w:w="911" w:type="dxa"/>
            <w:vMerge/>
            <w:tcBorders>
              <w:bottom w:val="single" w:sz="12" w:space="0" w:color="auto"/>
            </w:tcBorders>
            <w:shd w:val="clear" w:color="auto" w:fill="auto"/>
          </w:tcPr>
          <w:p w14:paraId="246704EA" w14:textId="77777777" w:rsidR="0091535E" w:rsidRPr="0042750D" w:rsidRDefault="0091535E" w:rsidP="00D50A4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1F344BF8" w14:textId="6F89FE2D" w:rsidR="0091535E" w:rsidRPr="0042750D" w:rsidRDefault="005E78C3" w:rsidP="005E78C3">
            <w:pPr>
              <w:pStyle w:val="Tabletext"/>
              <w:rPr>
                <w:szCs w:val="22"/>
              </w:rPr>
            </w:pPr>
            <w:r w:rsidRPr="0042750D">
              <w:rPr>
                <w:szCs w:val="22"/>
              </w:rPr>
              <w:t xml:space="preserve">TSB setup a webpage for GSS-20 at </w:t>
            </w:r>
            <w:hyperlink r:id="rId38" w:history="1">
              <w:r w:rsidRPr="0042750D">
                <w:rPr>
                  <w:rStyle w:val="Hyperlink"/>
                  <w:szCs w:val="22"/>
                </w:rPr>
                <w:t>https://www.itu.int/en/ITU-T/wtsa20/gss/Pages/default.aspx</w:t>
              </w:r>
            </w:hyperlink>
            <w:r w:rsidRPr="0042750D">
              <w:rPr>
                <w:szCs w:val="22"/>
              </w:rPr>
              <w:t>.</w:t>
            </w:r>
          </w:p>
        </w:tc>
      </w:tr>
      <w:tr w:rsidR="0069118A" w:rsidRPr="0042750D" w14:paraId="37DA2394" w14:textId="77777777" w:rsidTr="00D50A4E">
        <w:trPr>
          <w:cantSplit/>
          <w:jc w:val="center"/>
        </w:trPr>
        <w:tc>
          <w:tcPr>
            <w:tcW w:w="911" w:type="dxa"/>
            <w:vMerge w:val="restart"/>
            <w:tcBorders>
              <w:top w:val="single" w:sz="12" w:space="0" w:color="auto"/>
            </w:tcBorders>
            <w:shd w:val="clear" w:color="auto" w:fill="auto"/>
          </w:tcPr>
          <w:p w14:paraId="0CC288E4" w14:textId="343F0B6B" w:rsidR="0069118A" w:rsidRPr="0042750D" w:rsidRDefault="0069118A" w:rsidP="00D25C4B">
            <w:pPr>
              <w:pStyle w:val="Tabletext"/>
              <w:keepNext/>
              <w:keepLines/>
              <w:rPr>
                <w:b/>
                <w:bCs/>
                <w:sz w:val="24"/>
                <w:szCs w:val="24"/>
              </w:rPr>
            </w:pPr>
            <w:r w:rsidRPr="0042750D">
              <w:rPr>
                <w:b/>
                <w:bCs/>
                <w:sz w:val="24"/>
                <w:szCs w:val="24"/>
              </w:rPr>
              <w:t>122-08</w:t>
            </w:r>
          </w:p>
        </w:tc>
        <w:tc>
          <w:tcPr>
            <w:tcW w:w="4535" w:type="dxa"/>
            <w:tcBorders>
              <w:top w:val="single" w:sz="12" w:space="0" w:color="auto"/>
              <w:bottom w:val="single" w:sz="4" w:space="0" w:color="auto"/>
            </w:tcBorders>
            <w:shd w:val="clear" w:color="auto" w:fill="auto"/>
          </w:tcPr>
          <w:p w14:paraId="1E0A59A3" w14:textId="4812629A" w:rsidR="0069118A" w:rsidRPr="0042750D" w:rsidRDefault="0069118A" w:rsidP="00D25C4B">
            <w:pPr>
              <w:pStyle w:val="Tabletext"/>
              <w:keepNext/>
              <w:keepLines/>
              <w:rPr>
                <w:b/>
                <w:bCs/>
                <w:sz w:val="24"/>
                <w:szCs w:val="24"/>
              </w:rPr>
            </w:pPr>
            <w:r w:rsidRPr="0042750D">
              <w:rPr>
                <w:b/>
                <w:bCs/>
                <w:sz w:val="24"/>
                <w:szCs w:val="24"/>
              </w:rPr>
              <w:t xml:space="preserve">WTSA </w:t>
            </w:r>
            <w:r w:rsidRPr="0042750D">
              <w:rPr>
                <w:b/>
                <w:sz w:val="24"/>
                <w:szCs w:val="24"/>
              </w:rPr>
              <w:t>to take into consideration the conclusions of GSS</w:t>
            </w:r>
            <w:r w:rsidR="00925C5F" w:rsidRPr="0042750D">
              <w:rPr>
                <w:b/>
                <w:sz w:val="24"/>
                <w:szCs w:val="24"/>
              </w:rPr>
              <w:t xml:space="preserve"> (</w:t>
            </w:r>
            <w:r w:rsidR="00925C5F" w:rsidRPr="0042750D">
              <w:rPr>
                <w:b/>
                <w:i/>
                <w:sz w:val="24"/>
                <w:szCs w:val="24"/>
              </w:rPr>
              <w:t>invites</w:t>
            </w:r>
            <w:r w:rsidR="00925C5F" w:rsidRPr="0042750D">
              <w:rPr>
                <w:b/>
                <w:sz w:val="24"/>
                <w:szCs w:val="24"/>
              </w:rPr>
              <w:t>)</w:t>
            </w:r>
            <w:r w:rsidRPr="0042750D">
              <w:rPr>
                <w:b/>
                <w:sz w:val="24"/>
                <w:szCs w:val="24"/>
              </w:rPr>
              <w:t>.</w:t>
            </w:r>
          </w:p>
        </w:tc>
        <w:tc>
          <w:tcPr>
            <w:tcW w:w="1889" w:type="dxa"/>
            <w:tcBorders>
              <w:top w:val="single" w:sz="12" w:space="0" w:color="auto"/>
              <w:bottom w:val="single" w:sz="4" w:space="0" w:color="auto"/>
            </w:tcBorders>
            <w:shd w:val="clear" w:color="auto" w:fill="auto"/>
            <w:vAlign w:val="center"/>
            <w:hideMark/>
          </w:tcPr>
          <w:p w14:paraId="0E1D8EA5" w14:textId="77777777" w:rsidR="0069118A" w:rsidRPr="0042750D" w:rsidRDefault="0069118A" w:rsidP="00D25C4B">
            <w:pPr>
              <w:pStyle w:val="Tabletext"/>
              <w:keepNext/>
              <w:keepLines/>
              <w:jc w:val="center"/>
              <w:rPr>
                <w:b/>
                <w:bCs/>
                <w:sz w:val="24"/>
                <w:szCs w:val="24"/>
              </w:rPr>
            </w:pPr>
            <w:r w:rsidRPr="0042750D">
              <w:rPr>
                <w:b/>
                <w:bCs/>
                <w:sz w:val="24"/>
                <w:szCs w:val="24"/>
              </w:rPr>
              <w:t>WTSA-20</w:t>
            </w:r>
          </w:p>
        </w:tc>
        <w:tc>
          <w:tcPr>
            <w:tcW w:w="1159" w:type="dxa"/>
            <w:tcBorders>
              <w:top w:val="single" w:sz="12" w:space="0" w:color="auto"/>
              <w:bottom w:val="single" w:sz="4" w:space="0" w:color="auto"/>
            </w:tcBorders>
            <w:shd w:val="clear" w:color="auto" w:fill="auto"/>
            <w:vAlign w:val="center"/>
          </w:tcPr>
          <w:p w14:paraId="1EF60DE9" w14:textId="77777777" w:rsidR="0069118A" w:rsidRPr="0042750D" w:rsidRDefault="0069118A" w:rsidP="00D25C4B">
            <w:pPr>
              <w:pStyle w:val="Tabletext"/>
              <w:keepNext/>
              <w:keepLines/>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0805F70" w14:textId="77777777" w:rsidR="0069118A" w:rsidRPr="0042750D" w:rsidRDefault="0069118A" w:rsidP="00D25C4B">
            <w:pPr>
              <w:pStyle w:val="Tabletext"/>
              <w:keepNext/>
              <w:keepLines/>
              <w:jc w:val="center"/>
              <w:rPr>
                <w:b/>
                <w:bCs/>
                <w:sz w:val="24"/>
                <w:szCs w:val="24"/>
              </w:rPr>
            </w:pPr>
          </w:p>
        </w:tc>
      </w:tr>
      <w:tr w:rsidR="0069118A" w:rsidRPr="0042750D" w14:paraId="474649F7" w14:textId="77777777" w:rsidTr="00D50A4E">
        <w:trPr>
          <w:cantSplit/>
          <w:jc w:val="center"/>
        </w:trPr>
        <w:tc>
          <w:tcPr>
            <w:tcW w:w="911" w:type="dxa"/>
            <w:vMerge/>
            <w:tcBorders>
              <w:bottom w:val="single" w:sz="12" w:space="0" w:color="auto"/>
            </w:tcBorders>
            <w:shd w:val="clear" w:color="auto" w:fill="auto"/>
          </w:tcPr>
          <w:p w14:paraId="4693C114" w14:textId="77777777" w:rsidR="0069118A" w:rsidRPr="0042750D" w:rsidRDefault="0069118A" w:rsidP="00D25C4B">
            <w:pPr>
              <w:pStyle w:val="Tabletext"/>
              <w:keepNext/>
              <w:keepLines/>
              <w:rPr>
                <w:sz w:val="24"/>
                <w:szCs w:val="24"/>
              </w:rPr>
            </w:pPr>
          </w:p>
        </w:tc>
        <w:tc>
          <w:tcPr>
            <w:tcW w:w="8921" w:type="dxa"/>
            <w:gridSpan w:val="4"/>
            <w:tcBorders>
              <w:top w:val="single" w:sz="4" w:space="0" w:color="auto"/>
              <w:bottom w:val="single" w:sz="12" w:space="0" w:color="auto"/>
            </w:tcBorders>
            <w:shd w:val="clear" w:color="auto" w:fill="auto"/>
          </w:tcPr>
          <w:p w14:paraId="2D62EDB7" w14:textId="77777777" w:rsidR="0069118A" w:rsidRPr="0042750D" w:rsidRDefault="0069118A" w:rsidP="00D25C4B">
            <w:pPr>
              <w:pStyle w:val="Tabletext"/>
              <w:keepNext/>
              <w:keepLines/>
              <w:rPr>
                <w:szCs w:val="22"/>
              </w:rPr>
            </w:pPr>
          </w:p>
        </w:tc>
      </w:tr>
    </w:tbl>
    <w:p w14:paraId="489A1090" w14:textId="77777777" w:rsidR="00F0236A" w:rsidRPr="0042750D" w:rsidRDefault="00DD025B" w:rsidP="00F0236A">
      <w:pPr>
        <w:rPr>
          <w:rStyle w:val="Hyperlink"/>
          <w:sz w:val="24"/>
        </w:rPr>
      </w:pPr>
      <w:hyperlink w:anchor="Top" w:history="1">
        <w:r w:rsidR="00F0236A" w:rsidRPr="0042750D">
          <w:rPr>
            <w:rStyle w:val="Hyperlink"/>
            <w:sz w:val="24"/>
          </w:rPr>
          <w:t>» Top</w:t>
        </w:r>
      </w:hyperlink>
    </w:p>
    <w:p w14:paraId="4236553A" w14:textId="630EE5AC" w:rsidR="00F0236A" w:rsidRPr="0042750D" w:rsidRDefault="00325724" w:rsidP="00EC1090">
      <w:pPr>
        <w:pStyle w:val="Heading1"/>
        <w:rPr>
          <w:sz w:val="24"/>
          <w:szCs w:val="24"/>
          <w:lang w:val="en-GB"/>
        </w:rPr>
      </w:pPr>
      <w:bookmarkStart w:id="95" w:name="Resolution_47"/>
      <w:bookmarkStart w:id="96" w:name="_Toc30749159"/>
      <w:bookmarkEnd w:id="95"/>
      <w:r w:rsidRPr="0042750D">
        <w:rPr>
          <w:sz w:val="24"/>
          <w:szCs w:val="24"/>
          <w:lang w:val="en-GB"/>
        </w:rPr>
        <w:t>RESOLUTION 123 (REV. DUBAI, 2018) – Bridging the standardization gap between developing</w:t>
      </w:r>
      <w:r w:rsidRPr="0042750D">
        <w:rPr>
          <w:sz w:val="24"/>
          <w:szCs w:val="24"/>
          <w:vertAlign w:val="superscript"/>
          <w:lang w:val="en-GB"/>
        </w:rPr>
        <w:t>1</w:t>
      </w:r>
      <w:r w:rsidRPr="0042750D">
        <w:rPr>
          <w:sz w:val="24"/>
          <w:szCs w:val="24"/>
          <w:lang w:val="en-GB"/>
        </w:rPr>
        <w:t xml:space="preserve"> and developed countries</w:t>
      </w:r>
      <w:bookmarkEnd w:id="96"/>
    </w:p>
    <w:p w14:paraId="41A546F5" w14:textId="77777777" w:rsidR="00325724" w:rsidRPr="0042750D" w:rsidRDefault="00325724" w:rsidP="00325724">
      <w:pPr>
        <w:pStyle w:val="Call"/>
        <w:rPr>
          <w:szCs w:val="22"/>
          <w:lang w:val="en-GB"/>
        </w:rPr>
      </w:pPr>
      <w:r w:rsidRPr="0042750D">
        <w:rPr>
          <w:szCs w:val="22"/>
          <w:lang w:val="en-GB"/>
        </w:rPr>
        <w:t>resolves to instruct the Secretary-General and the Directors of the three Bureaux</w:t>
      </w:r>
    </w:p>
    <w:p w14:paraId="7C9FF09A" w14:textId="77777777" w:rsidR="00325724" w:rsidRPr="0042750D" w:rsidRDefault="00325724" w:rsidP="00325724">
      <w:pPr>
        <w:rPr>
          <w:szCs w:val="22"/>
        </w:rPr>
      </w:pPr>
      <w:r w:rsidRPr="0042750D">
        <w:rPr>
          <w:szCs w:val="22"/>
        </w:rPr>
        <w:t>1</w:t>
      </w:r>
      <w:r w:rsidRPr="0042750D">
        <w:rPr>
          <w:szCs w:val="22"/>
        </w:rPr>
        <w:tab/>
        <w:t>to work closely with each other on the follow-up and implementation of this resolution, as well as Resolutions 32, 44 and 54 (Rev. Hammamet, 2016) of WTSA, Resolutions 37 and 47 (Rev. Buenos Aires, 2017) of WTDC and Resolution ITU</w:t>
      </w:r>
      <w:r w:rsidRPr="0042750D">
        <w:rPr>
          <w:szCs w:val="22"/>
        </w:rPr>
        <w:noBreakHyphen/>
        <w:t>R 7 (Rev. Geneva, 2015) of RA, in order to step up actions intended and to reduce the standardization gap between developing and developed countries;</w:t>
      </w:r>
    </w:p>
    <w:p w14:paraId="1EDE4EB7" w14:textId="77777777" w:rsidR="00325724" w:rsidRPr="0042750D" w:rsidRDefault="00325724" w:rsidP="00325724">
      <w:pPr>
        <w:rPr>
          <w:szCs w:val="22"/>
        </w:rPr>
      </w:pPr>
      <w:r w:rsidRPr="0042750D">
        <w:rPr>
          <w:szCs w:val="22"/>
        </w:rPr>
        <w:t>2</w:t>
      </w:r>
      <w:r w:rsidRPr="0042750D">
        <w:rPr>
          <w:szCs w:val="22"/>
        </w:rPr>
        <w:tab/>
        <w:t xml:space="preserve">to </w:t>
      </w:r>
      <w:r w:rsidRPr="0042750D">
        <w:rPr>
          <w:szCs w:val="22"/>
          <w:lang w:eastAsia="ko-KR"/>
        </w:rPr>
        <w:t xml:space="preserve">maintain </w:t>
      </w:r>
      <w:r w:rsidRPr="0042750D">
        <w:rPr>
          <w:szCs w:val="22"/>
        </w:rPr>
        <w:t>a close coordination mechanism among the three Sectors at the regional level for bridging the digital divide, through activities carried out by the ITU regional offices to that end;</w:t>
      </w:r>
    </w:p>
    <w:p w14:paraId="517E853E" w14:textId="77777777" w:rsidR="00325724" w:rsidRPr="0042750D" w:rsidRDefault="00325724" w:rsidP="00325724">
      <w:pPr>
        <w:rPr>
          <w:szCs w:val="22"/>
        </w:rPr>
      </w:pPr>
      <w:r w:rsidRPr="0042750D">
        <w:rPr>
          <w:szCs w:val="22"/>
        </w:rPr>
        <w:t>3</w:t>
      </w:r>
      <w:r w:rsidRPr="0042750D">
        <w:rPr>
          <w:szCs w:val="22"/>
        </w:rPr>
        <w:tab/>
        <w:t>to provide developing countries with assistance to enhance capacity building in the standardization field, including through collaboration with the relevant academia;</w:t>
      </w:r>
    </w:p>
    <w:p w14:paraId="7DCA6F4A" w14:textId="77777777" w:rsidR="00325724" w:rsidRPr="0042750D" w:rsidRDefault="00325724" w:rsidP="00325724">
      <w:pPr>
        <w:rPr>
          <w:szCs w:val="22"/>
        </w:rPr>
      </w:pPr>
      <w:r w:rsidRPr="0042750D">
        <w:rPr>
          <w:szCs w:val="22"/>
        </w:rPr>
        <w:t>4</w:t>
      </w:r>
      <w:r w:rsidRPr="0042750D">
        <w:rPr>
          <w:szCs w:val="22"/>
        </w:rPr>
        <w:tab/>
        <w:t>to identify ways and means to support the participation of representatives of developing countries, including prioritizing fellowships for those who submit contributions to attend the meetings of the three Sectors of ITU and the dissemination of information on standardization;</w:t>
      </w:r>
    </w:p>
    <w:p w14:paraId="5A1C6CEE" w14:textId="77777777" w:rsidR="00325724" w:rsidRPr="0042750D" w:rsidRDefault="00325724" w:rsidP="00325724">
      <w:pPr>
        <w:rPr>
          <w:szCs w:val="22"/>
        </w:rPr>
      </w:pPr>
      <w:r w:rsidRPr="0042750D">
        <w:rPr>
          <w:szCs w:val="22"/>
        </w:rPr>
        <w:t>5</w:t>
      </w:r>
      <w:r w:rsidRPr="0042750D">
        <w:rPr>
          <w:i/>
          <w:iCs/>
          <w:szCs w:val="22"/>
        </w:rPr>
        <w:tab/>
      </w:r>
      <w:r w:rsidRPr="0042750D">
        <w:rPr>
          <w:szCs w:val="22"/>
        </w:rPr>
        <w:t>to further collaborate with the relevant regional organizations and support their work in this area;</w:t>
      </w:r>
    </w:p>
    <w:p w14:paraId="0F8BDAD4" w14:textId="77777777" w:rsidR="00325724" w:rsidRPr="0042750D" w:rsidRDefault="00325724" w:rsidP="00325724">
      <w:pPr>
        <w:rPr>
          <w:szCs w:val="22"/>
        </w:rPr>
      </w:pPr>
      <w:r w:rsidRPr="0042750D">
        <w:rPr>
          <w:szCs w:val="22"/>
        </w:rPr>
        <w:t>6</w:t>
      </w:r>
      <w:r w:rsidRPr="0042750D">
        <w:rPr>
          <w:szCs w:val="22"/>
        </w:rPr>
        <w:tab/>
        <w:t>to strengthen the mechanisms for preparing and submitting reports on the implementation of the action plan associated with Resolution 44 (Rev. Hammamet, 2016) of WTSA, taking into account the four-year rolling operational plans of each Bureau;</w:t>
      </w:r>
    </w:p>
    <w:p w14:paraId="0356ADDE" w14:textId="77777777" w:rsidR="00325724" w:rsidRPr="0042750D" w:rsidRDefault="00325724" w:rsidP="00325724">
      <w:pPr>
        <w:rPr>
          <w:szCs w:val="22"/>
        </w:rPr>
      </w:pPr>
      <w:r w:rsidRPr="0042750D">
        <w:rPr>
          <w:szCs w:val="22"/>
        </w:rPr>
        <w:t>7</w:t>
      </w:r>
      <w:r w:rsidRPr="0042750D">
        <w:rPr>
          <w:szCs w:val="22"/>
        </w:rPr>
        <w:tab/>
        <w:t>to continue collaboration at the regional level in order to lend further impetus to the development of ITU</w:t>
      </w:r>
      <w:r w:rsidRPr="0042750D">
        <w:rPr>
          <w:szCs w:val="22"/>
        </w:rPr>
        <w:noBreakHyphen/>
        <w:t>T's Bridging the Standardization Gap (BSG) programme in these regions;</w:t>
      </w:r>
    </w:p>
    <w:p w14:paraId="7D220CE1" w14:textId="77777777" w:rsidR="00325724" w:rsidRPr="0042750D" w:rsidRDefault="00325724" w:rsidP="00325724">
      <w:pPr>
        <w:rPr>
          <w:szCs w:val="22"/>
        </w:rPr>
      </w:pPr>
      <w:r w:rsidRPr="0042750D">
        <w:rPr>
          <w:color w:val="000000"/>
          <w:szCs w:val="22"/>
        </w:rPr>
        <w:t>8</w:t>
      </w:r>
      <w:r w:rsidRPr="0042750D">
        <w:rPr>
          <w:color w:val="000000"/>
          <w:szCs w:val="22"/>
        </w:rPr>
        <w:tab/>
        <w:t>to promote equal access to ITU electronic meetings through the use of remote participation;</w:t>
      </w:r>
    </w:p>
    <w:p w14:paraId="1E551930" w14:textId="77777777" w:rsidR="00325724" w:rsidRPr="0042750D" w:rsidRDefault="00325724" w:rsidP="00325724">
      <w:pPr>
        <w:rPr>
          <w:szCs w:val="22"/>
        </w:rPr>
      </w:pPr>
      <w:r w:rsidRPr="0042750D">
        <w:rPr>
          <w:szCs w:val="22"/>
        </w:rPr>
        <w:t>9</w:t>
      </w:r>
      <w:r w:rsidRPr="0042750D">
        <w:rPr>
          <w:szCs w:val="22"/>
        </w:rPr>
        <w:tab/>
        <w:t>to promote the timely development of guidelines for developing countries on the basis of ITU</w:t>
      </w:r>
      <w:r w:rsidRPr="0042750D">
        <w:rPr>
          <w:szCs w:val="22"/>
        </w:rPr>
        <w:noBreakHyphen/>
        <w:t>R and ITU</w:t>
      </w:r>
      <w:r w:rsidRPr="0042750D">
        <w:rPr>
          <w:szCs w:val="22"/>
        </w:rPr>
        <w:noBreakHyphen/>
        <w:t>T recommendations, particularly those related to priority standardization issues, including the introduction of and switchover to new technologies, as well as the preparation and application of ITU recommendations;</w:t>
      </w:r>
    </w:p>
    <w:p w14:paraId="01B859DE" w14:textId="0A2F54F2" w:rsidR="00F0236A" w:rsidRPr="0042750D" w:rsidRDefault="00325724" w:rsidP="00325724">
      <w:pPr>
        <w:spacing w:after="240"/>
        <w:rPr>
          <w:szCs w:val="22"/>
        </w:rPr>
      </w:pPr>
      <w:r w:rsidRPr="0042750D">
        <w:rPr>
          <w:szCs w:val="22"/>
        </w:rPr>
        <w:t>10</w:t>
      </w:r>
      <w:r w:rsidRPr="0042750D">
        <w:rPr>
          <w:szCs w:val="22"/>
        </w:rPr>
        <w:tab/>
        <w:t>to effectively consolidate all guidelines, recommendations, technical reports, best practices and use cases developed by ITU</w:t>
      </w:r>
      <w:r w:rsidRPr="0042750D">
        <w:rPr>
          <w:szCs w:val="22"/>
        </w:rPr>
        <w:noBreakHyphen/>
        <w:t>R and ITU</w:t>
      </w:r>
      <w:r w:rsidRPr="0042750D">
        <w:rPr>
          <w:szCs w:val="22"/>
        </w:rPr>
        <w:noBreakHyphen/>
        <w:t>T, through the use of ITU web-based tools, and to identify strategies and mechanisms to facilitate and allow Member States to proactively use these tools to hasten the transfer of knowled</w:t>
      </w:r>
      <w:r w:rsidR="0069118A" w:rsidRPr="0042750D">
        <w:rPr>
          <w:szCs w:val="22"/>
        </w:rPr>
        <w:t>ge</w:t>
      </w:r>
      <w:r w:rsidR="00F0236A" w:rsidRPr="0042750D">
        <w:rPr>
          <w:szCs w:val="22"/>
        </w:rPr>
        <w:t>.</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F0236A" w:rsidRPr="0042750D" w14:paraId="323F44B5" w14:textId="77777777" w:rsidTr="00043514">
        <w:trPr>
          <w:tblHeader/>
          <w:jc w:val="center"/>
        </w:trPr>
        <w:tc>
          <w:tcPr>
            <w:tcW w:w="912" w:type="dxa"/>
            <w:tcBorders>
              <w:top w:val="single" w:sz="12" w:space="0" w:color="auto"/>
              <w:bottom w:val="single" w:sz="12" w:space="0" w:color="auto"/>
            </w:tcBorders>
            <w:shd w:val="clear" w:color="auto" w:fill="auto"/>
            <w:vAlign w:val="center"/>
          </w:tcPr>
          <w:p w14:paraId="185C3AD8" w14:textId="77777777" w:rsidR="00F0236A" w:rsidRPr="0042750D" w:rsidRDefault="00F0236A" w:rsidP="00DC44BF">
            <w:pPr>
              <w:pStyle w:val="Tablehead"/>
              <w:keepNext w:val="0"/>
              <w:rPr>
                <w:sz w:val="24"/>
                <w:szCs w:val="24"/>
              </w:rPr>
            </w:pPr>
            <w:r w:rsidRPr="0042750D">
              <w:rPr>
                <w:sz w:val="24"/>
                <w:szCs w:val="24"/>
              </w:rPr>
              <w:t>Action Item</w:t>
            </w:r>
          </w:p>
        </w:tc>
        <w:tc>
          <w:tcPr>
            <w:tcW w:w="4879" w:type="dxa"/>
            <w:tcBorders>
              <w:top w:val="single" w:sz="12" w:space="0" w:color="auto"/>
              <w:bottom w:val="single" w:sz="12" w:space="0" w:color="auto"/>
            </w:tcBorders>
            <w:shd w:val="clear" w:color="auto" w:fill="auto"/>
            <w:vAlign w:val="center"/>
            <w:hideMark/>
          </w:tcPr>
          <w:p w14:paraId="254A35DB" w14:textId="77777777" w:rsidR="00F0236A" w:rsidRPr="0042750D" w:rsidRDefault="00F0236A" w:rsidP="00DF36E1">
            <w:pPr>
              <w:pStyle w:val="Tablehead"/>
              <w:rPr>
                <w:sz w:val="24"/>
                <w:szCs w:val="24"/>
              </w:rPr>
            </w:pPr>
            <w:r w:rsidRPr="0042750D">
              <w:rPr>
                <w:sz w:val="24"/>
                <w:szCs w:val="24"/>
              </w:rPr>
              <w:t>Action</w:t>
            </w:r>
          </w:p>
        </w:tc>
        <w:tc>
          <w:tcPr>
            <w:tcW w:w="1620" w:type="dxa"/>
            <w:tcBorders>
              <w:top w:val="single" w:sz="12" w:space="0" w:color="auto"/>
              <w:bottom w:val="single" w:sz="12" w:space="0" w:color="auto"/>
            </w:tcBorders>
            <w:shd w:val="clear" w:color="auto" w:fill="auto"/>
            <w:vAlign w:val="center"/>
            <w:hideMark/>
          </w:tcPr>
          <w:p w14:paraId="2B00E4AE" w14:textId="77777777" w:rsidR="00F0236A" w:rsidRPr="0042750D" w:rsidRDefault="00F0236A" w:rsidP="00DF36E1">
            <w:pPr>
              <w:pStyle w:val="Tablehead"/>
              <w:rPr>
                <w:sz w:val="24"/>
                <w:szCs w:val="24"/>
              </w:rPr>
            </w:pPr>
            <w:r w:rsidRPr="0042750D">
              <w:rPr>
                <w:sz w:val="24"/>
                <w:szCs w:val="24"/>
              </w:rPr>
              <w:t>Milestone</w:t>
            </w:r>
          </w:p>
        </w:tc>
        <w:tc>
          <w:tcPr>
            <w:tcW w:w="1170" w:type="dxa"/>
            <w:tcBorders>
              <w:top w:val="single" w:sz="12" w:space="0" w:color="auto"/>
              <w:bottom w:val="single" w:sz="12" w:space="0" w:color="auto"/>
            </w:tcBorders>
            <w:shd w:val="clear" w:color="auto" w:fill="auto"/>
          </w:tcPr>
          <w:p w14:paraId="5C51C40C" w14:textId="77777777" w:rsidR="00F0236A" w:rsidRPr="0042750D" w:rsidRDefault="00F0236A" w:rsidP="00DF36E1">
            <w:pPr>
              <w:pStyle w:val="Tablehead"/>
              <w:rPr>
                <w:sz w:val="24"/>
                <w:szCs w:val="24"/>
              </w:rPr>
            </w:pPr>
            <w:r w:rsidRPr="0042750D">
              <w:rPr>
                <w:sz w:val="24"/>
                <w:szCs w:val="24"/>
              </w:rPr>
              <w:t>Periodic goals met</w:t>
            </w:r>
          </w:p>
        </w:tc>
        <w:tc>
          <w:tcPr>
            <w:tcW w:w="1469" w:type="dxa"/>
            <w:tcBorders>
              <w:top w:val="single" w:sz="12" w:space="0" w:color="auto"/>
              <w:bottom w:val="single" w:sz="12" w:space="0" w:color="auto"/>
            </w:tcBorders>
            <w:shd w:val="clear" w:color="auto" w:fill="auto"/>
            <w:vAlign w:val="center"/>
          </w:tcPr>
          <w:p w14:paraId="47DADC39"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77610D83" w14:textId="77777777" w:rsidTr="004B7A24">
        <w:trPr>
          <w:cantSplit/>
          <w:jc w:val="center"/>
        </w:trPr>
        <w:tc>
          <w:tcPr>
            <w:tcW w:w="912" w:type="dxa"/>
            <w:vMerge w:val="restart"/>
            <w:tcBorders>
              <w:top w:val="single" w:sz="12" w:space="0" w:color="auto"/>
            </w:tcBorders>
            <w:shd w:val="clear" w:color="auto" w:fill="auto"/>
          </w:tcPr>
          <w:p w14:paraId="403BB0F7" w14:textId="00956B29" w:rsidR="00F0236A" w:rsidRPr="0042750D" w:rsidRDefault="00325724" w:rsidP="00DF36E1">
            <w:pPr>
              <w:pStyle w:val="Tabletext"/>
              <w:rPr>
                <w:b/>
                <w:bCs/>
                <w:sz w:val="24"/>
                <w:szCs w:val="24"/>
              </w:rPr>
            </w:pPr>
            <w:r w:rsidRPr="0042750D">
              <w:rPr>
                <w:b/>
                <w:bCs/>
                <w:sz w:val="24"/>
                <w:szCs w:val="24"/>
              </w:rPr>
              <w:t>123</w:t>
            </w:r>
            <w:r w:rsidR="00F0236A" w:rsidRPr="0042750D">
              <w:rPr>
                <w:b/>
                <w:bCs/>
                <w:sz w:val="24"/>
                <w:szCs w:val="24"/>
              </w:rPr>
              <w:t>-01</w:t>
            </w:r>
          </w:p>
        </w:tc>
        <w:tc>
          <w:tcPr>
            <w:tcW w:w="4879" w:type="dxa"/>
            <w:tcBorders>
              <w:top w:val="single" w:sz="12" w:space="0" w:color="auto"/>
              <w:bottom w:val="single" w:sz="4" w:space="0" w:color="auto"/>
            </w:tcBorders>
            <w:shd w:val="clear" w:color="auto" w:fill="auto"/>
            <w:hideMark/>
          </w:tcPr>
          <w:p w14:paraId="4D00CC12" w14:textId="4CDBBABF" w:rsidR="00F0236A" w:rsidRPr="0042750D" w:rsidRDefault="00325724" w:rsidP="00325724">
            <w:pPr>
              <w:pStyle w:val="Tabletext"/>
              <w:rPr>
                <w:b/>
                <w:bCs/>
                <w:sz w:val="24"/>
                <w:szCs w:val="24"/>
              </w:rPr>
            </w:pPr>
            <w:r w:rsidRPr="0042750D">
              <w:rPr>
                <w:b/>
                <w:bCs/>
                <w:sz w:val="24"/>
                <w:szCs w:val="24"/>
              </w:rPr>
              <w:t>TSBDir to work closely with each other on the follow-up and implementation of this resolution, as well as WTSA-16 Resolutions 32, 44 and 54, WTDC-17 Resolutions 37 and 47 and RA-15 Resolution ITU-R 7</w:t>
            </w:r>
            <w:r w:rsidR="00845DDC" w:rsidRPr="0042750D">
              <w:rPr>
                <w:b/>
                <w:bCs/>
                <w:sz w:val="24"/>
                <w:szCs w:val="24"/>
              </w:rPr>
              <w:t xml:space="preserve"> (</w:t>
            </w:r>
            <w:r w:rsidR="00845DDC" w:rsidRPr="0042750D">
              <w:rPr>
                <w:b/>
                <w:bCs/>
                <w:i/>
                <w:sz w:val="24"/>
                <w:szCs w:val="24"/>
              </w:rPr>
              <w:t>resolves 1</w:t>
            </w:r>
            <w:r w:rsidR="00845DDC" w:rsidRPr="0042750D">
              <w:rPr>
                <w:b/>
                <w:bCs/>
                <w:sz w:val="24"/>
                <w:szCs w:val="24"/>
              </w:rPr>
              <w:t>)</w:t>
            </w:r>
            <w:r w:rsidRPr="0042750D">
              <w:rPr>
                <w:b/>
                <w:bCs/>
                <w:sz w:val="24"/>
                <w:szCs w:val="24"/>
              </w:rPr>
              <w:t>.</w:t>
            </w:r>
          </w:p>
        </w:tc>
        <w:tc>
          <w:tcPr>
            <w:tcW w:w="1620" w:type="dxa"/>
            <w:tcBorders>
              <w:top w:val="single" w:sz="12" w:space="0" w:color="auto"/>
              <w:bottom w:val="single" w:sz="4" w:space="0" w:color="auto"/>
            </w:tcBorders>
            <w:shd w:val="clear" w:color="auto" w:fill="auto"/>
            <w:vAlign w:val="center"/>
            <w:hideMark/>
          </w:tcPr>
          <w:p w14:paraId="32A1AE4C"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70" w:type="dxa"/>
            <w:tcBorders>
              <w:top w:val="single" w:sz="12" w:space="0" w:color="auto"/>
              <w:bottom w:val="single" w:sz="4" w:space="0" w:color="auto"/>
            </w:tcBorders>
            <w:shd w:val="clear" w:color="auto" w:fill="auto"/>
            <w:vAlign w:val="center"/>
          </w:tcPr>
          <w:p w14:paraId="7FA878B1" w14:textId="10F05F42" w:rsidR="00F0236A" w:rsidRPr="0042750D" w:rsidRDefault="002235E4" w:rsidP="00DF36E1">
            <w:pPr>
              <w:pStyle w:val="Tabletext"/>
              <w:jc w:val="center"/>
              <w:rPr>
                <w:b/>
                <w:bCs/>
                <w:sz w:val="24"/>
                <w:szCs w:val="24"/>
              </w:rPr>
            </w:pPr>
            <w:r w:rsidRPr="0042750D">
              <w:rPr>
                <w:b/>
                <w:bCs/>
                <w:sz w:val="24"/>
                <w:szCs w:val="24"/>
              </w:rPr>
              <w:t>√</w:t>
            </w:r>
          </w:p>
        </w:tc>
        <w:tc>
          <w:tcPr>
            <w:tcW w:w="1469" w:type="dxa"/>
            <w:tcBorders>
              <w:top w:val="single" w:sz="12" w:space="0" w:color="auto"/>
              <w:bottom w:val="single" w:sz="4" w:space="0" w:color="auto"/>
            </w:tcBorders>
            <w:shd w:val="clear" w:color="auto" w:fill="auto"/>
            <w:vAlign w:val="center"/>
          </w:tcPr>
          <w:p w14:paraId="7D2B0B65" w14:textId="77777777" w:rsidR="00F0236A" w:rsidRPr="0042750D" w:rsidRDefault="00F0236A" w:rsidP="00DF36E1">
            <w:pPr>
              <w:pStyle w:val="Tabletext"/>
              <w:jc w:val="center"/>
              <w:rPr>
                <w:b/>
                <w:bCs/>
                <w:sz w:val="24"/>
                <w:szCs w:val="24"/>
              </w:rPr>
            </w:pPr>
          </w:p>
        </w:tc>
      </w:tr>
      <w:tr w:rsidR="00F0236A" w:rsidRPr="0042750D" w14:paraId="2680DFAF" w14:textId="77777777" w:rsidTr="004B7A24">
        <w:trPr>
          <w:cantSplit/>
          <w:jc w:val="center"/>
        </w:trPr>
        <w:tc>
          <w:tcPr>
            <w:tcW w:w="912" w:type="dxa"/>
            <w:vMerge/>
            <w:tcBorders>
              <w:bottom w:val="single" w:sz="12" w:space="0" w:color="auto"/>
            </w:tcBorders>
            <w:shd w:val="clear" w:color="auto" w:fill="auto"/>
          </w:tcPr>
          <w:p w14:paraId="6150431D" w14:textId="77777777" w:rsidR="00F0236A" w:rsidRPr="0042750D" w:rsidRDefault="00F0236A" w:rsidP="00DF36E1">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F2B985C" w14:textId="3A3C588B" w:rsidR="001D3201" w:rsidRPr="0042750D" w:rsidRDefault="002235E4" w:rsidP="00E60478">
            <w:pPr>
              <w:pStyle w:val="Tabletext"/>
              <w:rPr>
                <w:szCs w:val="22"/>
              </w:rPr>
            </w:pPr>
            <w:r w:rsidRPr="0042750D">
              <w:rPr>
                <w:szCs w:val="22"/>
              </w:rPr>
              <w:t xml:space="preserve">Ongoing reports on WTSA-16 Resolutions 32, 44 and 54 are found in the WTSA-16 </w:t>
            </w:r>
            <w:r w:rsidR="00177F24" w:rsidRPr="0042750D">
              <w:rPr>
                <w:szCs w:val="22"/>
              </w:rPr>
              <w:t xml:space="preserve">Action Plan; see </w:t>
            </w:r>
            <w:hyperlink r:id="rId39" w:history="1">
              <w:r w:rsidR="00177F24" w:rsidRPr="0042750D">
                <w:rPr>
                  <w:rStyle w:val="Hyperlink"/>
                  <w:szCs w:val="22"/>
                </w:rPr>
                <w:t>TSAG-</w:t>
              </w:r>
              <w:r w:rsidRPr="0042750D">
                <w:rPr>
                  <w:rStyle w:val="Hyperlink"/>
                  <w:szCs w:val="22"/>
                </w:rPr>
                <w:t>TD46</w:t>
              </w:r>
              <w:r w:rsidR="00E60478" w:rsidRPr="0042750D">
                <w:rPr>
                  <w:rStyle w:val="Hyperlink"/>
                  <w:szCs w:val="22"/>
                </w:rPr>
                <w:t>7</w:t>
              </w:r>
            </w:hyperlink>
            <w:r w:rsidRPr="0042750D">
              <w:rPr>
                <w:szCs w:val="22"/>
              </w:rPr>
              <w:t>.</w:t>
            </w:r>
          </w:p>
        </w:tc>
      </w:tr>
      <w:tr w:rsidR="00F0236A" w:rsidRPr="0042750D" w14:paraId="4F98A333" w14:textId="77777777" w:rsidTr="00F50DA1">
        <w:trPr>
          <w:jc w:val="center"/>
        </w:trPr>
        <w:tc>
          <w:tcPr>
            <w:tcW w:w="912" w:type="dxa"/>
            <w:vMerge w:val="restart"/>
            <w:tcBorders>
              <w:top w:val="single" w:sz="12" w:space="0" w:color="auto"/>
            </w:tcBorders>
            <w:shd w:val="clear" w:color="auto" w:fill="auto"/>
          </w:tcPr>
          <w:p w14:paraId="39120362" w14:textId="64F27640" w:rsidR="00F0236A" w:rsidRPr="0042750D" w:rsidRDefault="00325724" w:rsidP="00DF36E1">
            <w:pPr>
              <w:pStyle w:val="Tabletext"/>
              <w:rPr>
                <w:b/>
                <w:bCs/>
                <w:sz w:val="24"/>
                <w:szCs w:val="24"/>
              </w:rPr>
            </w:pPr>
            <w:r w:rsidRPr="0042750D">
              <w:rPr>
                <w:b/>
                <w:bCs/>
                <w:sz w:val="24"/>
                <w:szCs w:val="24"/>
              </w:rPr>
              <w:t>123</w:t>
            </w:r>
            <w:r w:rsidR="00F0236A" w:rsidRPr="0042750D">
              <w:rPr>
                <w:b/>
                <w:bCs/>
                <w:sz w:val="24"/>
                <w:szCs w:val="24"/>
              </w:rPr>
              <w:t>-02</w:t>
            </w:r>
          </w:p>
        </w:tc>
        <w:tc>
          <w:tcPr>
            <w:tcW w:w="4879" w:type="dxa"/>
            <w:tcBorders>
              <w:top w:val="single" w:sz="12" w:space="0" w:color="auto"/>
            </w:tcBorders>
            <w:shd w:val="clear" w:color="auto" w:fill="auto"/>
          </w:tcPr>
          <w:p w14:paraId="03189308" w14:textId="605A58A8" w:rsidR="00F0236A" w:rsidRPr="0042750D" w:rsidRDefault="00325724" w:rsidP="00CD2C52">
            <w:pPr>
              <w:pStyle w:val="Tabletext"/>
              <w:rPr>
                <w:b/>
                <w:bCs/>
                <w:sz w:val="24"/>
                <w:szCs w:val="24"/>
              </w:rPr>
            </w:pPr>
            <w:r w:rsidRPr="0042750D">
              <w:rPr>
                <w:b/>
                <w:bCs/>
                <w:sz w:val="24"/>
                <w:szCs w:val="24"/>
              </w:rPr>
              <w:t>TSBDir to close</w:t>
            </w:r>
            <w:r w:rsidR="00CD2C52" w:rsidRPr="0042750D">
              <w:rPr>
                <w:b/>
                <w:bCs/>
                <w:sz w:val="24"/>
                <w:szCs w:val="24"/>
              </w:rPr>
              <w:t>ly</w:t>
            </w:r>
            <w:r w:rsidRPr="0042750D">
              <w:rPr>
                <w:b/>
                <w:bCs/>
                <w:sz w:val="24"/>
                <w:szCs w:val="24"/>
              </w:rPr>
              <w:t xml:space="preserve"> coordinat</w:t>
            </w:r>
            <w:r w:rsidR="00CD2C52" w:rsidRPr="0042750D">
              <w:rPr>
                <w:b/>
                <w:bCs/>
                <w:sz w:val="24"/>
                <w:szCs w:val="24"/>
              </w:rPr>
              <w:t>e</w:t>
            </w:r>
            <w:r w:rsidRPr="0042750D">
              <w:rPr>
                <w:b/>
                <w:bCs/>
                <w:sz w:val="24"/>
                <w:szCs w:val="24"/>
              </w:rPr>
              <w:t xml:space="preserve"> among the </w:t>
            </w:r>
            <w:r w:rsidR="00CD2C52" w:rsidRPr="0042750D">
              <w:rPr>
                <w:b/>
                <w:bCs/>
                <w:sz w:val="24"/>
                <w:szCs w:val="24"/>
              </w:rPr>
              <w:t xml:space="preserve">other two </w:t>
            </w:r>
            <w:r w:rsidRPr="0042750D">
              <w:rPr>
                <w:b/>
                <w:bCs/>
                <w:sz w:val="24"/>
                <w:szCs w:val="24"/>
              </w:rPr>
              <w:t>Sectors at the regional level</w:t>
            </w:r>
            <w:r w:rsidR="00845DDC" w:rsidRPr="0042750D">
              <w:rPr>
                <w:b/>
                <w:bCs/>
                <w:sz w:val="24"/>
                <w:szCs w:val="24"/>
              </w:rPr>
              <w:t xml:space="preserve"> (</w:t>
            </w:r>
            <w:r w:rsidR="00845DDC" w:rsidRPr="0042750D">
              <w:rPr>
                <w:b/>
                <w:bCs/>
                <w:i/>
                <w:sz w:val="24"/>
                <w:szCs w:val="24"/>
              </w:rPr>
              <w:t>resolves 2</w:t>
            </w:r>
            <w:r w:rsidR="00845DDC" w:rsidRPr="0042750D">
              <w:rPr>
                <w:b/>
                <w:bCs/>
                <w:sz w:val="24"/>
                <w:szCs w:val="24"/>
              </w:rPr>
              <w:t>)</w:t>
            </w:r>
            <w:r w:rsidRPr="0042750D">
              <w:rPr>
                <w:b/>
                <w:bCs/>
                <w:sz w:val="24"/>
                <w:szCs w:val="24"/>
              </w:rPr>
              <w:t>.</w:t>
            </w:r>
          </w:p>
        </w:tc>
        <w:tc>
          <w:tcPr>
            <w:tcW w:w="1620" w:type="dxa"/>
            <w:tcBorders>
              <w:top w:val="single" w:sz="12" w:space="0" w:color="auto"/>
            </w:tcBorders>
            <w:shd w:val="clear" w:color="auto" w:fill="auto"/>
            <w:vAlign w:val="center"/>
          </w:tcPr>
          <w:p w14:paraId="60CD57DF" w14:textId="3BCE7F0C" w:rsidR="00F0236A" w:rsidRPr="0042750D" w:rsidRDefault="00325724" w:rsidP="00DF36E1">
            <w:pPr>
              <w:pStyle w:val="Tabletext"/>
              <w:jc w:val="center"/>
              <w:rPr>
                <w:b/>
                <w:bCs/>
                <w:sz w:val="24"/>
                <w:szCs w:val="24"/>
              </w:rPr>
            </w:pPr>
            <w:r w:rsidRPr="0042750D">
              <w:rPr>
                <w:b/>
                <w:bCs/>
                <w:sz w:val="24"/>
                <w:szCs w:val="24"/>
              </w:rPr>
              <w:t>Ongoing</w:t>
            </w:r>
          </w:p>
        </w:tc>
        <w:tc>
          <w:tcPr>
            <w:tcW w:w="1170" w:type="dxa"/>
            <w:tcBorders>
              <w:top w:val="single" w:sz="12" w:space="0" w:color="auto"/>
            </w:tcBorders>
            <w:shd w:val="clear" w:color="auto" w:fill="auto"/>
            <w:vAlign w:val="center"/>
          </w:tcPr>
          <w:p w14:paraId="40B0E82C" w14:textId="32B6B556" w:rsidR="00F0236A" w:rsidRPr="0042750D" w:rsidRDefault="00927D72" w:rsidP="00DF36E1">
            <w:pPr>
              <w:pStyle w:val="Tabletext"/>
              <w:jc w:val="center"/>
              <w:rPr>
                <w:b/>
                <w:bCs/>
                <w:sz w:val="24"/>
                <w:szCs w:val="24"/>
              </w:rPr>
            </w:pPr>
            <w:r w:rsidRPr="0042750D">
              <w:rPr>
                <w:b/>
                <w:bCs/>
                <w:sz w:val="24"/>
                <w:szCs w:val="24"/>
              </w:rPr>
              <w:t>√</w:t>
            </w:r>
          </w:p>
        </w:tc>
        <w:tc>
          <w:tcPr>
            <w:tcW w:w="1469" w:type="dxa"/>
            <w:tcBorders>
              <w:top w:val="single" w:sz="12" w:space="0" w:color="auto"/>
            </w:tcBorders>
            <w:shd w:val="clear" w:color="auto" w:fill="auto"/>
            <w:vAlign w:val="center"/>
          </w:tcPr>
          <w:p w14:paraId="5DC7A883" w14:textId="77777777" w:rsidR="00F0236A" w:rsidRPr="0042750D" w:rsidRDefault="00F0236A" w:rsidP="00DF36E1">
            <w:pPr>
              <w:pStyle w:val="Tabletext"/>
              <w:jc w:val="center"/>
              <w:rPr>
                <w:b/>
                <w:bCs/>
                <w:sz w:val="24"/>
                <w:szCs w:val="24"/>
              </w:rPr>
            </w:pPr>
          </w:p>
        </w:tc>
      </w:tr>
      <w:tr w:rsidR="00F0236A" w:rsidRPr="0042750D" w14:paraId="7CE492B8" w14:textId="77777777" w:rsidTr="00F50DA1">
        <w:trPr>
          <w:jc w:val="center"/>
        </w:trPr>
        <w:tc>
          <w:tcPr>
            <w:tcW w:w="912" w:type="dxa"/>
            <w:vMerge/>
            <w:shd w:val="clear" w:color="auto" w:fill="auto"/>
            <w:vAlign w:val="center"/>
          </w:tcPr>
          <w:p w14:paraId="2DB9ADCD" w14:textId="77777777" w:rsidR="00F0236A" w:rsidRPr="0042750D" w:rsidRDefault="00F0236A" w:rsidP="00DF36E1">
            <w:pPr>
              <w:pStyle w:val="Tabletext"/>
              <w:rPr>
                <w:sz w:val="24"/>
                <w:szCs w:val="24"/>
              </w:rPr>
            </w:pPr>
          </w:p>
        </w:tc>
        <w:tc>
          <w:tcPr>
            <w:tcW w:w="9138" w:type="dxa"/>
            <w:gridSpan w:val="4"/>
            <w:shd w:val="clear" w:color="auto" w:fill="auto"/>
          </w:tcPr>
          <w:p w14:paraId="3FD5D1CA" w14:textId="77777777" w:rsidR="00603B0D" w:rsidRPr="0042750D" w:rsidRDefault="00603B0D" w:rsidP="00456CCC">
            <w:pPr>
              <w:spacing w:before="40" w:after="40"/>
              <w:rPr>
                <w:bCs/>
                <w:szCs w:val="22"/>
              </w:rPr>
            </w:pPr>
            <w:r w:rsidRPr="0042750D">
              <w:rPr>
                <w:bCs/>
                <w:szCs w:val="22"/>
              </w:rPr>
              <w:t>TSB aims at an increased coordination with regional organization and regional standards organizations.</w:t>
            </w:r>
          </w:p>
          <w:p w14:paraId="40C5C44F" w14:textId="77777777" w:rsidR="00603B0D" w:rsidRPr="0042750D" w:rsidRDefault="00603B0D" w:rsidP="00603B0D">
            <w:pPr>
              <w:rPr>
                <w:bCs/>
                <w:szCs w:val="22"/>
              </w:rPr>
            </w:pPr>
            <w:r w:rsidRPr="0042750D">
              <w:rPr>
                <w:bCs/>
                <w:szCs w:val="22"/>
              </w:rPr>
              <w:t>TSB work on a regular basis with ITU Regional Offices for the implemention of this Resolution.</w:t>
            </w:r>
          </w:p>
          <w:p w14:paraId="344F4724" w14:textId="639AB2AF" w:rsidR="00F0236A" w:rsidRPr="0042750D" w:rsidRDefault="00927D72" w:rsidP="00603B0D">
            <w:pPr>
              <w:rPr>
                <w:bCs/>
                <w:szCs w:val="22"/>
              </w:rPr>
            </w:pPr>
            <w:r w:rsidRPr="0042750D">
              <w:rPr>
                <w:szCs w:val="22"/>
              </w:rPr>
              <w:t xml:space="preserve">ITU </w:t>
            </w:r>
            <w:r w:rsidRPr="0042750D">
              <w:rPr>
                <w:bCs/>
                <w:szCs w:val="22"/>
              </w:rPr>
              <w:t>Regional Standardization Forums and workshops are a means to coordinate Sector activities at the regional level. The following events took place:</w:t>
            </w:r>
          </w:p>
          <w:p w14:paraId="180897D8" w14:textId="77777777" w:rsidR="00F06F8B" w:rsidRPr="0042750D" w:rsidRDefault="00DD025B" w:rsidP="00F06F8B">
            <w:pPr>
              <w:pStyle w:val="ListParagraph"/>
              <w:numPr>
                <w:ilvl w:val="0"/>
                <w:numId w:val="5"/>
              </w:numPr>
            </w:pPr>
            <w:hyperlink r:id="rId40" w:history="1">
              <w:r w:rsidR="00F06F8B" w:rsidRPr="0042750D">
                <w:rPr>
                  <w:bCs/>
                  <w:color w:val="0000FF"/>
                  <w:u w:val="single"/>
                </w:rPr>
                <w:t>ITU Regional Standardization Forum (RSF) on “Addressing Competition Issues in ICT Economy”</w:t>
              </w:r>
            </w:hyperlink>
            <w:r w:rsidR="00F06F8B" w:rsidRPr="0042750D">
              <w:t>, Colombo, Sri Lanka, 1 October 2019.</w:t>
            </w:r>
          </w:p>
          <w:p w14:paraId="1CB5EF1F" w14:textId="77777777" w:rsidR="00F06F8B" w:rsidRPr="0042750D" w:rsidRDefault="00DD025B" w:rsidP="00F06F8B">
            <w:pPr>
              <w:pStyle w:val="ListParagraph"/>
              <w:numPr>
                <w:ilvl w:val="0"/>
                <w:numId w:val="5"/>
              </w:numPr>
              <w:contextualSpacing w:val="0"/>
              <w:rPr>
                <w:rFonts w:asciiTheme="majorBidi" w:hAnsiTheme="majorBidi" w:cstheme="majorBidi"/>
                <w:szCs w:val="22"/>
              </w:rPr>
            </w:pPr>
            <w:hyperlink r:id="rId41" w:history="1">
              <w:r w:rsidR="00F06F8B" w:rsidRPr="0042750D">
                <w:rPr>
                  <w:rStyle w:val="Hyperlink"/>
                </w:rPr>
                <w:t>ITU Inter-regional Standardization Forum on “Operational issues on numbering, emergency service and OTTs”</w:t>
              </w:r>
            </w:hyperlink>
            <w:r w:rsidR="00F06F8B" w:rsidRPr="0042750D">
              <w:t>, Dubai, United Emirates on 22 October 2019.</w:t>
            </w:r>
          </w:p>
          <w:p w14:paraId="5DA5E6EF" w14:textId="77777777" w:rsidR="00927D72" w:rsidRPr="0042750D" w:rsidRDefault="00927D72" w:rsidP="00F06F8B">
            <w:pPr>
              <w:pStyle w:val="ListParagraph"/>
              <w:numPr>
                <w:ilvl w:val="0"/>
                <w:numId w:val="5"/>
              </w:numPr>
              <w:contextualSpacing w:val="0"/>
              <w:rPr>
                <w:bCs/>
                <w:szCs w:val="22"/>
              </w:rPr>
            </w:pPr>
            <w:r w:rsidRPr="0042750D">
              <w:rPr>
                <w:bCs/>
                <w:szCs w:val="22"/>
              </w:rPr>
              <w:t>ITU Regional Standardization Forum On Emerging Economic, Regulatory and Policy Trends In a Fast-Changing Digital World; Kuwait City, Kuwait, 17 December 2018;</w:t>
            </w:r>
          </w:p>
          <w:p w14:paraId="409934FE" w14:textId="0DD96EB5" w:rsidR="00927D72" w:rsidRPr="0042750D" w:rsidRDefault="00927D72" w:rsidP="00F06F8B">
            <w:pPr>
              <w:pStyle w:val="ListParagraph"/>
              <w:numPr>
                <w:ilvl w:val="0"/>
                <w:numId w:val="5"/>
              </w:numPr>
              <w:contextualSpacing w:val="0"/>
              <w:rPr>
                <w:bCs/>
                <w:szCs w:val="22"/>
              </w:rPr>
            </w:pPr>
            <w:r w:rsidRPr="0042750D">
              <w:rPr>
                <w:bCs/>
                <w:szCs w:val="22"/>
              </w:rPr>
              <w:t>ITU Regional Standardization Forum On Emerging Economic, Regulatory and Policy Trends In a Fast-Changing Digital World; Kuwait City, Kuwait, 17 December 2018;</w:t>
            </w:r>
          </w:p>
          <w:p w14:paraId="5092C9C4" w14:textId="475BE9C8" w:rsidR="00927D72" w:rsidRPr="0042750D" w:rsidRDefault="00927D72" w:rsidP="00F06F8B">
            <w:pPr>
              <w:pStyle w:val="ListParagraph"/>
              <w:numPr>
                <w:ilvl w:val="0"/>
                <w:numId w:val="5"/>
              </w:numPr>
              <w:contextualSpacing w:val="0"/>
              <w:rPr>
                <w:bCs/>
                <w:szCs w:val="22"/>
              </w:rPr>
            </w:pPr>
            <w:r w:rsidRPr="0042750D">
              <w:rPr>
                <w:bCs/>
                <w:szCs w:val="22"/>
              </w:rPr>
              <w:t>ITU Regional Standardization Forum on Emerging Economic, Regulatory and Policy Trends for an Inclusive, Sustainable and Trustworthy Digital World, Antananarivo, Madagascar, 18 February 2019.</w:t>
            </w:r>
          </w:p>
          <w:p w14:paraId="2C24879B" w14:textId="6A50118A" w:rsidR="009812DC" w:rsidRPr="0042750D" w:rsidRDefault="00DD025B" w:rsidP="00F06F8B">
            <w:pPr>
              <w:pStyle w:val="ListParagraph"/>
              <w:numPr>
                <w:ilvl w:val="0"/>
                <w:numId w:val="5"/>
              </w:numPr>
              <w:contextualSpacing w:val="0"/>
              <w:rPr>
                <w:bCs/>
                <w:szCs w:val="22"/>
              </w:rPr>
            </w:pPr>
            <w:hyperlink r:id="rId42" w:tgtFrame="_blank" w:history="1">
              <w:r w:rsidR="009812DC" w:rsidRPr="0042750D">
                <w:rPr>
                  <w:bCs/>
                  <w:szCs w:val="22"/>
                </w:rPr>
                <w:t>ITU-UN-Habitat-UNDP Forum on Smart sustainable cities: technological trends, success stories and future prospects</w:t>
              </w:r>
            </w:hyperlink>
            <w:r w:rsidR="009812DC" w:rsidRPr="0042750D">
              <w:rPr>
                <w:bCs/>
                <w:szCs w:val="22"/>
              </w:rPr>
              <w:t>, 26-27 February 2019, Minsk, Belarus</w:t>
            </w:r>
            <w:r w:rsidR="00C72B48" w:rsidRPr="0042750D">
              <w:rPr>
                <w:bCs/>
                <w:szCs w:val="22"/>
              </w:rPr>
              <w:t>.</w:t>
            </w:r>
          </w:p>
          <w:p w14:paraId="2A5347B6" w14:textId="7AE2921F" w:rsidR="00927D72" w:rsidRPr="0042750D" w:rsidRDefault="00927D72" w:rsidP="00F06F8B">
            <w:pPr>
              <w:pStyle w:val="ListParagraph"/>
              <w:numPr>
                <w:ilvl w:val="0"/>
                <w:numId w:val="5"/>
              </w:numPr>
              <w:contextualSpacing w:val="0"/>
              <w:rPr>
                <w:bCs/>
                <w:szCs w:val="22"/>
              </w:rPr>
            </w:pPr>
            <w:r w:rsidRPr="0042750D">
              <w:rPr>
                <w:bCs/>
                <w:szCs w:val="22"/>
              </w:rPr>
              <w:t>ITU Workshop on International Numbering Resources (INRs) for the Americas, Managua, Nicaragua, 25-26 March 2019.</w:t>
            </w:r>
          </w:p>
          <w:p w14:paraId="610CB010" w14:textId="64B68D97" w:rsidR="00931A29" w:rsidRPr="0042750D" w:rsidRDefault="00931A29" w:rsidP="00F06F8B">
            <w:pPr>
              <w:pStyle w:val="ListParagraph"/>
              <w:numPr>
                <w:ilvl w:val="0"/>
                <w:numId w:val="5"/>
              </w:numPr>
              <w:contextualSpacing w:val="0"/>
              <w:rPr>
                <w:bCs/>
                <w:szCs w:val="22"/>
              </w:rPr>
            </w:pPr>
            <w:r w:rsidRPr="0042750D">
              <w:rPr>
                <w:bCs/>
                <w:szCs w:val="22"/>
              </w:rPr>
              <w:t>Second Arab-African Interregional Standardization Forum on PKI for e-trust</w:t>
            </w:r>
            <w:r w:rsidR="00302254" w:rsidRPr="0042750D">
              <w:rPr>
                <w:bCs/>
                <w:szCs w:val="22"/>
              </w:rPr>
              <w:t>, 2019-04-04/05, Tunis, Tunisia</w:t>
            </w:r>
            <w:r w:rsidR="00B96EAC" w:rsidRPr="0042750D">
              <w:rPr>
                <w:bCs/>
                <w:szCs w:val="22"/>
              </w:rPr>
              <w:t>.</w:t>
            </w:r>
          </w:p>
          <w:p w14:paraId="474D55E2" w14:textId="0FFB8986" w:rsidR="00603B0D" w:rsidRPr="0042750D" w:rsidRDefault="00927D72" w:rsidP="00F06F8B">
            <w:pPr>
              <w:pStyle w:val="ListParagraph"/>
              <w:numPr>
                <w:ilvl w:val="0"/>
                <w:numId w:val="5"/>
              </w:numPr>
              <w:spacing w:after="40"/>
              <w:contextualSpacing w:val="0"/>
              <w:rPr>
                <w:szCs w:val="22"/>
              </w:rPr>
            </w:pPr>
            <w:r w:rsidRPr="0042750D">
              <w:rPr>
                <w:bCs/>
                <w:szCs w:val="22"/>
              </w:rPr>
              <w:t>ITU Forum</w:t>
            </w:r>
            <w:r w:rsidRPr="0042750D">
              <w:rPr>
                <w:rFonts w:asciiTheme="majorBidi" w:eastAsia="Arial Unicode MS" w:hAnsiTheme="majorBidi" w:cstheme="majorBidi"/>
                <w:kern w:val="1"/>
                <w:lang w:eastAsia="hi-IN" w:bidi="hi-IN"/>
              </w:rPr>
              <w:t xml:space="preserve"> “Internet of Things: future Applications and Services. Perspective 2030", the Fourth ITU Workshop on Network 2030”, Saint-Petersburg, Russia Federation, 21-23 May 2019.</w:t>
            </w:r>
          </w:p>
        </w:tc>
      </w:tr>
      <w:tr w:rsidR="002428F2" w:rsidRPr="0042750D" w14:paraId="4C712376" w14:textId="77777777" w:rsidTr="00DC44BF">
        <w:trPr>
          <w:jc w:val="center"/>
        </w:trPr>
        <w:tc>
          <w:tcPr>
            <w:tcW w:w="912" w:type="dxa"/>
            <w:vMerge w:val="restart"/>
            <w:tcBorders>
              <w:top w:val="single" w:sz="12" w:space="0" w:color="auto"/>
            </w:tcBorders>
            <w:shd w:val="clear" w:color="auto" w:fill="auto"/>
          </w:tcPr>
          <w:p w14:paraId="32DDA4DD" w14:textId="006D563B" w:rsidR="002428F2" w:rsidRPr="0042750D" w:rsidRDefault="002428F2" w:rsidP="00DC44BF">
            <w:pPr>
              <w:pStyle w:val="Tabletext"/>
              <w:rPr>
                <w:b/>
                <w:bCs/>
                <w:sz w:val="24"/>
                <w:szCs w:val="24"/>
              </w:rPr>
            </w:pPr>
            <w:bookmarkStart w:id="97" w:name="Item47_01"/>
            <w:bookmarkStart w:id="98" w:name="Item47_02"/>
            <w:bookmarkEnd w:id="97"/>
            <w:bookmarkEnd w:id="98"/>
            <w:r w:rsidRPr="0042750D">
              <w:rPr>
                <w:b/>
                <w:bCs/>
                <w:sz w:val="24"/>
                <w:szCs w:val="24"/>
              </w:rPr>
              <w:t>123-03</w:t>
            </w:r>
          </w:p>
        </w:tc>
        <w:tc>
          <w:tcPr>
            <w:tcW w:w="4879" w:type="dxa"/>
            <w:tcBorders>
              <w:top w:val="single" w:sz="12" w:space="0" w:color="auto"/>
            </w:tcBorders>
            <w:shd w:val="clear" w:color="auto" w:fill="auto"/>
          </w:tcPr>
          <w:p w14:paraId="5D227646" w14:textId="0C69C8C1" w:rsidR="002428F2" w:rsidRPr="0042750D" w:rsidRDefault="002428F2" w:rsidP="00DC44BF">
            <w:pPr>
              <w:pStyle w:val="Tabletext"/>
              <w:keepNext/>
              <w:keepLines/>
              <w:rPr>
                <w:b/>
                <w:bCs/>
                <w:sz w:val="24"/>
                <w:szCs w:val="24"/>
              </w:rPr>
            </w:pPr>
            <w:r w:rsidRPr="0042750D">
              <w:rPr>
                <w:b/>
                <w:bCs/>
                <w:sz w:val="24"/>
                <w:szCs w:val="24"/>
              </w:rPr>
              <w:t>TSBDir to provide developing countries with assistance to enhance capacity building in the standardization field</w:t>
            </w:r>
            <w:r w:rsidR="00845DDC" w:rsidRPr="0042750D">
              <w:rPr>
                <w:b/>
                <w:bCs/>
                <w:sz w:val="24"/>
                <w:szCs w:val="24"/>
              </w:rPr>
              <w:t xml:space="preserve"> (</w:t>
            </w:r>
            <w:r w:rsidR="00845DDC" w:rsidRPr="0042750D">
              <w:rPr>
                <w:b/>
                <w:bCs/>
                <w:i/>
                <w:sz w:val="24"/>
                <w:szCs w:val="24"/>
              </w:rPr>
              <w:t>resolves 3</w:t>
            </w:r>
            <w:r w:rsidR="00845DDC" w:rsidRPr="0042750D">
              <w:rPr>
                <w:b/>
                <w:bCs/>
                <w:sz w:val="24"/>
                <w:szCs w:val="24"/>
              </w:rPr>
              <w:t>)</w:t>
            </w:r>
            <w:r w:rsidRPr="0042750D">
              <w:rPr>
                <w:b/>
                <w:bCs/>
                <w:sz w:val="24"/>
                <w:szCs w:val="24"/>
              </w:rPr>
              <w:t>.</w:t>
            </w:r>
          </w:p>
        </w:tc>
        <w:tc>
          <w:tcPr>
            <w:tcW w:w="1620" w:type="dxa"/>
            <w:tcBorders>
              <w:top w:val="single" w:sz="12" w:space="0" w:color="auto"/>
            </w:tcBorders>
            <w:shd w:val="clear" w:color="auto" w:fill="auto"/>
            <w:vAlign w:val="center"/>
          </w:tcPr>
          <w:p w14:paraId="0E204322" w14:textId="77777777" w:rsidR="002428F2" w:rsidRPr="0042750D" w:rsidRDefault="002428F2" w:rsidP="00DC44BF">
            <w:pPr>
              <w:pStyle w:val="Tabletext"/>
              <w:keepNext/>
              <w:keepLines/>
              <w:jc w:val="center"/>
              <w:rPr>
                <w:b/>
                <w:bCs/>
                <w:sz w:val="24"/>
                <w:szCs w:val="24"/>
              </w:rPr>
            </w:pPr>
            <w:r w:rsidRPr="0042750D">
              <w:rPr>
                <w:b/>
                <w:bCs/>
                <w:sz w:val="24"/>
                <w:szCs w:val="24"/>
              </w:rPr>
              <w:t>Ongoing</w:t>
            </w:r>
          </w:p>
        </w:tc>
        <w:tc>
          <w:tcPr>
            <w:tcW w:w="1170" w:type="dxa"/>
            <w:tcBorders>
              <w:top w:val="single" w:sz="12" w:space="0" w:color="auto"/>
            </w:tcBorders>
            <w:shd w:val="clear" w:color="auto" w:fill="auto"/>
            <w:vAlign w:val="center"/>
          </w:tcPr>
          <w:p w14:paraId="06BC31D1" w14:textId="592E4DB6" w:rsidR="002428F2" w:rsidRPr="0042750D" w:rsidRDefault="00284CCE" w:rsidP="00DC44BF">
            <w:pPr>
              <w:pStyle w:val="Tabletext"/>
              <w:keepNext/>
              <w:keepLines/>
              <w:jc w:val="center"/>
              <w:rPr>
                <w:b/>
                <w:bCs/>
                <w:sz w:val="24"/>
                <w:szCs w:val="24"/>
              </w:rPr>
            </w:pPr>
            <w:r w:rsidRPr="0042750D">
              <w:rPr>
                <w:b/>
                <w:bCs/>
                <w:sz w:val="24"/>
                <w:szCs w:val="24"/>
              </w:rPr>
              <w:t>√</w:t>
            </w:r>
          </w:p>
        </w:tc>
        <w:tc>
          <w:tcPr>
            <w:tcW w:w="1469" w:type="dxa"/>
            <w:tcBorders>
              <w:top w:val="single" w:sz="12" w:space="0" w:color="auto"/>
            </w:tcBorders>
            <w:shd w:val="clear" w:color="auto" w:fill="auto"/>
            <w:vAlign w:val="center"/>
          </w:tcPr>
          <w:p w14:paraId="7CCFD6D2" w14:textId="77777777" w:rsidR="002428F2" w:rsidRPr="0042750D" w:rsidRDefault="002428F2" w:rsidP="00DC44BF">
            <w:pPr>
              <w:pStyle w:val="Tabletext"/>
              <w:keepNext/>
              <w:keepLines/>
              <w:jc w:val="center"/>
              <w:rPr>
                <w:b/>
                <w:bCs/>
                <w:sz w:val="24"/>
                <w:szCs w:val="24"/>
              </w:rPr>
            </w:pPr>
          </w:p>
        </w:tc>
      </w:tr>
      <w:tr w:rsidR="002428F2" w:rsidRPr="0042750D" w14:paraId="6C61187D" w14:textId="77777777" w:rsidTr="00DC44BF">
        <w:trPr>
          <w:jc w:val="center"/>
        </w:trPr>
        <w:tc>
          <w:tcPr>
            <w:tcW w:w="912" w:type="dxa"/>
            <w:vMerge/>
            <w:shd w:val="clear" w:color="auto" w:fill="auto"/>
          </w:tcPr>
          <w:p w14:paraId="677EF239" w14:textId="77777777" w:rsidR="002428F2" w:rsidRPr="0042750D" w:rsidRDefault="002428F2" w:rsidP="00DC44BF">
            <w:pPr>
              <w:pStyle w:val="Tabletext"/>
              <w:keepNext/>
              <w:keepLines/>
              <w:rPr>
                <w:b/>
                <w:bCs/>
                <w:sz w:val="24"/>
                <w:szCs w:val="24"/>
              </w:rPr>
            </w:pPr>
          </w:p>
        </w:tc>
        <w:tc>
          <w:tcPr>
            <w:tcW w:w="9138" w:type="dxa"/>
            <w:gridSpan w:val="4"/>
            <w:tcBorders>
              <w:top w:val="single" w:sz="12" w:space="0" w:color="auto"/>
            </w:tcBorders>
            <w:shd w:val="clear" w:color="auto" w:fill="auto"/>
          </w:tcPr>
          <w:p w14:paraId="60104CD9" w14:textId="7EE07DB5" w:rsidR="002428F2" w:rsidRPr="0042750D" w:rsidRDefault="00302254" w:rsidP="00DC44BF">
            <w:pPr>
              <w:pStyle w:val="Tabletext"/>
              <w:keepNext/>
              <w:keepLines/>
              <w:rPr>
                <w:bCs/>
                <w:szCs w:val="22"/>
              </w:rPr>
            </w:pPr>
            <w:r w:rsidRPr="0042750D">
              <w:rPr>
                <w:bCs/>
                <w:szCs w:val="22"/>
              </w:rPr>
              <w:t xml:space="preserve">See the TSB Director report in </w:t>
            </w:r>
            <w:hyperlink r:id="rId43" w:history="1">
              <w:r w:rsidRPr="0042750D">
                <w:rPr>
                  <w:rStyle w:val="Hyperlink"/>
                  <w:bCs/>
                  <w:szCs w:val="22"/>
                </w:rPr>
                <w:t>TSAG-TD</w:t>
              </w:r>
              <w:r w:rsidR="00177F24" w:rsidRPr="0042750D">
                <w:rPr>
                  <w:rStyle w:val="Hyperlink"/>
                  <w:bCs/>
                  <w:szCs w:val="22"/>
                </w:rPr>
                <w:t>466</w:t>
              </w:r>
            </w:hyperlink>
            <w:r w:rsidRPr="0042750D">
              <w:rPr>
                <w:bCs/>
                <w:szCs w:val="22"/>
              </w:rPr>
              <w:t>.</w:t>
            </w:r>
          </w:p>
        </w:tc>
      </w:tr>
      <w:tr w:rsidR="002428F2" w:rsidRPr="0042750D" w14:paraId="43226F06" w14:textId="77777777" w:rsidTr="004D03C1">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1F9EED6F" w14:textId="475B360A" w:rsidR="002428F2" w:rsidRPr="0042750D" w:rsidRDefault="002428F2" w:rsidP="00FC6DC4">
            <w:pPr>
              <w:pStyle w:val="Tabletext"/>
              <w:pageBreakBefore/>
              <w:rPr>
                <w:b/>
                <w:bCs/>
                <w:sz w:val="24"/>
                <w:szCs w:val="24"/>
              </w:rPr>
            </w:pPr>
            <w:r w:rsidRPr="0042750D">
              <w:rPr>
                <w:b/>
                <w:bCs/>
                <w:sz w:val="24"/>
                <w:szCs w:val="24"/>
              </w:rPr>
              <w:t>123-04</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443A3041" w14:textId="10AD9507" w:rsidR="002428F2" w:rsidRPr="0042750D" w:rsidRDefault="002428F2" w:rsidP="00FC6DC4">
            <w:pPr>
              <w:pStyle w:val="Tabletext"/>
              <w:keepNext/>
              <w:keepLines/>
              <w:rPr>
                <w:b/>
                <w:bCs/>
                <w:sz w:val="24"/>
                <w:szCs w:val="24"/>
              </w:rPr>
            </w:pPr>
            <w:r w:rsidRPr="0042750D">
              <w:rPr>
                <w:b/>
                <w:bCs/>
                <w:sz w:val="24"/>
                <w:szCs w:val="24"/>
              </w:rPr>
              <w:t>TSBDir to identify ways and means to support the participation of representatives of developing countries</w:t>
            </w:r>
            <w:r w:rsidR="00845DDC" w:rsidRPr="0042750D">
              <w:rPr>
                <w:b/>
                <w:bCs/>
                <w:sz w:val="24"/>
                <w:szCs w:val="24"/>
              </w:rPr>
              <w:t xml:space="preserve"> (</w:t>
            </w:r>
            <w:r w:rsidR="00845DDC" w:rsidRPr="0042750D">
              <w:rPr>
                <w:b/>
                <w:bCs/>
                <w:i/>
                <w:sz w:val="24"/>
                <w:szCs w:val="24"/>
              </w:rPr>
              <w:t>resolves 4</w:t>
            </w:r>
            <w:r w:rsidR="00845DDC" w:rsidRPr="0042750D">
              <w:rPr>
                <w:b/>
                <w:bCs/>
                <w:sz w:val="24"/>
                <w:szCs w:val="24"/>
              </w:rPr>
              <w:t>)</w:t>
            </w:r>
            <w:r w:rsidRPr="0042750D">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075A00DD" w14:textId="77777777" w:rsidR="002428F2" w:rsidRPr="0042750D" w:rsidRDefault="002428F2" w:rsidP="00FC6DC4">
            <w:pPr>
              <w:pStyle w:val="Tabletext"/>
              <w:keepNext/>
              <w:keepLines/>
              <w:jc w:val="center"/>
              <w:rPr>
                <w:b/>
                <w:bCs/>
                <w:sz w:val="24"/>
                <w:szCs w:val="24"/>
              </w:rPr>
            </w:pPr>
            <w:r w:rsidRPr="0042750D">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22DFCA32" w14:textId="77777777" w:rsidR="002428F2" w:rsidRPr="0042750D" w:rsidRDefault="002428F2" w:rsidP="00FC6DC4">
            <w:pPr>
              <w:pStyle w:val="Tabletext"/>
              <w:keepNext/>
              <w:keepLines/>
              <w:jc w:val="center"/>
              <w:rPr>
                <w:b/>
                <w:bCs/>
                <w:sz w:val="24"/>
                <w:szCs w:val="24"/>
              </w:rPr>
            </w:pP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7E5CA492" w14:textId="77777777" w:rsidR="002428F2" w:rsidRPr="0042750D" w:rsidRDefault="002428F2" w:rsidP="00FC6DC4">
            <w:pPr>
              <w:pStyle w:val="Tabletext"/>
              <w:keepNext/>
              <w:keepLines/>
              <w:jc w:val="center"/>
              <w:rPr>
                <w:b/>
                <w:bCs/>
                <w:sz w:val="24"/>
                <w:szCs w:val="24"/>
              </w:rPr>
            </w:pPr>
          </w:p>
        </w:tc>
      </w:tr>
      <w:tr w:rsidR="002428F2" w:rsidRPr="0042750D" w14:paraId="7481A016" w14:textId="77777777" w:rsidTr="004D03C1">
        <w:trPr>
          <w:cantSplit/>
          <w:jc w:val="center"/>
        </w:trPr>
        <w:tc>
          <w:tcPr>
            <w:tcW w:w="912" w:type="dxa"/>
            <w:vMerge/>
            <w:tcBorders>
              <w:left w:val="single" w:sz="12" w:space="0" w:color="auto"/>
              <w:bottom w:val="single" w:sz="12" w:space="0" w:color="auto"/>
              <w:right w:val="single" w:sz="4" w:space="0" w:color="auto"/>
            </w:tcBorders>
            <w:shd w:val="clear" w:color="auto" w:fill="auto"/>
          </w:tcPr>
          <w:p w14:paraId="686ACD78" w14:textId="77777777" w:rsidR="002428F2" w:rsidRPr="0042750D" w:rsidRDefault="002428F2" w:rsidP="00DC44BF">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2B0EDEAF" w14:textId="77777777" w:rsidR="002428F2" w:rsidRPr="0042750D" w:rsidRDefault="002428F2" w:rsidP="00FC6DC4">
            <w:pPr>
              <w:pStyle w:val="Tabletext"/>
              <w:keepNext/>
              <w:keepLines/>
              <w:rPr>
                <w:bCs/>
                <w:szCs w:val="22"/>
              </w:rPr>
            </w:pPr>
          </w:p>
        </w:tc>
      </w:tr>
      <w:tr w:rsidR="002428F2" w:rsidRPr="0042750D" w14:paraId="4D2EF962" w14:textId="77777777" w:rsidTr="004D03C1">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171633AD" w14:textId="1C86800F" w:rsidR="002428F2" w:rsidRPr="0042750D" w:rsidRDefault="002428F2" w:rsidP="00325724">
            <w:pPr>
              <w:pStyle w:val="Tabletext"/>
              <w:rPr>
                <w:b/>
                <w:bCs/>
                <w:sz w:val="24"/>
                <w:szCs w:val="24"/>
              </w:rPr>
            </w:pPr>
            <w:r w:rsidRPr="0042750D">
              <w:rPr>
                <w:b/>
                <w:bCs/>
                <w:sz w:val="24"/>
                <w:szCs w:val="24"/>
              </w:rPr>
              <w:t>123-05</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134CBDBF" w14:textId="1BC8639C" w:rsidR="002428F2" w:rsidRPr="0042750D" w:rsidRDefault="002428F2" w:rsidP="00EC1090">
            <w:pPr>
              <w:pStyle w:val="Tabletext"/>
              <w:rPr>
                <w:b/>
                <w:bCs/>
                <w:sz w:val="24"/>
                <w:szCs w:val="24"/>
              </w:rPr>
            </w:pPr>
            <w:r w:rsidRPr="0042750D">
              <w:rPr>
                <w:b/>
                <w:bCs/>
                <w:sz w:val="24"/>
                <w:szCs w:val="24"/>
              </w:rPr>
              <w:t>TSBDir to further collaborate with the relevant regional organizations and support their work in this area</w:t>
            </w:r>
            <w:r w:rsidR="00845DDC" w:rsidRPr="0042750D">
              <w:rPr>
                <w:b/>
                <w:bCs/>
                <w:sz w:val="24"/>
                <w:szCs w:val="24"/>
              </w:rPr>
              <w:t xml:space="preserve"> (</w:t>
            </w:r>
            <w:r w:rsidR="00845DDC" w:rsidRPr="0042750D">
              <w:rPr>
                <w:b/>
                <w:bCs/>
                <w:i/>
                <w:sz w:val="24"/>
                <w:szCs w:val="24"/>
              </w:rPr>
              <w:t>resolves 5</w:t>
            </w:r>
            <w:r w:rsidR="00845DDC" w:rsidRPr="0042750D">
              <w:rPr>
                <w:b/>
                <w:bCs/>
                <w:sz w:val="24"/>
                <w:szCs w:val="24"/>
              </w:rPr>
              <w:t>)</w:t>
            </w:r>
            <w:r w:rsidRPr="0042750D">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0218030F" w14:textId="77777777" w:rsidR="002428F2" w:rsidRPr="0042750D" w:rsidRDefault="002428F2" w:rsidP="00EC1090">
            <w:pPr>
              <w:pStyle w:val="Tabletext"/>
              <w:jc w:val="center"/>
              <w:rPr>
                <w:b/>
                <w:bCs/>
                <w:sz w:val="24"/>
                <w:szCs w:val="24"/>
              </w:rPr>
            </w:pPr>
            <w:r w:rsidRPr="0042750D">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6E3A128A" w14:textId="75231D8E" w:rsidR="002428F2" w:rsidRPr="0042750D" w:rsidRDefault="00F40AFB" w:rsidP="00EC1090">
            <w:pPr>
              <w:pStyle w:val="Tabletext"/>
              <w:jc w:val="center"/>
              <w:rPr>
                <w:b/>
                <w:bCs/>
                <w:sz w:val="24"/>
                <w:szCs w:val="24"/>
              </w:rPr>
            </w:pPr>
            <w:r w:rsidRPr="0042750D">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44E62BE6" w14:textId="77777777" w:rsidR="002428F2" w:rsidRPr="0042750D" w:rsidRDefault="002428F2" w:rsidP="00EC1090">
            <w:pPr>
              <w:pStyle w:val="Tabletext"/>
              <w:jc w:val="center"/>
              <w:rPr>
                <w:b/>
                <w:bCs/>
                <w:sz w:val="24"/>
                <w:szCs w:val="24"/>
              </w:rPr>
            </w:pPr>
          </w:p>
        </w:tc>
      </w:tr>
      <w:tr w:rsidR="002428F2" w:rsidRPr="0042750D" w14:paraId="2EAD8843" w14:textId="77777777" w:rsidTr="004D03C1">
        <w:trPr>
          <w:cantSplit/>
          <w:jc w:val="center"/>
        </w:trPr>
        <w:tc>
          <w:tcPr>
            <w:tcW w:w="912" w:type="dxa"/>
            <w:vMerge/>
            <w:tcBorders>
              <w:left w:val="single" w:sz="12" w:space="0" w:color="auto"/>
              <w:bottom w:val="single" w:sz="12" w:space="0" w:color="auto"/>
              <w:right w:val="single" w:sz="4" w:space="0" w:color="auto"/>
            </w:tcBorders>
            <w:shd w:val="clear" w:color="auto" w:fill="auto"/>
          </w:tcPr>
          <w:p w14:paraId="6B5EA567" w14:textId="77777777" w:rsidR="002428F2" w:rsidRPr="0042750D"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7A948489" w14:textId="176766FC" w:rsidR="002428F2" w:rsidRPr="0042750D" w:rsidRDefault="00F40AFB" w:rsidP="002428F2">
            <w:pPr>
              <w:pStyle w:val="Tabletext"/>
              <w:rPr>
                <w:bCs/>
                <w:szCs w:val="22"/>
              </w:rPr>
            </w:pPr>
            <w:r w:rsidRPr="0042750D">
              <w:rPr>
                <w:bCs/>
                <w:szCs w:val="22"/>
              </w:rPr>
              <w:t>TSB works closely with regional organizations on a regular basis.</w:t>
            </w:r>
          </w:p>
        </w:tc>
      </w:tr>
      <w:tr w:rsidR="002428F2" w:rsidRPr="0042750D" w14:paraId="4002182D" w14:textId="77777777" w:rsidTr="004D03C1">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6A03CCCF" w14:textId="0DF9E04E" w:rsidR="002428F2" w:rsidRPr="0042750D" w:rsidRDefault="002428F2" w:rsidP="00325724">
            <w:pPr>
              <w:pStyle w:val="Tabletext"/>
              <w:rPr>
                <w:b/>
                <w:bCs/>
                <w:sz w:val="24"/>
                <w:szCs w:val="24"/>
              </w:rPr>
            </w:pPr>
            <w:r w:rsidRPr="0042750D">
              <w:rPr>
                <w:b/>
                <w:bCs/>
                <w:sz w:val="24"/>
                <w:szCs w:val="24"/>
              </w:rPr>
              <w:t>123-06</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111B3404" w14:textId="19C4DDEA" w:rsidR="002428F2" w:rsidRPr="0042750D" w:rsidRDefault="002428F2" w:rsidP="00EC1090">
            <w:pPr>
              <w:pStyle w:val="Tabletext"/>
              <w:rPr>
                <w:b/>
                <w:bCs/>
                <w:sz w:val="24"/>
                <w:szCs w:val="24"/>
              </w:rPr>
            </w:pPr>
            <w:r w:rsidRPr="0042750D">
              <w:rPr>
                <w:b/>
                <w:bCs/>
                <w:sz w:val="24"/>
                <w:szCs w:val="24"/>
              </w:rPr>
              <w:t>TSBDir to strengthen the mechanisms for preparing and submitting reports on the implementation of the action plan associated with WTSA Resolution 44</w:t>
            </w:r>
            <w:r w:rsidR="00845DDC" w:rsidRPr="0042750D">
              <w:rPr>
                <w:b/>
                <w:bCs/>
                <w:sz w:val="24"/>
                <w:szCs w:val="24"/>
              </w:rPr>
              <w:t xml:space="preserve"> (</w:t>
            </w:r>
            <w:r w:rsidR="00845DDC" w:rsidRPr="0042750D">
              <w:rPr>
                <w:b/>
                <w:bCs/>
                <w:i/>
                <w:sz w:val="24"/>
                <w:szCs w:val="24"/>
              </w:rPr>
              <w:t>resolves 6</w:t>
            </w:r>
            <w:r w:rsidR="00845DDC" w:rsidRPr="0042750D">
              <w:rPr>
                <w:b/>
                <w:bCs/>
                <w:sz w:val="24"/>
                <w:szCs w:val="24"/>
              </w:rPr>
              <w:t>)</w:t>
            </w:r>
            <w:r w:rsidRPr="0042750D">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5BA739C5" w14:textId="77777777" w:rsidR="002428F2" w:rsidRPr="0042750D" w:rsidRDefault="002428F2" w:rsidP="00EC1090">
            <w:pPr>
              <w:pStyle w:val="Tabletext"/>
              <w:jc w:val="center"/>
              <w:rPr>
                <w:b/>
                <w:bCs/>
                <w:sz w:val="24"/>
                <w:szCs w:val="24"/>
              </w:rPr>
            </w:pPr>
            <w:r w:rsidRPr="0042750D">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39601CE0" w14:textId="77777777" w:rsidR="002428F2" w:rsidRPr="0042750D" w:rsidRDefault="002428F2" w:rsidP="00EC1090">
            <w:pPr>
              <w:pStyle w:val="Tabletext"/>
              <w:jc w:val="center"/>
              <w:rPr>
                <w:b/>
                <w:bCs/>
                <w:sz w:val="24"/>
                <w:szCs w:val="24"/>
              </w:rPr>
            </w:pP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37407CD7" w14:textId="77777777" w:rsidR="002428F2" w:rsidRPr="0042750D" w:rsidRDefault="002428F2" w:rsidP="00EC1090">
            <w:pPr>
              <w:pStyle w:val="Tabletext"/>
              <w:jc w:val="center"/>
              <w:rPr>
                <w:b/>
                <w:bCs/>
                <w:sz w:val="24"/>
                <w:szCs w:val="24"/>
              </w:rPr>
            </w:pPr>
          </w:p>
        </w:tc>
      </w:tr>
      <w:tr w:rsidR="002428F2" w:rsidRPr="0042750D" w14:paraId="5FA71744" w14:textId="77777777" w:rsidTr="004D03C1">
        <w:trPr>
          <w:cantSplit/>
          <w:jc w:val="center"/>
        </w:trPr>
        <w:tc>
          <w:tcPr>
            <w:tcW w:w="912" w:type="dxa"/>
            <w:vMerge/>
            <w:tcBorders>
              <w:left w:val="single" w:sz="12" w:space="0" w:color="auto"/>
              <w:bottom w:val="single" w:sz="12" w:space="0" w:color="auto"/>
              <w:right w:val="single" w:sz="4" w:space="0" w:color="auto"/>
            </w:tcBorders>
            <w:shd w:val="clear" w:color="auto" w:fill="auto"/>
          </w:tcPr>
          <w:p w14:paraId="587C6945" w14:textId="77777777" w:rsidR="002428F2" w:rsidRPr="0042750D"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3E47B2E7" w14:textId="77777777" w:rsidR="002428F2" w:rsidRPr="0042750D" w:rsidRDefault="002428F2" w:rsidP="002428F2">
            <w:pPr>
              <w:pStyle w:val="Tabletext"/>
              <w:rPr>
                <w:bCs/>
                <w:szCs w:val="22"/>
              </w:rPr>
            </w:pPr>
          </w:p>
        </w:tc>
      </w:tr>
      <w:tr w:rsidR="002428F2" w:rsidRPr="0042750D" w14:paraId="71A4E088" w14:textId="77777777" w:rsidTr="004D03C1">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271BE215" w14:textId="7A0362F1" w:rsidR="002428F2" w:rsidRPr="0042750D" w:rsidRDefault="002428F2" w:rsidP="00775B4B">
            <w:pPr>
              <w:pStyle w:val="Tabletext"/>
              <w:keepNext/>
              <w:keepLines/>
              <w:rPr>
                <w:b/>
                <w:bCs/>
                <w:sz w:val="24"/>
                <w:szCs w:val="24"/>
              </w:rPr>
            </w:pPr>
            <w:r w:rsidRPr="0042750D">
              <w:rPr>
                <w:b/>
                <w:bCs/>
                <w:sz w:val="24"/>
                <w:szCs w:val="24"/>
              </w:rPr>
              <w:t>123-07</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66A63D06" w14:textId="5B16B5EF" w:rsidR="002428F2" w:rsidRPr="0042750D" w:rsidRDefault="002428F2" w:rsidP="00EC1090">
            <w:pPr>
              <w:pStyle w:val="Tabletext"/>
              <w:rPr>
                <w:b/>
                <w:bCs/>
                <w:sz w:val="24"/>
                <w:szCs w:val="24"/>
              </w:rPr>
            </w:pPr>
            <w:r w:rsidRPr="0042750D">
              <w:rPr>
                <w:b/>
                <w:bCs/>
                <w:sz w:val="24"/>
                <w:szCs w:val="24"/>
              </w:rPr>
              <w:t>TSBDir to continue collaboration at the regional level</w:t>
            </w:r>
            <w:r w:rsidR="00845DDC" w:rsidRPr="0042750D">
              <w:rPr>
                <w:b/>
                <w:bCs/>
                <w:sz w:val="24"/>
                <w:szCs w:val="24"/>
              </w:rPr>
              <w:t xml:space="preserve"> (</w:t>
            </w:r>
            <w:r w:rsidR="00845DDC" w:rsidRPr="0042750D">
              <w:rPr>
                <w:b/>
                <w:bCs/>
                <w:i/>
                <w:sz w:val="24"/>
                <w:szCs w:val="24"/>
              </w:rPr>
              <w:t>resolves 7</w:t>
            </w:r>
            <w:r w:rsidR="00845DDC" w:rsidRPr="0042750D">
              <w:rPr>
                <w:b/>
                <w:bCs/>
                <w:sz w:val="24"/>
                <w:szCs w:val="24"/>
              </w:rPr>
              <w:t>)</w:t>
            </w:r>
            <w:r w:rsidRPr="0042750D">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127FF4C9" w14:textId="77777777" w:rsidR="002428F2" w:rsidRPr="0042750D" w:rsidRDefault="002428F2" w:rsidP="00EC1090">
            <w:pPr>
              <w:pStyle w:val="Tabletext"/>
              <w:jc w:val="center"/>
              <w:rPr>
                <w:b/>
                <w:bCs/>
                <w:sz w:val="24"/>
                <w:szCs w:val="24"/>
              </w:rPr>
            </w:pPr>
            <w:r w:rsidRPr="0042750D">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51DE822F" w14:textId="482B815A" w:rsidR="002428F2" w:rsidRPr="0042750D" w:rsidRDefault="0085152F" w:rsidP="00EC1090">
            <w:pPr>
              <w:pStyle w:val="Tabletext"/>
              <w:jc w:val="center"/>
              <w:rPr>
                <w:b/>
                <w:bCs/>
                <w:sz w:val="24"/>
                <w:szCs w:val="24"/>
              </w:rPr>
            </w:pPr>
            <w:r w:rsidRPr="0042750D">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603523A2" w14:textId="77777777" w:rsidR="002428F2" w:rsidRPr="0042750D" w:rsidRDefault="002428F2" w:rsidP="00EC1090">
            <w:pPr>
              <w:pStyle w:val="Tabletext"/>
              <w:jc w:val="center"/>
              <w:rPr>
                <w:b/>
                <w:bCs/>
                <w:sz w:val="24"/>
                <w:szCs w:val="24"/>
              </w:rPr>
            </w:pPr>
          </w:p>
        </w:tc>
      </w:tr>
      <w:tr w:rsidR="002428F2" w:rsidRPr="0042750D" w14:paraId="140D7E5B" w14:textId="77777777" w:rsidTr="004D03C1">
        <w:trPr>
          <w:cantSplit/>
          <w:jc w:val="center"/>
        </w:trPr>
        <w:tc>
          <w:tcPr>
            <w:tcW w:w="912" w:type="dxa"/>
            <w:vMerge/>
            <w:tcBorders>
              <w:left w:val="single" w:sz="12" w:space="0" w:color="auto"/>
              <w:bottom w:val="single" w:sz="12" w:space="0" w:color="auto"/>
              <w:right w:val="single" w:sz="4" w:space="0" w:color="auto"/>
            </w:tcBorders>
            <w:shd w:val="clear" w:color="auto" w:fill="auto"/>
          </w:tcPr>
          <w:p w14:paraId="319A18CB" w14:textId="77777777" w:rsidR="002428F2" w:rsidRPr="0042750D"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54CE93EB" w14:textId="476AF8AB" w:rsidR="002428F2" w:rsidRPr="0042750D" w:rsidRDefault="0085152F" w:rsidP="002428F2">
            <w:pPr>
              <w:pStyle w:val="Tabletext"/>
              <w:rPr>
                <w:bCs/>
                <w:szCs w:val="22"/>
              </w:rPr>
            </w:pPr>
            <w:r w:rsidRPr="0042750D">
              <w:rPr>
                <w:bCs/>
                <w:szCs w:val="22"/>
              </w:rPr>
              <w:t>TSB works closely with regional organizations on a regular basis.</w:t>
            </w:r>
          </w:p>
        </w:tc>
      </w:tr>
      <w:tr w:rsidR="002428F2" w:rsidRPr="0042750D" w14:paraId="588F23AB" w14:textId="77777777" w:rsidTr="004D03C1">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3B5AE898" w14:textId="034F1D08" w:rsidR="002428F2" w:rsidRPr="0042750D" w:rsidRDefault="002428F2" w:rsidP="00325724">
            <w:pPr>
              <w:pStyle w:val="Tabletext"/>
              <w:rPr>
                <w:b/>
                <w:bCs/>
                <w:sz w:val="24"/>
                <w:szCs w:val="24"/>
              </w:rPr>
            </w:pPr>
            <w:r w:rsidRPr="0042750D">
              <w:rPr>
                <w:b/>
                <w:bCs/>
                <w:sz w:val="24"/>
                <w:szCs w:val="24"/>
              </w:rPr>
              <w:t>123-08</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763FFEDF" w14:textId="5A482B9E" w:rsidR="002428F2" w:rsidRPr="0042750D" w:rsidRDefault="002428F2" w:rsidP="00EC1090">
            <w:pPr>
              <w:pStyle w:val="Tabletext"/>
              <w:rPr>
                <w:b/>
                <w:bCs/>
                <w:sz w:val="24"/>
                <w:szCs w:val="24"/>
              </w:rPr>
            </w:pPr>
            <w:r w:rsidRPr="0042750D">
              <w:rPr>
                <w:b/>
                <w:bCs/>
                <w:sz w:val="24"/>
                <w:szCs w:val="24"/>
              </w:rPr>
              <w:t>TSBDir to promote equal access to ITU electronic meetings</w:t>
            </w:r>
            <w:r w:rsidR="00845DDC" w:rsidRPr="0042750D">
              <w:rPr>
                <w:b/>
                <w:bCs/>
                <w:sz w:val="24"/>
                <w:szCs w:val="24"/>
              </w:rPr>
              <w:t xml:space="preserve"> (</w:t>
            </w:r>
            <w:r w:rsidR="00845DDC" w:rsidRPr="0042750D">
              <w:rPr>
                <w:b/>
                <w:bCs/>
                <w:i/>
                <w:sz w:val="24"/>
                <w:szCs w:val="24"/>
              </w:rPr>
              <w:t>resolves 8</w:t>
            </w:r>
            <w:r w:rsidR="00845DDC" w:rsidRPr="0042750D">
              <w:rPr>
                <w:b/>
                <w:bCs/>
                <w:sz w:val="24"/>
                <w:szCs w:val="24"/>
              </w:rPr>
              <w:t>)</w:t>
            </w:r>
            <w:r w:rsidRPr="0042750D">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1021AD8C" w14:textId="77777777" w:rsidR="002428F2" w:rsidRPr="0042750D" w:rsidRDefault="002428F2" w:rsidP="00EC1090">
            <w:pPr>
              <w:pStyle w:val="Tabletext"/>
              <w:jc w:val="center"/>
              <w:rPr>
                <w:b/>
                <w:bCs/>
                <w:sz w:val="24"/>
                <w:szCs w:val="24"/>
              </w:rPr>
            </w:pPr>
            <w:r w:rsidRPr="0042750D">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770B8323" w14:textId="3EF4B8BE" w:rsidR="002428F2" w:rsidRPr="0042750D" w:rsidRDefault="008E47ED" w:rsidP="00EC1090">
            <w:pPr>
              <w:pStyle w:val="Tabletext"/>
              <w:jc w:val="center"/>
              <w:rPr>
                <w:b/>
                <w:bCs/>
                <w:sz w:val="24"/>
                <w:szCs w:val="24"/>
              </w:rPr>
            </w:pPr>
            <w:r w:rsidRPr="0042750D">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0FB2C729" w14:textId="77777777" w:rsidR="002428F2" w:rsidRPr="0042750D" w:rsidRDefault="002428F2" w:rsidP="00EC1090">
            <w:pPr>
              <w:pStyle w:val="Tabletext"/>
              <w:jc w:val="center"/>
              <w:rPr>
                <w:b/>
                <w:bCs/>
                <w:sz w:val="24"/>
                <w:szCs w:val="24"/>
              </w:rPr>
            </w:pPr>
          </w:p>
        </w:tc>
      </w:tr>
      <w:tr w:rsidR="002428F2" w:rsidRPr="0042750D" w14:paraId="4C5D7A55" w14:textId="77777777" w:rsidTr="004D03C1">
        <w:trPr>
          <w:cantSplit/>
          <w:jc w:val="center"/>
        </w:trPr>
        <w:tc>
          <w:tcPr>
            <w:tcW w:w="912" w:type="dxa"/>
            <w:vMerge/>
            <w:tcBorders>
              <w:left w:val="single" w:sz="12" w:space="0" w:color="auto"/>
              <w:bottom w:val="single" w:sz="12" w:space="0" w:color="auto"/>
              <w:right w:val="single" w:sz="4" w:space="0" w:color="auto"/>
            </w:tcBorders>
            <w:shd w:val="clear" w:color="auto" w:fill="auto"/>
          </w:tcPr>
          <w:p w14:paraId="3DE3D763" w14:textId="77777777" w:rsidR="002428F2" w:rsidRPr="0042750D"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18FA10A6" w14:textId="1B20ED20" w:rsidR="002428F2" w:rsidRPr="0042750D" w:rsidRDefault="008E47ED" w:rsidP="002428F2">
            <w:pPr>
              <w:pStyle w:val="Tabletext"/>
              <w:rPr>
                <w:bCs/>
                <w:szCs w:val="22"/>
              </w:rPr>
            </w:pPr>
            <w:r w:rsidRPr="0042750D">
              <w:rPr>
                <w:bCs/>
                <w:szCs w:val="22"/>
              </w:rPr>
              <w:t>TSB works towards the enhancement and the equal access to ITU electronic meetings, as well as tools and services that serve the purpose of equal access.</w:t>
            </w:r>
          </w:p>
        </w:tc>
      </w:tr>
      <w:tr w:rsidR="002428F2" w:rsidRPr="0042750D" w14:paraId="3ADB256C" w14:textId="77777777" w:rsidTr="004D03C1">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5DC100CE" w14:textId="5DF16C7B" w:rsidR="002428F2" w:rsidRPr="0042750D" w:rsidRDefault="002428F2" w:rsidP="00325724">
            <w:pPr>
              <w:pStyle w:val="Tabletext"/>
              <w:rPr>
                <w:b/>
                <w:bCs/>
                <w:sz w:val="24"/>
                <w:szCs w:val="24"/>
              </w:rPr>
            </w:pPr>
            <w:r w:rsidRPr="0042750D">
              <w:rPr>
                <w:b/>
                <w:bCs/>
                <w:sz w:val="24"/>
                <w:szCs w:val="24"/>
              </w:rPr>
              <w:t>123-09</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7BB6275F" w14:textId="7290A194" w:rsidR="002428F2" w:rsidRPr="0042750D" w:rsidRDefault="002428F2" w:rsidP="00EC1090">
            <w:pPr>
              <w:pStyle w:val="Tabletext"/>
              <w:rPr>
                <w:b/>
                <w:bCs/>
                <w:sz w:val="24"/>
                <w:szCs w:val="24"/>
              </w:rPr>
            </w:pPr>
            <w:r w:rsidRPr="0042750D">
              <w:rPr>
                <w:b/>
                <w:bCs/>
                <w:sz w:val="24"/>
                <w:szCs w:val="24"/>
              </w:rPr>
              <w:t>TSBDir to promote the timely development of guidelines for developing countries on the basis of ITU-T recommendations</w:t>
            </w:r>
            <w:r w:rsidR="00845DDC" w:rsidRPr="0042750D">
              <w:rPr>
                <w:b/>
                <w:bCs/>
                <w:sz w:val="24"/>
                <w:szCs w:val="24"/>
              </w:rPr>
              <w:t xml:space="preserve"> (</w:t>
            </w:r>
            <w:r w:rsidR="00845DDC" w:rsidRPr="0042750D">
              <w:rPr>
                <w:b/>
                <w:bCs/>
                <w:i/>
                <w:sz w:val="24"/>
                <w:szCs w:val="24"/>
              </w:rPr>
              <w:t>resolves 9</w:t>
            </w:r>
            <w:r w:rsidR="00845DDC" w:rsidRPr="0042750D">
              <w:rPr>
                <w:b/>
                <w:bCs/>
                <w:sz w:val="24"/>
                <w:szCs w:val="24"/>
              </w:rPr>
              <w:t>)</w:t>
            </w:r>
            <w:r w:rsidRPr="0042750D">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16115EA7" w14:textId="77777777" w:rsidR="002428F2" w:rsidRPr="0042750D" w:rsidRDefault="002428F2" w:rsidP="00EC1090">
            <w:pPr>
              <w:pStyle w:val="Tabletext"/>
              <w:jc w:val="center"/>
              <w:rPr>
                <w:b/>
                <w:bCs/>
                <w:sz w:val="24"/>
                <w:szCs w:val="24"/>
              </w:rPr>
            </w:pPr>
            <w:r w:rsidRPr="0042750D">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3368D8F4" w14:textId="1A189625" w:rsidR="002428F2" w:rsidRPr="0042750D" w:rsidRDefault="003A58DD" w:rsidP="00EC1090">
            <w:pPr>
              <w:pStyle w:val="Tabletext"/>
              <w:jc w:val="center"/>
              <w:rPr>
                <w:b/>
                <w:bCs/>
                <w:sz w:val="24"/>
                <w:szCs w:val="24"/>
              </w:rPr>
            </w:pPr>
            <w:r w:rsidRPr="0042750D">
              <w:rPr>
                <w:b/>
                <w:bCs/>
                <w:sz w:val="24"/>
                <w:szCs w:val="24"/>
              </w:rPr>
              <w:t>√</w:t>
            </w: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5857C987" w14:textId="77777777" w:rsidR="002428F2" w:rsidRPr="0042750D" w:rsidRDefault="002428F2" w:rsidP="00EC1090">
            <w:pPr>
              <w:pStyle w:val="Tabletext"/>
              <w:jc w:val="center"/>
              <w:rPr>
                <w:b/>
                <w:bCs/>
                <w:sz w:val="24"/>
                <w:szCs w:val="24"/>
              </w:rPr>
            </w:pPr>
          </w:p>
        </w:tc>
      </w:tr>
      <w:tr w:rsidR="002428F2" w:rsidRPr="0042750D" w14:paraId="1439CFF8" w14:textId="77777777" w:rsidTr="004D03C1">
        <w:trPr>
          <w:cantSplit/>
          <w:jc w:val="center"/>
        </w:trPr>
        <w:tc>
          <w:tcPr>
            <w:tcW w:w="912" w:type="dxa"/>
            <w:vMerge/>
            <w:tcBorders>
              <w:left w:val="single" w:sz="12" w:space="0" w:color="auto"/>
              <w:bottom w:val="single" w:sz="12" w:space="0" w:color="auto"/>
              <w:right w:val="single" w:sz="4" w:space="0" w:color="auto"/>
            </w:tcBorders>
            <w:shd w:val="clear" w:color="auto" w:fill="auto"/>
          </w:tcPr>
          <w:p w14:paraId="57B13114" w14:textId="77777777" w:rsidR="002428F2" w:rsidRPr="0042750D" w:rsidRDefault="002428F2" w:rsidP="00325724">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492E6732" w14:textId="4813B3A4" w:rsidR="002428F2" w:rsidRPr="0042750D" w:rsidRDefault="003A58DD" w:rsidP="002428F2">
            <w:pPr>
              <w:pStyle w:val="Tabletext"/>
              <w:rPr>
                <w:bCs/>
                <w:sz w:val="24"/>
                <w:szCs w:val="24"/>
              </w:rPr>
            </w:pPr>
            <w:r w:rsidRPr="0042750D">
              <w:t>In implementing the decision of the July 2016 meeting of TSAG (C.108/TSAG), an ad-hoc group under ITU-T Study Group 13 created in February 2017 developed guidance for drafting ITU-T Recommendations. The last meeting of this Ad-hoc took place during the Study Group 13 meeting in Victoria Falls, Zimbabwe, in March 2019. Ad-hoc fulfilled its objectives and delivered the output document "</w:t>
            </w:r>
            <w:r w:rsidRPr="0042750D">
              <w:rPr>
                <w:i/>
                <w:iCs/>
              </w:rPr>
              <w:t>Guidelines and methodologies for developing technical Recommendations</w:t>
            </w:r>
            <w:r w:rsidRPr="0042750D">
              <w:t>" (</w:t>
            </w:r>
            <w:hyperlink r:id="rId44" w:history="1">
              <w:r w:rsidRPr="0042750D">
                <w:rPr>
                  <w:rStyle w:val="Hyperlink"/>
                  <w:rFonts w:eastAsia="Malgun Gothic"/>
                </w:rPr>
                <w:t>SG13-TD172/PLEN</w:t>
              </w:r>
            </w:hyperlink>
            <w:r w:rsidRPr="0042750D">
              <w:t xml:space="preserve">). SG13 agreed to pass over this </w:t>
            </w:r>
            <w:r w:rsidRPr="0042750D">
              <w:rPr>
                <w:i/>
                <w:iCs/>
              </w:rPr>
              <w:t>Guideline document</w:t>
            </w:r>
            <w:r w:rsidRPr="0042750D">
              <w:t xml:space="preserve"> to TSAG for further consideration. Fulfilling this, a liaison statement TSAG was approved as appears in </w:t>
            </w:r>
            <w:hyperlink r:id="rId45" w:history="1">
              <w:r w:rsidRPr="0042750D">
                <w:rPr>
                  <w:rStyle w:val="Hyperlink"/>
                  <w:rFonts w:eastAsia="Malgun Gothic"/>
                </w:rPr>
                <w:t>SG13-TD170-R1/PLEN</w:t>
              </w:r>
            </w:hyperlink>
            <w:r w:rsidRPr="0042750D">
              <w:t xml:space="preserve">. With this, the Ad-hoc group accomplished its activities and was dismissed. The co-conveners Mr Marco Carugi (Huawei) and Mr Wu Tong (China Telecom) were thanked for their leadership and dedication attributed to the development of </w:t>
            </w:r>
            <w:r w:rsidRPr="0042750D">
              <w:rPr>
                <w:i/>
                <w:iCs/>
              </w:rPr>
              <w:t>Guideline document</w:t>
            </w:r>
            <w:r w:rsidRPr="0042750D">
              <w:t xml:space="preserve"> since early 2017.</w:t>
            </w:r>
          </w:p>
        </w:tc>
      </w:tr>
      <w:tr w:rsidR="002428F2" w:rsidRPr="0042750D" w14:paraId="1BBBEA3F" w14:textId="77777777" w:rsidTr="004D03C1">
        <w:trPr>
          <w:cantSplit/>
          <w:jc w:val="center"/>
        </w:trPr>
        <w:tc>
          <w:tcPr>
            <w:tcW w:w="912" w:type="dxa"/>
            <w:vMerge w:val="restart"/>
            <w:tcBorders>
              <w:top w:val="single" w:sz="12" w:space="0" w:color="auto"/>
              <w:left w:val="single" w:sz="12" w:space="0" w:color="auto"/>
              <w:right w:val="single" w:sz="4" w:space="0" w:color="auto"/>
            </w:tcBorders>
            <w:shd w:val="clear" w:color="auto" w:fill="auto"/>
          </w:tcPr>
          <w:p w14:paraId="7EA99E5B" w14:textId="17184171" w:rsidR="002428F2" w:rsidRPr="0042750D" w:rsidRDefault="002428F2" w:rsidP="00EC1090">
            <w:pPr>
              <w:pStyle w:val="Tabletext"/>
              <w:rPr>
                <w:b/>
                <w:bCs/>
                <w:sz w:val="24"/>
                <w:szCs w:val="24"/>
              </w:rPr>
            </w:pPr>
            <w:r w:rsidRPr="0042750D">
              <w:rPr>
                <w:b/>
                <w:bCs/>
                <w:sz w:val="24"/>
                <w:szCs w:val="24"/>
              </w:rPr>
              <w:t>123-10</w:t>
            </w:r>
          </w:p>
        </w:tc>
        <w:tc>
          <w:tcPr>
            <w:tcW w:w="4879" w:type="dxa"/>
            <w:tcBorders>
              <w:top w:val="single" w:sz="12" w:space="0" w:color="auto"/>
              <w:left w:val="single" w:sz="4" w:space="0" w:color="auto"/>
              <w:bottom w:val="single" w:sz="12" w:space="0" w:color="auto"/>
              <w:right w:val="single" w:sz="4" w:space="0" w:color="auto"/>
            </w:tcBorders>
            <w:shd w:val="clear" w:color="auto" w:fill="auto"/>
          </w:tcPr>
          <w:p w14:paraId="789ACC22" w14:textId="6DFCC6BA" w:rsidR="002428F2" w:rsidRPr="0042750D" w:rsidRDefault="002428F2" w:rsidP="00EC1090">
            <w:pPr>
              <w:pStyle w:val="Tabletext"/>
              <w:rPr>
                <w:b/>
                <w:bCs/>
                <w:sz w:val="24"/>
                <w:szCs w:val="24"/>
              </w:rPr>
            </w:pPr>
            <w:r w:rsidRPr="0042750D">
              <w:rPr>
                <w:b/>
                <w:bCs/>
                <w:sz w:val="24"/>
                <w:szCs w:val="24"/>
              </w:rPr>
              <w:t>TSBDir to effectively consolidate all guidelines, recommendations, technical reports, best practices and use cases developed by ITU-T, through the use of ITU web-based tools, and to identify strategies and mechanisms to facilitate and allow Member States to proactively use these tools to hasten the transfer of knowledge</w:t>
            </w:r>
            <w:r w:rsidR="00845DDC" w:rsidRPr="0042750D">
              <w:rPr>
                <w:b/>
                <w:bCs/>
                <w:sz w:val="24"/>
                <w:szCs w:val="24"/>
              </w:rPr>
              <w:t xml:space="preserve"> (</w:t>
            </w:r>
            <w:r w:rsidR="00845DDC" w:rsidRPr="0042750D">
              <w:rPr>
                <w:b/>
                <w:bCs/>
                <w:i/>
                <w:sz w:val="24"/>
                <w:szCs w:val="24"/>
              </w:rPr>
              <w:t>resolves 10</w:t>
            </w:r>
            <w:r w:rsidR="00845DDC" w:rsidRPr="0042750D">
              <w:rPr>
                <w:b/>
                <w:bCs/>
                <w:sz w:val="24"/>
                <w:szCs w:val="24"/>
              </w:rPr>
              <w:t>)</w:t>
            </w:r>
            <w:r w:rsidRPr="0042750D">
              <w:rPr>
                <w:b/>
                <w:bCs/>
                <w:sz w:val="24"/>
                <w:szCs w:val="24"/>
              </w:rPr>
              <w:t>.</w:t>
            </w:r>
          </w:p>
        </w:tc>
        <w:tc>
          <w:tcPr>
            <w:tcW w:w="1620" w:type="dxa"/>
            <w:tcBorders>
              <w:top w:val="single" w:sz="12" w:space="0" w:color="auto"/>
              <w:left w:val="single" w:sz="4" w:space="0" w:color="auto"/>
              <w:bottom w:val="single" w:sz="12" w:space="0" w:color="auto"/>
              <w:right w:val="single" w:sz="4" w:space="0" w:color="auto"/>
            </w:tcBorders>
            <w:shd w:val="clear" w:color="auto" w:fill="auto"/>
            <w:vAlign w:val="center"/>
          </w:tcPr>
          <w:p w14:paraId="65962BA3" w14:textId="77777777" w:rsidR="002428F2" w:rsidRPr="0042750D" w:rsidRDefault="002428F2" w:rsidP="00EC1090">
            <w:pPr>
              <w:pStyle w:val="Tabletext"/>
              <w:jc w:val="center"/>
              <w:rPr>
                <w:b/>
                <w:bCs/>
                <w:sz w:val="24"/>
                <w:szCs w:val="24"/>
              </w:rPr>
            </w:pPr>
            <w:r w:rsidRPr="0042750D">
              <w:rPr>
                <w:b/>
                <w:bCs/>
                <w:sz w:val="24"/>
                <w:szCs w:val="24"/>
              </w:rPr>
              <w:t>Ongoing</w:t>
            </w:r>
          </w:p>
        </w:tc>
        <w:tc>
          <w:tcPr>
            <w:tcW w:w="1170" w:type="dxa"/>
            <w:tcBorders>
              <w:top w:val="single" w:sz="12" w:space="0" w:color="auto"/>
              <w:left w:val="single" w:sz="4" w:space="0" w:color="auto"/>
              <w:bottom w:val="single" w:sz="12" w:space="0" w:color="auto"/>
              <w:right w:val="single" w:sz="4" w:space="0" w:color="auto"/>
            </w:tcBorders>
            <w:shd w:val="clear" w:color="auto" w:fill="auto"/>
            <w:vAlign w:val="center"/>
          </w:tcPr>
          <w:p w14:paraId="4D14ECA6" w14:textId="77777777" w:rsidR="002428F2" w:rsidRPr="0042750D" w:rsidRDefault="002428F2" w:rsidP="00EC1090">
            <w:pPr>
              <w:pStyle w:val="Tabletext"/>
              <w:jc w:val="center"/>
              <w:rPr>
                <w:b/>
                <w:bCs/>
                <w:sz w:val="24"/>
                <w:szCs w:val="24"/>
              </w:rPr>
            </w:pPr>
          </w:p>
        </w:tc>
        <w:tc>
          <w:tcPr>
            <w:tcW w:w="1469" w:type="dxa"/>
            <w:tcBorders>
              <w:top w:val="single" w:sz="12" w:space="0" w:color="auto"/>
              <w:left w:val="single" w:sz="4" w:space="0" w:color="auto"/>
              <w:bottom w:val="single" w:sz="12" w:space="0" w:color="auto"/>
              <w:right w:val="single" w:sz="12" w:space="0" w:color="auto"/>
            </w:tcBorders>
            <w:shd w:val="clear" w:color="auto" w:fill="auto"/>
            <w:vAlign w:val="center"/>
          </w:tcPr>
          <w:p w14:paraId="36C76D61" w14:textId="77777777" w:rsidR="002428F2" w:rsidRPr="0042750D" w:rsidRDefault="002428F2" w:rsidP="00EC1090">
            <w:pPr>
              <w:pStyle w:val="Tabletext"/>
              <w:jc w:val="center"/>
              <w:rPr>
                <w:b/>
                <w:bCs/>
                <w:sz w:val="24"/>
                <w:szCs w:val="24"/>
              </w:rPr>
            </w:pPr>
          </w:p>
        </w:tc>
      </w:tr>
      <w:tr w:rsidR="002428F2" w:rsidRPr="0042750D" w14:paraId="26318AF2" w14:textId="77777777" w:rsidTr="00C27278">
        <w:trPr>
          <w:cantSplit/>
          <w:jc w:val="center"/>
        </w:trPr>
        <w:tc>
          <w:tcPr>
            <w:tcW w:w="912" w:type="dxa"/>
            <w:vMerge/>
            <w:tcBorders>
              <w:left w:val="single" w:sz="12" w:space="0" w:color="auto"/>
              <w:bottom w:val="single" w:sz="12" w:space="0" w:color="auto"/>
              <w:right w:val="single" w:sz="4" w:space="0" w:color="auto"/>
            </w:tcBorders>
            <w:shd w:val="clear" w:color="auto" w:fill="auto"/>
          </w:tcPr>
          <w:p w14:paraId="6D01878E" w14:textId="77777777" w:rsidR="002428F2" w:rsidRPr="0042750D" w:rsidRDefault="002428F2" w:rsidP="00EC1090">
            <w:pPr>
              <w:pStyle w:val="Tabletext"/>
              <w:rPr>
                <w:b/>
                <w:bCs/>
                <w:sz w:val="24"/>
                <w:szCs w:val="24"/>
              </w:rPr>
            </w:pPr>
          </w:p>
        </w:tc>
        <w:tc>
          <w:tcPr>
            <w:tcW w:w="9138" w:type="dxa"/>
            <w:gridSpan w:val="4"/>
            <w:tcBorders>
              <w:top w:val="single" w:sz="12" w:space="0" w:color="auto"/>
              <w:left w:val="single" w:sz="4" w:space="0" w:color="auto"/>
              <w:bottom w:val="single" w:sz="12" w:space="0" w:color="auto"/>
              <w:right w:val="single" w:sz="12" w:space="0" w:color="auto"/>
            </w:tcBorders>
            <w:shd w:val="clear" w:color="auto" w:fill="auto"/>
          </w:tcPr>
          <w:p w14:paraId="66FA2A31" w14:textId="77777777" w:rsidR="002428F2" w:rsidRPr="0042750D" w:rsidRDefault="002428F2" w:rsidP="002428F2">
            <w:pPr>
              <w:pStyle w:val="Tabletext"/>
              <w:rPr>
                <w:bCs/>
                <w:szCs w:val="22"/>
              </w:rPr>
            </w:pPr>
          </w:p>
        </w:tc>
      </w:tr>
    </w:tbl>
    <w:p w14:paraId="67DD91F4" w14:textId="77777777" w:rsidR="00F0236A" w:rsidRPr="0042750D" w:rsidRDefault="00DD025B" w:rsidP="00F0236A">
      <w:pPr>
        <w:rPr>
          <w:rStyle w:val="Hyperlink"/>
          <w:sz w:val="24"/>
        </w:rPr>
      </w:pPr>
      <w:hyperlink w:anchor="Top" w:history="1">
        <w:r w:rsidR="00F0236A" w:rsidRPr="0042750D">
          <w:rPr>
            <w:rStyle w:val="Hyperlink"/>
            <w:sz w:val="24"/>
          </w:rPr>
          <w:t>» Top</w:t>
        </w:r>
      </w:hyperlink>
    </w:p>
    <w:p w14:paraId="27085F5A" w14:textId="2C9B4CDA" w:rsidR="00F0236A" w:rsidRPr="0042750D" w:rsidRDefault="00D561F2" w:rsidP="008C7A96">
      <w:pPr>
        <w:pStyle w:val="Heading1"/>
        <w:rPr>
          <w:sz w:val="24"/>
          <w:szCs w:val="24"/>
          <w:lang w:val="en-GB"/>
        </w:rPr>
      </w:pPr>
      <w:bookmarkStart w:id="99" w:name="Resolution_48"/>
      <w:bookmarkStart w:id="100" w:name="_Toc30749160"/>
      <w:bookmarkEnd w:id="99"/>
      <w:r w:rsidRPr="0042750D">
        <w:rPr>
          <w:sz w:val="24"/>
          <w:szCs w:val="24"/>
          <w:lang w:val="en-GB"/>
        </w:rPr>
        <w:t>RESOLUTION 130 (REV. DUBAI, 2018) – Strengthening the role of ITU in building confidence and security in the use of information and communication technologies</w:t>
      </w:r>
      <w:bookmarkEnd w:id="100"/>
    </w:p>
    <w:p w14:paraId="74F552D4" w14:textId="77777777" w:rsidR="00D561F2" w:rsidRPr="0042750D" w:rsidRDefault="00D561F2" w:rsidP="008C7A96">
      <w:pPr>
        <w:pStyle w:val="Call"/>
        <w:keepNext w:val="0"/>
        <w:keepLines w:val="0"/>
        <w:rPr>
          <w:szCs w:val="22"/>
          <w:lang w:val="en-GB"/>
        </w:rPr>
      </w:pPr>
      <w:r w:rsidRPr="0042750D">
        <w:rPr>
          <w:szCs w:val="22"/>
          <w:lang w:val="en-GB"/>
        </w:rPr>
        <w:t>resolves</w:t>
      </w:r>
    </w:p>
    <w:p w14:paraId="01E96FC0" w14:textId="77777777" w:rsidR="00D561F2" w:rsidRPr="0042750D" w:rsidRDefault="00D561F2" w:rsidP="008C7A96">
      <w:pPr>
        <w:rPr>
          <w:szCs w:val="22"/>
        </w:rPr>
      </w:pPr>
      <w:r w:rsidRPr="0042750D">
        <w:rPr>
          <w:szCs w:val="22"/>
        </w:rPr>
        <w:t>1</w:t>
      </w:r>
      <w:r w:rsidRPr="0042750D">
        <w:rPr>
          <w:szCs w:val="22"/>
        </w:rPr>
        <w:tab/>
        <w:t>to continue to give this work high priority within ITU, in accordance with its competences and expertise, including promoting common understanding among governments and other stakeholders of building confidence and security in the use of ICTs at national, regional and international level;</w:t>
      </w:r>
    </w:p>
    <w:p w14:paraId="7370BDE9" w14:textId="77777777" w:rsidR="00D561F2" w:rsidRPr="0042750D" w:rsidRDefault="00D561F2" w:rsidP="00D561F2">
      <w:pPr>
        <w:rPr>
          <w:szCs w:val="22"/>
        </w:rPr>
      </w:pPr>
      <w:r w:rsidRPr="0042750D">
        <w:rPr>
          <w:szCs w:val="22"/>
        </w:rPr>
        <w:t>2</w:t>
      </w:r>
      <w:r w:rsidRPr="0042750D">
        <w:rPr>
          <w:szCs w:val="22"/>
        </w:rPr>
        <w:tab/>
        <w:t xml:space="preserve">to give high priority to the work of ITU described under </w:t>
      </w:r>
      <w:r w:rsidRPr="0042750D">
        <w:rPr>
          <w:i/>
          <w:iCs/>
          <w:szCs w:val="22"/>
        </w:rPr>
        <w:t>bearing in mind</w:t>
      </w:r>
      <w:r w:rsidRPr="0042750D">
        <w:rPr>
          <w:szCs w:val="22"/>
        </w:rPr>
        <w:t xml:space="preserve"> above, in accordance with its competencies and areas of expertise, and to continue to work closely, as appropriate, with other relevant bodies/agencies within the United Nations and other relevant international bodies, taking into account the specific mandates and areas of expertise of the different agencies, while being mindful of the need to avoid duplicating work between organizations and among the Bureaux or the General Secretariat;</w:t>
      </w:r>
    </w:p>
    <w:p w14:paraId="7AE8CE4C" w14:textId="77777777" w:rsidR="00D561F2" w:rsidRPr="0042750D" w:rsidRDefault="00D561F2" w:rsidP="00D561F2">
      <w:pPr>
        <w:rPr>
          <w:szCs w:val="22"/>
        </w:rPr>
      </w:pPr>
      <w:r w:rsidRPr="0042750D">
        <w:rPr>
          <w:szCs w:val="22"/>
        </w:rPr>
        <w:t>3</w:t>
      </w:r>
      <w:r w:rsidRPr="0042750D">
        <w:rPr>
          <w:szCs w:val="22"/>
        </w:rPr>
        <w:tab/>
        <w:t>that ITU shall focus resources and programmes on those national, regional and international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vulnerabilities in the ICT infrastructure, nor from providing all the assistance that was agreed upon at WTDC</w:t>
      </w:r>
      <w:r w:rsidRPr="0042750D">
        <w:rPr>
          <w:szCs w:val="22"/>
        </w:rPr>
        <w:noBreakHyphen/>
        <w:t>17, including Objective 2 and in activities under Question 3/2;</w:t>
      </w:r>
    </w:p>
    <w:p w14:paraId="503F2A4D" w14:textId="77777777" w:rsidR="00D561F2" w:rsidRPr="0042750D" w:rsidRDefault="00D561F2" w:rsidP="00D561F2">
      <w:pPr>
        <w:rPr>
          <w:szCs w:val="22"/>
        </w:rPr>
      </w:pPr>
      <w:r w:rsidRPr="0042750D">
        <w:rPr>
          <w:szCs w:val="22"/>
        </w:rPr>
        <w:t>4</w:t>
      </w:r>
      <w:r w:rsidRPr="0042750D">
        <w:rPr>
          <w:szCs w:val="22"/>
        </w:rPr>
        <w:tab/>
        <w:t>to promote a culture in which security is seen as a continuous and iterative process, built into products from the beginning and continuing throughout their lifetime, and is accessible and understandable for users;</w:t>
      </w:r>
    </w:p>
    <w:p w14:paraId="2246AD02" w14:textId="77777777" w:rsidR="00D561F2" w:rsidRPr="0042750D" w:rsidRDefault="00D561F2" w:rsidP="00D561F2">
      <w:pPr>
        <w:rPr>
          <w:szCs w:val="22"/>
        </w:rPr>
      </w:pPr>
      <w:r w:rsidRPr="0042750D">
        <w:rPr>
          <w:szCs w:val="22"/>
        </w:rPr>
        <w:t>5</w:t>
      </w:r>
      <w:r w:rsidRPr="0042750D">
        <w:rPr>
          <w:szCs w:val="22"/>
        </w:rPr>
        <w:tab/>
        <w:t>to promote greater awareness among ITU members on the activities carried out within ITU and other relevant entities involved in strengthening cybersecurity, including on capacity building, and also to raise awareness among such entities of the particular challenges faced by developing countries in building confidence and security in the use of ICTs;</w:t>
      </w:r>
    </w:p>
    <w:p w14:paraId="0C67E1D3" w14:textId="77777777" w:rsidR="00D561F2" w:rsidRPr="0042750D" w:rsidRDefault="00D561F2" w:rsidP="00D561F2">
      <w:pPr>
        <w:rPr>
          <w:szCs w:val="22"/>
        </w:rPr>
      </w:pPr>
      <w:r w:rsidRPr="0042750D">
        <w:rPr>
          <w:szCs w:val="22"/>
        </w:rPr>
        <w:t>6</w:t>
      </w:r>
      <w:r w:rsidRPr="0042750D">
        <w:rPr>
          <w:szCs w:val="22"/>
        </w:rPr>
        <w:tab/>
        <w:t>to contribute to further strengthening the trust and security framework, consistent with ITU's role as lead facilitator of WSIS Action Line C5, taking into account Resolution 140 (Rev. Dubai, 2018);</w:t>
      </w:r>
    </w:p>
    <w:p w14:paraId="084F02B2" w14:textId="0B503E56" w:rsidR="00D561F2" w:rsidRPr="0042750D" w:rsidRDefault="00D561F2" w:rsidP="00D561F2">
      <w:pPr>
        <w:rPr>
          <w:szCs w:val="22"/>
        </w:rPr>
      </w:pPr>
      <w:r w:rsidRPr="0042750D">
        <w:rPr>
          <w:szCs w:val="22"/>
        </w:rPr>
        <w:t>7</w:t>
      </w:r>
      <w:r w:rsidRPr="0042750D">
        <w:rPr>
          <w:szCs w:val="22"/>
        </w:rPr>
        <w:tab/>
        <w:t>to continue to maintain, in building upon the information base associated with the "</w:t>
      </w:r>
      <w:r w:rsidRPr="0042750D">
        <w:rPr>
          <w:iCs/>
          <w:szCs w:val="22"/>
        </w:rPr>
        <w:t>ICT Security Standards Roadmap</w:t>
      </w:r>
      <w:r w:rsidRPr="0042750D">
        <w:rPr>
          <w:szCs w:val="22"/>
        </w:rPr>
        <w:t>" and ITU</w:t>
      </w:r>
      <w:r w:rsidRPr="0042750D">
        <w:rPr>
          <w:szCs w:val="22"/>
        </w:rPr>
        <w:noBreakHyphen/>
        <w:t>D's efforts on cybersecurity, and with the assistance of other relevant organizations, an inventory of national, regional and international initiatives and activities to promote the development of common approaches in the fi</w:t>
      </w:r>
      <w:r w:rsidR="00D25C4B" w:rsidRPr="0042750D">
        <w:rPr>
          <w:szCs w:val="22"/>
        </w:rPr>
        <w:t>eld of cybersecurity;</w:t>
      </w:r>
    </w:p>
    <w:p w14:paraId="5A270C20" w14:textId="77777777" w:rsidR="00D561F2" w:rsidRPr="0042750D" w:rsidRDefault="00D561F2" w:rsidP="00D561F2">
      <w:pPr>
        <w:rPr>
          <w:szCs w:val="22"/>
        </w:rPr>
      </w:pPr>
      <w:r w:rsidRPr="0042750D">
        <w:rPr>
          <w:szCs w:val="22"/>
        </w:rPr>
        <w:t>8</w:t>
      </w:r>
      <w:r w:rsidRPr="0042750D">
        <w:rPr>
          <w:szCs w:val="22"/>
        </w:rPr>
        <w:tab/>
        <w:t>to develop case studies on cybersecurity-related institutional arrangements in cooperation with the membership and relevant organizations;</w:t>
      </w:r>
    </w:p>
    <w:p w14:paraId="270920F0" w14:textId="2FB8B147" w:rsidR="00D561F2" w:rsidRPr="0042750D" w:rsidRDefault="00D561F2" w:rsidP="00D561F2">
      <w:pPr>
        <w:rPr>
          <w:szCs w:val="22"/>
        </w:rPr>
      </w:pPr>
      <w:r w:rsidRPr="0042750D">
        <w:rPr>
          <w:szCs w:val="22"/>
        </w:rPr>
        <w:t>9</w:t>
      </w:r>
      <w:r w:rsidRPr="0042750D">
        <w:rPr>
          <w:szCs w:val="22"/>
        </w:rPr>
        <w:tab/>
        <w:t>to consider the specific cybersecurity challenges faced by SMEs and incorporate those considerations into ITU's activities in the area of building confidence a</w:t>
      </w:r>
      <w:r w:rsidR="00D25C4B" w:rsidRPr="0042750D">
        <w:rPr>
          <w:szCs w:val="22"/>
        </w:rPr>
        <w:t>nd security in the use of ICTs;</w:t>
      </w:r>
    </w:p>
    <w:p w14:paraId="24414D96" w14:textId="77777777" w:rsidR="00D561F2" w:rsidRPr="0042750D" w:rsidRDefault="00D561F2" w:rsidP="00D561F2">
      <w:pPr>
        <w:rPr>
          <w:szCs w:val="22"/>
        </w:rPr>
      </w:pPr>
      <w:r w:rsidRPr="0042750D">
        <w:rPr>
          <w:szCs w:val="22"/>
        </w:rPr>
        <w:t>10</w:t>
      </w:r>
      <w:r w:rsidRPr="0042750D">
        <w:rPr>
          <w:szCs w:val="22"/>
        </w:rPr>
        <w:tab/>
        <w:t>to take into account the impact of the deployment of emerging technologies on cybersecurity, and incorporate this consideration in ITU's activities in the area of building confidence and security in the use of ICTs;</w:t>
      </w:r>
    </w:p>
    <w:p w14:paraId="784A4862" w14:textId="77777777" w:rsidR="00D561F2" w:rsidRPr="0042750D" w:rsidRDefault="00D561F2" w:rsidP="00D561F2">
      <w:pPr>
        <w:rPr>
          <w:szCs w:val="22"/>
        </w:rPr>
      </w:pPr>
      <w:r w:rsidRPr="0042750D">
        <w:rPr>
          <w:szCs w:val="22"/>
        </w:rPr>
        <w:t>11</w:t>
      </w:r>
      <w:r w:rsidRPr="0042750D">
        <w:rPr>
          <w:szCs w:val="22"/>
        </w:rPr>
        <w:tab/>
        <w:t>to support the development of infrastructure which underpins the ongoing digital transformation of the global economy by building confidence and security in the use of ICTs, in particular in dealing with existing and future threats, within the mandate of ITU;</w:t>
      </w:r>
    </w:p>
    <w:p w14:paraId="54C7D016" w14:textId="77777777" w:rsidR="00D561F2" w:rsidRPr="0042750D" w:rsidRDefault="00D561F2" w:rsidP="00D561F2">
      <w:pPr>
        <w:rPr>
          <w:szCs w:val="22"/>
        </w:rPr>
      </w:pPr>
      <w:r w:rsidRPr="0042750D">
        <w:rPr>
          <w:szCs w:val="22"/>
        </w:rPr>
        <w:t>12</w:t>
      </w:r>
      <w:r w:rsidRPr="0042750D">
        <w:rPr>
          <w:szCs w:val="22"/>
        </w:rPr>
        <w:tab/>
        <w:t>to utilize the GCA framework in order to further guide the work of the Union on efforts to build confidence and security in the use of ICTs,</w:t>
      </w:r>
    </w:p>
    <w:p w14:paraId="1B6D78E1" w14:textId="77777777" w:rsidR="00D561F2" w:rsidRPr="0042750D" w:rsidRDefault="00D561F2" w:rsidP="00D561F2">
      <w:pPr>
        <w:pStyle w:val="Call"/>
        <w:rPr>
          <w:szCs w:val="22"/>
          <w:lang w:val="en-GB"/>
        </w:rPr>
      </w:pPr>
      <w:r w:rsidRPr="0042750D">
        <w:rPr>
          <w:szCs w:val="22"/>
          <w:lang w:val="en-GB"/>
        </w:rPr>
        <w:t>instructs the Secretary-General and the Directors of the Bureaux</w:t>
      </w:r>
    </w:p>
    <w:p w14:paraId="51C31DBD" w14:textId="2E6D108A" w:rsidR="00D561F2" w:rsidRPr="0042750D" w:rsidRDefault="00D561F2" w:rsidP="00D561F2">
      <w:pPr>
        <w:rPr>
          <w:szCs w:val="22"/>
        </w:rPr>
      </w:pPr>
      <w:r w:rsidRPr="0042750D">
        <w:rPr>
          <w:szCs w:val="22"/>
        </w:rPr>
        <w:t>1</w:t>
      </w:r>
      <w:r w:rsidRPr="0042750D">
        <w:rPr>
          <w:szCs w:val="22"/>
        </w:rPr>
        <w:tab/>
        <w:t>to co</w:t>
      </w:r>
      <w:r w:rsidR="00D25C4B" w:rsidRPr="0042750D">
        <w:rPr>
          <w:szCs w:val="22"/>
        </w:rPr>
        <w:t>ntinue to review:</w:t>
      </w:r>
    </w:p>
    <w:p w14:paraId="4558B8DF" w14:textId="44BCAD97" w:rsidR="00D561F2" w:rsidRPr="0042750D" w:rsidRDefault="00D561F2" w:rsidP="00D561F2">
      <w:pPr>
        <w:pStyle w:val="enumlev10"/>
        <w:rPr>
          <w:szCs w:val="22"/>
        </w:rPr>
      </w:pPr>
      <w:r w:rsidRPr="0042750D">
        <w:rPr>
          <w:szCs w:val="22"/>
        </w:rPr>
        <w:t>i)</w:t>
      </w:r>
      <w:r w:rsidRPr="0042750D">
        <w:rPr>
          <w:szCs w:val="22"/>
        </w:rPr>
        <w:tab/>
        <w:t>the work done so far in the three Sectors, under the GCA and in other relevant organizations and initiatives to address and strengthen protection against existing and future threats in order to build confidence and security in the use</w:t>
      </w:r>
      <w:r w:rsidR="00D25C4B" w:rsidRPr="0042750D">
        <w:rPr>
          <w:szCs w:val="22"/>
        </w:rPr>
        <w:t xml:space="preserve"> of ICTs;</w:t>
      </w:r>
    </w:p>
    <w:p w14:paraId="77B91B59" w14:textId="77777777" w:rsidR="00D561F2" w:rsidRPr="0042750D" w:rsidRDefault="00D561F2" w:rsidP="00D561F2">
      <w:pPr>
        <w:pStyle w:val="enumlev10"/>
        <w:rPr>
          <w:szCs w:val="22"/>
        </w:rPr>
      </w:pPr>
      <w:r w:rsidRPr="0042750D">
        <w:rPr>
          <w:szCs w:val="22"/>
        </w:rPr>
        <w:t>ii)</w:t>
      </w:r>
      <w:r w:rsidRPr="0042750D">
        <w:rPr>
          <w:szCs w:val="22"/>
        </w:rPr>
        <w:tab/>
        <w:t>the progress achieved in the implementation of this resolution, with ITU continuing to play a lead facilitating role as the moderator/facilitator for Action Line C5, with the help of the advisory groups, consistent with the ITU Constitution and the ITU Convention;</w:t>
      </w:r>
    </w:p>
    <w:p w14:paraId="135B2B75" w14:textId="77777777" w:rsidR="00D561F2" w:rsidRPr="0042750D" w:rsidRDefault="00D561F2" w:rsidP="00D561F2">
      <w:pPr>
        <w:pStyle w:val="enumlev10"/>
        <w:rPr>
          <w:szCs w:val="22"/>
        </w:rPr>
      </w:pPr>
      <w:r w:rsidRPr="0042750D">
        <w:rPr>
          <w:szCs w:val="22"/>
        </w:rPr>
        <w:t>iii)</w:t>
      </w:r>
      <w:r w:rsidRPr="0042750D">
        <w:rPr>
          <w:szCs w:val="22"/>
        </w:rPr>
        <w:tab/>
        <w:t>the results of work done so far to support developing countries in particular to build capacity and skills in cybersecurity in order to ensure that ITU is effectively focusing its resources to address development challenges;</w:t>
      </w:r>
    </w:p>
    <w:p w14:paraId="2B9EE060" w14:textId="2483F13F" w:rsidR="00D561F2" w:rsidRPr="0042750D" w:rsidRDefault="00D561F2" w:rsidP="00D561F2">
      <w:pPr>
        <w:rPr>
          <w:szCs w:val="22"/>
        </w:rPr>
      </w:pPr>
      <w:r w:rsidRPr="0042750D">
        <w:rPr>
          <w:szCs w:val="22"/>
        </w:rPr>
        <w:t>2</w:t>
      </w:r>
      <w:r w:rsidRPr="0042750D">
        <w:rPr>
          <w:szCs w:val="22"/>
        </w:rPr>
        <w:tab/>
        <w:t xml:space="preserve">consistent with Resolution 45 (Rev. Dubai,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any information provided by Member States, including information on situations within their own jurisdiction that could affect </w:t>
      </w:r>
      <w:r w:rsidR="00D25C4B" w:rsidRPr="0042750D">
        <w:rPr>
          <w:szCs w:val="22"/>
        </w:rPr>
        <w:t>this cooperation;</w:t>
      </w:r>
    </w:p>
    <w:p w14:paraId="0912978C" w14:textId="77777777" w:rsidR="00D561F2" w:rsidRPr="0042750D" w:rsidRDefault="00D561F2" w:rsidP="00D561F2">
      <w:pPr>
        <w:rPr>
          <w:szCs w:val="22"/>
        </w:rPr>
      </w:pPr>
      <w:r w:rsidRPr="0042750D">
        <w:rPr>
          <w:szCs w:val="22"/>
        </w:rPr>
        <w:t>3</w:t>
      </w:r>
      <w:r w:rsidRPr="0042750D">
        <w:rPr>
          <w:szCs w:val="22"/>
        </w:rPr>
        <w:tab/>
        <w:t xml:space="preserve">consistent with Resolution 45 (Rev. Dubai, 2014), </w:t>
      </w:r>
      <w:r w:rsidRPr="0042750D">
        <w:rPr>
          <w:rFonts w:eastAsiaTheme="minorHAnsi"/>
          <w:szCs w:val="22"/>
        </w:rPr>
        <w:t xml:space="preserve">to </w:t>
      </w:r>
      <w:r w:rsidRPr="0042750D">
        <w:rPr>
          <w:rFonts w:eastAsia="Malgun Gothic"/>
          <w:szCs w:val="22"/>
        </w:rPr>
        <w:t>report on memoranda</w:t>
      </w:r>
      <w:r w:rsidRPr="0042750D">
        <w:rPr>
          <w:rFonts w:eastAsiaTheme="minorHAnsi"/>
          <w:szCs w:val="22"/>
        </w:rPr>
        <w:t xml:space="preserve"> of </w:t>
      </w:r>
      <w:r w:rsidRPr="0042750D">
        <w:rPr>
          <w:rFonts w:eastAsia="Malgun Gothic"/>
          <w:szCs w:val="22"/>
        </w:rPr>
        <w:t>understanding</w:t>
      </w:r>
      <w:r w:rsidRPr="0042750D">
        <w:rPr>
          <w:rFonts w:eastAsiaTheme="minorHAnsi"/>
          <w:szCs w:val="22"/>
        </w:rPr>
        <w:t xml:space="preserve"> (MoU) </w:t>
      </w:r>
      <w:r w:rsidRPr="0042750D">
        <w:rPr>
          <w:rFonts w:eastAsia="Malgun Gothic"/>
          <w:szCs w:val="22"/>
        </w:rPr>
        <w:t>between countries, as well as existing forms of cooperation, providing</w:t>
      </w:r>
      <w:r w:rsidRPr="0042750D">
        <w:rPr>
          <w:rFonts w:eastAsiaTheme="minorHAnsi"/>
          <w:szCs w:val="22"/>
        </w:rPr>
        <w:t xml:space="preserve"> analysis of </w:t>
      </w:r>
      <w:r w:rsidRPr="0042750D">
        <w:rPr>
          <w:rFonts w:eastAsia="Malgun Gothic"/>
          <w:szCs w:val="22"/>
        </w:rPr>
        <w:t>their status,</w:t>
      </w:r>
      <w:r w:rsidRPr="0042750D">
        <w:rPr>
          <w:rFonts w:eastAsiaTheme="minorHAnsi"/>
          <w:szCs w:val="22"/>
        </w:rPr>
        <w:t xml:space="preserve"> scope </w:t>
      </w:r>
      <w:r w:rsidRPr="0042750D">
        <w:rPr>
          <w:rFonts w:eastAsia="Malgun Gothic"/>
          <w:szCs w:val="22"/>
        </w:rPr>
        <w:t>and how these cooperative mechanisms</w:t>
      </w:r>
      <w:r w:rsidRPr="0042750D">
        <w:rPr>
          <w:rFonts w:eastAsiaTheme="minorHAnsi"/>
          <w:szCs w:val="22"/>
        </w:rPr>
        <w:t xml:space="preserve"> can be applied to strengthen cybersecurity and combat cyberthreats, </w:t>
      </w:r>
      <w:r w:rsidRPr="0042750D">
        <w:rPr>
          <w:rFonts w:eastAsia="Malgun Gothic"/>
          <w:szCs w:val="22"/>
        </w:rPr>
        <w:t>with a view to enabling Member States</w:t>
      </w:r>
      <w:r w:rsidRPr="0042750D">
        <w:rPr>
          <w:rFonts w:eastAsiaTheme="minorHAnsi"/>
          <w:szCs w:val="22"/>
        </w:rPr>
        <w:t xml:space="preserve"> to </w:t>
      </w:r>
      <w:r w:rsidRPr="0042750D">
        <w:rPr>
          <w:rFonts w:eastAsia="Malgun Gothic"/>
          <w:szCs w:val="22"/>
        </w:rPr>
        <w:t>identify whether additional memoranda or mechanisms are required;</w:t>
      </w:r>
    </w:p>
    <w:p w14:paraId="294C9314" w14:textId="77777777" w:rsidR="00D561F2" w:rsidRPr="0042750D" w:rsidRDefault="00D561F2" w:rsidP="00D561F2">
      <w:pPr>
        <w:rPr>
          <w:szCs w:val="22"/>
        </w:rPr>
      </w:pPr>
      <w:r w:rsidRPr="0042750D">
        <w:rPr>
          <w:szCs w:val="22"/>
        </w:rPr>
        <w:t>4</w:t>
      </w:r>
      <w:r w:rsidRPr="0042750D">
        <w:rPr>
          <w:szCs w:val="22"/>
        </w:rPr>
        <w:tab/>
        <w:t xml:space="preserve">to raise awareness on the activities carried out within ITU and other relevant entities involved in strengthening cybersecurity, including on capacity building, and of the particular challenges faced by developing countries in building confidence and security in the use of ICTs, consistent with </w:t>
      </w:r>
      <w:r w:rsidRPr="0042750D">
        <w:rPr>
          <w:i/>
          <w:szCs w:val="22"/>
        </w:rPr>
        <w:t>resolves</w:t>
      </w:r>
      <w:r w:rsidRPr="0042750D">
        <w:rPr>
          <w:iCs/>
          <w:szCs w:val="22"/>
        </w:rPr>
        <w:t> 5</w:t>
      </w:r>
      <w:r w:rsidRPr="0042750D">
        <w:rPr>
          <w:szCs w:val="22"/>
        </w:rPr>
        <w:t>;</w:t>
      </w:r>
    </w:p>
    <w:p w14:paraId="79B32919" w14:textId="77777777" w:rsidR="00D561F2" w:rsidRPr="0042750D" w:rsidRDefault="00D561F2" w:rsidP="00D561F2">
      <w:pPr>
        <w:rPr>
          <w:szCs w:val="22"/>
        </w:rPr>
      </w:pPr>
      <w:r w:rsidRPr="0042750D">
        <w:rPr>
          <w:szCs w:val="22"/>
        </w:rPr>
        <w:t>5</w:t>
      </w:r>
      <w:r w:rsidRPr="0042750D">
        <w:rPr>
          <w:szCs w:val="22"/>
        </w:rPr>
        <w:tab/>
        <w:t>to facilitate access to tools and resources, within the available budget, required for enhancing confidence and security in the use of ICTs for all Member States, consistent with WSIS provisions on universal and non-discriminatory access to ICTs for all nations;</w:t>
      </w:r>
    </w:p>
    <w:p w14:paraId="693CA52E" w14:textId="77777777" w:rsidR="00D561F2" w:rsidRPr="0042750D" w:rsidRDefault="00D561F2" w:rsidP="00D561F2">
      <w:pPr>
        <w:rPr>
          <w:szCs w:val="22"/>
        </w:rPr>
      </w:pPr>
      <w:r w:rsidRPr="0042750D">
        <w:rPr>
          <w:szCs w:val="22"/>
        </w:rPr>
        <w:t>6</w:t>
      </w:r>
      <w:r w:rsidRPr="0042750D">
        <w:rPr>
          <w:szCs w:val="22"/>
        </w:rPr>
        <w:tab/>
        <w:t>to continue knowledge and information sharing of existing and future national, regional and international cybersecurity-related initiatives worldwide through the ITU cybersecurity webpage, and encourage all stakeholders to contribute to these activities, taking into account existing portals;</w:t>
      </w:r>
    </w:p>
    <w:p w14:paraId="5699D4B7" w14:textId="77777777" w:rsidR="00D561F2" w:rsidRPr="0042750D" w:rsidRDefault="00D561F2" w:rsidP="00D561F2">
      <w:pPr>
        <w:rPr>
          <w:szCs w:val="22"/>
        </w:rPr>
      </w:pPr>
      <w:r w:rsidRPr="0042750D">
        <w:rPr>
          <w:szCs w:val="22"/>
        </w:rPr>
        <w:t>7</w:t>
      </w:r>
      <w:r w:rsidRPr="0042750D">
        <w:rPr>
          <w:szCs w:val="22"/>
        </w:rPr>
        <w:tab/>
        <w:t>to report annually to the Council on these activities and to make proposals as appropriate;</w:t>
      </w:r>
    </w:p>
    <w:p w14:paraId="668245BF" w14:textId="77777777" w:rsidR="00D561F2" w:rsidRPr="0042750D" w:rsidRDefault="00D561F2" w:rsidP="00D561F2">
      <w:pPr>
        <w:rPr>
          <w:szCs w:val="22"/>
        </w:rPr>
      </w:pPr>
      <w:r w:rsidRPr="0042750D">
        <w:rPr>
          <w:szCs w:val="22"/>
        </w:rPr>
        <w:t>8</w:t>
      </w:r>
      <w:r w:rsidRPr="0042750D">
        <w:rPr>
          <w:szCs w:val="22"/>
        </w:rPr>
        <w:tab/>
        <w:t>to further enhance coordination between the study groups and programmes concerned,</w:t>
      </w:r>
    </w:p>
    <w:p w14:paraId="496635ED" w14:textId="77777777" w:rsidR="00D561F2" w:rsidRPr="0042750D" w:rsidRDefault="00D561F2" w:rsidP="00D561F2">
      <w:pPr>
        <w:pStyle w:val="Call"/>
        <w:rPr>
          <w:szCs w:val="22"/>
          <w:lang w:val="en-GB"/>
        </w:rPr>
      </w:pPr>
      <w:r w:rsidRPr="0042750D">
        <w:rPr>
          <w:szCs w:val="22"/>
          <w:lang w:val="en-GB"/>
        </w:rPr>
        <w:t>instructs the Director of the Telecommunication Standardization Bureau</w:t>
      </w:r>
    </w:p>
    <w:p w14:paraId="712FA2D5" w14:textId="77777777" w:rsidR="00D561F2" w:rsidRPr="0042750D" w:rsidRDefault="00D561F2" w:rsidP="00D561F2">
      <w:pPr>
        <w:rPr>
          <w:szCs w:val="22"/>
        </w:rPr>
      </w:pPr>
      <w:r w:rsidRPr="0042750D">
        <w:rPr>
          <w:szCs w:val="22"/>
        </w:rPr>
        <w:t>1</w:t>
      </w:r>
      <w:r w:rsidRPr="0042750D">
        <w:rPr>
          <w:szCs w:val="22"/>
        </w:rPr>
        <w:tab/>
        <w:t>to intensify work within existing ITU</w:t>
      </w:r>
      <w:r w:rsidRPr="0042750D">
        <w:rPr>
          <w:szCs w:val="22"/>
        </w:rPr>
        <w:noBreakHyphen/>
        <w:t>T study groups in order to:</w:t>
      </w:r>
    </w:p>
    <w:p w14:paraId="4B86A822" w14:textId="77777777" w:rsidR="00D561F2" w:rsidRPr="0042750D" w:rsidRDefault="00D561F2" w:rsidP="00D25C4B">
      <w:pPr>
        <w:pStyle w:val="enumlev10"/>
        <w:jc w:val="left"/>
        <w:rPr>
          <w:szCs w:val="22"/>
        </w:rPr>
      </w:pPr>
      <w:r w:rsidRPr="0042750D">
        <w:rPr>
          <w:szCs w:val="22"/>
        </w:rPr>
        <w:t>i)</w:t>
      </w:r>
      <w:r w:rsidRPr="0042750D">
        <w:rPr>
          <w:szCs w:val="22"/>
        </w:rPr>
        <w:tab/>
        <w:t>address existing and future threats and vulnerabilities affecting efforts to build confidence and security in the use of ICTs, taking into account new services and emerging applications based on telecommunication/ICT networks, by developing reports or recommendations, as appropriate, with the goal of implementing WTSA resolutions, particularly Resolutions 50 and 52 (Rev. Hammamet, 2016) and Resolution 58 (Rev. Dubai, 2012), allowing work to begin before a question is approved;</w:t>
      </w:r>
    </w:p>
    <w:p w14:paraId="07ED09C8" w14:textId="77777777" w:rsidR="00D561F2" w:rsidRPr="0042750D" w:rsidRDefault="00D561F2" w:rsidP="00D25C4B">
      <w:pPr>
        <w:pStyle w:val="enumlev10"/>
        <w:jc w:val="left"/>
        <w:rPr>
          <w:szCs w:val="22"/>
        </w:rPr>
      </w:pPr>
      <w:r w:rsidRPr="0042750D">
        <w:rPr>
          <w:szCs w:val="22"/>
        </w:rPr>
        <w:t>ii)</w:t>
      </w:r>
      <w:r w:rsidRPr="0042750D">
        <w:rPr>
          <w:szCs w:val="22"/>
        </w:rPr>
        <w:tab/>
        <w:t>seek ways to enhance the exchange of technical information in these fields, promote the adoption of protocols and standards that enhance security, and promote international cooperation among appropriate entities;</w:t>
      </w:r>
    </w:p>
    <w:p w14:paraId="2B9CE093" w14:textId="77777777" w:rsidR="00D561F2" w:rsidRPr="0042750D" w:rsidRDefault="00D561F2" w:rsidP="00D561F2">
      <w:pPr>
        <w:pStyle w:val="enumlev10"/>
        <w:rPr>
          <w:szCs w:val="22"/>
        </w:rPr>
      </w:pPr>
      <w:r w:rsidRPr="0042750D">
        <w:rPr>
          <w:szCs w:val="22"/>
        </w:rPr>
        <w:t>iii)</w:t>
      </w:r>
      <w:r w:rsidRPr="0042750D">
        <w:rPr>
          <w:szCs w:val="22"/>
        </w:rPr>
        <w:tab/>
        <w:t>facilitate projects deriving from the outcomes of WTSA, in particular:</w:t>
      </w:r>
    </w:p>
    <w:p w14:paraId="3C60339B" w14:textId="77777777" w:rsidR="00D561F2" w:rsidRPr="0042750D" w:rsidRDefault="00D561F2" w:rsidP="00D561F2">
      <w:pPr>
        <w:pStyle w:val="enumlev2"/>
        <w:rPr>
          <w:rFonts w:ascii="Times New Roman" w:hAnsi="Times New Roman"/>
          <w:sz w:val="22"/>
          <w:szCs w:val="22"/>
        </w:rPr>
      </w:pPr>
      <w:r w:rsidRPr="0042750D">
        <w:rPr>
          <w:rFonts w:ascii="Times New Roman" w:hAnsi="Times New Roman"/>
          <w:sz w:val="22"/>
          <w:szCs w:val="22"/>
        </w:rPr>
        <w:t>•</w:t>
      </w:r>
      <w:r w:rsidRPr="0042750D">
        <w:rPr>
          <w:rFonts w:ascii="Times New Roman" w:hAnsi="Times New Roman"/>
          <w:sz w:val="22"/>
          <w:szCs w:val="22"/>
        </w:rPr>
        <w:tab/>
        <w:t>Resolution 50 (Rev. Hammamet, 2016), on cybersecurity;</w:t>
      </w:r>
    </w:p>
    <w:p w14:paraId="51A890BB" w14:textId="77777777" w:rsidR="00D561F2" w:rsidRPr="0042750D" w:rsidRDefault="00D561F2" w:rsidP="00D561F2">
      <w:pPr>
        <w:pStyle w:val="enumlev2"/>
        <w:rPr>
          <w:rFonts w:ascii="Times New Roman" w:hAnsi="Times New Roman"/>
          <w:sz w:val="22"/>
          <w:szCs w:val="22"/>
        </w:rPr>
      </w:pPr>
      <w:r w:rsidRPr="0042750D">
        <w:rPr>
          <w:rFonts w:ascii="Times New Roman" w:hAnsi="Times New Roman"/>
          <w:sz w:val="22"/>
          <w:szCs w:val="22"/>
        </w:rPr>
        <w:t>•</w:t>
      </w:r>
      <w:r w:rsidRPr="0042750D">
        <w:rPr>
          <w:rFonts w:ascii="Times New Roman" w:hAnsi="Times New Roman"/>
          <w:sz w:val="22"/>
          <w:szCs w:val="22"/>
        </w:rPr>
        <w:tab/>
        <w:t>Resolution 52 (Rev. Dubai, 2012), on countering and combating spam;</w:t>
      </w:r>
    </w:p>
    <w:p w14:paraId="4AC54474" w14:textId="77777777" w:rsidR="00D561F2" w:rsidRPr="0042750D" w:rsidRDefault="00D561F2" w:rsidP="00D561F2">
      <w:pPr>
        <w:rPr>
          <w:b/>
          <w:szCs w:val="22"/>
        </w:rPr>
      </w:pPr>
      <w:r w:rsidRPr="0042750D">
        <w:rPr>
          <w:szCs w:val="22"/>
        </w:rPr>
        <w:t>2</w:t>
      </w:r>
      <w:r w:rsidRPr="0042750D">
        <w:rPr>
          <w:szCs w:val="22"/>
        </w:rPr>
        <w:tab/>
        <w:t>to consider within ITU-T the promotion of a culture in which security is seen as a continuous and iterative process, and to make proposals to the Council as appropriate;</w:t>
      </w:r>
    </w:p>
    <w:p w14:paraId="0C61D2FA" w14:textId="542B43AC" w:rsidR="00F0236A" w:rsidRPr="0042750D" w:rsidRDefault="00D561F2" w:rsidP="00D561F2">
      <w:pPr>
        <w:spacing w:after="240"/>
        <w:rPr>
          <w:szCs w:val="22"/>
        </w:rPr>
      </w:pPr>
      <w:r w:rsidRPr="0042750D">
        <w:rPr>
          <w:szCs w:val="22"/>
        </w:rPr>
        <w:t>3</w:t>
      </w:r>
      <w:r w:rsidRPr="0042750D">
        <w:rPr>
          <w:szCs w:val="22"/>
        </w:rPr>
        <w:tab/>
        <w:t>to continue collaboration with relevant organizations with a view to exchanging best practices and disseminating information through, for example, joint workshops and training sessions and joint coordination activity groups, and, by invitation, through written contributions from relevant organizations,</w:t>
      </w:r>
    </w:p>
    <w:p w14:paraId="3B802C96" w14:textId="77777777" w:rsidR="00D561F2" w:rsidRPr="0042750D" w:rsidRDefault="00D561F2" w:rsidP="00D561F2">
      <w:pPr>
        <w:pStyle w:val="Call"/>
        <w:rPr>
          <w:szCs w:val="22"/>
          <w:lang w:val="en-GB"/>
        </w:rPr>
      </w:pPr>
      <w:r w:rsidRPr="0042750D">
        <w:rPr>
          <w:szCs w:val="22"/>
          <w:lang w:val="en-GB"/>
        </w:rPr>
        <w:t>further instructs the Director of the Telecommunication Standardization Bureau and the Director of the Telecommunication Development Bureau each within the scope of their responsibilities:</w:t>
      </w:r>
    </w:p>
    <w:p w14:paraId="3F3B4D42" w14:textId="77777777" w:rsidR="00D561F2" w:rsidRPr="0042750D" w:rsidRDefault="00D561F2" w:rsidP="00D561F2">
      <w:pPr>
        <w:rPr>
          <w:szCs w:val="22"/>
        </w:rPr>
      </w:pPr>
      <w:r w:rsidRPr="0042750D">
        <w:rPr>
          <w:szCs w:val="22"/>
        </w:rPr>
        <w:t>1</w:t>
      </w:r>
      <w:r w:rsidRPr="0042750D">
        <w:rPr>
          <w:szCs w:val="22"/>
        </w:rPr>
        <w:tab/>
        <w:t>to implement relevant resolutions of both WTSA</w:t>
      </w:r>
      <w:r w:rsidRPr="0042750D">
        <w:rPr>
          <w:szCs w:val="22"/>
        </w:rPr>
        <w:noBreakHyphen/>
        <w:t>16 and WTDC</w:t>
      </w:r>
      <w:r w:rsidRPr="0042750D">
        <w:rPr>
          <w:szCs w:val="22"/>
        </w:rPr>
        <w:noBreakHyphen/>
        <w:t>17, including output 2.2 under Objective 2 of the Buenos Aires Action Plan, with particular focus on the needs of developing countries as they undertake efforts to improve cybersecurity and build confidence and security in the use of ICTs;</w:t>
      </w:r>
    </w:p>
    <w:p w14:paraId="610FC3DA" w14:textId="4E95330E" w:rsidR="00D561F2" w:rsidRPr="0042750D" w:rsidRDefault="00D561F2" w:rsidP="00D561F2">
      <w:pPr>
        <w:rPr>
          <w:szCs w:val="22"/>
        </w:rPr>
      </w:pPr>
      <w:r w:rsidRPr="0042750D">
        <w:rPr>
          <w:szCs w:val="22"/>
        </w:rPr>
        <w:t>2</w:t>
      </w:r>
      <w:r w:rsidRPr="0042750D">
        <w:rPr>
          <w:szCs w:val="22"/>
        </w:rPr>
        <w:tab/>
        <w:t>to identify and promote the availability of information on building confidence and security in the use of ICTs, including the ICT infrastructure, for Member States, Sector Memb</w:t>
      </w:r>
      <w:r w:rsidR="00D25C4B" w:rsidRPr="0042750D">
        <w:rPr>
          <w:szCs w:val="22"/>
        </w:rPr>
        <w:t>ers and relevant organizations;</w:t>
      </w:r>
    </w:p>
    <w:p w14:paraId="13EE5CF3" w14:textId="77777777" w:rsidR="00D561F2" w:rsidRPr="0042750D" w:rsidRDefault="00D561F2" w:rsidP="00D561F2">
      <w:pPr>
        <w:rPr>
          <w:szCs w:val="22"/>
        </w:rPr>
      </w:pPr>
      <w:r w:rsidRPr="0042750D">
        <w:rPr>
          <w:szCs w:val="22"/>
        </w:rPr>
        <w:t>3</w:t>
      </w:r>
      <w:r w:rsidRPr="0042750D">
        <w:rPr>
          <w:szCs w:val="22"/>
        </w:rPr>
        <w:tab/>
        <w:t>without duplicating the work under ITU</w:t>
      </w:r>
      <w:r w:rsidRPr="0042750D">
        <w:rPr>
          <w:szCs w:val="22"/>
        </w:rPr>
        <w:noBreakHyphen/>
        <w:t>D Question 3/2, to continue identifying best practices related to Question 3/2, including establishing CIRTs, to review the reference guide for the Member States and, where appropriate, to contribute to Question 3/2;</w:t>
      </w:r>
    </w:p>
    <w:p w14:paraId="3A7098F7" w14:textId="77777777" w:rsidR="00D561F2" w:rsidRPr="0042750D" w:rsidRDefault="00D561F2" w:rsidP="00D561F2">
      <w:pPr>
        <w:rPr>
          <w:szCs w:val="22"/>
        </w:rPr>
      </w:pPr>
      <w:r w:rsidRPr="0042750D">
        <w:rPr>
          <w:szCs w:val="22"/>
        </w:rPr>
        <w:t>4</w:t>
      </w:r>
      <w:r w:rsidRPr="0042750D">
        <w:rPr>
          <w:szCs w:val="22"/>
        </w:rPr>
        <w:tab/>
        <w:t>to cooperate with relevant organizations and other relevant international and national experts, as appropriate, in order to identify best practices in building confidence and security in the use of ICTs, including the establishment of CIRTs;</w:t>
      </w:r>
    </w:p>
    <w:p w14:paraId="0CA90889" w14:textId="77777777" w:rsidR="00D561F2" w:rsidRPr="0042750D" w:rsidRDefault="00D561F2" w:rsidP="00D561F2">
      <w:pPr>
        <w:rPr>
          <w:szCs w:val="22"/>
        </w:rPr>
      </w:pPr>
      <w:r w:rsidRPr="0042750D">
        <w:rPr>
          <w:szCs w:val="22"/>
        </w:rPr>
        <w:t>5</w:t>
      </w:r>
      <w:r w:rsidRPr="0042750D">
        <w:rPr>
          <w:szCs w:val="22"/>
        </w:rPr>
        <w:tab/>
        <w:t>to take action with a view to new questions being examined by the study groups within the Sectors on the establishment of confidence and security in the use of ICTs;</w:t>
      </w:r>
    </w:p>
    <w:p w14:paraId="4BB92A37" w14:textId="77777777" w:rsidR="00D561F2" w:rsidRPr="0042750D" w:rsidRDefault="00D561F2" w:rsidP="00D561F2">
      <w:pPr>
        <w:rPr>
          <w:szCs w:val="22"/>
        </w:rPr>
      </w:pPr>
      <w:r w:rsidRPr="0042750D">
        <w:rPr>
          <w:szCs w:val="22"/>
        </w:rPr>
        <w:t>6</w:t>
      </w:r>
      <w:r w:rsidRPr="0042750D">
        <w:rPr>
          <w:szCs w:val="22"/>
        </w:rPr>
        <w:tab/>
        <w:t>to identify and document practical steps to support developing countries in building capacity and skills in cybersecurity, taking into account the specific challenges they face;</w:t>
      </w:r>
    </w:p>
    <w:p w14:paraId="19954D89" w14:textId="77777777" w:rsidR="00D561F2" w:rsidRPr="0042750D" w:rsidRDefault="00D561F2" w:rsidP="00D561F2">
      <w:pPr>
        <w:rPr>
          <w:szCs w:val="22"/>
        </w:rPr>
      </w:pPr>
      <w:r w:rsidRPr="0042750D">
        <w:rPr>
          <w:bCs/>
          <w:szCs w:val="22"/>
        </w:rPr>
        <w:t>7</w:t>
      </w:r>
      <w:r w:rsidRPr="0042750D">
        <w:rPr>
          <w:b/>
          <w:szCs w:val="22"/>
        </w:rPr>
        <w:tab/>
      </w:r>
      <w:r w:rsidRPr="0042750D">
        <w:rPr>
          <w:szCs w:val="22"/>
        </w:rPr>
        <w:t>to take into account the challenges faced by all stakeholders, particularly in developing countries, in building confidence and security in the use of ICTs and identifying steps that can help to address them;</w:t>
      </w:r>
    </w:p>
    <w:p w14:paraId="0FCC342C" w14:textId="77777777" w:rsidR="00D561F2" w:rsidRPr="0042750D" w:rsidRDefault="00D561F2" w:rsidP="00D561F2">
      <w:pPr>
        <w:rPr>
          <w:szCs w:val="22"/>
        </w:rPr>
      </w:pPr>
      <w:r w:rsidRPr="0042750D">
        <w:rPr>
          <w:szCs w:val="22"/>
        </w:rPr>
        <w:t>8</w:t>
      </w:r>
      <w:r w:rsidRPr="0042750D">
        <w:rPr>
          <w:szCs w:val="22"/>
        </w:rPr>
        <w:tab/>
        <w:t>to identify and document practical steps to strengthen security in the use of ICTs internationally, including the concept that security is seen as a continuous and iterative process, based on widely accepted practices, guidelines and recommendations that Member States and other stakeholders can choose to apply to improve their ability to combat cyberthreats and attacks, including a dynamic and iterative risk-based approach that reflects the evolving nature of threats and vulnerabilities, and to strengthen international cooperation in building confidence and security in the use of ICTs, taking into account the GCA and within the available financial resources;</w:t>
      </w:r>
    </w:p>
    <w:p w14:paraId="27FA46B1" w14:textId="77777777" w:rsidR="00D561F2" w:rsidRPr="0042750D" w:rsidRDefault="00D561F2" w:rsidP="00D561F2">
      <w:pPr>
        <w:rPr>
          <w:szCs w:val="22"/>
        </w:rPr>
      </w:pPr>
      <w:r w:rsidRPr="0042750D">
        <w:rPr>
          <w:szCs w:val="22"/>
        </w:rPr>
        <w:t>9</w:t>
      </w:r>
      <w:r w:rsidRPr="0042750D">
        <w:rPr>
          <w:szCs w:val="22"/>
        </w:rPr>
        <w:tab/>
        <w:t>to support strategy, organization, awareness-raising, cooperation, evaluation and skills development;</w:t>
      </w:r>
    </w:p>
    <w:p w14:paraId="4776AB73" w14:textId="77777777" w:rsidR="00D561F2" w:rsidRPr="0042750D" w:rsidRDefault="00D561F2" w:rsidP="00D561F2">
      <w:pPr>
        <w:rPr>
          <w:szCs w:val="22"/>
        </w:rPr>
      </w:pPr>
      <w:r w:rsidRPr="0042750D">
        <w:rPr>
          <w:szCs w:val="22"/>
        </w:rPr>
        <w:t>10</w:t>
      </w:r>
      <w:r w:rsidRPr="0042750D">
        <w:rPr>
          <w:szCs w:val="22"/>
        </w:rPr>
        <w:tab/>
        <w:t xml:space="preserve">to provide the necessary technical and financial support, within the constraints of existing budgetary resources, in accordance with Resolution 58 (Rev. Dubai, 2012); </w:t>
      </w:r>
    </w:p>
    <w:p w14:paraId="2E9C28A1" w14:textId="77777777" w:rsidR="00D561F2" w:rsidRPr="0042750D" w:rsidRDefault="00D561F2" w:rsidP="00D561F2">
      <w:pPr>
        <w:rPr>
          <w:szCs w:val="22"/>
        </w:rPr>
      </w:pPr>
      <w:r w:rsidRPr="0042750D">
        <w:rPr>
          <w:szCs w:val="22"/>
        </w:rPr>
        <w:t>11</w:t>
      </w:r>
      <w:r w:rsidRPr="0042750D">
        <w:rPr>
          <w:szCs w:val="22"/>
        </w:rPr>
        <w:tab/>
        <w:t>to encourage the engagement of experts in the ITU's activities in the area of building confidence and security in the use of ICT;</w:t>
      </w:r>
    </w:p>
    <w:p w14:paraId="37CF77C3" w14:textId="77777777" w:rsidR="00D561F2" w:rsidRPr="0042750D" w:rsidRDefault="00D561F2" w:rsidP="00D561F2">
      <w:pPr>
        <w:rPr>
          <w:szCs w:val="22"/>
        </w:rPr>
      </w:pPr>
      <w:r w:rsidRPr="0042750D">
        <w:rPr>
          <w:szCs w:val="22"/>
        </w:rPr>
        <w:t>12</w:t>
      </w:r>
      <w:r w:rsidRPr="0042750D">
        <w:rPr>
          <w:szCs w:val="22"/>
        </w:rPr>
        <w:tab/>
        <w:t>to mobilize appropriate extrabudgetary resources, outside the regular budget of the Union, for the implementation of this resolution, to help developing countries;</w:t>
      </w:r>
    </w:p>
    <w:p w14:paraId="1AD01346" w14:textId="7E711385" w:rsidR="00D561F2" w:rsidRPr="0042750D" w:rsidRDefault="00D561F2" w:rsidP="00D561F2">
      <w:pPr>
        <w:spacing w:after="240"/>
        <w:rPr>
          <w:szCs w:val="22"/>
        </w:rPr>
      </w:pPr>
      <w:r w:rsidRPr="0042750D">
        <w:rPr>
          <w:szCs w:val="22"/>
        </w:rPr>
        <w:t>13</w:t>
      </w:r>
      <w:r w:rsidRPr="0042750D">
        <w:rPr>
          <w:szCs w:val="22"/>
        </w:rPr>
        <w:tab/>
        <w:t>to support and assist developing countries in promoting and facilitating the implementation of securit</w:t>
      </w:r>
      <w:r w:rsidR="00C27278" w:rsidRPr="0042750D">
        <w:rPr>
          <w:szCs w:val="22"/>
        </w:rPr>
        <w:t>y-related ITU-T recommendations.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1"/>
        <w:gridCol w:w="1516"/>
        <w:gridCol w:w="1146"/>
        <w:gridCol w:w="1338"/>
      </w:tblGrid>
      <w:tr w:rsidR="00F0236A" w:rsidRPr="0042750D" w14:paraId="02ECD83C" w14:textId="77777777" w:rsidTr="00043514">
        <w:trPr>
          <w:tblHeader/>
          <w:jc w:val="center"/>
        </w:trPr>
        <w:tc>
          <w:tcPr>
            <w:tcW w:w="911" w:type="dxa"/>
            <w:tcBorders>
              <w:top w:val="single" w:sz="12" w:space="0" w:color="auto"/>
              <w:bottom w:val="single" w:sz="12" w:space="0" w:color="auto"/>
            </w:tcBorders>
            <w:shd w:val="clear" w:color="auto" w:fill="auto"/>
            <w:vAlign w:val="center"/>
          </w:tcPr>
          <w:p w14:paraId="1FE77067" w14:textId="77777777" w:rsidR="00F0236A" w:rsidRPr="0042750D" w:rsidRDefault="00F0236A" w:rsidP="00DC44BF">
            <w:pPr>
              <w:pStyle w:val="Tablehead"/>
              <w:keepNext w:val="0"/>
              <w:rPr>
                <w:sz w:val="24"/>
                <w:szCs w:val="24"/>
              </w:rPr>
            </w:pPr>
            <w:r w:rsidRPr="0042750D">
              <w:rPr>
                <w:sz w:val="24"/>
                <w:szCs w:val="24"/>
              </w:rPr>
              <w:t>Action Item</w:t>
            </w:r>
          </w:p>
        </w:tc>
        <w:tc>
          <w:tcPr>
            <w:tcW w:w="4921" w:type="dxa"/>
            <w:tcBorders>
              <w:top w:val="single" w:sz="12" w:space="0" w:color="auto"/>
              <w:bottom w:val="single" w:sz="12" w:space="0" w:color="auto"/>
            </w:tcBorders>
            <w:shd w:val="clear" w:color="auto" w:fill="auto"/>
            <w:vAlign w:val="center"/>
            <w:hideMark/>
          </w:tcPr>
          <w:p w14:paraId="0CCFE002" w14:textId="77777777" w:rsidR="00F0236A" w:rsidRPr="0042750D" w:rsidRDefault="00F0236A" w:rsidP="00DF36E1">
            <w:pPr>
              <w:pStyle w:val="Tablehead"/>
              <w:rPr>
                <w:sz w:val="24"/>
                <w:szCs w:val="24"/>
              </w:rPr>
            </w:pPr>
            <w:r w:rsidRPr="0042750D">
              <w:rPr>
                <w:sz w:val="24"/>
                <w:szCs w:val="24"/>
              </w:rPr>
              <w:t>Action</w:t>
            </w:r>
          </w:p>
        </w:tc>
        <w:tc>
          <w:tcPr>
            <w:tcW w:w="1516" w:type="dxa"/>
            <w:tcBorders>
              <w:top w:val="single" w:sz="12" w:space="0" w:color="auto"/>
              <w:bottom w:val="single" w:sz="12" w:space="0" w:color="auto"/>
            </w:tcBorders>
            <w:shd w:val="clear" w:color="auto" w:fill="auto"/>
            <w:vAlign w:val="center"/>
            <w:hideMark/>
          </w:tcPr>
          <w:p w14:paraId="1DD1763C" w14:textId="77777777" w:rsidR="00F0236A" w:rsidRPr="0042750D" w:rsidRDefault="00F0236A" w:rsidP="00DF36E1">
            <w:pPr>
              <w:pStyle w:val="Tablehead"/>
              <w:rPr>
                <w:sz w:val="24"/>
                <w:szCs w:val="24"/>
              </w:rPr>
            </w:pPr>
            <w:r w:rsidRPr="0042750D">
              <w:rPr>
                <w:sz w:val="24"/>
                <w:szCs w:val="24"/>
              </w:rPr>
              <w:t>Milestone</w:t>
            </w:r>
          </w:p>
        </w:tc>
        <w:tc>
          <w:tcPr>
            <w:tcW w:w="1146" w:type="dxa"/>
            <w:tcBorders>
              <w:top w:val="single" w:sz="12" w:space="0" w:color="auto"/>
              <w:bottom w:val="single" w:sz="12" w:space="0" w:color="auto"/>
            </w:tcBorders>
            <w:shd w:val="clear" w:color="auto" w:fill="auto"/>
          </w:tcPr>
          <w:p w14:paraId="07B1968B"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2E9158F"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0D6EA48D" w14:textId="77777777" w:rsidTr="00E270B9">
        <w:trPr>
          <w:cantSplit/>
          <w:jc w:val="center"/>
        </w:trPr>
        <w:tc>
          <w:tcPr>
            <w:tcW w:w="911" w:type="dxa"/>
            <w:vMerge w:val="restart"/>
            <w:tcBorders>
              <w:top w:val="single" w:sz="12" w:space="0" w:color="auto"/>
            </w:tcBorders>
            <w:shd w:val="clear" w:color="auto" w:fill="auto"/>
          </w:tcPr>
          <w:p w14:paraId="53301BA3" w14:textId="6F19713F" w:rsidR="00F0236A" w:rsidRPr="0042750D" w:rsidRDefault="00EC1090" w:rsidP="00DF36E1">
            <w:pPr>
              <w:pStyle w:val="Tabletext"/>
              <w:rPr>
                <w:b/>
                <w:bCs/>
                <w:sz w:val="24"/>
                <w:szCs w:val="24"/>
              </w:rPr>
            </w:pPr>
            <w:r w:rsidRPr="0042750D">
              <w:rPr>
                <w:b/>
                <w:bCs/>
                <w:sz w:val="24"/>
                <w:szCs w:val="24"/>
              </w:rPr>
              <w:t>130</w:t>
            </w:r>
            <w:r w:rsidR="00F0236A" w:rsidRPr="0042750D">
              <w:rPr>
                <w:b/>
                <w:bCs/>
                <w:sz w:val="24"/>
                <w:szCs w:val="24"/>
              </w:rPr>
              <w:t>-01</w:t>
            </w:r>
          </w:p>
        </w:tc>
        <w:tc>
          <w:tcPr>
            <w:tcW w:w="4921" w:type="dxa"/>
            <w:tcBorders>
              <w:top w:val="single" w:sz="12" w:space="0" w:color="auto"/>
              <w:bottom w:val="single" w:sz="4" w:space="0" w:color="auto"/>
            </w:tcBorders>
            <w:shd w:val="clear" w:color="auto" w:fill="auto"/>
            <w:hideMark/>
          </w:tcPr>
          <w:p w14:paraId="77A10BA3" w14:textId="2917FFA3" w:rsidR="00F0236A" w:rsidRPr="0042750D" w:rsidRDefault="00EC1090" w:rsidP="00EC1090">
            <w:pPr>
              <w:pStyle w:val="Tabletext"/>
              <w:rPr>
                <w:b/>
                <w:bCs/>
                <w:sz w:val="24"/>
                <w:szCs w:val="24"/>
              </w:rPr>
            </w:pPr>
            <w:r w:rsidRPr="0042750D">
              <w:rPr>
                <w:b/>
                <w:bCs/>
                <w:sz w:val="24"/>
                <w:szCs w:val="24"/>
              </w:rPr>
              <w:t>TSBDir to continue to review the work done so far in ITU-T, under the GCA and in other relevant organizations and initiatives; the progress achieved in the implementation of this resolution; and the results of work done so far</w:t>
            </w:r>
            <w:r w:rsidR="002427A3" w:rsidRPr="0042750D">
              <w:rPr>
                <w:b/>
                <w:bCs/>
                <w:sz w:val="24"/>
                <w:szCs w:val="24"/>
              </w:rPr>
              <w:t xml:space="preserve"> (</w:t>
            </w:r>
            <w:r w:rsidR="002427A3" w:rsidRPr="0042750D">
              <w:rPr>
                <w:b/>
                <w:bCs/>
                <w:i/>
                <w:sz w:val="24"/>
                <w:szCs w:val="24"/>
              </w:rPr>
              <w:t>instructs 1</w:t>
            </w:r>
            <w:r w:rsidR="002427A3" w:rsidRPr="0042750D">
              <w:rPr>
                <w:b/>
                <w:bCs/>
                <w:sz w:val="24"/>
                <w:szCs w:val="24"/>
              </w:rPr>
              <w:t>)</w:t>
            </w:r>
            <w:r w:rsidRPr="0042750D">
              <w:rPr>
                <w:b/>
                <w:bCs/>
                <w:sz w:val="24"/>
                <w:szCs w:val="24"/>
              </w:rPr>
              <w:t>.</w:t>
            </w:r>
          </w:p>
        </w:tc>
        <w:tc>
          <w:tcPr>
            <w:tcW w:w="1516" w:type="dxa"/>
            <w:tcBorders>
              <w:top w:val="single" w:sz="12" w:space="0" w:color="auto"/>
              <w:bottom w:val="single" w:sz="4" w:space="0" w:color="auto"/>
            </w:tcBorders>
            <w:shd w:val="clear" w:color="auto" w:fill="auto"/>
            <w:vAlign w:val="center"/>
            <w:hideMark/>
          </w:tcPr>
          <w:p w14:paraId="784871BC"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6" w:type="dxa"/>
            <w:tcBorders>
              <w:top w:val="single" w:sz="12" w:space="0" w:color="auto"/>
              <w:bottom w:val="single" w:sz="4" w:space="0" w:color="auto"/>
            </w:tcBorders>
            <w:shd w:val="clear" w:color="auto" w:fill="auto"/>
            <w:vAlign w:val="center"/>
          </w:tcPr>
          <w:p w14:paraId="0E402D84" w14:textId="03D28C68" w:rsidR="00F0236A" w:rsidRPr="0042750D" w:rsidRDefault="008A2FE9"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6B35E3BC" w14:textId="1ED82978" w:rsidR="00F0236A" w:rsidRPr="0042750D" w:rsidRDefault="00F0236A" w:rsidP="00DF36E1">
            <w:pPr>
              <w:pStyle w:val="Tabletext"/>
              <w:jc w:val="center"/>
              <w:rPr>
                <w:b/>
                <w:bCs/>
                <w:sz w:val="24"/>
                <w:szCs w:val="24"/>
              </w:rPr>
            </w:pPr>
          </w:p>
        </w:tc>
      </w:tr>
      <w:tr w:rsidR="00F0236A" w:rsidRPr="0042750D" w14:paraId="680539D4" w14:textId="77777777" w:rsidTr="00E44E48">
        <w:trPr>
          <w:cantSplit/>
          <w:jc w:val="center"/>
        </w:trPr>
        <w:tc>
          <w:tcPr>
            <w:tcW w:w="911" w:type="dxa"/>
            <w:vMerge/>
            <w:tcBorders>
              <w:bottom w:val="single" w:sz="12" w:space="0" w:color="auto"/>
            </w:tcBorders>
            <w:shd w:val="clear" w:color="auto" w:fill="auto"/>
          </w:tcPr>
          <w:p w14:paraId="68AB756F" w14:textId="77777777" w:rsidR="00F0236A" w:rsidRPr="0042750D"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01609CB9" w14:textId="1C3EB2DB" w:rsidR="00931A29" w:rsidRPr="0042750D" w:rsidRDefault="00931A29" w:rsidP="00456CCC">
            <w:pPr>
              <w:spacing w:before="40"/>
              <w:rPr>
                <w:szCs w:val="22"/>
              </w:rPr>
            </w:pPr>
            <w:r w:rsidRPr="0042750D">
              <w:rPr>
                <w:szCs w:val="22"/>
              </w:rPr>
              <w:t xml:space="preserve">As the ITU-T lead study group on security, ITU-T SG17 works in line with the draft Roadmap for WSIS Action </w:t>
            </w:r>
            <w:r w:rsidR="008A2FE9" w:rsidRPr="0042750D">
              <w:rPr>
                <w:szCs w:val="22"/>
              </w:rPr>
              <w:t>L</w:t>
            </w:r>
            <w:r w:rsidRPr="0042750D">
              <w:rPr>
                <w:szCs w:val="22"/>
              </w:rPr>
              <w:t>ine C5 submitted to Council WG WSIS by the General Secretariat and the three Bureaus (BR, TSB and BDT)</w:t>
            </w:r>
            <w:r w:rsidR="00861DF2" w:rsidRPr="0042750D">
              <w:rPr>
                <w:szCs w:val="22"/>
              </w:rPr>
              <w:t xml:space="preserve">, see </w:t>
            </w:r>
            <w:hyperlink r:id="rId46" w:history="1">
              <w:r w:rsidR="00861DF2" w:rsidRPr="0042750D">
                <w:rPr>
                  <w:rStyle w:val="Hyperlink"/>
                  <w:szCs w:val="22"/>
                </w:rPr>
                <w:t>CWG-WSIS&amp;SDG-34/003-R1</w:t>
              </w:r>
            </w:hyperlink>
            <w:r w:rsidRPr="0042750D">
              <w:rPr>
                <w:szCs w:val="22"/>
              </w:rPr>
              <w:t xml:space="preserve">. </w:t>
            </w:r>
            <w:r w:rsidR="00627C43" w:rsidRPr="0042750D">
              <w:rPr>
                <w:szCs w:val="22"/>
              </w:rPr>
              <w:t xml:space="preserve">SG17 has developed ~200 </w:t>
            </w:r>
            <w:r w:rsidRPr="0042750D">
              <w:rPr>
                <w:szCs w:val="22"/>
              </w:rPr>
              <w:t>ITU-T Recommendations</w:t>
            </w:r>
            <w:r w:rsidR="00627C43" w:rsidRPr="0042750D">
              <w:rPr>
                <w:szCs w:val="22"/>
              </w:rPr>
              <w:t xml:space="preserve"> on ICT security. These standards</w:t>
            </w:r>
            <w:r w:rsidRPr="0042750D">
              <w:rPr>
                <w:szCs w:val="22"/>
              </w:rPr>
              <w:t>, especially Rec. ITU-T X.509 but also other parts of Rec. ITU-T X.500-series</w:t>
            </w:r>
            <w:r w:rsidR="00BD567C" w:rsidRPr="0042750D">
              <w:rPr>
                <w:szCs w:val="22"/>
              </w:rPr>
              <w:t xml:space="preserve"> and ITU-T </w:t>
            </w:r>
            <w:r w:rsidR="00E064A9" w:rsidRPr="0042750D">
              <w:rPr>
                <w:szCs w:val="22"/>
              </w:rPr>
              <w:t>X.</w:t>
            </w:r>
            <w:r w:rsidR="00BD567C" w:rsidRPr="0042750D">
              <w:rPr>
                <w:szCs w:val="22"/>
              </w:rPr>
              <w:t>800-series</w:t>
            </w:r>
            <w:r w:rsidRPr="0042750D">
              <w:rPr>
                <w:szCs w:val="22"/>
              </w:rPr>
              <w:t>, provide important security facilities.</w:t>
            </w:r>
          </w:p>
          <w:p w14:paraId="14C516B7" w14:textId="0BB5F84D" w:rsidR="00F0236A" w:rsidRPr="0042750D" w:rsidRDefault="00931A29" w:rsidP="00E064A9">
            <w:pPr>
              <w:spacing w:after="40"/>
              <w:rPr>
                <w:sz w:val="24"/>
              </w:rPr>
            </w:pPr>
            <w:r w:rsidRPr="0042750D">
              <w:rPr>
                <w:szCs w:val="22"/>
              </w:rPr>
              <w:t xml:space="preserve">Q1/17 </w:t>
            </w:r>
            <w:r w:rsidR="00F773FE" w:rsidRPr="0042750D">
              <w:rPr>
                <w:szCs w:val="22"/>
              </w:rPr>
              <w:t xml:space="preserve">collects and </w:t>
            </w:r>
            <w:r w:rsidRPr="0042750D">
              <w:rPr>
                <w:szCs w:val="22"/>
              </w:rPr>
              <w:t xml:space="preserve">maintains an ICT Security Standard </w:t>
            </w:r>
            <w:r w:rsidR="00627C43" w:rsidRPr="0042750D">
              <w:rPr>
                <w:szCs w:val="22"/>
              </w:rPr>
              <w:t xml:space="preserve">database </w:t>
            </w:r>
            <w:r w:rsidRPr="0042750D">
              <w:rPr>
                <w:szCs w:val="22"/>
              </w:rPr>
              <w:t xml:space="preserve">which includes </w:t>
            </w:r>
            <w:r w:rsidR="00BD567C" w:rsidRPr="0042750D">
              <w:rPr>
                <w:szCs w:val="22"/>
              </w:rPr>
              <w:t>2600</w:t>
            </w:r>
            <w:r w:rsidRPr="0042750D">
              <w:rPr>
                <w:szCs w:val="22"/>
              </w:rPr>
              <w:t xml:space="preserve"> existing and ongoing ICT Security Standards from key SDOs. Q4/17 developed 20+ Recommendations on </w:t>
            </w:r>
            <w:hyperlink r:id="rId47" w:history="1">
              <w:r w:rsidR="00A4030C" w:rsidRPr="0042750D">
                <w:rPr>
                  <w:rStyle w:val="Hyperlink"/>
                  <w:szCs w:val="22"/>
                </w:rPr>
                <w:t>cybersecurity information exchange</w:t>
              </w:r>
            </w:hyperlink>
            <w:r w:rsidR="00A4030C" w:rsidRPr="0042750D" w:rsidDel="00A4030C">
              <w:rPr>
                <w:szCs w:val="22"/>
              </w:rPr>
              <w:t xml:space="preserve"> </w:t>
            </w:r>
            <w:r w:rsidRPr="0042750D">
              <w:rPr>
                <w:szCs w:val="22"/>
              </w:rPr>
              <w:t xml:space="preserve">(CYBEX), which contribute to the capacity building of CIRTs. Q3/17 is working on </w:t>
            </w:r>
            <w:r w:rsidR="00627C43" w:rsidRPr="0042750D">
              <w:rPr>
                <w:szCs w:val="22"/>
              </w:rPr>
              <w:t xml:space="preserve">security management and managed security service specifications, for example </w:t>
            </w:r>
            <w:r w:rsidRPr="0042750D">
              <w:rPr>
                <w:szCs w:val="22"/>
              </w:rPr>
              <w:t xml:space="preserve">X.framcdc ‘Framework for the creation and operation of a cyber defence center’. Q5/17 is working on </w:t>
            </w:r>
            <w:r w:rsidR="00BD567C" w:rsidRPr="0042750D">
              <w:rPr>
                <w:szCs w:val="22"/>
              </w:rPr>
              <w:t xml:space="preserve">technical measures to combat </w:t>
            </w:r>
            <w:r w:rsidRPr="0042750D">
              <w:rPr>
                <w:szCs w:val="22"/>
              </w:rPr>
              <w:t>spam to improve user confidence.</w:t>
            </w:r>
          </w:p>
        </w:tc>
      </w:tr>
      <w:tr w:rsidR="00F0236A" w:rsidRPr="0042750D" w14:paraId="231A3EC8" w14:textId="77777777" w:rsidTr="00E270B9">
        <w:trPr>
          <w:cantSplit/>
          <w:jc w:val="center"/>
        </w:trPr>
        <w:tc>
          <w:tcPr>
            <w:tcW w:w="911" w:type="dxa"/>
            <w:vMerge w:val="restart"/>
            <w:tcBorders>
              <w:top w:val="single" w:sz="12" w:space="0" w:color="auto"/>
            </w:tcBorders>
            <w:shd w:val="clear" w:color="auto" w:fill="auto"/>
          </w:tcPr>
          <w:p w14:paraId="2B886191" w14:textId="430389AC" w:rsidR="00F0236A" w:rsidRPr="0042750D" w:rsidRDefault="00D561F2" w:rsidP="00DF36E1">
            <w:pPr>
              <w:pStyle w:val="Tabletext"/>
              <w:rPr>
                <w:b/>
                <w:bCs/>
                <w:sz w:val="24"/>
                <w:szCs w:val="24"/>
              </w:rPr>
            </w:pPr>
            <w:r w:rsidRPr="0042750D">
              <w:rPr>
                <w:b/>
                <w:bCs/>
                <w:sz w:val="24"/>
                <w:szCs w:val="24"/>
              </w:rPr>
              <w:t>130</w:t>
            </w:r>
            <w:r w:rsidR="00F0236A" w:rsidRPr="0042750D">
              <w:rPr>
                <w:b/>
                <w:bCs/>
                <w:sz w:val="24"/>
                <w:szCs w:val="24"/>
              </w:rPr>
              <w:t>-02</w:t>
            </w:r>
          </w:p>
        </w:tc>
        <w:tc>
          <w:tcPr>
            <w:tcW w:w="4921" w:type="dxa"/>
            <w:tcBorders>
              <w:top w:val="single" w:sz="12" w:space="0" w:color="auto"/>
            </w:tcBorders>
            <w:shd w:val="clear" w:color="auto" w:fill="auto"/>
          </w:tcPr>
          <w:p w14:paraId="48CD9FB6" w14:textId="0FA829FE" w:rsidR="00F0236A" w:rsidRPr="0042750D" w:rsidRDefault="00D561F2" w:rsidP="00D561F2">
            <w:pPr>
              <w:pStyle w:val="Tabletext"/>
              <w:rPr>
                <w:b/>
                <w:bCs/>
                <w:sz w:val="24"/>
                <w:szCs w:val="24"/>
              </w:rPr>
            </w:pPr>
            <w:r w:rsidRPr="0042750D">
              <w:rPr>
                <w:b/>
                <w:bCs/>
                <w:sz w:val="24"/>
                <w:szCs w:val="24"/>
              </w:rPr>
              <w:t>TSBDir to</w:t>
            </w:r>
            <w:r w:rsidR="00E330E1" w:rsidRPr="0042750D">
              <w:rPr>
                <w:b/>
                <w:bCs/>
                <w:sz w:val="24"/>
                <w:szCs w:val="24"/>
              </w:rPr>
              <w:t xml:space="preserve"> contribute to SecGen’s</w:t>
            </w:r>
            <w:r w:rsidRPr="0042750D">
              <w:rPr>
                <w:b/>
                <w:bCs/>
                <w:sz w:val="24"/>
                <w:szCs w:val="24"/>
              </w:rPr>
              <w:t xml:space="preserve"> report to the Council on activities within ITU</w:t>
            </w:r>
            <w:r w:rsidR="00E330E1" w:rsidRPr="0042750D">
              <w:rPr>
                <w:b/>
                <w:bCs/>
                <w:sz w:val="24"/>
                <w:szCs w:val="24"/>
              </w:rPr>
              <w:t>-T</w:t>
            </w:r>
            <w:r w:rsidRPr="0042750D">
              <w:rPr>
                <w:b/>
                <w:bCs/>
                <w:sz w:val="24"/>
                <w:szCs w:val="24"/>
              </w:rPr>
              <w:t xml:space="preserve"> and other relevant organizations and entities</w:t>
            </w:r>
            <w:r w:rsidR="002427A3" w:rsidRPr="0042750D">
              <w:rPr>
                <w:b/>
                <w:bCs/>
                <w:sz w:val="24"/>
                <w:szCs w:val="24"/>
              </w:rPr>
              <w:t xml:space="preserve"> (</w:t>
            </w:r>
            <w:r w:rsidR="002427A3" w:rsidRPr="0042750D">
              <w:rPr>
                <w:b/>
                <w:bCs/>
                <w:i/>
                <w:sz w:val="24"/>
                <w:szCs w:val="24"/>
              </w:rPr>
              <w:t>instructs 2</w:t>
            </w:r>
            <w:r w:rsidR="002427A3" w:rsidRPr="0042750D">
              <w:rPr>
                <w:b/>
                <w:bCs/>
                <w:sz w:val="24"/>
                <w:szCs w:val="24"/>
              </w:rPr>
              <w:t>);</w:t>
            </w:r>
          </w:p>
          <w:p w14:paraId="2A13D291" w14:textId="6CE3725E" w:rsidR="00E270B9" w:rsidRPr="0042750D" w:rsidRDefault="00E270B9" w:rsidP="00D561F2">
            <w:pPr>
              <w:pStyle w:val="Tabletext"/>
              <w:rPr>
                <w:b/>
                <w:bCs/>
                <w:sz w:val="24"/>
                <w:szCs w:val="24"/>
              </w:rPr>
            </w:pPr>
            <w:r w:rsidRPr="0042750D">
              <w:rPr>
                <w:b/>
                <w:bCs/>
                <w:sz w:val="24"/>
                <w:szCs w:val="24"/>
              </w:rPr>
              <w:t>TSBDir to contribute to SecGen’s annual report to Council on these activities and to make proposals as appropriate</w:t>
            </w:r>
            <w:r w:rsidR="002427A3" w:rsidRPr="0042750D">
              <w:rPr>
                <w:b/>
                <w:bCs/>
                <w:sz w:val="24"/>
                <w:szCs w:val="24"/>
              </w:rPr>
              <w:t xml:space="preserve"> (</w:t>
            </w:r>
            <w:r w:rsidR="002427A3" w:rsidRPr="0042750D">
              <w:rPr>
                <w:b/>
                <w:bCs/>
                <w:i/>
                <w:sz w:val="24"/>
                <w:szCs w:val="24"/>
              </w:rPr>
              <w:t>instructs 7</w:t>
            </w:r>
            <w:r w:rsidR="002427A3" w:rsidRPr="0042750D">
              <w:rPr>
                <w:b/>
                <w:bCs/>
                <w:sz w:val="24"/>
                <w:szCs w:val="24"/>
              </w:rPr>
              <w:t>)</w:t>
            </w:r>
            <w:r w:rsidRPr="0042750D">
              <w:rPr>
                <w:b/>
                <w:bCs/>
                <w:sz w:val="24"/>
                <w:szCs w:val="24"/>
              </w:rPr>
              <w:t>.</w:t>
            </w:r>
          </w:p>
        </w:tc>
        <w:tc>
          <w:tcPr>
            <w:tcW w:w="1516" w:type="dxa"/>
            <w:tcBorders>
              <w:top w:val="single" w:sz="12" w:space="0" w:color="auto"/>
            </w:tcBorders>
            <w:shd w:val="clear" w:color="auto" w:fill="auto"/>
            <w:vAlign w:val="center"/>
          </w:tcPr>
          <w:p w14:paraId="5581C4D0" w14:textId="5522DE5E" w:rsidR="00F0236A" w:rsidRPr="0042750D" w:rsidRDefault="00E330E1" w:rsidP="00DF36E1">
            <w:pPr>
              <w:pStyle w:val="Tabletext"/>
              <w:jc w:val="center"/>
              <w:rPr>
                <w:b/>
                <w:bCs/>
                <w:sz w:val="24"/>
                <w:szCs w:val="24"/>
              </w:rPr>
            </w:pPr>
            <w:r w:rsidRPr="0042750D">
              <w:rPr>
                <w:b/>
                <w:bCs/>
                <w:sz w:val="24"/>
                <w:szCs w:val="24"/>
              </w:rPr>
              <w:t>Council</w:t>
            </w:r>
          </w:p>
        </w:tc>
        <w:tc>
          <w:tcPr>
            <w:tcW w:w="1146" w:type="dxa"/>
            <w:tcBorders>
              <w:top w:val="single" w:sz="12" w:space="0" w:color="auto"/>
            </w:tcBorders>
            <w:shd w:val="clear" w:color="auto" w:fill="auto"/>
            <w:vAlign w:val="center"/>
          </w:tcPr>
          <w:p w14:paraId="6E684BFB" w14:textId="7A7B279F" w:rsidR="00F0236A" w:rsidRPr="0042750D" w:rsidRDefault="000A1F64"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3237D605" w14:textId="77777777" w:rsidR="00F0236A" w:rsidRPr="0042750D" w:rsidRDefault="00F0236A" w:rsidP="00DF36E1">
            <w:pPr>
              <w:pStyle w:val="Tabletext"/>
              <w:jc w:val="center"/>
              <w:rPr>
                <w:b/>
                <w:bCs/>
                <w:sz w:val="24"/>
                <w:szCs w:val="24"/>
              </w:rPr>
            </w:pPr>
          </w:p>
        </w:tc>
      </w:tr>
      <w:tr w:rsidR="00F0236A" w:rsidRPr="0042750D" w14:paraId="72AC2E8F" w14:textId="77777777" w:rsidTr="00DF36E1">
        <w:trPr>
          <w:cantSplit/>
          <w:jc w:val="center"/>
        </w:trPr>
        <w:tc>
          <w:tcPr>
            <w:tcW w:w="911" w:type="dxa"/>
            <w:vMerge/>
            <w:shd w:val="clear" w:color="auto" w:fill="auto"/>
            <w:vAlign w:val="center"/>
          </w:tcPr>
          <w:p w14:paraId="40E744A4" w14:textId="77777777" w:rsidR="00F0236A" w:rsidRPr="0042750D" w:rsidRDefault="00F0236A" w:rsidP="00DF36E1">
            <w:pPr>
              <w:pStyle w:val="Tabletext"/>
              <w:rPr>
                <w:sz w:val="24"/>
                <w:szCs w:val="24"/>
              </w:rPr>
            </w:pPr>
          </w:p>
        </w:tc>
        <w:tc>
          <w:tcPr>
            <w:tcW w:w="8921" w:type="dxa"/>
            <w:gridSpan w:val="4"/>
            <w:shd w:val="clear" w:color="auto" w:fill="auto"/>
          </w:tcPr>
          <w:p w14:paraId="03411415" w14:textId="6DE0B5A6" w:rsidR="00F0236A" w:rsidRPr="0042750D" w:rsidRDefault="000A1F64" w:rsidP="00DF36E1">
            <w:pPr>
              <w:pStyle w:val="Tabletext"/>
              <w:rPr>
                <w:szCs w:val="22"/>
              </w:rPr>
            </w:pPr>
            <w:r w:rsidRPr="0042750D">
              <w:rPr>
                <w:szCs w:val="22"/>
              </w:rPr>
              <w:t xml:space="preserve">See </w:t>
            </w:r>
            <w:hyperlink r:id="rId48" w:history="1">
              <w:r w:rsidRPr="0042750D">
                <w:rPr>
                  <w:rStyle w:val="Hyperlink"/>
                  <w:szCs w:val="22"/>
                </w:rPr>
                <w:t>C19/18</w:t>
              </w:r>
            </w:hyperlink>
            <w:r w:rsidRPr="0042750D">
              <w:rPr>
                <w:szCs w:val="22"/>
              </w:rPr>
              <w:t>.</w:t>
            </w:r>
          </w:p>
        </w:tc>
      </w:tr>
      <w:tr w:rsidR="004D03C1" w:rsidRPr="0042750D" w14:paraId="04F60F85" w14:textId="77777777" w:rsidTr="00E270B9">
        <w:trPr>
          <w:cantSplit/>
          <w:jc w:val="center"/>
        </w:trPr>
        <w:tc>
          <w:tcPr>
            <w:tcW w:w="911" w:type="dxa"/>
            <w:vMerge w:val="restart"/>
            <w:tcBorders>
              <w:top w:val="single" w:sz="12" w:space="0" w:color="auto"/>
            </w:tcBorders>
            <w:shd w:val="clear" w:color="auto" w:fill="auto"/>
          </w:tcPr>
          <w:p w14:paraId="09110EC1" w14:textId="029B9CB1" w:rsidR="004D03C1" w:rsidRPr="0042750D" w:rsidRDefault="004D03C1" w:rsidP="00D561F2">
            <w:pPr>
              <w:pStyle w:val="Tabletext"/>
              <w:rPr>
                <w:b/>
                <w:bCs/>
                <w:sz w:val="24"/>
                <w:szCs w:val="24"/>
              </w:rPr>
            </w:pPr>
            <w:bookmarkStart w:id="101" w:name="Item48_01"/>
            <w:bookmarkStart w:id="102" w:name="Item48_02"/>
            <w:bookmarkEnd w:id="101"/>
            <w:bookmarkEnd w:id="102"/>
            <w:r w:rsidRPr="0042750D">
              <w:rPr>
                <w:b/>
                <w:bCs/>
                <w:sz w:val="24"/>
                <w:szCs w:val="24"/>
              </w:rPr>
              <w:t>130-03</w:t>
            </w:r>
          </w:p>
        </w:tc>
        <w:tc>
          <w:tcPr>
            <w:tcW w:w="4921" w:type="dxa"/>
            <w:tcBorders>
              <w:top w:val="single" w:sz="12" w:space="0" w:color="auto"/>
            </w:tcBorders>
            <w:shd w:val="clear" w:color="auto" w:fill="auto"/>
          </w:tcPr>
          <w:p w14:paraId="79D8CC99" w14:textId="64DB0A10" w:rsidR="004D03C1" w:rsidRPr="0042750D" w:rsidRDefault="004D03C1" w:rsidP="004D03C1">
            <w:pPr>
              <w:pStyle w:val="Tabletext"/>
              <w:rPr>
                <w:b/>
                <w:bCs/>
                <w:sz w:val="24"/>
                <w:szCs w:val="24"/>
              </w:rPr>
            </w:pPr>
            <w:r w:rsidRPr="0042750D">
              <w:rPr>
                <w:b/>
                <w:bCs/>
                <w:sz w:val="24"/>
                <w:szCs w:val="24"/>
              </w:rPr>
              <w:t>TSBDir to report on memoranda of understanding (MoU) between countries, as well as existing forms of cooperation, providing analysis of their status, scope and how these cooperative mechanisms can be applied</w:t>
            </w:r>
            <w:r w:rsidR="00873C7F" w:rsidRPr="0042750D">
              <w:rPr>
                <w:b/>
                <w:bCs/>
                <w:sz w:val="24"/>
                <w:szCs w:val="24"/>
              </w:rPr>
              <w:t xml:space="preserve"> (</w:t>
            </w:r>
            <w:r w:rsidR="00873C7F" w:rsidRPr="0042750D">
              <w:rPr>
                <w:b/>
                <w:bCs/>
                <w:i/>
                <w:sz w:val="24"/>
                <w:szCs w:val="24"/>
              </w:rPr>
              <w:t>instructs 3</w:t>
            </w:r>
            <w:r w:rsidR="00873C7F" w:rsidRPr="0042750D">
              <w:rPr>
                <w:b/>
                <w:bCs/>
                <w:sz w:val="24"/>
                <w:szCs w:val="24"/>
              </w:rPr>
              <w:t>)</w:t>
            </w:r>
            <w:r w:rsidRPr="0042750D">
              <w:rPr>
                <w:b/>
                <w:bCs/>
                <w:sz w:val="24"/>
                <w:szCs w:val="24"/>
              </w:rPr>
              <w:t>.</w:t>
            </w:r>
          </w:p>
        </w:tc>
        <w:tc>
          <w:tcPr>
            <w:tcW w:w="1516" w:type="dxa"/>
            <w:tcBorders>
              <w:top w:val="single" w:sz="12" w:space="0" w:color="auto"/>
            </w:tcBorders>
            <w:shd w:val="clear" w:color="auto" w:fill="auto"/>
            <w:vAlign w:val="center"/>
          </w:tcPr>
          <w:p w14:paraId="0D2E0B83" w14:textId="77777777" w:rsidR="004D03C1" w:rsidRPr="0042750D" w:rsidRDefault="004D03C1" w:rsidP="004D03C1">
            <w:pPr>
              <w:pStyle w:val="Tabletext"/>
              <w:jc w:val="center"/>
              <w:rPr>
                <w:b/>
                <w:bCs/>
                <w:sz w:val="24"/>
                <w:szCs w:val="24"/>
              </w:rPr>
            </w:pPr>
            <w:r w:rsidRPr="0042750D">
              <w:rPr>
                <w:b/>
                <w:bCs/>
                <w:sz w:val="24"/>
                <w:szCs w:val="24"/>
              </w:rPr>
              <w:t>Ongoing</w:t>
            </w:r>
          </w:p>
        </w:tc>
        <w:tc>
          <w:tcPr>
            <w:tcW w:w="1146" w:type="dxa"/>
            <w:tcBorders>
              <w:top w:val="single" w:sz="12" w:space="0" w:color="auto"/>
            </w:tcBorders>
            <w:shd w:val="clear" w:color="auto" w:fill="auto"/>
            <w:vAlign w:val="center"/>
          </w:tcPr>
          <w:p w14:paraId="3A7C69CC" w14:textId="77777777" w:rsidR="004D03C1" w:rsidRPr="0042750D" w:rsidRDefault="004D03C1" w:rsidP="004D03C1">
            <w:pPr>
              <w:pStyle w:val="Tabletext"/>
              <w:jc w:val="center"/>
              <w:rPr>
                <w:b/>
                <w:bCs/>
                <w:sz w:val="24"/>
                <w:szCs w:val="24"/>
              </w:rPr>
            </w:pPr>
          </w:p>
        </w:tc>
        <w:tc>
          <w:tcPr>
            <w:tcW w:w="1338" w:type="dxa"/>
            <w:tcBorders>
              <w:top w:val="single" w:sz="12" w:space="0" w:color="auto"/>
            </w:tcBorders>
            <w:shd w:val="clear" w:color="auto" w:fill="auto"/>
            <w:vAlign w:val="center"/>
          </w:tcPr>
          <w:p w14:paraId="51F37C58" w14:textId="77777777" w:rsidR="004D03C1" w:rsidRPr="0042750D" w:rsidRDefault="004D03C1" w:rsidP="004D03C1">
            <w:pPr>
              <w:pStyle w:val="Tabletext"/>
              <w:jc w:val="center"/>
              <w:rPr>
                <w:b/>
                <w:bCs/>
                <w:sz w:val="24"/>
                <w:szCs w:val="24"/>
              </w:rPr>
            </w:pPr>
          </w:p>
        </w:tc>
      </w:tr>
      <w:tr w:rsidR="004D03C1" w:rsidRPr="0042750D" w14:paraId="4E8F5C1C" w14:textId="77777777" w:rsidTr="004D03C1">
        <w:trPr>
          <w:cantSplit/>
          <w:jc w:val="center"/>
        </w:trPr>
        <w:tc>
          <w:tcPr>
            <w:tcW w:w="911" w:type="dxa"/>
            <w:vMerge/>
            <w:shd w:val="clear" w:color="auto" w:fill="auto"/>
          </w:tcPr>
          <w:p w14:paraId="0D0267A3" w14:textId="77777777" w:rsidR="004D03C1" w:rsidRPr="0042750D" w:rsidRDefault="004D03C1" w:rsidP="00D561F2">
            <w:pPr>
              <w:pStyle w:val="Tabletext"/>
              <w:rPr>
                <w:b/>
                <w:bCs/>
                <w:sz w:val="24"/>
                <w:szCs w:val="24"/>
              </w:rPr>
            </w:pPr>
          </w:p>
        </w:tc>
        <w:tc>
          <w:tcPr>
            <w:tcW w:w="8921" w:type="dxa"/>
            <w:gridSpan w:val="4"/>
            <w:tcBorders>
              <w:top w:val="single" w:sz="12" w:space="0" w:color="auto"/>
            </w:tcBorders>
            <w:shd w:val="clear" w:color="auto" w:fill="auto"/>
          </w:tcPr>
          <w:p w14:paraId="3375F045" w14:textId="77777777" w:rsidR="004D03C1" w:rsidRPr="0042750D" w:rsidRDefault="004D03C1" w:rsidP="004D03C1">
            <w:pPr>
              <w:pStyle w:val="Tabletext"/>
              <w:rPr>
                <w:bCs/>
                <w:sz w:val="24"/>
                <w:szCs w:val="24"/>
              </w:rPr>
            </w:pPr>
          </w:p>
        </w:tc>
      </w:tr>
      <w:tr w:rsidR="004D03C1" w:rsidRPr="0042750D" w14:paraId="2645BFF5"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B349784" w14:textId="609156F4" w:rsidR="004D03C1" w:rsidRPr="0042750D" w:rsidRDefault="004D03C1" w:rsidP="00D561F2">
            <w:pPr>
              <w:pStyle w:val="Tabletext"/>
              <w:rPr>
                <w:b/>
                <w:bCs/>
                <w:sz w:val="24"/>
                <w:szCs w:val="24"/>
              </w:rPr>
            </w:pPr>
            <w:r w:rsidRPr="0042750D">
              <w:rPr>
                <w:b/>
                <w:bCs/>
                <w:sz w:val="24"/>
                <w:szCs w:val="24"/>
              </w:rPr>
              <w:t>130-04</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3F22ABA2" w14:textId="6E6C1125" w:rsidR="004D03C1" w:rsidRPr="0042750D" w:rsidRDefault="004D03C1" w:rsidP="004D03C1">
            <w:pPr>
              <w:pStyle w:val="Tabletext"/>
              <w:rPr>
                <w:b/>
                <w:bCs/>
                <w:sz w:val="24"/>
                <w:szCs w:val="24"/>
              </w:rPr>
            </w:pPr>
            <w:r w:rsidRPr="0042750D">
              <w:rPr>
                <w:b/>
                <w:bCs/>
                <w:sz w:val="24"/>
                <w:szCs w:val="24"/>
              </w:rPr>
              <w:t>TSBDir to raise awareness on the activities carried out within ITU</w:t>
            </w:r>
            <w:r w:rsidR="00E270B9" w:rsidRPr="0042750D">
              <w:rPr>
                <w:b/>
                <w:bCs/>
                <w:sz w:val="24"/>
                <w:szCs w:val="24"/>
              </w:rPr>
              <w:t>-T</w:t>
            </w:r>
            <w:r w:rsidRPr="0042750D">
              <w:rPr>
                <w:b/>
                <w:bCs/>
                <w:sz w:val="24"/>
                <w:szCs w:val="24"/>
              </w:rPr>
              <w:t xml:space="preserve"> and other relevant entities involved in strengthening cybersecurity</w:t>
            </w:r>
            <w:r w:rsidR="00873C7F" w:rsidRPr="0042750D">
              <w:rPr>
                <w:b/>
                <w:bCs/>
                <w:sz w:val="24"/>
                <w:szCs w:val="24"/>
              </w:rPr>
              <w:t xml:space="preserve"> (</w:t>
            </w:r>
            <w:r w:rsidR="00873C7F" w:rsidRPr="0042750D">
              <w:rPr>
                <w:b/>
                <w:bCs/>
                <w:i/>
                <w:sz w:val="24"/>
                <w:szCs w:val="24"/>
              </w:rPr>
              <w:t>instructs 4</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01F3594" w14:textId="77777777" w:rsidR="004D03C1" w:rsidRPr="0042750D" w:rsidRDefault="004D03C1" w:rsidP="004D03C1">
            <w:pPr>
              <w:pStyle w:val="Tabletext"/>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85737E5" w14:textId="5304FF3C" w:rsidR="004D03C1" w:rsidRPr="0042750D" w:rsidRDefault="007F355A" w:rsidP="004D03C1">
            <w:pPr>
              <w:pStyle w:val="Tabletext"/>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050830D3" w14:textId="77777777" w:rsidR="004D03C1" w:rsidRPr="0042750D" w:rsidRDefault="004D03C1" w:rsidP="004D03C1">
            <w:pPr>
              <w:pStyle w:val="Tabletext"/>
              <w:jc w:val="center"/>
              <w:rPr>
                <w:b/>
                <w:bCs/>
                <w:sz w:val="24"/>
                <w:szCs w:val="24"/>
              </w:rPr>
            </w:pPr>
          </w:p>
        </w:tc>
      </w:tr>
      <w:tr w:rsidR="004D03C1" w:rsidRPr="0042750D" w14:paraId="528C0A6E"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2D1D836B" w14:textId="77777777" w:rsidR="004D03C1" w:rsidRPr="0042750D" w:rsidRDefault="004D03C1" w:rsidP="00D561F2">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0378F643" w14:textId="7634FC69" w:rsidR="004D03C1" w:rsidRPr="0042750D" w:rsidRDefault="00D41C84" w:rsidP="00456CCC">
            <w:pPr>
              <w:pStyle w:val="Tabletext"/>
              <w:rPr>
                <w:bCs/>
                <w:sz w:val="24"/>
                <w:szCs w:val="24"/>
              </w:rPr>
            </w:pPr>
            <w:r w:rsidRPr="0042750D">
              <w:t xml:space="preserve">ITU-T </w:t>
            </w:r>
            <w:r w:rsidR="00931A29" w:rsidRPr="0042750D">
              <w:t>SG17 organized a series of ITU workshop</w:t>
            </w:r>
            <w:r w:rsidRPr="0042750D">
              <w:t>s</w:t>
            </w:r>
            <w:r w:rsidR="00931A29" w:rsidRPr="0042750D">
              <w:t xml:space="preserve"> on security aspects of new emerging technologies and applications, such as Blockchain (Mar</w:t>
            </w:r>
            <w:r w:rsidRPr="0042750D">
              <w:t>ch</w:t>
            </w:r>
            <w:r w:rsidR="00931A29" w:rsidRPr="0042750D">
              <w:t xml:space="preserve"> 2017), ITS (Aug</w:t>
            </w:r>
            <w:r w:rsidRPr="0042750D">
              <w:t>ust</w:t>
            </w:r>
            <w:r w:rsidR="00931A29" w:rsidRPr="0042750D">
              <w:t xml:space="preserve"> 2017), 5G security (Mar</w:t>
            </w:r>
            <w:r w:rsidRPr="0042750D">
              <w:t xml:space="preserve">ch </w:t>
            </w:r>
            <w:r w:rsidR="00931A29" w:rsidRPr="0042750D">
              <w:t>2018), Advanced Cybersecurity Attacks and Ransomware (Aug</w:t>
            </w:r>
            <w:r w:rsidRPr="0042750D">
              <w:t>ust</w:t>
            </w:r>
            <w:r w:rsidR="00931A29" w:rsidRPr="0042750D">
              <w:t xml:space="preserve"> 2018), AI/Machine learning (Jan</w:t>
            </w:r>
            <w:r w:rsidRPr="0042750D">
              <w:t>uary</w:t>
            </w:r>
            <w:r w:rsidR="00931A29" w:rsidRPr="0042750D">
              <w:t xml:space="preserve"> 2019)</w:t>
            </w:r>
            <w:r w:rsidR="00BD567C" w:rsidRPr="0042750D">
              <w:t>,</w:t>
            </w:r>
            <w:r w:rsidR="00931A29" w:rsidRPr="0042750D">
              <w:t xml:space="preserve"> Fintech (Aug</w:t>
            </w:r>
            <w:r w:rsidRPr="0042750D">
              <w:t>ust</w:t>
            </w:r>
            <w:r w:rsidR="00931A29" w:rsidRPr="0042750D">
              <w:t xml:space="preserve"> 2019) </w:t>
            </w:r>
            <w:r w:rsidR="00BD567C" w:rsidRPr="0042750D">
              <w:t xml:space="preserve">and quantum key distribution (August 2019). </w:t>
            </w:r>
            <w:r w:rsidRPr="0042750D">
              <w:t>O</w:t>
            </w:r>
            <w:r w:rsidR="00931A29" w:rsidRPr="0042750D">
              <w:t xml:space="preserve">n </w:t>
            </w:r>
            <w:r w:rsidRPr="0042750D">
              <w:t xml:space="preserve">the </w:t>
            </w:r>
            <w:r w:rsidR="00931A29" w:rsidRPr="0042750D">
              <w:t>average ~100 participants including from developing count</w:t>
            </w:r>
            <w:r w:rsidRPr="0042750D">
              <w:t>ries participated in each of tho</w:t>
            </w:r>
            <w:r w:rsidR="00931A29" w:rsidRPr="0042750D">
              <w:t>se workshops.</w:t>
            </w:r>
          </w:p>
        </w:tc>
      </w:tr>
      <w:tr w:rsidR="004D03C1" w:rsidRPr="0042750D" w14:paraId="054ECFAA"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3E682B3E" w14:textId="69EB5A0A" w:rsidR="004D03C1" w:rsidRPr="0042750D" w:rsidRDefault="004D03C1" w:rsidP="00775B4B">
            <w:pPr>
              <w:pStyle w:val="Tabletext"/>
              <w:keepNext/>
              <w:keepLines/>
              <w:rPr>
                <w:b/>
                <w:bCs/>
                <w:sz w:val="24"/>
                <w:szCs w:val="24"/>
              </w:rPr>
            </w:pPr>
            <w:r w:rsidRPr="0042750D">
              <w:rPr>
                <w:b/>
                <w:bCs/>
                <w:sz w:val="24"/>
                <w:szCs w:val="24"/>
              </w:rPr>
              <w:t>130-05</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0FE2FCCB" w14:textId="23BB6E95" w:rsidR="004D03C1" w:rsidRPr="0042750D" w:rsidRDefault="004D03C1" w:rsidP="004D03C1">
            <w:pPr>
              <w:pStyle w:val="Tabletext"/>
              <w:rPr>
                <w:b/>
                <w:bCs/>
                <w:sz w:val="24"/>
                <w:szCs w:val="24"/>
              </w:rPr>
            </w:pPr>
            <w:r w:rsidRPr="0042750D">
              <w:rPr>
                <w:b/>
                <w:bCs/>
                <w:sz w:val="24"/>
                <w:szCs w:val="24"/>
              </w:rPr>
              <w:t>TSBDir to intensify work within existing ITU-T study groups</w:t>
            </w:r>
            <w:r w:rsidR="00873C7F" w:rsidRPr="0042750D">
              <w:rPr>
                <w:b/>
                <w:bCs/>
                <w:sz w:val="24"/>
                <w:szCs w:val="24"/>
              </w:rPr>
              <w:t xml:space="preserve"> (</w:t>
            </w:r>
            <w:r w:rsidR="00873C7F" w:rsidRPr="0042750D">
              <w:rPr>
                <w:b/>
                <w:bCs/>
                <w:i/>
                <w:sz w:val="24"/>
                <w:szCs w:val="24"/>
              </w:rPr>
              <w:t>instructs 1</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1208B291" w14:textId="77777777" w:rsidR="004D03C1" w:rsidRPr="0042750D" w:rsidRDefault="004D03C1" w:rsidP="004D03C1">
            <w:pPr>
              <w:pStyle w:val="Tabletext"/>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72B72EB4" w14:textId="4D8AFC28" w:rsidR="004D03C1" w:rsidRPr="0042750D" w:rsidRDefault="00993828" w:rsidP="004D03C1">
            <w:pPr>
              <w:pStyle w:val="Tabletext"/>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78879AE9" w14:textId="77777777" w:rsidR="004D03C1" w:rsidRPr="0042750D" w:rsidRDefault="004D03C1" w:rsidP="004D03C1">
            <w:pPr>
              <w:pStyle w:val="Tabletext"/>
              <w:jc w:val="center"/>
              <w:rPr>
                <w:b/>
                <w:bCs/>
                <w:sz w:val="24"/>
                <w:szCs w:val="24"/>
              </w:rPr>
            </w:pPr>
          </w:p>
        </w:tc>
      </w:tr>
      <w:tr w:rsidR="004D03C1" w:rsidRPr="0042750D" w14:paraId="4125155D"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2030A23E" w14:textId="77777777" w:rsidR="004D03C1" w:rsidRPr="0042750D" w:rsidRDefault="004D03C1" w:rsidP="004D03C1">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6024480" w14:textId="77777777" w:rsidR="004D03C1" w:rsidRPr="0042750D" w:rsidRDefault="00993828" w:rsidP="00456CCC">
            <w:pPr>
              <w:pStyle w:val="ListParagraph"/>
              <w:numPr>
                <w:ilvl w:val="0"/>
                <w:numId w:val="5"/>
              </w:numPr>
              <w:spacing w:before="40" w:after="40"/>
              <w:ind w:left="357" w:hanging="357"/>
              <w:contextualSpacing w:val="0"/>
              <w:rPr>
                <w:bCs/>
                <w:szCs w:val="22"/>
              </w:rPr>
            </w:pPr>
            <w:r w:rsidRPr="0042750D">
              <w:rPr>
                <w:bCs/>
                <w:szCs w:val="22"/>
              </w:rPr>
              <w:t xml:space="preserve">SG3 is studying in work item D.DigID Guidelines for digital identity, and in work item D.princip_bigdata </w:t>
            </w:r>
            <w:r w:rsidR="00E57445" w:rsidRPr="0042750D">
              <w:rPr>
                <w:bCs/>
                <w:szCs w:val="22"/>
              </w:rPr>
              <w:t>a framework and principles for data protection in the context of big data relating to international telecommunication services.</w:t>
            </w:r>
          </w:p>
          <w:p w14:paraId="205D94E0" w14:textId="08AE195D" w:rsidR="00683AAC" w:rsidRPr="0042750D" w:rsidRDefault="00683AAC" w:rsidP="008C7A96">
            <w:pPr>
              <w:pStyle w:val="ListParagraph"/>
              <w:numPr>
                <w:ilvl w:val="0"/>
                <w:numId w:val="5"/>
              </w:numPr>
              <w:spacing w:after="40"/>
              <w:ind w:left="357" w:hanging="357"/>
              <w:contextualSpacing w:val="0"/>
              <w:rPr>
                <w:bCs/>
                <w:szCs w:val="22"/>
              </w:rPr>
            </w:pPr>
            <w:r w:rsidRPr="0042750D">
              <w:rPr>
                <w:bCs/>
                <w:szCs w:val="22"/>
              </w:rPr>
              <w:t>SG20 is working on draft Recommendations ITU-T Y.Data.Sec.IoT-Dev “Requirements of data security for the heterogeneous IoT devices”, Y.FW.IC.MDSC “Framework of identification and connectivity of moving devices in smart city”, Y.IoT-Ath-SC “Framework of IoT-devices authentication in smart city”, Y.IoT-CSIADE-fw “Reference framework of converged service for identification and authentication for IoT devices in decentralized environment”, and Y.IoT-IoD-PT “Identity of IoT devices based on secure procedures to enhance trust of IoT systems”.</w:t>
            </w:r>
          </w:p>
        </w:tc>
      </w:tr>
      <w:tr w:rsidR="004D03C1" w:rsidRPr="0042750D" w14:paraId="38246299"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07CF7BF" w14:textId="5443CCE8" w:rsidR="004D03C1" w:rsidRPr="0042750D" w:rsidRDefault="004D03C1" w:rsidP="00171308">
            <w:pPr>
              <w:pStyle w:val="Tabletext"/>
              <w:rPr>
                <w:b/>
                <w:bCs/>
                <w:sz w:val="24"/>
                <w:szCs w:val="24"/>
              </w:rPr>
            </w:pPr>
            <w:r w:rsidRPr="0042750D">
              <w:rPr>
                <w:b/>
                <w:bCs/>
                <w:sz w:val="24"/>
                <w:szCs w:val="24"/>
              </w:rPr>
              <w:t>130-06</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D10FA01" w14:textId="494A9CF2" w:rsidR="004D03C1" w:rsidRPr="0042750D" w:rsidRDefault="004D03C1" w:rsidP="004D03C1">
            <w:pPr>
              <w:pStyle w:val="Tabletext"/>
              <w:rPr>
                <w:b/>
                <w:bCs/>
                <w:sz w:val="24"/>
                <w:szCs w:val="24"/>
              </w:rPr>
            </w:pPr>
            <w:r w:rsidRPr="0042750D">
              <w:rPr>
                <w:b/>
                <w:bCs/>
                <w:sz w:val="24"/>
                <w:szCs w:val="24"/>
              </w:rPr>
              <w:t>TSBDir to facilitate access to tools and resources</w:t>
            </w:r>
            <w:r w:rsidR="00873C7F" w:rsidRPr="0042750D">
              <w:rPr>
                <w:b/>
                <w:bCs/>
                <w:sz w:val="24"/>
                <w:szCs w:val="24"/>
              </w:rPr>
              <w:t xml:space="preserve"> </w:t>
            </w:r>
            <w:r w:rsidR="00992C59" w:rsidRPr="0042750D">
              <w:rPr>
                <w:b/>
                <w:bCs/>
                <w:sz w:val="24"/>
                <w:szCs w:val="24"/>
              </w:rPr>
              <w:t xml:space="preserve">required for enhancing confidence and security in the use of ICTs for all Member States, consistent with WSIS provisions on universal and non-discriminatory access to ICTs for all nations </w:t>
            </w:r>
            <w:r w:rsidR="00873C7F" w:rsidRPr="0042750D">
              <w:rPr>
                <w:b/>
                <w:bCs/>
                <w:sz w:val="24"/>
                <w:szCs w:val="24"/>
              </w:rPr>
              <w:t>(</w:t>
            </w:r>
            <w:r w:rsidR="00873C7F" w:rsidRPr="0042750D">
              <w:rPr>
                <w:b/>
                <w:bCs/>
                <w:i/>
                <w:sz w:val="24"/>
                <w:szCs w:val="24"/>
              </w:rPr>
              <w:t>instructs 5</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7F53C4F0" w14:textId="77777777" w:rsidR="004D03C1" w:rsidRPr="0042750D" w:rsidRDefault="004D03C1" w:rsidP="004D03C1">
            <w:pPr>
              <w:pStyle w:val="Tabletext"/>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BB71D74" w14:textId="694E41F5" w:rsidR="004D03C1" w:rsidRPr="0042750D" w:rsidRDefault="00E064A9" w:rsidP="004D03C1">
            <w:pPr>
              <w:pStyle w:val="Tabletext"/>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4AF1C521" w14:textId="77777777" w:rsidR="004D03C1" w:rsidRPr="0042750D" w:rsidRDefault="004D03C1" w:rsidP="004D03C1">
            <w:pPr>
              <w:pStyle w:val="Tabletext"/>
              <w:jc w:val="center"/>
              <w:rPr>
                <w:b/>
                <w:bCs/>
                <w:sz w:val="24"/>
                <w:szCs w:val="24"/>
              </w:rPr>
            </w:pPr>
          </w:p>
        </w:tc>
      </w:tr>
      <w:tr w:rsidR="004D03C1" w:rsidRPr="0042750D" w14:paraId="0B139EA2"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2E2E32BA" w14:textId="77777777" w:rsidR="004D03C1" w:rsidRPr="0042750D"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387F6A09" w14:textId="7318BCAF" w:rsidR="004D03C1" w:rsidRPr="0042750D" w:rsidRDefault="00627C43" w:rsidP="00627C43">
            <w:pPr>
              <w:pStyle w:val="Tabletext"/>
              <w:rPr>
                <w:bCs/>
                <w:szCs w:val="22"/>
              </w:rPr>
            </w:pPr>
            <w:r w:rsidRPr="0042750D">
              <w:rPr>
                <w:bCs/>
                <w:szCs w:val="22"/>
              </w:rPr>
              <w:t xml:space="preserve">SG17 developed over years an ICT security standard database for public access which includes 2600 existing and ongoing ICT Security Standards from 13 key SDOs, including </w:t>
            </w:r>
            <w:r w:rsidR="00A12DAA" w:rsidRPr="0042750D">
              <w:rPr>
                <w:bCs/>
                <w:szCs w:val="22"/>
              </w:rPr>
              <w:t xml:space="preserve">3GPP, </w:t>
            </w:r>
            <w:r w:rsidRPr="0042750D">
              <w:rPr>
                <w:bCs/>
                <w:szCs w:val="22"/>
              </w:rPr>
              <w:t>ATIS, ETSI, IEEE, IETF, ISO/IEC JTC 1, ITU, OASIS, OneM2M,etc.</w:t>
            </w:r>
          </w:p>
        </w:tc>
      </w:tr>
      <w:tr w:rsidR="004D03C1" w:rsidRPr="0042750D" w14:paraId="6C5A1236"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30984C24" w14:textId="12367324" w:rsidR="004D03C1" w:rsidRPr="0042750D" w:rsidRDefault="004D03C1" w:rsidP="00171308">
            <w:pPr>
              <w:pStyle w:val="Tabletext"/>
              <w:rPr>
                <w:b/>
                <w:bCs/>
                <w:sz w:val="24"/>
                <w:szCs w:val="24"/>
              </w:rPr>
            </w:pPr>
            <w:r w:rsidRPr="0042750D">
              <w:rPr>
                <w:b/>
                <w:bCs/>
                <w:sz w:val="24"/>
                <w:szCs w:val="24"/>
              </w:rPr>
              <w:t>130-07</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CB1C8DB" w14:textId="05C7F9D4" w:rsidR="004D03C1" w:rsidRPr="0042750D" w:rsidRDefault="004D03C1" w:rsidP="004D03C1">
            <w:pPr>
              <w:pStyle w:val="Tabletext"/>
              <w:rPr>
                <w:b/>
                <w:bCs/>
                <w:sz w:val="24"/>
                <w:szCs w:val="24"/>
              </w:rPr>
            </w:pPr>
            <w:r w:rsidRPr="0042750D">
              <w:rPr>
                <w:b/>
                <w:bCs/>
                <w:sz w:val="24"/>
                <w:szCs w:val="24"/>
              </w:rPr>
              <w:t>TSBDir to continue</w:t>
            </w:r>
            <w:r w:rsidR="00E270B9" w:rsidRPr="0042750D">
              <w:rPr>
                <w:b/>
                <w:bCs/>
                <w:sz w:val="24"/>
                <w:szCs w:val="24"/>
              </w:rPr>
              <w:t xml:space="preserve"> contributing</w:t>
            </w:r>
            <w:r w:rsidRPr="0042750D">
              <w:rPr>
                <w:b/>
                <w:bCs/>
                <w:sz w:val="24"/>
                <w:szCs w:val="24"/>
              </w:rPr>
              <w:t xml:space="preserve"> knowledge and information sharing of existing and future national, regional and international cybersecurity-related initiatives worldwide through the ITU cybersecurity webpage</w:t>
            </w:r>
            <w:r w:rsidR="00873C7F" w:rsidRPr="0042750D">
              <w:rPr>
                <w:b/>
                <w:bCs/>
                <w:sz w:val="24"/>
                <w:szCs w:val="24"/>
              </w:rPr>
              <w:t xml:space="preserve"> (</w:t>
            </w:r>
            <w:r w:rsidR="00873C7F" w:rsidRPr="0042750D">
              <w:rPr>
                <w:b/>
                <w:bCs/>
                <w:i/>
                <w:sz w:val="24"/>
                <w:szCs w:val="24"/>
              </w:rPr>
              <w:t>instructs 6</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B7343BD" w14:textId="77777777" w:rsidR="004D03C1" w:rsidRPr="0042750D" w:rsidRDefault="004D03C1" w:rsidP="004D03C1">
            <w:pPr>
              <w:pStyle w:val="Tabletext"/>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FFA7CC1" w14:textId="445A057E" w:rsidR="004D03C1" w:rsidRPr="0042750D" w:rsidRDefault="006E6AD8" w:rsidP="004D03C1">
            <w:pPr>
              <w:pStyle w:val="Tabletext"/>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790E2CF" w14:textId="77777777" w:rsidR="004D03C1" w:rsidRPr="0042750D" w:rsidRDefault="004D03C1" w:rsidP="004D03C1">
            <w:pPr>
              <w:pStyle w:val="Tabletext"/>
              <w:jc w:val="center"/>
              <w:rPr>
                <w:b/>
                <w:bCs/>
                <w:sz w:val="24"/>
                <w:szCs w:val="24"/>
              </w:rPr>
            </w:pPr>
          </w:p>
        </w:tc>
      </w:tr>
      <w:tr w:rsidR="004D03C1" w:rsidRPr="0042750D" w14:paraId="095D9FCD"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72CB4840" w14:textId="77777777" w:rsidR="004D03C1" w:rsidRPr="0042750D"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B55E5CC" w14:textId="3F60BD74" w:rsidR="004D03C1" w:rsidRPr="0042750D" w:rsidRDefault="00F773FE" w:rsidP="006E6AD8">
            <w:pPr>
              <w:pStyle w:val="Tabletext"/>
              <w:rPr>
                <w:bCs/>
                <w:szCs w:val="22"/>
              </w:rPr>
            </w:pPr>
            <w:r w:rsidRPr="0042750D">
              <w:rPr>
                <w:bCs/>
                <w:szCs w:val="22"/>
              </w:rPr>
              <w:t xml:space="preserve">Q4/17 developed 20+ Recommendations on </w:t>
            </w:r>
            <w:hyperlink r:id="rId49" w:history="1">
              <w:r w:rsidR="00A4030C" w:rsidRPr="0042750D">
                <w:rPr>
                  <w:rStyle w:val="Hyperlink"/>
                  <w:bCs/>
                  <w:szCs w:val="22"/>
                </w:rPr>
                <w:t>cybersecurity information exchange</w:t>
              </w:r>
            </w:hyperlink>
            <w:r w:rsidR="00A4030C" w:rsidRPr="0042750D">
              <w:rPr>
                <w:bCs/>
                <w:szCs w:val="22"/>
              </w:rPr>
              <w:t xml:space="preserve"> </w:t>
            </w:r>
            <w:r w:rsidRPr="0042750D">
              <w:rPr>
                <w:bCs/>
                <w:szCs w:val="22"/>
              </w:rPr>
              <w:t xml:space="preserve">(CYBEX), which contribute to the capacity building of </w:t>
            </w:r>
            <w:r w:rsidR="001F41C0" w:rsidRPr="0042750D">
              <w:rPr>
                <w:bCs/>
                <w:szCs w:val="22"/>
              </w:rPr>
              <w:t xml:space="preserve">CIRTs </w:t>
            </w:r>
            <w:r w:rsidRPr="0042750D">
              <w:rPr>
                <w:bCs/>
                <w:szCs w:val="22"/>
              </w:rPr>
              <w:t xml:space="preserve">and </w:t>
            </w:r>
            <w:r w:rsidR="001F41C0" w:rsidRPr="0042750D">
              <w:rPr>
                <w:bCs/>
                <w:szCs w:val="22"/>
              </w:rPr>
              <w:t xml:space="preserve">facilitate the security </w:t>
            </w:r>
            <w:r w:rsidRPr="0042750D">
              <w:rPr>
                <w:bCs/>
                <w:szCs w:val="22"/>
              </w:rPr>
              <w:t>information sharing among</w:t>
            </w:r>
            <w:r w:rsidR="001F41C0" w:rsidRPr="0042750D">
              <w:rPr>
                <w:bCs/>
                <w:szCs w:val="22"/>
              </w:rPr>
              <w:t xml:space="preserve"> them</w:t>
            </w:r>
            <w:r w:rsidRPr="0042750D">
              <w:rPr>
                <w:bCs/>
                <w:szCs w:val="22"/>
              </w:rPr>
              <w:t>.</w:t>
            </w:r>
          </w:p>
        </w:tc>
      </w:tr>
      <w:tr w:rsidR="004D03C1" w:rsidRPr="0042750D" w14:paraId="4A20257B"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4D8B073F" w14:textId="3CAAEF4F" w:rsidR="004D03C1" w:rsidRPr="0042750D" w:rsidRDefault="004D03C1" w:rsidP="00DC44BF">
            <w:pPr>
              <w:pStyle w:val="Tabletext"/>
              <w:keepNext/>
              <w:keepLines/>
              <w:rPr>
                <w:b/>
                <w:bCs/>
                <w:sz w:val="24"/>
                <w:szCs w:val="24"/>
              </w:rPr>
            </w:pPr>
            <w:r w:rsidRPr="0042750D">
              <w:rPr>
                <w:b/>
                <w:bCs/>
                <w:sz w:val="24"/>
                <w:szCs w:val="24"/>
              </w:rPr>
              <w:t>130-0</w:t>
            </w:r>
            <w:r w:rsidR="00E270B9" w:rsidRPr="0042750D">
              <w:rPr>
                <w:b/>
                <w:bCs/>
                <w:sz w:val="24"/>
                <w:szCs w:val="24"/>
              </w:rPr>
              <w:t>8</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432312EE" w14:textId="54CA45D5" w:rsidR="004D03C1" w:rsidRPr="0042750D" w:rsidRDefault="004D03C1" w:rsidP="00DC44BF">
            <w:pPr>
              <w:pStyle w:val="Tabletext"/>
              <w:keepNext/>
              <w:keepLines/>
              <w:rPr>
                <w:b/>
                <w:bCs/>
                <w:sz w:val="24"/>
                <w:szCs w:val="24"/>
              </w:rPr>
            </w:pPr>
            <w:r w:rsidRPr="0042750D">
              <w:rPr>
                <w:b/>
                <w:bCs/>
                <w:sz w:val="24"/>
                <w:szCs w:val="24"/>
              </w:rPr>
              <w:t>TSBDir to further enhance coordination between the study groups and programmes concerned</w:t>
            </w:r>
            <w:r w:rsidR="00873C7F" w:rsidRPr="0042750D">
              <w:rPr>
                <w:b/>
                <w:bCs/>
                <w:sz w:val="24"/>
                <w:szCs w:val="24"/>
              </w:rPr>
              <w:t xml:space="preserve"> (</w:t>
            </w:r>
            <w:r w:rsidR="00873C7F" w:rsidRPr="0042750D">
              <w:rPr>
                <w:b/>
                <w:bCs/>
                <w:i/>
                <w:sz w:val="24"/>
                <w:szCs w:val="24"/>
              </w:rPr>
              <w:t>instructs 8</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39A1DF6" w14:textId="77777777" w:rsidR="004D03C1" w:rsidRPr="0042750D" w:rsidRDefault="004D03C1" w:rsidP="00DC44BF">
            <w:pPr>
              <w:pStyle w:val="Tabletext"/>
              <w:keepNext/>
              <w:keepLines/>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A7C369E" w14:textId="05DF67B6" w:rsidR="004D03C1" w:rsidRPr="0042750D" w:rsidRDefault="00423F43" w:rsidP="00DC44BF">
            <w:pPr>
              <w:pStyle w:val="Tabletext"/>
              <w:keepNext/>
              <w:keepLines/>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4A48137B" w14:textId="77777777" w:rsidR="004D03C1" w:rsidRPr="0042750D" w:rsidRDefault="004D03C1" w:rsidP="00DC44BF">
            <w:pPr>
              <w:pStyle w:val="Tabletext"/>
              <w:keepNext/>
              <w:keepLines/>
              <w:jc w:val="center"/>
              <w:rPr>
                <w:b/>
                <w:bCs/>
                <w:sz w:val="24"/>
                <w:szCs w:val="24"/>
              </w:rPr>
            </w:pPr>
          </w:p>
        </w:tc>
      </w:tr>
      <w:tr w:rsidR="004D03C1" w:rsidRPr="0042750D" w14:paraId="62C32396"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32AF79CF" w14:textId="77777777" w:rsidR="004D03C1" w:rsidRPr="0042750D" w:rsidRDefault="004D03C1" w:rsidP="00DC44BF">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465DC59" w14:textId="170B731F" w:rsidR="004D03C1" w:rsidRPr="0042750D" w:rsidRDefault="00627C43" w:rsidP="005C2248">
            <w:pPr>
              <w:pStyle w:val="Tabletext"/>
              <w:keepNext/>
              <w:keepLines/>
              <w:rPr>
                <w:bCs/>
                <w:szCs w:val="22"/>
              </w:rPr>
            </w:pPr>
            <w:r w:rsidRPr="0042750D">
              <w:rPr>
                <w:bCs/>
                <w:szCs w:val="22"/>
              </w:rPr>
              <w:t xml:space="preserve">SG17 has </w:t>
            </w:r>
            <w:r w:rsidR="005C2248" w:rsidRPr="0042750D">
              <w:rPr>
                <w:bCs/>
                <w:szCs w:val="22"/>
              </w:rPr>
              <w:t>two</w:t>
            </w:r>
            <w:r w:rsidRPr="0042750D">
              <w:rPr>
                <w:bCs/>
                <w:szCs w:val="22"/>
              </w:rPr>
              <w:t xml:space="preserve"> Joint Coordination Actitivit</w:t>
            </w:r>
            <w:r w:rsidR="005C2248" w:rsidRPr="0042750D">
              <w:rPr>
                <w:bCs/>
                <w:szCs w:val="22"/>
              </w:rPr>
              <w:t>ies (JCAs): one</w:t>
            </w:r>
            <w:r w:rsidRPr="0042750D">
              <w:rPr>
                <w:bCs/>
                <w:szCs w:val="22"/>
              </w:rPr>
              <w:t xml:space="preserve"> on identity management and another </w:t>
            </w:r>
            <w:r w:rsidR="005C2248" w:rsidRPr="0042750D">
              <w:rPr>
                <w:bCs/>
                <w:szCs w:val="22"/>
              </w:rPr>
              <w:t>one</w:t>
            </w:r>
            <w:r w:rsidRPr="0042750D">
              <w:rPr>
                <w:bCs/>
                <w:szCs w:val="22"/>
              </w:rPr>
              <w:t xml:space="preserve"> on child online protection.</w:t>
            </w:r>
          </w:p>
        </w:tc>
      </w:tr>
      <w:tr w:rsidR="004D03C1" w:rsidRPr="0042750D" w14:paraId="3315EBBD"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1D6D1C4" w14:textId="0EF5E26A" w:rsidR="004D03C1" w:rsidRPr="0042750D" w:rsidRDefault="004D03C1" w:rsidP="004D03C1">
            <w:pPr>
              <w:pStyle w:val="Tabletext"/>
              <w:rPr>
                <w:b/>
                <w:bCs/>
                <w:sz w:val="24"/>
                <w:szCs w:val="24"/>
              </w:rPr>
            </w:pPr>
            <w:r w:rsidRPr="0042750D">
              <w:rPr>
                <w:b/>
                <w:bCs/>
                <w:sz w:val="24"/>
                <w:szCs w:val="24"/>
              </w:rPr>
              <w:t>130-</w:t>
            </w:r>
            <w:r w:rsidR="00E270B9" w:rsidRPr="0042750D">
              <w:rPr>
                <w:b/>
                <w:bCs/>
                <w:sz w:val="24"/>
                <w:szCs w:val="24"/>
              </w:rPr>
              <w:t>09</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337CFDC9" w14:textId="622DBE01" w:rsidR="004D03C1" w:rsidRPr="0042750D" w:rsidRDefault="004D03C1" w:rsidP="00873C7F">
            <w:pPr>
              <w:pStyle w:val="Tabletext"/>
              <w:rPr>
                <w:b/>
                <w:bCs/>
                <w:sz w:val="24"/>
                <w:szCs w:val="24"/>
              </w:rPr>
            </w:pPr>
            <w:r w:rsidRPr="0042750D">
              <w:rPr>
                <w:b/>
                <w:bCs/>
                <w:sz w:val="24"/>
                <w:szCs w:val="24"/>
              </w:rPr>
              <w:t xml:space="preserve">TSBDir </w:t>
            </w:r>
            <w:r w:rsidR="00E270B9" w:rsidRPr="0042750D">
              <w:rPr>
                <w:b/>
                <w:bCs/>
                <w:sz w:val="24"/>
                <w:szCs w:val="24"/>
              </w:rPr>
              <w:t xml:space="preserve">to </w:t>
            </w:r>
            <w:r w:rsidRPr="0042750D">
              <w:rPr>
                <w:b/>
                <w:bCs/>
                <w:sz w:val="24"/>
                <w:szCs w:val="24"/>
              </w:rPr>
              <w:t>promot</w:t>
            </w:r>
            <w:r w:rsidR="00E270B9" w:rsidRPr="0042750D">
              <w:rPr>
                <w:b/>
                <w:bCs/>
                <w:sz w:val="24"/>
                <w:szCs w:val="24"/>
              </w:rPr>
              <w:t>e</w:t>
            </w:r>
            <w:r w:rsidRPr="0042750D">
              <w:rPr>
                <w:b/>
                <w:bCs/>
                <w:sz w:val="24"/>
                <w:szCs w:val="24"/>
              </w:rPr>
              <w:t xml:space="preserve"> a culture in which security is seen as a continuous and iterative process, and to make proposals to the Council as appropriate</w:t>
            </w:r>
            <w:r w:rsidR="00873C7F" w:rsidRPr="0042750D">
              <w:rPr>
                <w:b/>
                <w:bCs/>
                <w:sz w:val="24"/>
                <w:szCs w:val="24"/>
              </w:rPr>
              <w:t xml:space="preserve"> (</w:t>
            </w:r>
            <w:r w:rsidR="00873C7F" w:rsidRPr="0042750D">
              <w:rPr>
                <w:b/>
                <w:bCs/>
                <w:i/>
                <w:sz w:val="24"/>
                <w:szCs w:val="24"/>
              </w:rPr>
              <w:t>resolves 4</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5D20D2A6" w14:textId="5754FBC4" w:rsidR="004D03C1" w:rsidRPr="0042750D" w:rsidRDefault="004D03C1" w:rsidP="004D03C1">
            <w:pPr>
              <w:pStyle w:val="Tabletext"/>
              <w:jc w:val="center"/>
              <w:rPr>
                <w:b/>
                <w:bCs/>
                <w:sz w:val="24"/>
                <w:szCs w:val="24"/>
              </w:rPr>
            </w:pPr>
            <w:r w:rsidRPr="0042750D">
              <w:rPr>
                <w:b/>
                <w:bCs/>
                <w:sz w:val="24"/>
                <w:szCs w:val="24"/>
              </w:rPr>
              <w:t>Ongoing</w:t>
            </w:r>
            <w:r w:rsidR="00E270B9" w:rsidRPr="0042750D">
              <w:rPr>
                <w:b/>
                <w:bCs/>
                <w:sz w:val="24"/>
                <w:szCs w:val="24"/>
              </w:rPr>
              <w:t>, Council</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F3E00D9" w14:textId="637D8114" w:rsidR="004D03C1" w:rsidRPr="0042750D" w:rsidRDefault="002A7498" w:rsidP="004D03C1">
            <w:pPr>
              <w:pStyle w:val="Tabletext"/>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18B356CE" w14:textId="77777777" w:rsidR="004D03C1" w:rsidRPr="0042750D" w:rsidRDefault="004D03C1" w:rsidP="004D03C1">
            <w:pPr>
              <w:pStyle w:val="Tabletext"/>
              <w:jc w:val="center"/>
              <w:rPr>
                <w:b/>
                <w:bCs/>
                <w:sz w:val="24"/>
                <w:szCs w:val="24"/>
              </w:rPr>
            </w:pPr>
          </w:p>
        </w:tc>
      </w:tr>
      <w:tr w:rsidR="004D03C1" w:rsidRPr="0042750D" w14:paraId="6B5CFF6B"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663B1A65" w14:textId="77777777" w:rsidR="004D03C1" w:rsidRPr="0042750D" w:rsidRDefault="004D03C1" w:rsidP="004D03C1">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468B5C34" w14:textId="72BED221" w:rsidR="004D03C1" w:rsidRPr="0042750D" w:rsidRDefault="00A12DAA" w:rsidP="00A12DAA">
            <w:pPr>
              <w:pStyle w:val="Tabletext"/>
              <w:rPr>
                <w:bCs/>
                <w:szCs w:val="22"/>
              </w:rPr>
            </w:pPr>
            <w:r w:rsidRPr="0042750D">
              <w:rPr>
                <w:bCs/>
                <w:szCs w:val="22"/>
              </w:rPr>
              <w:t>TSBDir and SG17 management organized/participated in ITU events related to ICT security.</w:t>
            </w:r>
          </w:p>
        </w:tc>
      </w:tr>
      <w:tr w:rsidR="004D03C1" w:rsidRPr="0042750D" w14:paraId="66FB35F4"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794EE018" w14:textId="4FB7EC19" w:rsidR="004D03C1" w:rsidRPr="0042750D" w:rsidRDefault="004D03C1" w:rsidP="00171308">
            <w:pPr>
              <w:pStyle w:val="Tabletext"/>
              <w:rPr>
                <w:b/>
                <w:bCs/>
                <w:sz w:val="24"/>
                <w:szCs w:val="24"/>
              </w:rPr>
            </w:pPr>
            <w:r w:rsidRPr="0042750D">
              <w:rPr>
                <w:b/>
                <w:bCs/>
                <w:sz w:val="24"/>
                <w:szCs w:val="24"/>
              </w:rPr>
              <w:t>130-1</w:t>
            </w:r>
            <w:r w:rsidR="00E270B9" w:rsidRPr="0042750D">
              <w:rPr>
                <w:b/>
                <w:bCs/>
                <w:sz w:val="24"/>
                <w:szCs w:val="24"/>
              </w:rPr>
              <w:t>0</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1B15A48E" w14:textId="5285954E" w:rsidR="004D03C1" w:rsidRPr="0042750D" w:rsidRDefault="004D03C1" w:rsidP="004D03C1">
            <w:pPr>
              <w:pStyle w:val="Tabletext"/>
              <w:rPr>
                <w:b/>
                <w:bCs/>
                <w:sz w:val="24"/>
                <w:szCs w:val="24"/>
              </w:rPr>
            </w:pPr>
            <w:r w:rsidRPr="0042750D">
              <w:rPr>
                <w:b/>
                <w:bCs/>
                <w:sz w:val="24"/>
                <w:szCs w:val="24"/>
              </w:rPr>
              <w:t>TSBDir to continue collaboration with relevant organizations</w:t>
            </w:r>
            <w:r w:rsidR="00873C7F" w:rsidRPr="0042750D">
              <w:rPr>
                <w:b/>
                <w:bCs/>
                <w:sz w:val="24"/>
                <w:szCs w:val="24"/>
              </w:rPr>
              <w:t xml:space="preserve"> (</w:t>
            </w:r>
            <w:r w:rsidR="00873C7F" w:rsidRPr="0042750D">
              <w:rPr>
                <w:b/>
                <w:bCs/>
                <w:i/>
                <w:sz w:val="24"/>
                <w:szCs w:val="24"/>
              </w:rPr>
              <w:t>instructs 3</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2856A072" w14:textId="77777777" w:rsidR="004D03C1" w:rsidRPr="0042750D" w:rsidRDefault="004D03C1" w:rsidP="004D03C1">
            <w:pPr>
              <w:pStyle w:val="Tabletext"/>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1E560C7C" w14:textId="4D4B2ACC" w:rsidR="004D03C1" w:rsidRPr="0042750D" w:rsidRDefault="002A7498" w:rsidP="004D03C1">
            <w:pPr>
              <w:pStyle w:val="Tabletext"/>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629A711" w14:textId="77777777" w:rsidR="004D03C1" w:rsidRPr="0042750D" w:rsidRDefault="004D03C1" w:rsidP="004D03C1">
            <w:pPr>
              <w:pStyle w:val="Tabletext"/>
              <w:jc w:val="center"/>
              <w:rPr>
                <w:b/>
                <w:bCs/>
                <w:sz w:val="24"/>
                <w:szCs w:val="24"/>
              </w:rPr>
            </w:pPr>
          </w:p>
        </w:tc>
      </w:tr>
      <w:tr w:rsidR="004D03C1" w:rsidRPr="0042750D" w14:paraId="56E97F7A"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304ACC7A" w14:textId="77777777" w:rsidR="004D03C1" w:rsidRPr="0042750D"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6F02C8A" w14:textId="052C4DC6" w:rsidR="004D03C1" w:rsidRPr="0042750D" w:rsidRDefault="00A12DAA" w:rsidP="00A12DAA">
            <w:pPr>
              <w:pStyle w:val="Tabletext"/>
              <w:rPr>
                <w:bCs/>
                <w:szCs w:val="22"/>
              </w:rPr>
            </w:pPr>
            <w:r w:rsidRPr="0042750D">
              <w:rPr>
                <w:bCs/>
                <w:szCs w:val="22"/>
              </w:rPr>
              <w:t>SG17 has active laision relationship and activities with key SDOs including 3GPP, ATIS, ETSI, FIDO, IEEE, IETF, ISO/IEC JTC 1, OASIS, OneM2M, etc.</w:t>
            </w:r>
          </w:p>
        </w:tc>
      </w:tr>
      <w:tr w:rsidR="004D03C1" w:rsidRPr="0042750D" w14:paraId="06CB21A4"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7F72E118" w14:textId="7B0250EB" w:rsidR="004D03C1" w:rsidRPr="0042750D" w:rsidRDefault="004D03C1" w:rsidP="00171308">
            <w:pPr>
              <w:pStyle w:val="Tabletext"/>
              <w:rPr>
                <w:b/>
                <w:bCs/>
                <w:sz w:val="24"/>
                <w:szCs w:val="24"/>
              </w:rPr>
            </w:pPr>
            <w:r w:rsidRPr="0042750D">
              <w:rPr>
                <w:b/>
                <w:bCs/>
                <w:sz w:val="24"/>
                <w:szCs w:val="24"/>
              </w:rPr>
              <w:t>130-1</w:t>
            </w:r>
            <w:r w:rsidR="00E270B9" w:rsidRPr="0042750D">
              <w:rPr>
                <w:b/>
                <w:bCs/>
                <w:sz w:val="24"/>
                <w:szCs w:val="24"/>
              </w:rPr>
              <w:t>1</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479E5CA0" w14:textId="18C3F1B0" w:rsidR="004D03C1" w:rsidRPr="0042750D" w:rsidRDefault="004D03C1" w:rsidP="004D03C1">
            <w:pPr>
              <w:pStyle w:val="Tabletext"/>
              <w:rPr>
                <w:b/>
                <w:bCs/>
                <w:sz w:val="24"/>
                <w:szCs w:val="24"/>
              </w:rPr>
            </w:pPr>
            <w:r w:rsidRPr="0042750D">
              <w:rPr>
                <w:b/>
                <w:bCs/>
                <w:sz w:val="24"/>
                <w:szCs w:val="24"/>
              </w:rPr>
              <w:t>TSBDir to implement relevant resolutions of WTSA-16</w:t>
            </w:r>
            <w:r w:rsidR="00873C7F" w:rsidRPr="0042750D">
              <w:rPr>
                <w:b/>
                <w:bCs/>
                <w:sz w:val="24"/>
                <w:szCs w:val="24"/>
              </w:rPr>
              <w:t xml:space="preserve"> (</w:t>
            </w:r>
            <w:r w:rsidR="00873C7F" w:rsidRPr="0042750D">
              <w:rPr>
                <w:b/>
                <w:bCs/>
                <w:i/>
                <w:sz w:val="24"/>
                <w:szCs w:val="24"/>
              </w:rPr>
              <w:t>further instructs 1</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21544B21" w14:textId="77777777" w:rsidR="004D03C1" w:rsidRPr="0042750D" w:rsidRDefault="004D03C1" w:rsidP="004D03C1">
            <w:pPr>
              <w:pStyle w:val="Tabletext"/>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9D30522" w14:textId="0B1E62D0" w:rsidR="004D03C1" w:rsidRPr="0042750D" w:rsidRDefault="00171172" w:rsidP="004D03C1">
            <w:pPr>
              <w:pStyle w:val="Tabletext"/>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F78C283" w14:textId="77777777" w:rsidR="004D03C1" w:rsidRPr="0042750D" w:rsidRDefault="004D03C1" w:rsidP="004D03C1">
            <w:pPr>
              <w:pStyle w:val="Tabletext"/>
              <w:jc w:val="center"/>
              <w:rPr>
                <w:b/>
                <w:bCs/>
                <w:sz w:val="24"/>
                <w:szCs w:val="24"/>
              </w:rPr>
            </w:pPr>
          </w:p>
        </w:tc>
      </w:tr>
      <w:tr w:rsidR="004D03C1" w:rsidRPr="0042750D" w14:paraId="28388904"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0DECFAF9" w14:textId="77777777" w:rsidR="004D03C1" w:rsidRPr="0042750D"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BB0C9BF" w14:textId="2422388E" w:rsidR="004D03C1" w:rsidRPr="0042750D" w:rsidRDefault="00171172" w:rsidP="0050413A">
            <w:pPr>
              <w:pStyle w:val="Tabletext"/>
              <w:rPr>
                <w:bCs/>
                <w:szCs w:val="22"/>
              </w:rPr>
            </w:pPr>
            <w:r w:rsidRPr="0042750D">
              <w:rPr>
                <w:bCs/>
                <w:szCs w:val="22"/>
              </w:rPr>
              <w:t>See WTSA-16 Action Plan (</w:t>
            </w:r>
            <w:hyperlink r:id="rId50" w:history="1">
              <w:r w:rsidR="00B5378A" w:rsidRPr="0042750D">
                <w:rPr>
                  <w:rStyle w:val="Hyperlink"/>
                </w:rPr>
                <w:t>TSAG-TD467</w:t>
              </w:r>
            </w:hyperlink>
            <w:r w:rsidR="00E34104" w:rsidRPr="0042750D">
              <w:rPr>
                <w:rStyle w:val="Hyperlink"/>
              </w:rPr>
              <w:t xml:space="preserve">, </w:t>
            </w:r>
            <w:hyperlink r:id="rId51" w:history="1">
              <w:r w:rsidR="0050413A" w:rsidRPr="0042750D">
                <w:rPr>
                  <w:rStyle w:val="Hyperlink"/>
                  <w:szCs w:val="22"/>
                  <w:lang w:eastAsia="zh-CN"/>
                </w:rPr>
                <w:t>TSAG-TD657</w:t>
              </w:r>
            </w:hyperlink>
            <w:r w:rsidRPr="0042750D">
              <w:rPr>
                <w:bCs/>
                <w:szCs w:val="22"/>
              </w:rPr>
              <w:t>).</w:t>
            </w:r>
          </w:p>
        </w:tc>
      </w:tr>
      <w:tr w:rsidR="004D03C1" w:rsidRPr="0042750D" w14:paraId="478272B2"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992558D" w14:textId="1EA5F915" w:rsidR="004D03C1" w:rsidRPr="0042750D" w:rsidRDefault="004D03C1" w:rsidP="00E270B9">
            <w:pPr>
              <w:pStyle w:val="Tabletext"/>
              <w:rPr>
                <w:b/>
                <w:bCs/>
                <w:sz w:val="24"/>
                <w:szCs w:val="24"/>
              </w:rPr>
            </w:pPr>
            <w:r w:rsidRPr="0042750D">
              <w:rPr>
                <w:b/>
                <w:bCs/>
                <w:sz w:val="24"/>
                <w:szCs w:val="24"/>
              </w:rPr>
              <w:t>130-1</w:t>
            </w:r>
            <w:r w:rsidR="00E270B9" w:rsidRPr="0042750D">
              <w:rPr>
                <w:b/>
                <w:bCs/>
                <w:sz w:val="24"/>
                <w:szCs w:val="24"/>
              </w:rPr>
              <w:t>2</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7B362D31" w14:textId="7F3822E0" w:rsidR="004D03C1" w:rsidRPr="0042750D" w:rsidRDefault="004D03C1" w:rsidP="00873C7F">
            <w:pPr>
              <w:pStyle w:val="Tabletext"/>
              <w:rPr>
                <w:b/>
                <w:bCs/>
                <w:sz w:val="24"/>
                <w:szCs w:val="24"/>
              </w:rPr>
            </w:pPr>
            <w:r w:rsidRPr="0042750D">
              <w:rPr>
                <w:b/>
                <w:bCs/>
                <w:sz w:val="24"/>
                <w:szCs w:val="24"/>
              </w:rPr>
              <w:t>TSBDir to identify and promote the availability of information on building confidence and security in the use of ICTs</w:t>
            </w:r>
            <w:r w:rsidR="00873C7F" w:rsidRPr="0042750D">
              <w:rPr>
                <w:b/>
                <w:bCs/>
                <w:sz w:val="24"/>
                <w:szCs w:val="24"/>
              </w:rPr>
              <w:t xml:space="preserve"> (</w:t>
            </w:r>
            <w:r w:rsidR="00873C7F" w:rsidRPr="0042750D">
              <w:rPr>
                <w:b/>
                <w:bCs/>
                <w:i/>
                <w:sz w:val="24"/>
                <w:szCs w:val="24"/>
              </w:rPr>
              <w:t>further instructs 2</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870AB28" w14:textId="77777777" w:rsidR="004D03C1" w:rsidRPr="0042750D" w:rsidRDefault="004D03C1" w:rsidP="004D03C1">
            <w:pPr>
              <w:pStyle w:val="Tabletext"/>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5630F33" w14:textId="43013E12" w:rsidR="004D03C1" w:rsidRPr="0042750D" w:rsidRDefault="00F55359" w:rsidP="004D03C1">
            <w:pPr>
              <w:pStyle w:val="Tabletext"/>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044AE010" w14:textId="77777777" w:rsidR="004D03C1" w:rsidRPr="0042750D" w:rsidRDefault="004D03C1" w:rsidP="004D03C1">
            <w:pPr>
              <w:pStyle w:val="Tabletext"/>
              <w:jc w:val="center"/>
              <w:rPr>
                <w:b/>
                <w:bCs/>
                <w:sz w:val="24"/>
                <w:szCs w:val="24"/>
              </w:rPr>
            </w:pPr>
          </w:p>
        </w:tc>
      </w:tr>
      <w:tr w:rsidR="004D03C1" w:rsidRPr="0042750D" w14:paraId="3EE003ED"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2D4321CB" w14:textId="77777777" w:rsidR="004D03C1" w:rsidRPr="0042750D"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163308A9" w14:textId="104A8E64" w:rsidR="004D03C1" w:rsidRPr="0042750D" w:rsidRDefault="00B36913" w:rsidP="00F55359">
            <w:pPr>
              <w:pStyle w:val="Tabletext"/>
              <w:rPr>
                <w:bCs/>
                <w:szCs w:val="22"/>
              </w:rPr>
            </w:pPr>
            <w:r w:rsidRPr="0042750D">
              <w:rPr>
                <w:bCs/>
                <w:szCs w:val="22"/>
              </w:rPr>
              <w:t xml:space="preserve">See </w:t>
            </w:r>
            <w:r w:rsidR="00456CCC" w:rsidRPr="0042750D">
              <w:rPr>
                <w:bCs/>
                <w:szCs w:val="22"/>
              </w:rPr>
              <w:t xml:space="preserve">the </w:t>
            </w:r>
            <w:r w:rsidRPr="0042750D">
              <w:rPr>
                <w:bCs/>
                <w:szCs w:val="22"/>
              </w:rPr>
              <w:t xml:space="preserve">SG17 homepage: </w:t>
            </w:r>
            <w:hyperlink r:id="rId52" w:history="1">
              <w:r w:rsidR="00F55359" w:rsidRPr="0042750D">
                <w:rPr>
                  <w:rStyle w:val="Hyperlink"/>
                  <w:bCs/>
                  <w:szCs w:val="22"/>
                </w:rPr>
                <w:t>https://www.itu.int/en/ITU-T/studygroups/2017-2020/17</w:t>
              </w:r>
            </w:hyperlink>
            <w:r w:rsidR="00F55359" w:rsidRPr="0042750D">
              <w:rPr>
                <w:bCs/>
                <w:szCs w:val="22"/>
              </w:rPr>
              <w:t>.</w:t>
            </w:r>
          </w:p>
        </w:tc>
      </w:tr>
      <w:tr w:rsidR="004D03C1" w:rsidRPr="0042750D" w14:paraId="7D59F43C"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092AC63D" w14:textId="2F1C1AB5" w:rsidR="004D03C1" w:rsidRPr="0042750D" w:rsidRDefault="004D03C1" w:rsidP="00E270B9">
            <w:pPr>
              <w:pStyle w:val="Tabletext"/>
              <w:rPr>
                <w:b/>
                <w:bCs/>
                <w:sz w:val="24"/>
                <w:szCs w:val="24"/>
              </w:rPr>
            </w:pPr>
            <w:r w:rsidRPr="0042750D">
              <w:rPr>
                <w:b/>
                <w:bCs/>
                <w:sz w:val="24"/>
                <w:szCs w:val="24"/>
              </w:rPr>
              <w:t>130-1</w:t>
            </w:r>
            <w:r w:rsidR="00E270B9" w:rsidRPr="0042750D">
              <w:rPr>
                <w:b/>
                <w:bCs/>
                <w:sz w:val="24"/>
                <w:szCs w:val="24"/>
              </w:rPr>
              <w:t>3</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4D877A4B" w14:textId="331643CB" w:rsidR="004D03C1" w:rsidRPr="0042750D" w:rsidRDefault="004D03C1" w:rsidP="004D03C1">
            <w:pPr>
              <w:pStyle w:val="Tabletext"/>
              <w:rPr>
                <w:b/>
                <w:bCs/>
                <w:sz w:val="24"/>
                <w:szCs w:val="24"/>
              </w:rPr>
            </w:pPr>
            <w:r w:rsidRPr="0042750D">
              <w:rPr>
                <w:b/>
                <w:bCs/>
                <w:sz w:val="24"/>
                <w:szCs w:val="24"/>
              </w:rPr>
              <w:t>TSBDir to cooperate with relevant organizations and other relevant international and national experts</w:t>
            </w:r>
            <w:r w:rsidR="00873C7F" w:rsidRPr="0042750D">
              <w:rPr>
                <w:b/>
                <w:bCs/>
                <w:sz w:val="24"/>
                <w:szCs w:val="24"/>
              </w:rPr>
              <w:t xml:space="preserve"> (</w:t>
            </w:r>
            <w:r w:rsidR="00873C7F" w:rsidRPr="0042750D">
              <w:rPr>
                <w:b/>
                <w:bCs/>
                <w:i/>
                <w:sz w:val="24"/>
                <w:szCs w:val="24"/>
              </w:rPr>
              <w:t>further instructs 4</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16B6749" w14:textId="77777777" w:rsidR="004D03C1" w:rsidRPr="0042750D" w:rsidRDefault="004D03C1" w:rsidP="004D03C1">
            <w:pPr>
              <w:pStyle w:val="Tabletext"/>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706645C4" w14:textId="77777777" w:rsidR="004D03C1" w:rsidRPr="0042750D" w:rsidRDefault="004D03C1" w:rsidP="004D03C1">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1E8F5FC6" w14:textId="77777777" w:rsidR="004D03C1" w:rsidRPr="0042750D" w:rsidRDefault="004D03C1" w:rsidP="004D03C1">
            <w:pPr>
              <w:pStyle w:val="Tabletext"/>
              <w:jc w:val="center"/>
              <w:rPr>
                <w:b/>
                <w:bCs/>
                <w:sz w:val="24"/>
                <w:szCs w:val="24"/>
              </w:rPr>
            </w:pPr>
          </w:p>
        </w:tc>
      </w:tr>
      <w:tr w:rsidR="004D03C1" w:rsidRPr="0042750D" w14:paraId="4FA1FA5C"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615EE129" w14:textId="77777777" w:rsidR="004D03C1" w:rsidRPr="0042750D"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31561CF7" w14:textId="77777777" w:rsidR="004D03C1" w:rsidRPr="0042750D" w:rsidRDefault="004D03C1" w:rsidP="004D03C1">
            <w:pPr>
              <w:pStyle w:val="Tabletext"/>
              <w:rPr>
                <w:bCs/>
                <w:szCs w:val="22"/>
              </w:rPr>
            </w:pPr>
          </w:p>
        </w:tc>
      </w:tr>
      <w:tr w:rsidR="004D03C1" w:rsidRPr="0042750D" w14:paraId="617CE90F"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4D30BFF5" w14:textId="08E76325" w:rsidR="004D03C1" w:rsidRPr="0042750D" w:rsidRDefault="004D03C1" w:rsidP="00F9622A">
            <w:pPr>
              <w:pStyle w:val="Tabletext"/>
              <w:rPr>
                <w:b/>
                <w:bCs/>
                <w:sz w:val="24"/>
                <w:szCs w:val="24"/>
              </w:rPr>
            </w:pPr>
            <w:r w:rsidRPr="0042750D">
              <w:rPr>
                <w:b/>
                <w:bCs/>
                <w:sz w:val="24"/>
                <w:szCs w:val="24"/>
              </w:rPr>
              <w:t>130-1</w:t>
            </w:r>
            <w:r w:rsidR="00E270B9" w:rsidRPr="0042750D">
              <w:rPr>
                <w:b/>
                <w:bCs/>
                <w:sz w:val="24"/>
                <w:szCs w:val="24"/>
              </w:rPr>
              <w:t>4</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012334BF" w14:textId="11C40473" w:rsidR="004D03C1" w:rsidRPr="0042750D" w:rsidRDefault="004D03C1" w:rsidP="00873C7F">
            <w:pPr>
              <w:pStyle w:val="Tabletext"/>
              <w:rPr>
                <w:b/>
                <w:bCs/>
                <w:sz w:val="24"/>
                <w:szCs w:val="24"/>
              </w:rPr>
            </w:pPr>
            <w:r w:rsidRPr="0042750D">
              <w:rPr>
                <w:b/>
                <w:bCs/>
                <w:sz w:val="24"/>
                <w:szCs w:val="24"/>
              </w:rPr>
              <w:t>TSBDir to take action with a view to new questions being examined by the ITU-T study groups on the establishment of confidence and security in the use of ICTs</w:t>
            </w:r>
            <w:r w:rsidR="00873C7F" w:rsidRPr="0042750D">
              <w:rPr>
                <w:b/>
                <w:bCs/>
                <w:sz w:val="24"/>
                <w:szCs w:val="24"/>
              </w:rPr>
              <w:t xml:space="preserve"> (</w:t>
            </w:r>
            <w:r w:rsidR="00873C7F" w:rsidRPr="0042750D">
              <w:rPr>
                <w:b/>
                <w:bCs/>
                <w:i/>
                <w:sz w:val="24"/>
                <w:szCs w:val="24"/>
              </w:rPr>
              <w:t>further instructs 5</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EAB4540" w14:textId="77777777" w:rsidR="004D03C1" w:rsidRPr="0042750D" w:rsidRDefault="004D03C1" w:rsidP="004D03C1">
            <w:pPr>
              <w:pStyle w:val="Tabletext"/>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B8C7521" w14:textId="20DDC828" w:rsidR="004D03C1" w:rsidRPr="0042750D" w:rsidRDefault="00C74E82" w:rsidP="004D03C1">
            <w:pPr>
              <w:pStyle w:val="Tabletext"/>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6763FDD" w14:textId="77777777" w:rsidR="004D03C1" w:rsidRPr="0042750D" w:rsidRDefault="004D03C1" w:rsidP="004D03C1">
            <w:pPr>
              <w:pStyle w:val="Tabletext"/>
              <w:jc w:val="center"/>
              <w:rPr>
                <w:b/>
                <w:bCs/>
                <w:sz w:val="24"/>
                <w:szCs w:val="24"/>
              </w:rPr>
            </w:pPr>
          </w:p>
        </w:tc>
      </w:tr>
      <w:tr w:rsidR="004D03C1" w:rsidRPr="0042750D" w14:paraId="537DCD04"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288A1521" w14:textId="77777777" w:rsidR="004D03C1" w:rsidRPr="0042750D" w:rsidRDefault="004D03C1" w:rsidP="00171308">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77C173A1" w14:textId="2D4C3551" w:rsidR="004D03C1" w:rsidRPr="0042750D" w:rsidRDefault="00B36913" w:rsidP="00C74E82">
            <w:pPr>
              <w:pStyle w:val="Tabletext"/>
              <w:rPr>
                <w:bCs/>
                <w:szCs w:val="22"/>
              </w:rPr>
            </w:pPr>
            <w:r w:rsidRPr="0042750D">
              <w:rPr>
                <w:bCs/>
                <w:szCs w:val="22"/>
              </w:rPr>
              <w:t>SG17 initiated new work items to study security aspects of Intelligent Transport Systems, Distributed Ledger Technology, Quantum Information Technology in 2017-2019.</w:t>
            </w:r>
          </w:p>
        </w:tc>
      </w:tr>
      <w:tr w:rsidR="004D03C1" w:rsidRPr="0042750D" w14:paraId="78397922" w14:textId="77777777" w:rsidTr="00DC44BF">
        <w:trPr>
          <w:jc w:val="center"/>
        </w:trPr>
        <w:tc>
          <w:tcPr>
            <w:tcW w:w="911" w:type="dxa"/>
            <w:vMerge w:val="restart"/>
            <w:tcBorders>
              <w:top w:val="single" w:sz="12" w:space="0" w:color="auto"/>
              <w:left w:val="single" w:sz="12" w:space="0" w:color="auto"/>
              <w:right w:val="single" w:sz="4" w:space="0" w:color="auto"/>
            </w:tcBorders>
            <w:shd w:val="clear" w:color="auto" w:fill="auto"/>
          </w:tcPr>
          <w:p w14:paraId="395C52DD" w14:textId="56B3D3ED" w:rsidR="004D03C1" w:rsidRPr="0042750D" w:rsidRDefault="004D03C1" w:rsidP="00DC44BF">
            <w:pPr>
              <w:pStyle w:val="Tabletext"/>
              <w:keepNext/>
              <w:keepLines/>
              <w:rPr>
                <w:b/>
                <w:bCs/>
                <w:sz w:val="24"/>
                <w:szCs w:val="24"/>
              </w:rPr>
            </w:pPr>
            <w:r w:rsidRPr="0042750D">
              <w:rPr>
                <w:b/>
                <w:bCs/>
                <w:sz w:val="24"/>
                <w:szCs w:val="24"/>
              </w:rPr>
              <w:t>130-1</w:t>
            </w:r>
            <w:r w:rsidR="00E270B9" w:rsidRPr="0042750D">
              <w:rPr>
                <w:b/>
                <w:bCs/>
                <w:sz w:val="24"/>
                <w:szCs w:val="24"/>
              </w:rPr>
              <w:t>5</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589BB65F" w14:textId="204683D2" w:rsidR="004D03C1" w:rsidRPr="0042750D" w:rsidRDefault="004D03C1" w:rsidP="00DC44BF">
            <w:pPr>
              <w:pStyle w:val="Tabletext"/>
              <w:keepNext/>
              <w:keepLines/>
              <w:rPr>
                <w:b/>
                <w:bCs/>
                <w:sz w:val="24"/>
                <w:szCs w:val="24"/>
              </w:rPr>
            </w:pPr>
            <w:r w:rsidRPr="0042750D">
              <w:rPr>
                <w:b/>
                <w:bCs/>
                <w:sz w:val="24"/>
                <w:szCs w:val="24"/>
              </w:rPr>
              <w:t>TSBDir to identify and document practical steps to support developing countries in building capacity and skills in cybersecurity</w:t>
            </w:r>
            <w:r w:rsidR="00873C7F" w:rsidRPr="0042750D">
              <w:rPr>
                <w:b/>
                <w:bCs/>
                <w:sz w:val="24"/>
                <w:szCs w:val="24"/>
              </w:rPr>
              <w:t xml:space="preserve"> (</w:t>
            </w:r>
            <w:r w:rsidR="00873C7F" w:rsidRPr="0042750D">
              <w:rPr>
                <w:b/>
                <w:bCs/>
                <w:i/>
                <w:sz w:val="24"/>
                <w:szCs w:val="24"/>
              </w:rPr>
              <w:t>further instructs 6</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8B04EE0" w14:textId="77777777" w:rsidR="004D03C1" w:rsidRPr="0042750D" w:rsidRDefault="004D03C1" w:rsidP="00DC44BF">
            <w:pPr>
              <w:pStyle w:val="Tabletext"/>
              <w:keepNext/>
              <w:keepLines/>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4ECEC496" w14:textId="005CC22F" w:rsidR="004D03C1" w:rsidRPr="0042750D" w:rsidRDefault="00C74E82" w:rsidP="00DC44BF">
            <w:pPr>
              <w:pStyle w:val="Tabletext"/>
              <w:keepNext/>
              <w:keepLines/>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6D5886D5" w14:textId="77777777" w:rsidR="004D03C1" w:rsidRPr="0042750D" w:rsidRDefault="004D03C1" w:rsidP="00DC44BF">
            <w:pPr>
              <w:pStyle w:val="Tabletext"/>
              <w:keepNext/>
              <w:keepLines/>
              <w:jc w:val="center"/>
              <w:rPr>
                <w:b/>
                <w:bCs/>
                <w:sz w:val="24"/>
                <w:szCs w:val="24"/>
              </w:rPr>
            </w:pPr>
          </w:p>
        </w:tc>
      </w:tr>
      <w:tr w:rsidR="004D03C1" w:rsidRPr="0042750D" w14:paraId="61F6C9C0" w14:textId="77777777" w:rsidTr="00DC44BF">
        <w:trPr>
          <w:jc w:val="center"/>
        </w:trPr>
        <w:tc>
          <w:tcPr>
            <w:tcW w:w="911" w:type="dxa"/>
            <w:vMerge/>
            <w:tcBorders>
              <w:left w:val="single" w:sz="12" w:space="0" w:color="auto"/>
              <w:bottom w:val="single" w:sz="12" w:space="0" w:color="auto"/>
              <w:right w:val="single" w:sz="4" w:space="0" w:color="auto"/>
            </w:tcBorders>
            <w:shd w:val="clear" w:color="auto" w:fill="auto"/>
          </w:tcPr>
          <w:p w14:paraId="45117338" w14:textId="77777777" w:rsidR="004D03C1" w:rsidRPr="0042750D" w:rsidRDefault="004D03C1" w:rsidP="00DC44BF">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6B0961B8" w14:textId="305E86FC" w:rsidR="004D03C1" w:rsidRPr="0042750D" w:rsidRDefault="000C6C5C" w:rsidP="000C6C5C">
            <w:pPr>
              <w:pStyle w:val="Tabletext"/>
              <w:keepNext/>
              <w:keepLines/>
              <w:rPr>
                <w:bCs/>
                <w:szCs w:val="22"/>
              </w:rPr>
            </w:pPr>
            <w:r w:rsidRPr="0042750D">
              <w:rPr>
                <w:bCs/>
                <w:szCs w:val="22"/>
              </w:rPr>
              <w:t xml:space="preserve">SG17 developed ICT security manual, technical reports/papers, implementer’s guide, see </w:t>
            </w:r>
            <w:hyperlink r:id="rId53" w:history="1">
              <w:r w:rsidRPr="0042750D">
                <w:rPr>
                  <w:rStyle w:val="Hyperlink"/>
                  <w:bCs/>
                  <w:szCs w:val="22"/>
                </w:rPr>
                <w:t>SG17 homepage</w:t>
              </w:r>
            </w:hyperlink>
            <w:r w:rsidRPr="0042750D">
              <w:rPr>
                <w:bCs/>
                <w:szCs w:val="22"/>
              </w:rPr>
              <w:t>.</w:t>
            </w:r>
          </w:p>
        </w:tc>
      </w:tr>
      <w:tr w:rsidR="004D03C1" w:rsidRPr="0042750D" w14:paraId="2F08913C"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567DB9D" w14:textId="701773DC" w:rsidR="004D03C1" w:rsidRPr="0042750D" w:rsidRDefault="004D03C1" w:rsidP="00DC44BF">
            <w:pPr>
              <w:pStyle w:val="Tabletext"/>
              <w:keepNext/>
              <w:keepLines/>
              <w:rPr>
                <w:b/>
                <w:bCs/>
                <w:sz w:val="24"/>
                <w:szCs w:val="24"/>
              </w:rPr>
            </w:pPr>
            <w:r w:rsidRPr="0042750D">
              <w:rPr>
                <w:b/>
                <w:bCs/>
                <w:sz w:val="24"/>
                <w:szCs w:val="24"/>
              </w:rPr>
              <w:t>130-1</w:t>
            </w:r>
            <w:r w:rsidR="00E270B9" w:rsidRPr="0042750D">
              <w:rPr>
                <w:b/>
                <w:bCs/>
                <w:sz w:val="24"/>
                <w:szCs w:val="24"/>
              </w:rPr>
              <w:t>6</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A5C9AC7" w14:textId="23360692" w:rsidR="004D03C1" w:rsidRPr="0042750D" w:rsidRDefault="004D03C1" w:rsidP="00DC44BF">
            <w:pPr>
              <w:pStyle w:val="Tabletext"/>
              <w:keepNext/>
              <w:keepLines/>
              <w:rPr>
                <w:b/>
                <w:bCs/>
                <w:sz w:val="24"/>
                <w:szCs w:val="24"/>
              </w:rPr>
            </w:pPr>
            <w:r w:rsidRPr="0042750D">
              <w:rPr>
                <w:b/>
                <w:bCs/>
                <w:sz w:val="24"/>
                <w:szCs w:val="24"/>
              </w:rPr>
              <w:t>TSBDir to take into account the challenges faced by all stakeholders, particularly in developing countries, in building confidence and security in the use of ICTs and identifying steps that can help to address them</w:t>
            </w:r>
            <w:r w:rsidR="00873C7F" w:rsidRPr="0042750D">
              <w:rPr>
                <w:b/>
                <w:bCs/>
                <w:sz w:val="24"/>
                <w:szCs w:val="24"/>
              </w:rPr>
              <w:t xml:space="preserve"> (</w:t>
            </w:r>
            <w:r w:rsidR="00873C7F" w:rsidRPr="0042750D">
              <w:rPr>
                <w:b/>
                <w:bCs/>
                <w:i/>
                <w:sz w:val="24"/>
                <w:szCs w:val="24"/>
              </w:rPr>
              <w:t>further instructs 7</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DAA97D7" w14:textId="77777777" w:rsidR="004D03C1" w:rsidRPr="0042750D" w:rsidRDefault="004D03C1" w:rsidP="00DC44BF">
            <w:pPr>
              <w:pStyle w:val="Tabletext"/>
              <w:keepNext/>
              <w:keepLines/>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548FDAE3" w14:textId="6930974F" w:rsidR="004D03C1" w:rsidRPr="0042750D" w:rsidRDefault="00B513DC" w:rsidP="00DC44BF">
            <w:pPr>
              <w:pStyle w:val="Tabletext"/>
              <w:keepNext/>
              <w:keepLines/>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2DCD10C1" w14:textId="77777777" w:rsidR="004D03C1" w:rsidRPr="0042750D" w:rsidRDefault="004D03C1" w:rsidP="00DC44BF">
            <w:pPr>
              <w:pStyle w:val="Tabletext"/>
              <w:keepNext/>
              <w:keepLines/>
              <w:jc w:val="center"/>
              <w:rPr>
                <w:b/>
                <w:bCs/>
                <w:sz w:val="24"/>
                <w:szCs w:val="24"/>
              </w:rPr>
            </w:pPr>
          </w:p>
        </w:tc>
      </w:tr>
      <w:tr w:rsidR="004D03C1" w:rsidRPr="0042750D" w14:paraId="25F6B7E0"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2C6A27B7" w14:textId="77777777" w:rsidR="004D03C1" w:rsidRPr="0042750D" w:rsidRDefault="004D03C1" w:rsidP="00DC44BF">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33B44639" w14:textId="678E644E" w:rsidR="004D03C1" w:rsidRPr="0042750D" w:rsidRDefault="000C6C5C" w:rsidP="000C6C5C">
            <w:pPr>
              <w:pStyle w:val="Tabletext"/>
              <w:keepNext/>
              <w:keepLines/>
              <w:rPr>
                <w:bCs/>
                <w:szCs w:val="22"/>
              </w:rPr>
            </w:pPr>
            <w:r w:rsidRPr="0042750D">
              <w:rPr>
                <w:bCs/>
                <w:szCs w:val="22"/>
              </w:rPr>
              <w:t>SG17 has two regional groups: one for Afria and another one for Arab region.</w:t>
            </w:r>
          </w:p>
        </w:tc>
      </w:tr>
      <w:tr w:rsidR="004D03C1" w:rsidRPr="0042750D" w14:paraId="453A593A"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1F128342" w14:textId="6C8624B6" w:rsidR="004D03C1" w:rsidRPr="0042750D" w:rsidRDefault="004D03C1" w:rsidP="00E270B9">
            <w:pPr>
              <w:pStyle w:val="Tabletext"/>
              <w:rPr>
                <w:b/>
                <w:bCs/>
                <w:sz w:val="24"/>
                <w:szCs w:val="24"/>
              </w:rPr>
            </w:pPr>
            <w:r w:rsidRPr="0042750D">
              <w:rPr>
                <w:b/>
                <w:bCs/>
                <w:sz w:val="24"/>
                <w:szCs w:val="24"/>
              </w:rPr>
              <w:t>130-1</w:t>
            </w:r>
            <w:r w:rsidR="00E270B9" w:rsidRPr="0042750D">
              <w:rPr>
                <w:b/>
                <w:bCs/>
                <w:sz w:val="24"/>
                <w:szCs w:val="24"/>
              </w:rPr>
              <w:t>7</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04FEE5F7" w14:textId="359A9502" w:rsidR="004D03C1" w:rsidRPr="0042750D" w:rsidRDefault="004D03C1" w:rsidP="00873C7F">
            <w:pPr>
              <w:pStyle w:val="Tabletext"/>
              <w:rPr>
                <w:b/>
                <w:bCs/>
                <w:sz w:val="24"/>
                <w:szCs w:val="24"/>
              </w:rPr>
            </w:pPr>
            <w:r w:rsidRPr="0042750D">
              <w:rPr>
                <w:b/>
                <w:bCs/>
                <w:sz w:val="24"/>
                <w:szCs w:val="24"/>
              </w:rPr>
              <w:t>TSBDir to identify and document practical steps to strengthen security in the use of ICTs internationally, including the concept that security is seen as a continuous and iterative process</w:t>
            </w:r>
            <w:r w:rsidR="00873C7F" w:rsidRPr="0042750D">
              <w:rPr>
                <w:b/>
                <w:bCs/>
                <w:sz w:val="24"/>
                <w:szCs w:val="24"/>
              </w:rPr>
              <w:t xml:space="preserve"> (</w:t>
            </w:r>
            <w:r w:rsidR="00873C7F" w:rsidRPr="0042750D">
              <w:rPr>
                <w:b/>
                <w:bCs/>
                <w:i/>
                <w:sz w:val="24"/>
                <w:szCs w:val="24"/>
              </w:rPr>
              <w:t>further instructs 8</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41C8F2C5" w14:textId="77777777" w:rsidR="004D03C1" w:rsidRPr="0042750D" w:rsidRDefault="004D03C1" w:rsidP="004D03C1">
            <w:pPr>
              <w:pStyle w:val="Tabletext"/>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551658B1" w14:textId="5E145E85" w:rsidR="004D03C1" w:rsidRPr="0042750D" w:rsidRDefault="00DF234F" w:rsidP="004D03C1">
            <w:pPr>
              <w:pStyle w:val="Tabletext"/>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5555212" w14:textId="77777777" w:rsidR="004D03C1" w:rsidRPr="0042750D" w:rsidRDefault="004D03C1" w:rsidP="004D03C1">
            <w:pPr>
              <w:pStyle w:val="Tabletext"/>
              <w:jc w:val="center"/>
              <w:rPr>
                <w:b/>
                <w:bCs/>
                <w:sz w:val="24"/>
                <w:szCs w:val="24"/>
              </w:rPr>
            </w:pPr>
          </w:p>
        </w:tc>
      </w:tr>
      <w:tr w:rsidR="004D03C1" w:rsidRPr="0042750D" w14:paraId="401260A9"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619073C4" w14:textId="77777777" w:rsidR="004D03C1" w:rsidRPr="0042750D" w:rsidRDefault="004D03C1" w:rsidP="00485136">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65E5E86C" w14:textId="7206310D" w:rsidR="004D03C1" w:rsidRPr="0042750D" w:rsidRDefault="000C6C5C" w:rsidP="007472C6">
            <w:pPr>
              <w:pStyle w:val="Tabletext"/>
              <w:rPr>
                <w:bCs/>
                <w:szCs w:val="22"/>
              </w:rPr>
            </w:pPr>
            <w:r w:rsidRPr="0042750D">
              <w:rPr>
                <w:bCs/>
                <w:szCs w:val="22"/>
              </w:rPr>
              <w:t>Q3/17 wo</w:t>
            </w:r>
            <w:r w:rsidR="00DF234F" w:rsidRPr="0042750D">
              <w:rPr>
                <w:bCs/>
                <w:szCs w:val="22"/>
              </w:rPr>
              <w:t>r</w:t>
            </w:r>
            <w:r w:rsidRPr="0042750D">
              <w:rPr>
                <w:bCs/>
                <w:szCs w:val="22"/>
              </w:rPr>
              <w:t xml:space="preserve">ks on </w:t>
            </w:r>
            <w:r w:rsidR="007472C6" w:rsidRPr="0042750D">
              <w:rPr>
                <w:bCs/>
                <w:szCs w:val="22"/>
              </w:rPr>
              <w:t xml:space="preserve">telecommunication </w:t>
            </w:r>
            <w:r w:rsidRPr="0042750D">
              <w:rPr>
                <w:bCs/>
                <w:szCs w:val="22"/>
              </w:rPr>
              <w:t>security management jointly with ISO/IEC JTC 1/SC 27 under guidance of ISO/IEC 270</w:t>
            </w:r>
            <w:r w:rsidR="00857500" w:rsidRPr="0042750D">
              <w:rPr>
                <w:bCs/>
                <w:szCs w:val="22"/>
              </w:rPr>
              <w:t>11 “Information security management guidelines”.</w:t>
            </w:r>
          </w:p>
        </w:tc>
      </w:tr>
      <w:tr w:rsidR="004D03C1" w:rsidRPr="0042750D" w14:paraId="2B050171"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05E8AC53" w14:textId="0C6C7478" w:rsidR="004D03C1" w:rsidRPr="0042750D" w:rsidRDefault="004D03C1" w:rsidP="005A429E">
            <w:pPr>
              <w:pStyle w:val="Tabletext"/>
              <w:pageBreakBefore/>
              <w:rPr>
                <w:b/>
                <w:bCs/>
                <w:sz w:val="24"/>
                <w:szCs w:val="24"/>
              </w:rPr>
            </w:pPr>
            <w:r w:rsidRPr="0042750D">
              <w:rPr>
                <w:b/>
                <w:bCs/>
                <w:sz w:val="24"/>
                <w:szCs w:val="24"/>
              </w:rPr>
              <w:t>130-1</w:t>
            </w:r>
            <w:r w:rsidR="00E270B9" w:rsidRPr="0042750D">
              <w:rPr>
                <w:b/>
                <w:bCs/>
                <w:sz w:val="24"/>
                <w:szCs w:val="24"/>
              </w:rPr>
              <w:t>8</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78C1BFF3" w14:textId="17BF7721" w:rsidR="004D03C1" w:rsidRPr="0042750D" w:rsidRDefault="004D03C1" w:rsidP="00873C7F">
            <w:pPr>
              <w:pStyle w:val="Tabletext"/>
              <w:rPr>
                <w:b/>
                <w:bCs/>
                <w:sz w:val="24"/>
                <w:szCs w:val="24"/>
              </w:rPr>
            </w:pPr>
            <w:r w:rsidRPr="0042750D">
              <w:rPr>
                <w:b/>
                <w:bCs/>
                <w:sz w:val="24"/>
                <w:szCs w:val="24"/>
              </w:rPr>
              <w:t>TSBDir to support strategy, organization, awareness-raising, cooperation, evaluation and skills development</w:t>
            </w:r>
            <w:r w:rsidR="00873C7F" w:rsidRPr="0042750D">
              <w:rPr>
                <w:b/>
                <w:bCs/>
                <w:sz w:val="24"/>
                <w:szCs w:val="24"/>
              </w:rPr>
              <w:t xml:space="preserve"> (</w:t>
            </w:r>
            <w:r w:rsidR="00873C7F" w:rsidRPr="0042750D">
              <w:rPr>
                <w:b/>
                <w:bCs/>
                <w:i/>
                <w:sz w:val="24"/>
                <w:szCs w:val="24"/>
              </w:rPr>
              <w:t>further instructs 9</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3BEDC41D" w14:textId="77777777" w:rsidR="004D03C1" w:rsidRPr="0042750D" w:rsidRDefault="004D03C1" w:rsidP="004D03C1">
            <w:pPr>
              <w:pStyle w:val="Tabletext"/>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2B8969AC" w14:textId="77777777" w:rsidR="004D03C1" w:rsidRPr="0042750D" w:rsidRDefault="004D03C1" w:rsidP="004D03C1">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1A7BCDB" w14:textId="77777777" w:rsidR="004D03C1" w:rsidRPr="0042750D" w:rsidRDefault="004D03C1" w:rsidP="004D03C1">
            <w:pPr>
              <w:pStyle w:val="Tabletext"/>
              <w:jc w:val="center"/>
              <w:rPr>
                <w:b/>
                <w:bCs/>
                <w:sz w:val="24"/>
                <w:szCs w:val="24"/>
              </w:rPr>
            </w:pPr>
          </w:p>
        </w:tc>
      </w:tr>
      <w:tr w:rsidR="004D03C1" w:rsidRPr="0042750D" w14:paraId="14EB38D0"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7560A100" w14:textId="77777777" w:rsidR="004D03C1" w:rsidRPr="0042750D" w:rsidRDefault="004D03C1" w:rsidP="00485136">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6CA8705B" w14:textId="77777777" w:rsidR="004D03C1" w:rsidRPr="0042750D" w:rsidRDefault="004D03C1" w:rsidP="004D03C1">
            <w:pPr>
              <w:pStyle w:val="Tabletext"/>
              <w:rPr>
                <w:bCs/>
                <w:szCs w:val="22"/>
              </w:rPr>
            </w:pPr>
          </w:p>
        </w:tc>
      </w:tr>
      <w:tr w:rsidR="004D03C1" w:rsidRPr="0042750D" w14:paraId="2D89068D"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F7BCC42" w14:textId="54BD0F40" w:rsidR="004D03C1" w:rsidRPr="0042750D" w:rsidRDefault="004D03C1" w:rsidP="005A429E">
            <w:pPr>
              <w:pStyle w:val="Tabletext"/>
              <w:rPr>
                <w:b/>
                <w:bCs/>
                <w:sz w:val="24"/>
                <w:szCs w:val="24"/>
              </w:rPr>
            </w:pPr>
            <w:r w:rsidRPr="0042750D">
              <w:rPr>
                <w:b/>
                <w:bCs/>
                <w:sz w:val="24"/>
                <w:szCs w:val="24"/>
              </w:rPr>
              <w:t>130-</w:t>
            </w:r>
            <w:r w:rsidR="00E270B9" w:rsidRPr="0042750D">
              <w:rPr>
                <w:b/>
                <w:bCs/>
                <w:sz w:val="24"/>
                <w:szCs w:val="24"/>
              </w:rPr>
              <w:t>19</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35E9E89" w14:textId="7E8C96CC" w:rsidR="004D03C1" w:rsidRPr="0042750D" w:rsidRDefault="004D03C1" w:rsidP="00873C7F">
            <w:pPr>
              <w:pStyle w:val="Tabletext"/>
              <w:rPr>
                <w:b/>
                <w:bCs/>
                <w:sz w:val="24"/>
                <w:szCs w:val="24"/>
              </w:rPr>
            </w:pPr>
            <w:r w:rsidRPr="0042750D">
              <w:rPr>
                <w:b/>
                <w:bCs/>
                <w:sz w:val="24"/>
                <w:szCs w:val="24"/>
              </w:rPr>
              <w:t>TSBDir to provide the necessary technical and financial support, within the constraints of existing budgetary resources, in accordance with WTSA-12 Resolution 58</w:t>
            </w:r>
            <w:r w:rsidR="00873C7F" w:rsidRPr="0042750D">
              <w:rPr>
                <w:b/>
                <w:bCs/>
                <w:sz w:val="24"/>
                <w:szCs w:val="24"/>
              </w:rPr>
              <w:t xml:space="preserve"> (</w:t>
            </w:r>
            <w:r w:rsidR="00873C7F" w:rsidRPr="0042750D">
              <w:rPr>
                <w:b/>
                <w:bCs/>
                <w:i/>
                <w:sz w:val="24"/>
                <w:szCs w:val="24"/>
              </w:rPr>
              <w:t>further instructs 10</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7FF4BD91" w14:textId="77777777" w:rsidR="004D03C1" w:rsidRPr="0042750D" w:rsidRDefault="004D03C1" w:rsidP="004D03C1">
            <w:pPr>
              <w:pStyle w:val="Tabletext"/>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6B194EAC" w14:textId="2C05B702" w:rsidR="004D03C1" w:rsidRPr="0042750D" w:rsidRDefault="005E6CAB" w:rsidP="004D03C1">
            <w:pPr>
              <w:pStyle w:val="Tabletext"/>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44EC0502" w14:textId="77777777" w:rsidR="004D03C1" w:rsidRPr="0042750D" w:rsidRDefault="004D03C1" w:rsidP="004D03C1">
            <w:pPr>
              <w:pStyle w:val="Tabletext"/>
              <w:jc w:val="center"/>
              <w:rPr>
                <w:b/>
                <w:bCs/>
                <w:sz w:val="24"/>
                <w:szCs w:val="24"/>
              </w:rPr>
            </w:pPr>
          </w:p>
        </w:tc>
      </w:tr>
      <w:tr w:rsidR="004D03C1" w:rsidRPr="0042750D" w14:paraId="0D04B1CA"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18069FAD" w14:textId="77777777" w:rsidR="004D03C1" w:rsidRPr="0042750D" w:rsidRDefault="004D03C1" w:rsidP="004D03C1">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439D8504" w14:textId="5FA64216" w:rsidR="004D03C1" w:rsidRPr="0042750D" w:rsidRDefault="00115C8F" w:rsidP="005E6CAB">
            <w:pPr>
              <w:pStyle w:val="Tabletext"/>
              <w:rPr>
                <w:bCs/>
                <w:szCs w:val="22"/>
              </w:rPr>
            </w:pPr>
            <w:r w:rsidRPr="0042750D">
              <w:rPr>
                <w:bCs/>
                <w:szCs w:val="22"/>
              </w:rPr>
              <w:t>Fellowship</w:t>
            </w:r>
            <w:r w:rsidR="005E6CAB" w:rsidRPr="0042750D">
              <w:rPr>
                <w:bCs/>
                <w:szCs w:val="22"/>
              </w:rPr>
              <w:t>s</w:t>
            </w:r>
            <w:r w:rsidRPr="0042750D">
              <w:rPr>
                <w:bCs/>
                <w:szCs w:val="22"/>
              </w:rPr>
              <w:t xml:space="preserve"> were provided to participants </w:t>
            </w:r>
            <w:r w:rsidR="005E6CAB" w:rsidRPr="0042750D">
              <w:rPr>
                <w:bCs/>
                <w:szCs w:val="22"/>
              </w:rPr>
              <w:t>of</w:t>
            </w:r>
            <w:r w:rsidRPr="0042750D">
              <w:rPr>
                <w:bCs/>
                <w:szCs w:val="22"/>
              </w:rPr>
              <w:t xml:space="preserve"> SG17 meetings in accordance with </w:t>
            </w:r>
            <w:r w:rsidR="005E6CAB" w:rsidRPr="0042750D">
              <w:rPr>
                <w:bCs/>
                <w:szCs w:val="22"/>
              </w:rPr>
              <w:t xml:space="preserve">the </w:t>
            </w:r>
            <w:r w:rsidRPr="0042750D">
              <w:rPr>
                <w:bCs/>
                <w:szCs w:val="22"/>
              </w:rPr>
              <w:t>ITU fellowship policy.</w:t>
            </w:r>
          </w:p>
        </w:tc>
      </w:tr>
      <w:tr w:rsidR="004D03C1" w:rsidRPr="0042750D" w14:paraId="33D1000F"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2C98A8DA" w14:textId="130E48B7" w:rsidR="004D03C1" w:rsidRPr="0042750D" w:rsidRDefault="004D03C1" w:rsidP="00D25C4B">
            <w:pPr>
              <w:pStyle w:val="Tabletext"/>
              <w:keepNext/>
              <w:keepLines/>
              <w:rPr>
                <w:b/>
                <w:bCs/>
                <w:sz w:val="24"/>
                <w:szCs w:val="24"/>
              </w:rPr>
            </w:pPr>
            <w:r w:rsidRPr="0042750D">
              <w:rPr>
                <w:b/>
                <w:bCs/>
                <w:sz w:val="24"/>
                <w:szCs w:val="24"/>
              </w:rPr>
              <w:t>130-2</w:t>
            </w:r>
            <w:r w:rsidR="00E270B9" w:rsidRPr="0042750D">
              <w:rPr>
                <w:b/>
                <w:bCs/>
                <w:sz w:val="24"/>
                <w:szCs w:val="24"/>
              </w:rPr>
              <w:t>0</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2ABA9B60" w14:textId="136A54E5" w:rsidR="004D03C1" w:rsidRPr="0042750D" w:rsidRDefault="004D03C1" w:rsidP="00D25C4B">
            <w:pPr>
              <w:pStyle w:val="Tabletext"/>
              <w:keepNext/>
              <w:keepLines/>
              <w:rPr>
                <w:b/>
                <w:bCs/>
                <w:sz w:val="24"/>
                <w:szCs w:val="24"/>
              </w:rPr>
            </w:pPr>
            <w:r w:rsidRPr="0042750D">
              <w:rPr>
                <w:b/>
                <w:bCs/>
                <w:sz w:val="24"/>
                <w:szCs w:val="24"/>
              </w:rPr>
              <w:t>TSBDir to encourage the engagement of experts in the ITU</w:t>
            </w:r>
            <w:r w:rsidR="00E270B9" w:rsidRPr="0042750D">
              <w:rPr>
                <w:b/>
                <w:bCs/>
                <w:sz w:val="24"/>
                <w:szCs w:val="24"/>
              </w:rPr>
              <w:t>-T</w:t>
            </w:r>
            <w:r w:rsidRPr="0042750D">
              <w:rPr>
                <w:b/>
                <w:bCs/>
                <w:sz w:val="24"/>
                <w:szCs w:val="24"/>
              </w:rPr>
              <w:t>'s activities in the area of building confidence and security in the use of ICT</w:t>
            </w:r>
            <w:r w:rsidR="00873C7F" w:rsidRPr="0042750D">
              <w:rPr>
                <w:b/>
                <w:bCs/>
                <w:sz w:val="24"/>
                <w:szCs w:val="24"/>
              </w:rPr>
              <w:t xml:space="preserve"> (</w:t>
            </w:r>
            <w:r w:rsidR="00873C7F" w:rsidRPr="0042750D">
              <w:rPr>
                <w:b/>
                <w:bCs/>
                <w:i/>
                <w:sz w:val="24"/>
                <w:szCs w:val="24"/>
              </w:rPr>
              <w:t>further instructs 11</w:t>
            </w:r>
            <w:r w:rsidR="00873C7F"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53E78678" w14:textId="77777777" w:rsidR="004D03C1" w:rsidRPr="0042750D" w:rsidRDefault="004D03C1" w:rsidP="00D25C4B">
            <w:pPr>
              <w:pStyle w:val="Tabletext"/>
              <w:keepNext/>
              <w:keepLines/>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741E8634" w14:textId="77777777" w:rsidR="004D03C1" w:rsidRPr="0042750D" w:rsidRDefault="004D03C1" w:rsidP="00D25C4B">
            <w:pPr>
              <w:pStyle w:val="Tabletext"/>
              <w:keepNext/>
              <w:keepLines/>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20F6636" w14:textId="77777777" w:rsidR="004D03C1" w:rsidRPr="0042750D" w:rsidRDefault="004D03C1" w:rsidP="00D25C4B">
            <w:pPr>
              <w:pStyle w:val="Tabletext"/>
              <w:keepNext/>
              <w:keepLines/>
              <w:jc w:val="center"/>
              <w:rPr>
                <w:b/>
                <w:bCs/>
                <w:sz w:val="24"/>
                <w:szCs w:val="24"/>
              </w:rPr>
            </w:pPr>
          </w:p>
        </w:tc>
      </w:tr>
      <w:tr w:rsidR="004D03C1" w:rsidRPr="0042750D" w14:paraId="71FDB4F2"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468547EE" w14:textId="77777777" w:rsidR="004D03C1" w:rsidRPr="0042750D" w:rsidRDefault="004D03C1" w:rsidP="00D25C4B">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5F9854E5" w14:textId="77777777" w:rsidR="004D03C1" w:rsidRPr="0042750D" w:rsidRDefault="004D03C1" w:rsidP="00D25C4B">
            <w:pPr>
              <w:pStyle w:val="Tabletext"/>
              <w:keepNext/>
              <w:keepLines/>
              <w:rPr>
                <w:bCs/>
                <w:szCs w:val="22"/>
              </w:rPr>
            </w:pPr>
          </w:p>
        </w:tc>
      </w:tr>
      <w:tr w:rsidR="004D03C1" w:rsidRPr="0042750D" w14:paraId="09973E6A"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1050A835" w14:textId="25DD1DC4" w:rsidR="004D03C1" w:rsidRPr="0042750D" w:rsidRDefault="004D03C1" w:rsidP="00E270B9">
            <w:pPr>
              <w:pStyle w:val="Tabletext"/>
              <w:rPr>
                <w:b/>
                <w:bCs/>
                <w:sz w:val="24"/>
                <w:szCs w:val="24"/>
              </w:rPr>
            </w:pPr>
            <w:r w:rsidRPr="0042750D">
              <w:rPr>
                <w:b/>
                <w:bCs/>
                <w:sz w:val="24"/>
                <w:szCs w:val="24"/>
              </w:rPr>
              <w:t>130-2</w:t>
            </w:r>
            <w:r w:rsidR="00E270B9" w:rsidRPr="0042750D">
              <w:rPr>
                <w:b/>
                <w:bCs/>
                <w:sz w:val="24"/>
                <w:szCs w:val="24"/>
              </w:rPr>
              <w:t>1</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7EF896A5" w14:textId="68E7249E" w:rsidR="004D03C1" w:rsidRPr="0042750D" w:rsidRDefault="004D03C1" w:rsidP="004D03C1">
            <w:pPr>
              <w:pStyle w:val="Tabletext"/>
              <w:rPr>
                <w:b/>
                <w:bCs/>
                <w:sz w:val="24"/>
                <w:szCs w:val="24"/>
              </w:rPr>
            </w:pPr>
            <w:r w:rsidRPr="0042750D">
              <w:rPr>
                <w:b/>
                <w:bCs/>
                <w:sz w:val="24"/>
                <w:szCs w:val="24"/>
              </w:rPr>
              <w:t>TSBDir to mobilize appropriate extrabudgetary resources, outside the regular budget of the Union, for the implementation of this resolution, to help developing countries</w:t>
            </w:r>
            <w:r w:rsidR="00E15E40" w:rsidRPr="0042750D">
              <w:rPr>
                <w:b/>
                <w:bCs/>
                <w:sz w:val="24"/>
                <w:szCs w:val="24"/>
              </w:rPr>
              <w:t xml:space="preserve"> (</w:t>
            </w:r>
            <w:r w:rsidR="00E15E40" w:rsidRPr="0042750D">
              <w:rPr>
                <w:b/>
                <w:bCs/>
                <w:i/>
                <w:sz w:val="24"/>
                <w:szCs w:val="24"/>
              </w:rPr>
              <w:t>further instructs 12</w:t>
            </w:r>
            <w:r w:rsidR="00E15E40"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21B83C4E" w14:textId="77777777" w:rsidR="004D03C1" w:rsidRPr="0042750D" w:rsidRDefault="004D03C1" w:rsidP="004D03C1">
            <w:pPr>
              <w:pStyle w:val="Tabletext"/>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33EE3E0D" w14:textId="0C54FA29" w:rsidR="004D03C1" w:rsidRPr="0042750D" w:rsidRDefault="00524CC9" w:rsidP="004D03C1">
            <w:pPr>
              <w:pStyle w:val="Tabletext"/>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5CF37A9" w14:textId="77777777" w:rsidR="004D03C1" w:rsidRPr="0042750D" w:rsidRDefault="004D03C1" w:rsidP="004D03C1">
            <w:pPr>
              <w:pStyle w:val="Tabletext"/>
              <w:jc w:val="center"/>
              <w:rPr>
                <w:b/>
                <w:bCs/>
                <w:sz w:val="24"/>
                <w:szCs w:val="24"/>
              </w:rPr>
            </w:pPr>
          </w:p>
        </w:tc>
      </w:tr>
      <w:tr w:rsidR="004D03C1" w:rsidRPr="0042750D" w14:paraId="4B3AC8EC"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4F127977" w14:textId="77777777" w:rsidR="004D03C1" w:rsidRPr="0042750D" w:rsidRDefault="004D03C1" w:rsidP="00FB03DB">
            <w:pPr>
              <w:pStyle w:val="Tabletext"/>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48DD13AC" w14:textId="084221C8" w:rsidR="004D03C1" w:rsidRPr="0042750D" w:rsidRDefault="00524CC9" w:rsidP="00115C8F">
            <w:pPr>
              <w:pStyle w:val="Tabletext"/>
              <w:rPr>
                <w:bCs/>
                <w:szCs w:val="22"/>
              </w:rPr>
            </w:pPr>
            <w:r w:rsidRPr="0042750D">
              <w:rPr>
                <w:bCs/>
                <w:szCs w:val="22"/>
              </w:rPr>
              <w:t>The f</w:t>
            </w:r>
            <w:r w:rsidR="00115C8F" w:rsidRPr="0042750D">
              <w:rPr>
                <w:bCs/>
                <w:szCs w:val="22"/>
              </w:rPr>
              <w:t>ollwing two SG17 technical reports were developed:</w:t>
            </w:r>
          </w:p>
          <w:p w14:paraId="304D20B0" w14:textId="77777777" w:rsidR="00115C8F" w:rsidRPr="0042750D" w:rsidRDefault="00DD025B" w:rsidP="00115C8F">
            <w:pPr>
              <w:pStyle w:val="Tabletext"/>
              <w:numPr>
                <w:ilvl w:val="0"/>
                <w:numId w:val="22"/>
              </w:numPr>
              <w:rPr>
                <w:bCs/>
                <w:szCs w:val="22"/>
              </w:rPr>
            </w:pPr>
            <w:hyperlink r:id="rId54" w:history="1">
              <w:r w:rsidR="00115C8F" w:rsidRPr="0042750D">
                <w:rPr>
                  <w:rStyle w:val="Hyperlink"/>
                  <w:bCs/>
                  <w:szCs w:val="22"/>
                </w:rPr>
                <w:t>Successful use of security standards</w:t>
              </w:r>
            </w:hyperlink>
          </w:p>
          <w:p w14:paraId="5DA98406" w14:textId="3363D9DF" w:rsidR="00115C8F" w:rsidRPr="0042750D" w:rsidRDefault="00DD025B" w:rsidP="00115C8F">
            <w:pPr>
              <w:pStyle w:val="Tabletext"/>
              <w:numPr>
                <w:ilvl w:val="0"/>
                <w:numId w:val="22"/>
              </w:numPr>
              <w:rPr>
                <w:bCs/>
                <w:sz w:val="24"/>
                <w:szCs w:val="24"/>
              </w:rPr>
            </w:pPr>
            <w:hyperlink r:id="rId55" w:history="1">
              <w:r w:rsidR="00115C8F" w:rsidRPr="0042750D">
                <w:rPr>
                  <w:rStyle w:val="Hyperlink"/>
                  <w:bCs/>
                  <w:szCs w:val="22"/>
                </w:rPr>
                <w:t>ITU-T Security Manual</w:t>
              </w:r>
            </w:hyperlink>
            <w:r w:rsidR="00524CC9" w:rsidRPr="0042750D">
              <w:rPr>
                <w:bCs/>
                <w:szCs w:val="22"/>
              </w:rPr>
              <w:t>.</w:t>
            </w:r>
          </w:p>
        </w:tc>
      </w:tr>
      <w:tr w:rsidR="004D03C1" w:rsidRPr="0042750D" w14:paraId="374E51D7" w14:textId="77777777" w:rsidTr="00E270B9">
        <w:trPr>
          <w:cantSplit/>
          <w:jc w:val="center"/>
        </w:trPr>
        <w:tc>
          <w:tcPr>
            <w:tcW w:w="911" w:type="dxa"/>
            <w:vMerge w:val="restart"/>
            <w:tcBorders>
              <w:top w:val="single" w:sz="12" w:space="0" w:color="auto"/>
              <w:left w:val="single" w:sz="12" w:space="0" w:color="auto"/>
              <w:right w:val="single" w:sz="4" w:space="0" w:color="auto"/>
            </w:tcBorders>
            <w:shd w:val="clear" w:color="auto" w:fill="auto"/>
          </w:tcPr>
          <w:p w14:paraId="579D1067" w14:textId="563C9B92" w:rsidR="004D03C1" w:rsidRPr="0042750D" w:rsidRDefault="004D03C1" w:rsidP="006600FD">
            <w:pPr>
              <w:pStyle w:val="Tabletext"/>
              <w:keepNext/>
              <w:keepLines/>
              <w:rPr>
                <w:b/>
                <w:bCs/>
                <w:sz w:val="24"/>
                <w:szCs w:val="24"/>
              </w:rPr>
            </w:pPr>
            <w:r w:rsidRPr="0042750D">
              <w:rPr>
                <w:b/>
                <w:bCs/>
                <w:sz w:val="24"/>
                <w:szCs w:val="24"/>
              </w:rPr>
              <w:t>130-2</w:t>
            </w:r>
            <w:r w:rsidR="00E270B9" w:rsidRPr="0042750D">
              <w:rPr>
                <w:b/>
                <w:bCs/>
                <w:sz w:val="24"/>
                <w:szCs w:val="24"/>
              </w:rPr>
              <w:t>2</w:t>
            </w:r>
          </w:p>
        </w:tc>
        <w:tc>
          <w:tcPr>
            <w:tcW w:w="4921" w:type="dxa"/>
            <w:tcBorders>
              <w:top w:val="single" w:sz="12" w:space="0" w:color="auto"/>
              <w:left w:val="single" w:sz="4" w:space="0" w:color="auto"/>
              <w:bottom w:val="single" w:sz="12" w:space="0" w:color="auto"/>
              <w:right w:val="single" w:sz="4" w:space="0" w:color="auto"/>
            </w:tcBorders>
            <w:shd w:val="clear" w:color="auto" w:fill="auto"/>
          </w:tcPr>
          <w:p w14:paraId="571561FC" w14:textId="6DD9F874" w:rsidR="004D03C1" w:rsidRPr="0042750D" w:rsidRDefault="004D03C1" w:rsidP="006600FD">
            <w:pPr>
              <w:pStyle w:val="Tabletext"/>
              <w:keepNext/>
              <w:keepLines/>
              <w:rPr>
                <w:b/>
                <w:bCs/>
                <w:sz w:val="24"/>
                <w:szCs w:val="24"/>
              </w:rPr>
            </w:pPr>
            <w:r w:rsidRPr="0042750D">
              <w:rPr>
                <w:b/>
                <w:bCs/>
                <w:sz w:val="24"/>
                <w:szCs w:val="24"/>
              </w:rPr>
              <w:t>TSBDir to support and assist developing countries in promoting and facilitating the implementation of security-related ITU-T recommendations</w:t>
            </w:r>
            <w:r w:rsidR="00E15E40" w:rsidRPr="0042750D">
              <w:rPr>
                <w:b/>
                <w:bCs/>
                <w:sz w:val="24"/>
                <w:szCs w:val="24"/>
              </w:rPr>
              <w:t xml:space="preserve"> (</w:t>
            </w:r>
            <w:r w:rsidR="00E15E40" w:rsidRPr="0042750D">
              <w:rPr>
                <w:b/>
                <w:bCs/>
                <w:i/>
                <w:sz w:val="24"/>
                <w:szCs w:val="24"/>
              </w:rPr>
              <w:t>further instructs 13</w:t>
            </w:r>
            <w:r w:rsidR="00E15E40" w:rsidRPr="0042750D">
              <w:rPr>
                <w:b/>
                <w:bCs/>
                <w:sz w:val="24"/>
                <w:szCs w:val="24"/>
              </w:rPr>
              <w:t>)</w:t>
            </w:r>
            <w:r w:rsidRPr="0042750D">
              <w:rPr>
                <w:b/>
                <w:bCs/>
                <w:sz w:val="24"/>
                <w:szCs w:val="24"/>
              </w:rPr>
              <w:t>.</w:t>
            </w:r>
          </w:p>
        </w:tc>
        <w:tc>
          <w:tcPr>
            <w:tcW w:w="1516" w:type="dxa"/>
            <w:tcBorders>
              <w:top w:val="single" w:sz="12" w:space="0" w:color="auto"/>
              <w:left w:val="single" w:sz="4" w:space="0" w:color="auto"/>
              <w:bottom w:val="single" w:sz="12" w:space="0" w:color="auto"/>
              <w:right w:val="single" w:sz="4" w:space="0" w:color="auto"/>
            </w:tcBorders>
            <w:shd w:val="clear" w:color="auto" w:fill="auto"/>
            <w:vAlign w:val="center"/>
          </w:tcPr>
          <w:p w14:paraId="6A5CD25E" w14:textId="77777777" w:rsidR="004D03C1" w:rsidRPr="0042750D" w:rsidRDefault="004D03C1" w:rsidP="006600FD">
            <w:pPr>
              <w:pStyle w:val="Tabletext"/>
              <w:keepNext/>
              <w:keepLines/>
              <w:jc w:val="center"/>
              <w:rPr>
                <w:b/>
                <w:bCs/>
                <w:sz w:val="24"/>
                <w:szCs w:val="24"/>
              </w:rPr>
            </w:pPr>
            <w:r w:rsidRPr="0042750D">
              <w:rPr>
                <w:b/>
                <w:bCs/>
                <w:sz w:val="24"/>
                <w:szCs w:val="24"/>
              </w:rPr>
              <w:t>Ongoing</w:t>
            </w:r>
          </w:p>
        </w:tc>
        <w:tc>
          <w:tcPr>
            <w:tcW w:w="1146" w:type="dxa"/>
            <w:tcBorders>
              <w:top w:val="single" w:sz="12" w:space="0" w:color="auto"/>
              <w:left w:val="single" w:sz="4" w:space="0" w:color="auto"/>
              <w:bottom w:val="single" w:sz="12" w:space="0" w:color="auto"/>
              <w:right w:val="single" w:sz="4" w:space="0" w:color="auto"/>
            </w:tcBorders>
            <w:shd w:val="clear" w:color="auto" w:fill="auto"/>
            <w:vAlign w:val="center"/>
          </w:tcPr>
          <w:p w14:paraId="05FF477A" w14:textId="77777777" w:rsidR="004D03C1" w:rsidRPr="0042750D" w:rsidRDefault="004D03C1" w:rsidP="006600FD">
            <w:pPr>
              <w:pStyle w:val="Tabletext"/>
              <w:keepNext/>
              <w:keepLines/>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2D65D94E" w14:textId="77777777" w:rsidR="004D03C1" w:rsidRPr="0042750D" w:rsidRDefault="004D03C1" w:rsidP="006600FD">
            <w:pPr>
              <w:pStyle w:val="Tabletext"/>
              <w:keepNext/>
              <w:keepLines/>
              <w:jc w:val="center"/>
              <w:rPr>
                <w:b/>
                <w:bCs/>
                <w:sz w:val="24"/>
                <w:szCs w:val="24"/>
              </w:rPr>
            </w:pPr>
          </w:p>
        </w:tc>
      </w:tr>
      <w:tr w:rsidR="004D03C1" w:rsidRPr="0042750D" w14:paraId="205AB934" w14:textId="77777777" w:rsidTr="004D03C1">
        <w:trPr>
          <w:cantSplit/>
          <w:jc w:val="center"/>
        </w:trPr>
        <w:tc>
          <w:tcPr>
            <w:tcW w:w="911" w:type="dxa"/>
            <w:vMerge/>
            <w:tcBorders>
              <w:left w:val="single" w:sz="12" w:space="0" w:color="auto"/>
              <w:bottom w:val="single" w:sz="12" w:space="0" w:color="auto"/>
              <w:right w:val="single" w:sz="4" w:space="0" w:color="auto"/>
            </w:tcBorders>
            <w:shd w:val="clear" w:color="auto" w:fill="auto"/>
          </w:tcPr>
          <w:p w14:paraId="352474CE" w14:textId="77777777" w:rsidR="004D03C1" w:rsidRPr="0042750D" w:rsidRDefault="004D03C1" w:rsidP="006600FD">
            <w:pPr>
              <w:pStyle w:val="Tabletext"/>
              <w:keepNext/>
              <w:keepLines/>
              <w:rPr>
                <w:b/>
                <w:bCs/>
                <w:sz w:val="24"/>
                <w:szCs w:val="24"/>
              </w:rPr>
            </w:pPr>
          </w:p>
        </w:tc>
        <w:tc>
          <w:tcPr>
            <w:tcW w:w="8921" w:type="dxa"/>
            <w:gridSpan w:val="4"/>
            <w:tcBorders>
              <w:top w:val="single" w:sz="12" w:space="0" w:color="auto"/>
              <w:left w:val="single" w:sz="4" w:space="0" w:color="auto"/>
              <w:bottom w:val="single" w:sz="12" w:space="0" w:color="auto"/>
              <w:right w:val="single" w:sz="12" w:space="0" w:color="auto"/>
            </w:tcBorders>
            <w:shd w:val="clear" w:color="auto" w:fill="auto"/>
          </w:tcPr>
          <w:p w14:paraId="4AB1C18A" w14:textId="77777777" w:rsidR="004D03C1" w:rsidRPr="0042750D" w:rsidRDefault="004D03C1" w:rsidP="006600FD">
            <w:pPr>
              <w:pStyle w:val="Tabletext"/>
              <w:keepNext/>
              <w:keepLines/>
              <w:rPr>
                <w:bCs/>
                <w:szCs w:val="22"/>
              </w:rPr>
            </w:pPr>
          </w:p>
        </w:tc>
      </w:tr>
    </w:tbl>
    <w:p w14:paraId="52832859" w14:textId="54B6AF60" w:rsidR="00F0236A" w:rsidRPr="0042750D" w:rsidRDefault="00DD025B" w:rsidP="00F0236A">
      <w:pPr>
        <w:rPr>
          <w:rStyle w:val="Hyperlink"/>
          <w:sz w:val="24"/>
        </w:rPr>
      </w:pPr>
      <w:hyperlink w:anchor="Top" w:history="1">
        <w:r w:rsidR="00F0236A" w:rsidRPr="0042750D">
          <w:rPr>
            <w:rStyle w:val="Hyperlink"/>
            <w:sz w:val="24"/>
          </w:rPr>
          <w:t>» Top</w:t>
        </w:r>
      </w:hyperlink>
    </w:p>
    <w:p w14:paraId="4F6F5CAB" w14:textId="3DABE212" w:rsidR="00F0236A" w:rsidRPr="0042750D" w:rsidRDefault="00DA2B5C" w:rsidP="007F6958">
      <w:pPr>
        <w:pStyle w:val="Heading1"/>
        <w:rPr>
          <w:sz w:val="24"/>
          <w:szCs w:val="24"/>
          <w:lang w:val="en-GB"/>
        </w:rPr>
      </w:pPr>
      <w:bookmarkStart w:id="103" w:name="Resolution_49"/>
      <w:bookmarkStart w:id="104" w:name="_Toc30749161"/>
      <w:bookmarkEnd w:id="103"/>
      <w:r w:rsidRPr="0042750D">
        <w:rPr>
          <w:sz w:val="24"/>
          <w:szCs w:val="24"/>
          <w:lang w:val="en-GB"/>
        </w:rPr>
        <w:t>RESOLUTION 133 (REV. DUBAI, 2018) – Role of administrations of Member States in the management of internationalized (multilingual) domain names</w:t>
      </w:r>
      <w:bookmarkEnd w:id="104"/>
    </w:p>
    <w:p w14:paraId="5AC5E2E5" w14:textId="77777777" w:rsidR="00DA2B5C" w:rsidRPr="0042750D" w:rsidRDefault="00DA2B5C" w:rsidP="00DA2B5C">
      <w:pPr>
        <w:pStyle w:val="Call"/>
        <w:rPr>
          <w:rFonts w:eastAsia="SimSun"/>
          <w:szCs w:val="22"/>
          <w:lang w:val="en-GB"/>
        </w:rPr>
      </w:pPr>
      <w:r w:rsidRPr="0042750D">
        <w:rPr>
          <w:rFonts w:eastAsia="SimSun"/>
          <w:szCs w:val="22"/>
          <w:lang w:val="en-GB"/>
        </w:rPr>
        <w:t>resolves</w:t>
      </w:r>
    </w:p>
    <w:p w14:paraId="749E63D3" w14:textId="77777777" w:rsidR="00DA2B5C" w:rsidRPr="0042750D" w:rsidRDefault="00DA2B5C" w:rsidP="00DA2B5C">
      <w:pPr>
        <w:rPr>
          <w:color w:val="000000"/>
          <w:szCs w:val="22"/>
        </w:rPr>
      </w:pPr>
      <w:r w:rsidRPr="0042750D">
        <w:rPr>
          <w:szCs w:val="22"/>
        </w:rPr>
        <w:t>to explore ways and means, in accordance with the Tunis Agenda for the Information Society, for greater reciprocal collaboration and coordination between ITU and relevant organizations</w:t>
      </w:r>
      <w:r w:rsidRPr="0042750D">
        <w:rPr>
          <w:rStyle w:val="FootnoteReference"/>
          <w:sz w:val="22"/>
          <w:szCs w:val="22"/>
        </w:rPr>
        <w:footnoteReference w:customMarkFollows="1" w:id="8"/>
        <w:t xml:space="preserve">1 </w:t>
      </w:r>
      <w:r w:rsidRPr="0042750D">
        <w:rPr>
          <w:szCs w:val="22"/>
        </w:rPr>
        <w:t>involved in the development of Internet Protocol (IP)-based networks and the future Internet in the context of emerging telecommunications/ICTs, through cooperation agreements, as appropriate, in order to increase the role of ITU in Internet governance,</w:t>
      </w:r>
      <w:r w:rsidRPr="0042750D">
        <w:rPr>
          <w:color w:val="000000"/>
          <w:szCs w:val="22"/>
        </w:rPr>
        <w:t xml:space="preserve"> and to promote greater participation by Member States in Internet governance</w:t>
      </w:r>
      <w:r w:rsidRPr="0042750D">
        <w:rPr>
          <w:szCs w:val="22"/>
        </w:rPr>
        <w:t xml:space="preserve"> so as to ensure maximum benefits to the global community </w:t>
      </w:r>
      <w:r w:rsidRPr="0042750D">
        <w:rPr>
          <w:color w:val="000000"/>
          <w:szCs w:val="22"/>
        </w:rPr>
        <w:t>and promote affordable international connectivity,</w:t>
      </w:r>
    </w:p>
    <w:p w14:paraId="7313A94A" w14:textId="77777777" w:rsidR="00DA2B5C" w:rsidRPr="0042750D" w:rsidRDefault="00DA2B5C" w:rsidP="00DA2B5C">
      <w:pPr>
        <w:pStyle w:val="Call"/>
        <w:rPr>
          <w:rFonts w:eastAsia="SimSun"/>
          <w:szCs w:val="22"/>
          <w:lang w:val="en-GB"/>
        </w:rPr>
      </w:pPr>
      <w:r w:rsidRPr="0042750D">
        <w:rPr>
          <w:rFonts w:eastAsia="SimSun"/>
          <w:szCs w:val="22"/>
          <w:lang w:val="en-GB"/>
        </w:rPr>
        <w:t>instructs the Secretary-General and the Directors of the Bureaux</w:t>
      </w:r>
    </w:p>
    <w:p w14:paraId="5452780A" w14:textId="71D69AD9" w:rsidR="00DA2B5C" w:rsidRPr="0042750D" w:rsidRDefault="00DA2B5C" w:rsidP="00DA2B5C">
      <w:pPr>
        <w:rPr>
          <w:szCs w:val="22"/>
        </w:rPr>
      </w:pPr>
      <w:r w:rsidRPr="0042750D">
        <w:rPr>
          <w:szCs w:val="22"/>
        </w:rPr>
        <w:t>1</w:t>
      </w:r>
      <w:r w:rsidRPr="0042750D">
        <w:rPr>
          <w:szCs w:val="22"/>
        </w:rPr>
        <w:tab/>
        <w:t>to take an active part in all international discussions, initiatives and activities on the deployment and management of IDNs, in cooperation with relevant organizati</w:t>
      </w:r>
      <w:r w:rsidR="00D25C4B" w:rsidRPr="0042750D">
        <w:rPr>
          <w:szCs w:val="22"/>
        </w:rPr>
        <w:t>ons, including WIPO and UNESCO;</w:t>
      </w:r>
    </w:p>
    <w:p w14:paraId="7AD3F0B8" w14:textId="6251A865" w:rsidR="00DA2B5C" w:rsidRPr="0042750D" w:rsidRDefault="00DA2B5C" w:rsidP="00DA2B5C">
      <w:pPr>
        <w:rPr>
          <w:szCs w:val="22"/>
        </w:rPr>
      </w:pPr>
      <w:r w:rsidRPr="0042750D">
        <w:rPr>
          <w:szCs w:val="22"/>
        </w:rPr>
        <w:t>2</w:t>
      </w:r>
      <w:r w:rsidRPr="0042750D">
        <w:rPr>
          <w:szCs w:val="22"/>
        </w:rPr>
        <w:tab/>
        <w:t>to take any necessary action to ensure the sovereignty of ITU Member States with regard to Recommendation ITU</w:t>
      </w:r>
      <w:r w:rsidRPr="0042750D">
        <w:rPr>
          <w:szCs w:val="22"/>
        </w:rPr>
        <w:noBreakHyphen/>
        <w:t>T E.164 numbering plans whatever the appl</w:t>
      </w:r>
      <w:r w:rsidR="00D25C4B" w:rsidRPr="0042750D">
        <w:rPr>
          <w:szCs w:val="22"/>
        </w:rPr>
        <w:t>ication in which they are used;</w:t>
      </w:r>
    </w:p>
    <w:p w14:paraId="2FC6C1EC" w14:textId="77777777" w:rsidR="00DA2B5C" w:rsidRPr="0042750D" w:rsidRDefault="00DA2B5C" w:rsidP="00DA2B5C">
      <w:pPr>
        <w:rPr>
          <w:szCs w:val="22"/>
        </w:rPr>
      </w:pPr>
      <w:r w:rsidRPr="0042750D">
        <w:rPr>
          <w:szCs w:val="22"/>
        </w:rPr>
        <w:t>3</w:t>
      </w:r>
      <w:r w:rsidRPr="0042750D">
        <w:rPr>
          <w:szCs w:val="22"/>
        </w:rPr>
        <w:tab/>
        <w:t>to explore ways and means for greater collaboration and coordination between ITU and relevant organizations involved in the deployment of IP-based networks;</w:t>
      </w:r>
    </w:p>
    <w:p w14:paraId="770A56F8" w14:textId="77777777" w:rsidR="00DA2B5C" w:rsidRPr="0042750D" w:rsidRDefault="00DA2B5C" w:rsidP="00DA2B5C">
      <w:pPr>
        <w:rPr>
          <w:szCs w:val="22"/>
        </w:rPr>
      </w:pPr>
      <w:r w:rsidRPr="0042750D">
        <w:rPr>
          <w:szCs w:val="22"/>
        </w:rPr>
        <w:t>4</w:t>
      </w:r>
      <w:r w:rsidRPr="0042750D">
        <w:rPr>
          <w:szCs w:val="22"/>
        </w:rPr>
        <w:tab/>
        <w:t>to encourage the ITU members, as appropriate, to develop and deploy the IDNs in their respective language scripts using their specific character sets;</w:t>
      </w:r>
    </w:p>
    <w:p w14:paraId="62B758EF" w14:textId="77777777" w:rsidR="00DA2B5C" w:rsidRPr="0042750D" w:rsidRDefault="00DA2B5C" w:rsidP="00DA2B5C">
      <w:pPr>
        <w:rPr>
          <w:szCs w:val="22"/>
        </w:rPr>
      </w:pPr>
      <w:r w:rsidRPr="0042750D">
        <w:rPr>
          <w:szCs w:val="22"/>
        </w:rPr>
        <w:t>5</w:t>
      </w:r>
      <w:r w:rsidRPr="0042750D">
        <w:rPr>
          <w:szCs w:val="22"/>
        </w:rPr>
        <w:tab/>
        <w:t>to support Member States in meeting the commitments of the Geneva Plan of Action and the Tunis Agenda in respect of IDNs;</w:t>
      </w:r>
    </w:p>
    <w:p w14:paraId="2EDBB7F2" w14:textId="77777777" w:rsidR="00DA2B5C" w:rsidRPr="0042750D" w:rsidRDefault="00DA2B5C" w:rsidP="00DA2B5C">
      <w:pPr>
        <w:rPr>
          <w:szCs w:val="22"/>
        </w:rPr>
      </w:pPr>
      <w:r w:rsidRPr="0042750D">
        <w:rPr>
          <w:szCs w:val="22"/>
        </w:rPr>
        <w:t>6</w:t>
      </w:r>
      <w:r w:rsidRPr="0042750D">
        <w:rPr>
          <w:szCs w:val="22"/>
        </w:rPr>
        <w:tab/>
        <w:t>to make proposals, where appropriate, for achieving the aims of this resolution;</w:t>
      </w:r>
    </w:p>
    <w:p w14:paraId="3E2C80B4" w14:textId="7573E3CA" w:rsidR="00DA2B5C" w:rsidRPr="0042750D" w:rsidRDefault="00DA2B5C" w:rsidP="00DA2B5C">
      <w:pPr>
        <w:rPr>
          <w:szCs w:val="22"/>
        </w:rPr>
      </w:pPr>
      <w:r w:rsidRPr="0042750D">
        <w:rPr>
          <w:szCs w:val="22"/>
        </w:rPr>
        <w:t>7</w:t>
      </w:r>
      <w:r w:rsidRPr="0042750D">
        <w:rPr>
          <w:szCs w:val="22"/>
        </w:rPr>
        <w:tab/>
        <w:t>to bring this resolution to the attention of WIPO and UNESCO, which is facilitator for the implementation of WSIS Action Line C8, stressing the concerns and requests for assistance of Member States, in particular the developing countries</w:t>
      </w:r>
      <w:r w:rsidRPr="0042750D">
        <w:rPr>
          <w:rStyle w:val="FootnoteReference"/>
          <w:sz w:val="22"/>
          <w:szCs w:val="22"/>
        </w:rPr>
        <w:footnoteReference w:customMarkFollows="1" w:id="9"/>
        <w:t>2</w:t>
      </w:r>
      <w:r w:rsidRPr="0042750D">
        <w:rPr>
          <w:szCs w:val="22"/>
        </w:rPr>
        <w:t>, with regard to multilingual IDNs, and their insistence on help from the Union in this field, in order to ensure Internet use and advancement across language barriers, thereby increasing the int</w:t>
      </w:r>
      <w:r w:rsidR="00D25C4B" w:rsidRPr="0042750D">
        <w:rPr>
          <w:szCs w:val="22"/>
        </w:rPr>
        <w:t>ernational use of the Internet;</w:t>
      </w:r>
    </w:p>
    <w:p w14:paraId="5048A84B" w14:textId="169688B4" w:rsidR="00F0236A" w:rsidRPr="0042750D" w:rsidRDefault="00DA2B5C" w:rsidP="00DA2B5C">
      <w:pPr>
        <w:spacing w:after="120"/>
        <w:rPr>
          <w:szCs w:val="22"/>
        </w:rPr>
      </w:pPr>
      <w:r w:rsidRPr="0042750D">
        <w:rPr>
          <w:szCs w:val="22"/>
        </w:rPr>
        <w:t>8</w:t>
      </w:r>
      <w:r w:rsidRPr="0042750D">
        <w:rPr>
          <w:szCs w:val="22"/>
        </w:rPr>
        <w:tab/>
        <w:t>to report annually to the ITU Council on the activities undertaken and achievements attained on this subject</w:t>
      </w:r>
      <w:r w:rsidR="00F0236A" w:rsidRPr="0042750D">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42750D" w14:paraId="5D37EF5F" w14:textId="77777777" w:rsidTr="00043514">
        <w:trPr>
          <w:tblHeader/>
          <w:jc w:val="center"/>
        </w:trPr>
        <w:tc>
          <w:tcPr>
            <w:tcW w:w="911" w:type="dxa"/>
            <w:tcBorders>
              <w:top w:val="single" w:sz="12" w:space="0" w:color="auto"/>
              <w:bottom w:val="single" w:sz="12" w:space="0" w:color="auto"/>
            </w:tcBorders>
            <w:shd w:val="clear" w:color="auto" w:fill="auto"/>
            <w:vAlign w:val="center"/>
          </w:tcPr>
          <w:p w14:paraId="0E6D332B" w14:textId="77777777" w:rsidR="00F0236A" w:rsidRPr="0042750D" w:rsidRDefault="00F0236A" w:rsidP="00FC6DC4">
            <w:pPr>
              <w:pStyle w:val="Tablehead"/>
              <w:keepNext w:val="0"/>
              <w:rPr>
                <w:sz w:val="24"/>
                <w:szCs w:val="24"/>
              </w:rPr>
            </w:pPr>
            <w:r w:rsidRPr="0042750D">
              <w:rPr>
                <w:sz w:val="24"/>
                <w:szCs w:val="24"/>
              </w:rPr>
              <w:t>Action Item</w:t>
            </w:r>
          </w:p>
        </w:tc>
        <w:tc>
          <w:tcPr>
            <w:tcW w:w="4839" w:type="dxa"/>
            <w:tcBorders>
              <w:top w:val="single" w:sz="12" w:space="0" w:color="auto"/>
              <w:bottom w:val="single" w:sz="12" w:space="0" w:color="auto"/>
            </w:tcBorders>
            <w:shd w:val="clear" w:color="auto" w:fill="auto"/>
            <w:vAlign w:val="center"/>
            <w:hideMark/>
          </w:tcPr>
          <w:p w14:paraId="0E50BE02" w14:textId="77777777" w:rsidR="00F0236A" w:rsidRPr="0042750D" w:rsidRDefault="00F0236A" w:rsidP="00DF36E1">
            <w:pPr>
              <w:pStyle w:val="Tablehead"/>
              <w:rPr>
                <w:sz w:val="24"/>
                <w:szCs w:val="24"/>
              </w:rPr>
            </w:pPr>
            <w:r w:rsidRPr="0042750D">
              <w:rPr>
                <w:sz w:val="24"/>
                <w:szCs w:val="24"/>
              </w:rPr>
              <w:t>Action</w:t>
            </w:r>
          </w:p>
        </w:tc>
        <w:tc>
          <w:tcPr>
            <w:tcW w:w="1601" w:type="dxa"/>
            <w:tcBorders>
              <w:top w:val="single" w:sz="12" w:space="0" w:color="auto"/>
              <w:bottom w:val="single" w:sz="12" w:space="0" w:color="auto"/>
            </w:tcBorders>
            <w:shd w:val="clear" w:color="auto" w:fill="auto"/>
            <w:vAlign w:val="center"/>
            <w:hideMark/>
          </w:tcPr>
          <w:p w14:paraId="4A960DD8" w14:textId="77777777" w:rsidR="00F0236A" w:rsidRPr="0042750D" w:rsidRDefault="00F0236A" w:rsidP="00DF36E1">
            <w:pPr>
              <w:pStyle w:val="Tablehead"/>
              <w:rPr>
                <w:sz w:val="24"/>
                <w:szCs w:val="24"/>
              </w:rPr>
            </w:pPr>
            <w:r w:rsidRPr="0042750D">
              <w:rPr>
                <w:sz w:val="24"/>
                <w:szCs w:val="24"/>
              </w:rPr>
              <w:t>Milestone</w:t>
            </w:r>
          </w:p>
        </w:tc>
        <w:tc>
          <w:tcPr>
            <w:tcW w:w="1145" w:type="dxa"/>
            <w:tcBorders>
              <w:top w:val="single" w:sz="12" w:space="0" w:color="auto"/>
              <w:bottom w:val="single" w:sz="12" w:space="0" w:color="auto"/>
            </w:tcBorders>
            <w:shd w:val="clear" w:color="auto" w:fill="auto"/>
          </w:tcPr>
          <w:p w14:paraId="799DFD5E" w14:textId="77777777" w:rsidR="00F0236A" w:rsidRPr="0042750D" w:rsidRDefault="00F0236A" w:rsidP="00DF36E1">
            <w:pPr>
              <w:pStyle w:val="Tablehead"/>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D0E008D"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70F274B6" w14:textId="77777777" w:rsidTr="00D535B6">
        <w:trPr>
          <w:cantSplit/>
          <w:jc w:val="center"/>
        </w:trPr>
        <w:tc>
          <w:tcPr>
            <w:tcW w:w="911" w:type="dxa"/>
            <w:vMerge w:val="restart"/>
            <w:tcBorders>
              <w:top w:val="single" w:sz="12" w:space="0" w:color="auto"/>
            </w:tcBorders>
            <w:shd w:val="clear" w:color="auto" w:fill="auto"/>
          </w:tcPr>
          <w:p w14:paraId="45E6FAA9" w14:textId="1EA1B08F" w:rsidR="00F0236A" w:rsidRPr="0042750D" w:rsidRDefault="00DA2B5C" w:rsidP="00DF36E1">
            <w:pPr>
              <w:pStyle w:val="Tabletext"/>
              <w:rPr>
                <w:b/>
                <w:bCs/>
                <w:sz w:val="24"/>
                <w:szCs w:val="24"/>
              </w:rPr>
            </w:pPr>
            <w:r w:rsidRPr="0042750D">
              <w:rPr>
                <w:b/>
                <w:bCs/>
                <w:sz w:val="24"/>
                <w:szCs w:val="24"/>
              </w:rPr>
              <w:t>133</w:t>
            </w:r>
            <w:r w:rsidR="00F0236A" w:rsidRPr="0042750D">
              <w:rPr>
                <w:b/>
                <w:bCs/>
                <w:sz w:val="24"/>
                <w:szCs w:val="24"/>
              </w:rPr>
              <w:t>-01</w:t>
            </w:r>
          </w:p>
        </w:tc>
        <w:tc>
          <w:tcPr>
            <w:tcW w:w="4839" w:type="dxa"/>
            <w:tcBorders>
              <w:top w:val="single" w:sz="12" w:space="0" w:color="auto"/>
              <w:bottom w:val="single" w:sz="4" w:space="0" w:color="auto"/>
            </w:tcBorders>
            <w:shd w:val="clear" w:color="auto" w:fill="auto"/>
            <w:hideMark/>
          </w:tcPr>
          <w:p w14:paraId="492AF57E" w14:textId="57D7A719" w:rsidR="00F0236A" w:rsidRPr="0042750D" w:rsidRDefault="00DA2B5C" w:rsidP="00DA2B5C">
            <w:pPr>
              <w:pStyle w:val="Tabletext"/>
              <w:rPr>
                <w:b/>
                <w:bCs/>
                <w:sz w:val="24"/>
                <w:szCs w:val="24"/>
              </w:rPr>
            </w:pPr>
            <w:r w:rsidRPr="0042750D">
              <w:rPr>
                <w:b/>
                <w:bCs/>
                <w:sz w:val="24"/>
                <w:szCs w:val="24"/>
              </w:rPr>
              <w:t>TSBDir to take an active part in all international discussions, initiatives and activities on the deployment and management of IDNs, in cooperation with relevant organizations, including WIPO and UNESCO</w:t>
            </w:r>
            <w:r w:rsidR="005F77AE" w:rsidRPr="0042750D">
              <w:rPr>
                <w:b/>
                <w:bCs/>
                <w:sz w:val="24"/>
                <w:szCs w:val="24"/>
              </w:rPr>
              <w:t xml:space="preserve"> (</w:t>
            </w:r>
            <w:r w:rsidR="005F77AE" w:rsidRPr="0042750D">
              <w:rPr>
                <w:b/>
                <w:bCs/>
                <w:i/>
                <w:sz w:val="24"/>
                <w:szCs w:val="24"/>
              </w:rPr>
              <w:t>instructs 1</w:t>
            </w:r>
            <w:r w:rsidR="005F77AE" w:rsidRPr="0042750D">
              <w:rPr>
                <w:b/>
                <w:bCs/>
                <w:sz w:val="24"/>
                <w:szCs w:val="24"/>
              </w:rPr>
              <w:t>)</w:t>
            </w:r>
            <w:r w:rsidRPr="0042750D">
              <w:rPr>
                <w:b/>
                <w:bCs/>
                <w:sz w:val="24"/>
                <w:szCs w:val="24"/>
              </w:rPr>
              <w:t>.</w:t>
            </w:r>
          </w:p>
        </w:tc>
        <w:tc>
          <w:tcPr>
            <w:tcW w:w="1601" w:type="dxa"/>
            <w:tcBorders>
              <w:top w:val="single" w:sz="12" w:space="0" w:color="auto"/>
              <w:bottom w:val="single" w:sz="4" w:space="0" w:color="auto"/>
            </w:tcBorders>
            <w:shd w:val="clear" w:color="auto" w:fill="auto"/>
            <w:vAlign w:val="center"/>
            <w:hideMark/>
          </w:tcPr>
          <w:p w14:paraId="1018C349"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5" w:type="dxa"/>
            <w:tcBorders>
              <w:top w:val="single" w:sz="12" w:space="0" w:color="auto"/>
              <w:bottom w:val="single" w:sz="4" w:space="0" w:color="auto"/>
            </w:tcBorders>
            <w:shd w:val="clear" w:color="auto" w:fill="auto"/>
            <w:vAlign w:val="center"/>
          </w:tcPr>
          <w:p w14:paraId="21087933" w14:textId="77777777" w:rsidR="00F0236A" w:rsidRPr="0042750D"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D1E5D69" w14:textId="77777777" w:rsidR="00F0236A" w:rsidRPr="0042750D" w:rsidRDefault="00F0236A" w:rsidP="00DF36E1">
            <w:pPr>
              <w:pStyle w:val="Tabletext"/>
              <w:jc w:val="center"/>
              <w:rPr>
                <w:b/>
                <w:bCs/>
                <w:sz w:val="24"/>
                <w:szCs w:val="24"/>
              </w:rPr>
            </w:pPr>
          </w:p>
        </w:tc>
      </w:tr>
      <w:tr w:rsidR="00F0236A" w:rsidRPr="0042750D" w14:paraId="3B44D153" w14:textId="77777777" w:rsidTr="00E44E48">
        <w:trPr>
          <w:cantSplit/>
          <w:jc w:val="center"/>
        </w:trPr>
        <w:tc>
          <w:tcPr>
            <w:tcW w:w="911" w:type="dxa"/>
            <w:vMerge/>
            <w:tcBorders>
              <w:bottom w:val="single" w:sz="12" w:space="0" w:color="auto"/>
            </w:tcBorders>
            <w:shd w:val="clear" w:color="auto" w:fill="auto"/>
          </w:tcPr>
          <w:p w14:paraId="207455B7" w14:textId="77777777" w:rsidR="00F0236A" w:rsidRPr="0042750D"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A092107" w14:textId="518074A5" w:rsidR="00F0236A" w:rsidRPr="0042750D" w:rsidRDefault="00F0236A" w:rsidP="00DF36E1">
            <w:pPr>
              <w:pStyle w:val="Tabletext"/>
              <w:rPr>
                <w:szCs w:val="22"/>
              </w:rPr>
            </w:pPr>
          </w:p>
        </w:tc>
      </w:tr>
      <w:tr w:rsidR="00F0236A" w:rsidRPr="0042750D" w14:paraId="37F4617C" w14:textId="77777777" w:rsidTr="00D535B6">
        <w:trPr>
          <w:cantSplit/>
          <w:jc w:val="center"/>
        </w:trPr>
        <w:tc>
          <w:tcPr>
            <w:tcW w:w="911" w:type="dxa"/>
            <w:vMerge w:val="restart"/>
            <w:tcBorders>
              <w:top w:val="single" w:sz="12" w:space="0" w:color="auto"/>
            </w:tcBorders>
            <w:shd w:val="clear" w:color="auto" w:fill="auto"/>
          </w:tcPr>
          <w:p w14:paraId="5A1F3771" w14:textId="4532E205" w:rsidR="00F0236A" w:rsidRPr="0042750D" w:rsidRDefault="00220397" w:rsidP="00FC6DC4">
            <w:pPr>
              <w:pStyle w:val="Tabletext"/>
              <w:rPr>
                <w:b/>
                <w:bCs/>
                <w:sz w:val="24"/>
                <w:szCs w:val="24"/>
              </w:rPr>
            </w:pPr>
            <w:r w:rsidRPr="0042750D">
              <w:rPr>
                <w:b/>
                <w:bCs/>
                <w:sz w:val="24"/>
                <w:szCs w:val="24"/>
              </w:rPr>
              <w:t>133</w:t>
            </w:r>
            <w:r w:rsidR="00F0236A" w:rsidRPr="0042750D">
              <w:rPr>
                <w:b/>
                <w:bCs/>
                <w:sz w:val="24"/>
                <w:szCs w:val="24"/>
              </w:rPr>
              <w:t>-02</w:t>
            </w:r>
          </w:p>
        </w:tc>
        <w:tc>
          <w:tcPr>
            <w:tcW w:w="4839" w:type="dxa"/>
            <w:tcBorders>
              <w:top w:val="single" w:sz="12" w:space="0" w:color="auto"/>
            </w:tcBorders>
            <w:shd w:val="clear" w:color="auto" w:fill="auto"/>
            <w:hideMark/>
          </w:tcPr>
          <w:p w14:paraId="7A9EBF2B" w14:textId="51714C6D" w:rsidR="00F0236A" w:rsidRPr="0042750D" w:rsidRDefault="00220397" w:rsidP="00220397">
            <w:pPr>
              <w:pStyle w:val="Tabletext"/>
              <w:rPr>
                <w:b/>
                <w:bCs/>
                <w:sz w:val="24"/>
                <w:szCs w:val="24"/>
              </w:rPr>
            </w:pPr>
            <w:r w:rsidRPr="0042750D">
              <w:rPr>
                <w:b/>
                <w:bCs/>
                <w:sz w:val="24"/>
                <w:szCs w:val="24"/>
              </w:rPr>
              <w:t>TSBDir to take any necessary action to ensure the sovereignty of ITU Member States with regard to Recommendation ITU-T E.164 numbering plans whatever the application in which they are used</w:t>
            </w:r>
            <w:r w:rsidR="005F77AE" w:rsidRPr="0042750D">
              <w:rPr>
                <w:b/>
                <w:bCs/>
                <w:sz w:val="24"/>
                <w:szCs w:val="24"/>
              </w:rPr>
              <w:t xml:space="preserve"> (</w:t>
            </w:r>
            <w:r w:rsidR="005F77AE" w:rsidRPr="0042750D">
              <w:rPr>
                <w:b/>
                <w:bCs/>
                <w:i/>
                <w:sz w:val="24"/>
                <w:szCs w:val="24"/>
              </w:rPr>
              <w:t>instructs 2</w:t>
            </w:r>
            <w:r w:rsidR="005F77AE" w:rsidRPr="0042750D">
              <w:rPr>
                <w:b/>
                <w:bCs/>
                <w:sz w:val="24"/>
                <w:szCs w:val="24"/>
              </w:rPr>
              <w:t>)</w:t>
            </w:r>
            <w:r w:rsidRPr="0042750D">
              <w:rPr>
                <w:b/>
                <w:bCs/>
                <w:sz w:val="24"/>
                <w:szCs w:val="24"/>
              </w:rPr>
              <w:t>.</w:t>
            </w:r>
          </w:p>
        </w:tc>
        <w:tc>
          <w:tcPr>
            <w:tcW w:w="1601" w:type="dxa"/>
            <w:tcBorders>
              <w:top w:val="single" w:sz="12" w:space="0" w:color="auto"/>
            </w:tcBorders>
            <w:shd w:val="clear" w:color="auto" w:fill="auto"/>
            <w:vAlign w:val="center"/>
            <w:hideMark/>
          </w:tcPr>
          <w:p w14:paraId="3718BBA6"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5" w:type="dxa"/>
            <w:tcBorders>
              <w:top w:val="single" w:sz="12" w:space="0" w:color="auto"/>
            </w:tcBorders>
            <w:shd w:val="clear" w:color="auto" w:fill="auto"/>
            <w:vAlign w:val="center"/>
          </w:tcPr>
          <w:p w14:paraId="4AE39FDA" w14:textId="26A5F8F7" w:rsidR="00F0236A" w:rsidRPr="0042750D" w:rsidRDefault="0074419F" w:rsidP="00DF36E1">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19785227" w14:textId="77777777" w:rsidR="00F0236A" w:rsidRPr="0042750D" w:rsidRDefault="00F0236A" w:rsidP="00DF36E1">
            <w:pPr>
              <w:pStyle w:val="Tabletext"/>
              <w:jc w:val="center"/>
              <w:rPr>
                <w:b/>
                <w:bCs/>
                <w:sz w:val="24"/>
                <w:szCs w:val="24"/>
              </w:rPr>
            </w:pPr>
          </w:p>
        </w:tc>
      </w:tr>
      <w:tr w:rsidR="00F0236A" w:rsidRPr="0042750D" w14:paraId="2CF44FDD" w14:textId="77777777" w:rsidTr="00FC6DC4">
        <w:trPr>
          <w:jc w:val="center"/>
        </w:trPr>
        <w:tc>
          <w:tcPr>
            <w:tcW w:w="911" w:type="dxa"/>
            <w:vMerge/>
            <w:tcBorders>
              <w:bottom w:val="single" w:sz="12" w:space="0" w:color="auto"/>
            </w:tcBorders>
            <w:shd w:val="clear" w:color="auto" w:fill="auto"/>
          </w:tcPr>
          <w:p w14:paraId="354C982E" w14:textId="77777777" w:rsidR="00F0236A" w:rsidRPr="0042750D" w:rsidRDefault="00F0236A" w:rsidP="00DF36E1">
            <w:pPr>
              <w:pStyle w:val="Tabletext"/>
              <w:rPr>
                <w:sz w:val="24"/>
                <w:szCs w:val="24"/>
              </w:rPr>
            </w:pPr>
          </w:p>
        </w:tc>
        <w:tc>
          <w:tcPr>
            <w:tcW w:w="8921" w:type="dxa"/>
            <w:gridSpan w:val="4"/>
            <w:tcBorders>
              <w:bottom w:val="single" w:sz="12" w:space="0" w:color="auto"/>
            </w:tcBorders>
            <w:shd w:val="clear" w:color="auto" w:fill="auto"/>
          </w:tcPr>
          <w:p w14:paraId="4BA3E557" w14:textId="77777777" w:rsidR="00F0236A" w:rsidRPr="0042750D" w:rsidRDefault="00DC3185" w:rsidP="00456CCC">
            <w:pPr>
              <w:snapToGrid w:val="0"/>
              <w:spacing w:before="40" w:after="120"/>
              <w:rPr>
                <w:szCs w:val="22"/>
              </w:rPr>
            </w:pPr>
            <w:r w:rsidRPr="0042750D">
              <w:rPr>
                <w:szCs w:val="22"/>
              </w:rPr>
              <w:t xml:space="preserve">SG2: </w:t>
            </w:r>
            <w:hyperlink r:id="rId56" w:history="1">
              <w:r w:rsidRPr="0042750D">
                <w:rPr>
                  <w:rStyle w:val="Hyperlink"/>
                  <w:szCs w:val="22"/>
                </w:rPr>
                <w:t>Updated Information on ENUM</w:t>
              </w:r>
            </w:hyperlink>
            <w:r w:rsidRPr="0042750D">
              <w:rPr>
                <w:szCs w:val="22"/>
              </w:rPr>
              <w:t xml:space="preserve"> is being maintained by ITU-T. This includes information on approved ENUM Delegations and on ENUM trials. ITU-T Study Group 2 liaised with IAB and RIPE NCC concerning the updated ENUM interim procedure for geographic country codes considering the issue of non-functioning ENUM delegations under e164.arpa.</w:t>
            </w:r>
          </w:p>
          <w:p w14:paraId="440E6F88" w14:textId="77777777" w:rsidR="002564A8" w:rsidRPr="0042750D" w:rsidRDefault="002564A8" w:rsidP="002564A8">
            <w:pPr>
              <w:pStyle w:val="Tabletext"/>
              <w:keepNext/>
              <w:keepLines/>
              <w:rPr>
                <w:szCs w:val="22"/>
              </w:rPr>
            </w:pPr>
            <w:r w:rsidRPr="0042750D">
              <w:rPr>
                <w:szCs w:val="22"/>
              </w:rPr>
              <w:t>SG2 determined draft Recommendation ITU-T E.218 Annex A “Management of the allocation of terrestrial trunk radio Mobile Country Codes - Annex A: Criteria and procedures for the assignment and reclamation of shared ITU T E.218 terrestrial trunk radio access mobile country codes ((T)MCC) for networks and their respective terrestrial trunk radio access mobile network codes ((T)MNCs)".</w:t>
            </w:r>
          </w:p>
          <w:p w14:paraId="78D98819" w14:textId="77777777" w:rsidR="002564A8" w:rsidRPr="0042750D" w:rsidRDefault="002564A8" w:rsidP="002564A8">
            <w:pPr>
              <w:pStyle w:val="Tabletext"/>
              <w:keepNext/>
              <w:keepLines/>
              <w:rPr>
                <w:szCs w:val="22"/>
              </w:rPr>
            </w:pPr>
            <w:r w:rsidRPr="0042750D">
              <w:rPr>
                <w:szCs w:val="22"/>
              </w:rPr>
              <w:t>SG2 determined draft Recommendation ITU-T E.212 Annex X “The international identification plan for public networks and subscriptions - Annex X: Assignment of shared E.212 mobile country codes (MCC) for trials".</w:t>
            </w:r>
          </w:p>
          <w:p w14:paraId="4C47232A" w14:textId="77777777" w:rsidR="002564A8" w:rsidRPr="0042750D" w:rsidRDefault="002564A8" w:rsidP="002564A8">
            <w:pPr>
              <w:pStyle w:val="Tabletext"/>
              <w:keepNext/>
              <w:keepLines/>
              <w:rPr>
                <w:szCs w:val="22"/>
              </w:rPr>
            </w:pPr>
            <w:r w:rsidRPr="0042750D">
              <w:rPr>
                <w:szCs w:val="22"/>
              </w:rPr>
              <w:t>SG2 determined draft revised Recommendation ITU-T E.164.2 “E.164 numbering resources for trials”.</w:t>
            </w:r>
          </w:p>
          <w:p w14:paraId="5676F726" w14:textId="601CD44D" w:rsidR="002564A8" w:rsidRPr="0042750D" w:rsidRDefault="002564A8" w:rsidP="002564A8">
            <w:pPr>
              <w:snapToGrid w:val="0"/>
              <w:spacing w:after="120"/>
              <w:rPr>
                <w:szCs w:val="22"/>
              </w:rPr>
            </w:pPr>
            <w:r w:rsidRPr="0042750D">
              <w:rPr>
                <w:szCs w:val="22"/>
              </w:rPr>
              <w:t>SG2 is progressing draft Recommendation ITU-T E.164.1 (revised) “Criteria and procedures for the reservation, assignment and reclamation of E.164 country codes and associated identification codes (ICs)”.</w:t>
            </w:r>
          </w:p>
        </w:tc>
      </w:tr>
      <w:tr w:rsidR="00F0236A" w:rsidRPr="0042750D" w14:paraId="5BC5515B" w14:textId="77777777" w:rsidTr="00D535B6">
        <w:trPr>
          <w:cantSplit/>
          <w:jc w:val="center"/>
        </w:trPr>
        <w:tc>
          <w:tcPr>
            <w:tcW w:w="911" w:type="dxa"/>
            <w:vMerge w:val="restart"/>
            <w:tcBorders>
              <w:top w:val="single" w:sz="12" w:space="0" w:color="auto"/>
            </w:tcBorders>
            <w:shd w:val="clear" w:color="auto" w:fill="auto"/>
          </w:tcPr>
          <w:p w14:paraId="33A889B5" w14:textId="536F61AF" w:rsidR="00F0236A" w:rsidRPr="0042750D" w:rsidRDefault="00220397" w:rsidP="00220397">
            <w:pPr>
              <w:pStyle w:val="Tabletext"/>
              <w:keepNext/>
              <w:keepLines/>
              <w:rPr>
                <w:b/>
                <w:bCs/>
                <w:sz w:val="24"/>
                <w:szCs w:val="24"/>
              </w:rPr>
            </w:pPr>
            <w:r w:rsidRPr="0042750D">
              <w:rPr>
                <w:b/>
                <w:bCs/>
                <w:sz w:val="24"/>
                <w:szCs w:val="24"/>
              </w:rPr>
              <w:t>133</w:t>
            </w:r>
            <w:r w:rsidR="00F0236A" w:rsidRPr="0042750D">
              <w:rPr>
                <w:b/>
                <w:bCs/>
                <w:sz w:val="24"/>
                <w:szCs w:val="24"/>
              </w:rPr>
              <w:t>-03</w:t>
            </w:r>
          </w:p>
        </w:tc>
        <w:tc>
          <w:tcPr>
            <w:tcW w:w="4839" w:type="dxa"/>
            <w:tcBorders>
              <w:top w:val="single" w:sz="12" w:space="0" w:color="auto"/>
            </w:tcBorders>
            <w:shd w:val="clear" w:color="auto" w:fill="auto"/>
            <w:hideMark/>
          </w:tcPr>
          <w:p w14:paraId="63B7B5F9" w14:textId="115B53E0" w:rsidR="00F0236A" w:rsidRPr="0042750D" w:rsidRDefault="00220397" w:rsidP="0043567B">
            <w:pPr>
              <w:pStyle w:val="Tabletext"/>
              <w:rPr>
                <w:b/>
                <w:bCs/>
                <w:sz w:val="24"/>
                <w:szCs w:val="24"/>
              </w:rPr>
            </w:pPr>
            <w:r w:rsidRPr="0042750D">
              <w:rPr>
                <w:b/>
                <w:bCs/>
                <w:sz w:val="24"/>
                <w:szCs w:val="24"/>
              </w:rPr>
              <w:t>TSBDir to explore ways and means for greater collaboration and coordination between ITU and relevant organizations involved in the deployment of IP-based networks</w:t>
            </w:r>
            <w:r w:rsidR="005F77AE" w:rsidRPr="0042750D">
              <w:rPr>
                <w:b/>
                <w:bCs/>
                <w:sz w:val="24"/>
                <w:szCs w:val="24"/>
              </w:rPr>
              <w:t xml:space="preserve"> (</w:t>
            </w:r>
            <w:r w:rsidR="005F77AE" w:rsidRPr="0042750D">
              <w:rPr>
                <w:b/>
                <w:bCs/>
                <w:i/>
                <w:sz w:val="24"/>
                <w:szCs w:val="24"/>
              </w:rPr>
              <w:t>instructs 3</w:t>
            </w:r>
            <w:r w:rsidR="005F77AE" w:rsidRPr="0042750D">
              <w:rPr>
                <w:b/>
                <w:bCs/>
                <w:sz w:val="24"/>
                <w:szCs w:val="24"/>
              </w:rPr>
              <w:t>)</w:t>
            </w:r>
            <w:r w:rsidRPr="0042750D">
              <w:rPr>
                <w:b/>
                <w:bCs/>
                <w:sz w:val="24"/>
                <w:szCs w:val="24"/>
              </w:rPr>
              <w:t>.</w:t>
            </w:r>
          </w:p>
        </w:tc>
        <w:tc>
          <w:tcPr>
            <w:tcW w:w="1601" w:type="dxa"/>
            <w:tcBorders>
              <w:top w:val="single" w:sz="12" w:space="0" w:color="auto"/>
            </w:tcBorders>
            <w:shd w:val="clear" w:color="auto" w:fill="auto"/>
            <w:vAlign w:val="center"/>
            <w:hideMark/>
          </w:tcPr>
          <w:p w14:paraId="19CD0DC4" w14:textId="29050563" w:rsidR="00F0236A" w:rsidRPr="0042750D" w:rsidRDefault="00F0236A" w:rsidP="00DA2B5C">
            <w:pPr>
              <w:pStyle w:val="Tabletext"/>
              <w:jc w:val="center"/>
              <w:rPr>
                <w:b/>
                <w:bCs/>
                <w:sz w:val="24"/>
                <w:szCs w:val="24"/>
              </w:rPr>
            </w:pPr>
            <w:r w:rsidRPr="0042750D">
              <w:rPr>
                <w:b/>
                <w:bCs/>
                <w:sz w:val="24"/>
                <w:szCs w:val="24"/>
              </w:rPr>
              <w:t>Ongoing</w:t>
            </w:r>
          </w:p>
        </w:tc>
        <w:tc>
          <w:tcPr>
            <w:tcW w:w="1145" w:type="dxa"/>
            <w:tcBorders>
              <w:top w:val="single" w:sz="12" w:space="0" w:color="auto"/>
            </w:tcBorders>
            <w:shd w:val="clear" w:color="auto" w:fill="auto"/>
            <w:vAlign w:val="center"/>
          </w:tcPr>
          <w:p w14:paraId="6A95D8CA" w14:textId="61BD9DD7" w:rsidR="00F0236A" w:rsidRPr="0042750D"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1AAAD41" w14:textId="77777777" w:rsidR="00F0236A" w:rsidRPr="0042750D" w:rsidRDefault="00F0236A" w:rsidP="00DF36E1">
            <w:pPr>
              <w:pStyle w:val="Tabletext"/>
              <w:jc w:val="center"/>
              <w:rPr>
                <w:b/>
                <w:bCs/>
                <w:sz w:val="24"/>
                <w:szCs w:val="24"/>
              </w:rPr>
            </w:pPr>
          </w:p>
        </w:tc>
      </w:tr>
      <w:tr w:rsidR="00F0236A" w:rsidRPr="0042750D" w14:paraId="27C909B8" w14:textId="77777777" w:rsidTr="00DF36E1">
        <w:trPr>
          <w:cantSplit/>
          <w:jc w:val="center"/>
        </w:trPr>
        <w:tc>
          <w:tcPr>
            <w:tcW w:w="911" w:type="dxa"/>
            <w:vMerge/>
            <w:shd w:val="clear" w:color="auto" w:fill="auto"/>
            <w:vAlign w:val="center"/>
          </w:tcPr>
          <w:p w14:paraId="3BCEF97C" w14:textId="77777777" w:rsidR="00F0236A" w:rsidRPr="0042750D" w:rsidRDefault="00F0236A" w:rsidP="00DF36E1">
            <w:pPr>
              <w:pStyle w:val="Tabletext"/>
              <w:rPr>
                <w:sz w:val="24"/>
                <w:szCs w:val="24"/>
              </w:rPr>
            </w:pPr>
          </w:p>
        </w:tc>
        <w:tc>
          <w:tcPr>
            <w:tcW w:w="8921" w:type="dxa"/>
            <w:gridSpan w:val="4"/>
            <w:shd w:val="clear" w:color="auto" w:fill="auto"/>
          </w:tcPr>
          <w:p w14:paraId="0E45D355" w14:textId="35014E92" w:rsidR="00F0236A" w:rsidRPr="0042750D" w:rsidRDefault="00F0236A" w:rsidP="00DF36E1">
            <w:pPr>
              <w:pStyle w:val="Tabletext"/>
              <w:rPr>
                <w:szCs w:val="22"/>
              </w:rPr>
            </w:pPr>
          </w:p>
        </w:tc>
      </w:tr>
      <w:tr w:rsidR="0043567B" w:rsidRPr="0042750D" w14:paraId="1037E870" w14:textId="77777777" w:rsidTr="00D535B6">
        <w:trPr>
          <w:cantSplit/>
          <w:jc w:val="center"/>
        </w:trPr>
        <w:tc>
          <w:tcPr>
            <w:tcW w:w="911" w:type="dxa"/>
            <w:vMerge w:val="restart"/>
            <w:tcBorders>
              <w:top w:val="single" w:sz="12" w:space="0" w:color="auto"/>
            </w:tcBorders>
            <w:shd w:val="clear" w:color="auto" w:fill="auto"/>
          </w:tcPr>
          <w:p w14:paraId="388F2E3F" w14:textId="1DFE4ED4" w:rsidR="0043567B" w:rsidRPr="0042750D" w:rsidRDefault="0043567B" w:rsidP="0043567B">
            <w:pPr>
              <w:pStyle w:val="Tabletext"/>
              <w:keepNext/>
              <w:keepLines/>
              <w:rPr>
                <w:b/>
                <w:bCs/>
                <w:sz w:val="24"/>
                <w:szCs w:val="24"/>
              </w:rPr>
            </w:pPr>
            <w:bookmarkStart w:id="105" w:name="Item49_01"/>
            <w:bookmarkStart w:id="106" w:name="Item49_03"/>
            <w:bookmarkEnd w:id="105"/>
            <w:bookmarkEnd w:id="106"/>
            <w:r w:rsidRPr="0042750D">
              <w:rPr>
                <w:b/>
                <w:bCs/>
                <w:sz w:val="24"/>
                <w:szCs w:val="24"/>
              </w:rPr>
              <w:t>133-04</w:t>
            </w:r>
          </w:p>
        </w:tc>
        <w:tc>
          <w:tcPr>
            <w:tcW w:w="4839" w:type="dxa"/>
            <w:tcBorders>
              <w:top w:val="single" w:sz="12" w:space="0" w:color="auto"/>
            </w:tcBorders>
            <w:shd w:val="clear" w:color="auto" w:fill="auto"/>
            <w:hideMark/>
          </w:tcPr>
          <w:p w14:paraId="4361F562" w14:textId="5F908D33" w:rsidR="0043567B" w:rsidRPr="0042750D" w:rsidRDefault="0043567B" w:rsidP="0043567B">
            <w:pPr>
              <w:pStyle w:val="Tabletext"/>
              <w:rPr>
                <w:b/>
                <w:bCs/>
                <w:sz w:val="24"/>
                <w:szCs w:val="24"/>
              </w:rPr>
            </w:pPr>
            <w:r w:rsidRPr="0042750D">
              <w:rPr>
                <w:b/>
                <w:bCs/>
                <w:sz w:val="24"/>
                <w:szCs w:val="24"/>
              </w:rPr>
              <w:t>TSBDir to encourage the ITU members, as appropriate, to develop and deploy the IDNs in their respective language scripts using their specific character sets</w:t>
            </w:r>
            <w:r w:rsidR="005F77AE" w:rsidRPr="0042750D">
              <w:rPr>
                <w:b/>
                <w:bCs/>
                <w:sz w:val="24"/>
                <w:szCs w:val="24"/>
              </w:rPr>
              <w:t xml:space="preserve"> (</w:t>
            </w:r>
            <w:r w:rsidR="005F77AE" w:rsidRPr="0042750D">
              <w:rPr>
                <w:b/>
                <w:bCs/>
                <w:i/>
                <w:sz w:val="24"/>
                <w:szCs w:val="24"/>
              </w:rPr>
              <w:t>instructs 4</w:t>
            </w:r>
            <w:r w:rsidR="005F77AE" w:rsidRPr="0042750D">
              <w:rPr>
                <w:b/>
                <w:bCs/>
                <w:sz w:val="24"/>
                <w:szCs w:val="24"/>
              </w:rPr>
              <w:t>)</w:t>
            </w:r>
            <w:r w:rsidRPr="0042750D">
              <w:rPr>
                <w:b/>
                <w:bCs/>
                <w:sz w:val="24"/>
                <w:szCs w:val="24"/>
              </w:rPr>
              <w:t>.</w:t>
            </w:r>
          </w:p>
        </w:tc>
        <w:tc>
          <w:tcPr>
            <w:tcW w:w="1601" w:type="dxa"/>
            <w:tcBorders>
              <w:top w:val="single" w:sz="12" w:space="0" w:color="auto"/>
            </w:tcBorders>
            <w:shd w:val="clear" w:color="auto" w:fill="auto"/>
            <w:vAlign w:val="center"/>
            <w:hideMark/>
          </w:tcPr>
          <w:p w14:paraId="200F9096" w14:textId="77777777" w:rsidR="0043567B" w:rsidRPr="0042750D" w:rsidRDefault="0043567B" w:rsidP="007F6958">
            <w:pPr>
              <w:pStyle w:val="Tabletext"/>
              <w:jc w:val="center"/>
              <w:rPr>
                <w:b/>
                <w:bCs/>
                <w:sz w:val="24"/>
                <w:szCs w:val="24"/>
              </w:rPr>
            </w:pPr>
            <w:r w:rsidRPr="0042750D">
              <w:rPr>
                <w:b/>
                <w:bCs/>
                <w:sz w:val="24"/>
                <w:szCs w:val="24"/>
              </w:rPr>
              <w:t>Ongoing</w:t>
            </w:r>
          </w:p>
        </w:tc>
        <w:tc>
          <w:tcPr>
            <w:tcW w:w="1145" w:type="dxa"/>
            <w:tcBorders>
              <w:top w:val="single" w:sz="12" w:space="0" w:color="auto"/>
            </w:tcBorders>
            <w:shd w:val="clear" w:color="auto" w:fill="auto"/>
            <w:vAlign w:val="center"/>
          </w:tcPr>
          <w:p w14:paraId="102A981F" w14:textId="77777777" w:rsidR="0043567B" w:rsidRPr="0042750D" w:rsidRDefault="0043567B" w:rsidP="007F6958">
            <w:pPr>
              <w:pStyle w:val="Tabletext"/>
              <w:jc w:val="center"/>
              <w:rPr>
                <w:b/>
                <w:bCs/>
                <w:sz w:val="24"/>
                <w:szCs w:val="24"/>
              </w:rPr>
            </w:pPr>
          </w:p>
        </w:tc>
        <w:tc>
          <w:tcPr>
            <w:tcW w:w="1336" w:type="dxa"/>
            <w:tcBorders>
              <w:top w:val="single" w:sz="12" w:space="0" w:color="auto"/>
            </w:tcBorders>
            <w:shd w:val="clear" w:color="auto" w:fill="auto"/>
            <w:vAlign w:val="center"/>
          </w:tcPr>
          <w:p w14:paraId="4D1A97A1" w14:textId="77777777" w:rsidR="0043567B" w:rsidRPr="0042750D" w:rsidRDefault="0043567B" w:rsidP="007F6958">
            <w:pPr>
              <w:pStyle w:val="Tabletext"/>
              <w:jc w:val="center"/>
              <w:rPr>
                <w:b/>
                <w:bCs/>
                <w:sz w:val="24"/>
                <w:szCs w:val="24"/>
              </w:rPr>
            </w:pPr>
          </w:p>
        </w:tc>
      </w:tr>
      <w:tr w:rsidR="0043567B" w:rsidRPr="0042750D" w14:paraId="532DE9F2" w14:textId="77777777" w:rsidTr="007F6958">
        <w:trPr>
          <w:cantSplit/>
          <w:jc w:val="center"/>
        </w:trPr>
        <w:tc>
          <w:tcPr>
            <w:tcW w:w="911" w:type="dxa"/>
            <w:vMerge/>
            <w:shd w:val="clear" w:color="auto" w:fill="auto"/>
            <w:vAlign w:val="center"/>
          </w:tcPr>
          <w:p w14:paraId="4BDCC835" w14:textId="77777777" w:rsidR="0043567B" w:rsidRPr="0042750D" w:rsidRDefault="0043567B" w:rsidP="007F6958">
            <w:pPr>
              <w:pStyle w:val="Tabletext"/>
              <w:rPr>
                <w:sz w:val="24"/>
                <w:szCs w:val="24"/>
              </w:rPr>
            </w:pPr>
          </w:p>
        </w:tc>
        <w:tc>
          <w:tcPr>
            <w:tcW w:w="8921" w:type="dxa"/>
            <w:gridSpan w:val="4"/>
            <w:shd w:val="clear" w:color="auto" w:fill="auto"/>
          </w:tcPr>
          <w:p w14:paraId="6FF989F2" w14:textId="77777777" w:rsidR="0043567B" w:rsidRPr="0042750D" w:rsidRDefault="0043567B" w:rsidP="007F6958">
            <w:pPr>
              <w:pStyle w:val="Tabletext"/>
              <w:rPr>
                <w:szCs w:val="22"/>
              </w:rPr>
            </w:pPr>
          </w:p>
        </w:tc>
      </w:tr>
      <w:tr w:rsidR="0043567B" w:rsidRPr="0042750D" w14:paraId="0F3D85AC" w14:textId="77777777" w:rsidTr="00D535B6">
        <w:trPr>
          <w:cantSplit/>
          <w:jc w:val="center"/>
        </w:trPr>
        <w:tc>
          <w:tcPr>
            <w:tcW w:w="911" w:type="dxa"/>
            <w:vMerge w:val="restart"/>
            <w:tcBorders>
              <w:top w:val="single" w:sz="12" w:space="0" w:color="auto"/>
            </w:tcBorders>
            <w:shd w:val="clear" w:color="auto" w:fill="auto"/>
          </w:tcPr>
          <w:p w14:paraId="416BC4CA" w14:textId="3D1FF78C" w:rsidR="0043567B" w:rsidRPr="0042750D" w:rsidRDefault="0043567B" w:rsidP="0043567B">
            <w:pPr>
              <w:pStyle w:val="Tabletext"/>
              <w:keepNext/>
              <w:keepLines/>
              <w:rPr>
                <w:b/>
                <w:bCs/>
                <w:sz w:val="24"/>
                <w:szCs w:val="24"/>
              </w:rPr>
            </w:pPr>
            <w:r w:rsidRPr="0042750D">
              <w:rPr>
                <w:b/>
                <w:bCs/>
                <w:sz w:val="24"/>
                <w:szCs w:val="24"/>
              </w:rPr>
              <w:t>133-05</w:t>
            </w:r>
          </w:p>
        </w:tc>
        <w:tc>
          <w:tcPr>
            <w:tcW w:w="4839" w:type="dxa"/>
            <w:tcBorders>
              <w:top w:val="single" w:sz="12" w:space="0" w:color="auto"/>
            </w:tcBorders>
            <w:shd w:val="clear" w:color="auto" w:fill="auto"/>
            <w:hideMark/>
          </w:tcPr>
          <w:p w14:paraId="752D5EE2" w14:textId="228DC288" w:rsidR="0043567B" w:rsidRPr="0042750D" w:rsidRDefault="0043567B" w:rsidP="0043567B">
            <w:pPr>
              <w:pStyle w:val="Tabletext"/>
              <w:rPr>
                <w:b/>
                <w:bCs/>
                <w:sz w:val="24"/>
                <w:szCs w:val="24"/>
              </w:rPr>
            </w:pPr>
            <w:r w:rsidRPr="0042750D">
              <w:rPr>
                <w:b/>
                <w:bCs/>
                <w:sz w:val="24"/>
                <w:szCs w:val="24"/>
              </w:rPr>
              <w:t>TSBDir to support Member States in meeting the commitments of the Geneva Plan of Action and the Tunis Agenda in respect of IDNs</w:t>
            </w:r>
            <w:r w:rsidR="005F77AE" w:rsidRPr="0042750D">
              <w:rPr>
                <w:b/>
                <w:bCs/>
                <w:sz w:val="24"/>
                <w:szCs w:val="24"/>
              </w:rPr>
              <w:t xml:space="preserve"> (</w:t>
            </w:r>
            <w:r w:rsidR="005F77AE" w:rsidRPr="0042750D">
              <w:rPr>
                <w:b/>
                <w:bCs/>
                <w:i/>
                <w:sz w:val="24"/>
                <w:szCs w:val="24"/>
              </w:rPr>
              <w:t>instructs 5</w:t>
            </w:r>
            <w:r w:rsidR="005F77AE" w:rsidRPr="0042750D">
              <w:rPr>
                <w:b/>
                <w:bCs/>
                <w:sz w:val="24"/>
                <w:szCs w:val="24"/>
              </w:rPr>
              <w:t>)</w:t>
            </w:r>
            <w:r w:rsidRPr="0042750D">
              <w:rPr>
                <w:b/>
                <w:bCs/>
                <w:sz w:val="24"/>
                <w:szCs w:val="24"/>
              </w:rPr>
              <w:t>.</w:t>
            </w:r>
          </w:p>
        </w:tc>
        <w:tc>
          <w:tcPr>
            <w:tcW w:w="1601" w:type="dxa"/>
            <w:tcBorders>
              <w:top w:val="single" w:sz="12" w:space="0" w:color="auto"/>
            </w:tcBorders>
            <w:shd w:val="clear" w:color="auto" w:fill="auto"/>
            <w:vAlign w:val="center"/>
            <w:hideMark/>
          </w:tcPr>
          <w:p w14:paraId="689DEAAD" w14:textId="77777777" w:rsidR="0043567B" w:rsidRPr="0042750D" w:rsidRDefault="0043567B" w:rsidP="007F6958">
            <w:pPr>
              <w:pStyle w:val="Tabletext"/>
              <w:jc w:val="center"/>
              <w:rPr>
                <w:b/>
                <w:bCs/>
                <w:sz w:val="24"/>
                <w:szCs w:val="24"/>
              </w:rPr>
            </w:pPr>
            <w:r w:rsidRPr="0042750D">
              <w:rPr>
                <w:b/>
                <w:bCs/>
                <w:sz w:val="24"/>
                <w:szCs w:val="24"/>
              </w:rPr>
              <w:t>Ongoing</w:t>
            </w:r>
          </w:p>
        </w:tc>
        <w:tc>
          <w:tcPr>
            <w:tcW w:w="1145" w:type="dxa"/>
            <w:tcBorders>
              <w:top w:val="single" w:sz="12" w:space="0" w:color="auto"/>
            </w:tcBorders>
            <w:shd w:val="clear" w:color="auto" w:fill="auto"/>
            <w:vAlign w:val="center"/>
          </w:tcPr>
          <w:p w14:paraId="0D40E251" w14:textId="77777777" w:rsidR="0043567B" w:rsidRPr="0042750D" w:rsidRDefault="0043567B" w:rsidP="007F6958">
            <w:pPr>
              <w:pStyle w:val="Tabletext"/>
              <w:jc w:val="center"/>
              <w:rPr>
                <w:b/>
                <w:bCs/>
                <w:sz w:val="24"/>
                <w:szCs w:val="24"/>
              </w:rPr>
            </w:pPr>
          </w:p>
        </w:tc>
        <w:tc>
          <w:tcPr>
            <w:tcW w:w="1336" w:type="dxa"/>
            <w:tcBorders>
              <w:top w:val="single" w:sz="12" w:space="0" w:color="auto"/>
            </w:tcBorders>
            <w:shd w:val="clear" w:color="auto" w:fill="auto"/>
            <w:vAlign w:val="center"/>
          </w:tcPr>
          <w:p w14:paraId="0D36ED62" w14:textId="77777777" w:rsidR="0043567B" w:rsidRPr="0042750D" w:rsidRDefault="0043567B" w:rsidP="007F6958">
            <w:pPr>
              <w:pStyle w:val="Tabletext"/>
              <w:jc w:val="center"/>
              <w:rPr>
                <w:b/>
                <w:bCs/>
                <w:sz w:val="24"/>
                <w:szCs w:val="24"/>
              </w:rPr>
            </w:pPr>
          </w:p>
        </w:tc>
      </w:tr>
      <w:tr w:rsidR="0043567B" w:rsidRPr="0042750D" w14:paraId="05F461F3" w14:textId="77777777" w:rsidTr="007F6958">
        <w:trPr>
          <w:cantSplit/>
          <w:jc w:val="center"/>
        </w:trPr>
        <w:tc>
          <w:tcPr>
            <w:tcW w:w="911" w:type="dxa"/>
            <w:vMerge/>
            <w:shd w:val="clear" w:color="auto" w:fill="auto"/>
            <w:vAlign w:val="center"/>
          </w:tcPr>
          <w:p w14:paraId="463DCC62" w14:textId="77777777" w:rsidR="0043567B" w:rsidRPr="0042750D" w:rsidRDefault="0043567B" w:rsidP="007F6958">
            <w:pPr>
              <w:pStyle w:val="Tabletext"/>
              <w:rPr>
                <w:sz w:val="24"/>
                <w:szCs w:val="24"/>
              </w:rPr>
            </w:pPr>
          </w:p>
        </w:tc>
        <w:tc>
          <w:tcPr>
            <w:tcW w:w="8921" w:type="dxa"/>
            <w:gridSpan w:val="4"/>
            <w:shd w:val="clear" w:color="auto" w:fill="auto"/>
          </w:tcPr>
          <w:p w14:paraId="4BD6AE95" w14:textId="77777777" w:rsidR="0043567B" w:rsidRPr="0042750D" w:rsidRDefault="0043567B" w:rsidP="007F6958">
            <w:pPr>
              <w:pStyle w:val="Tabletext"/>
              <w:rPr>
                <w:szCs w:val="22"/>
              </w:rPr>
            </w:pPr>
          </w:p>
        </w:tc>
      </w:tr>
      <w:tr w:rsidR="0043567B" w:rsidRPr="0042750D" w14:paraId="3FADFB28" w14:textId="77777777" w:rsidTr="00D535B6">
        <w:trPr>
          <w:cantSplit/>
          <w:jc w:val="center"/>
        </w:trPr>
        <w:tc>
          <w:tcPr>
            <w:tcW w:w="911" w:type="dxa"/>
            <w:vMerge w:val="restart"/>
            <w:tcBorders>
              <w:top w:val="single" w:sz="12" w:space="0" w:color="auto"/>
            </w:tcBorders>
            <w:shd w:val="clear" w:color="auto" w:fill="auto"/>
          </w:tcPr>
          <w:p w14:paraId="4190D382" w14:textId="29D8C199" w:rsidR="0043567B" w:rsidRPr="0042750D" w:rsidRDefault="0043567B" w:rsidP="0043567B">
            <w:pPr>
              <w:pStyle w:val="Tabletext"/>
              <w:keepNext/>
              <w:keepLines/>
              <w:rPr>
                <w:b/>
                <w:bCs/>
                <w:sz w:val="24"/>
                <w:szCs w:val="24"/>
              </w:rPr>
            </w:pPr>
            <w:r w:rsidRPr="0042750D">
              <w:rPr>
                <w:b/>
                <w:bCs/>
                <w:sz w:val="24"/>
                <w:szCs w:val="24"/>
              </w:rPr>
              <w:t>133-06</w:t>
            </w:r>
          </w:p>
        </w:tc>
        <w:tc>
          <w:tcPr>
            <w:tcW w:w="4839" w:type="dxa"/>
            <w:tcBorders>
              <w:top w:val="single" w:sz="12" w:space="0" w:color="auto"/>
            </w:tcBorders>
            <w:shd w:val="clear" w:color="auto" w:fill="auto"/>
            <w:hideMark/>
          </w:tcPr>
          <w:p w14:paraId="48BA1381" w14:textId="43737208" w:rsidR="0043567B" w:rsidRPr="0042750D" w:rsidRDefault="0043567B" w:rsidP="0043567B">
            <w:pPr>
              <w:pStyle w:val="Tabletext"/>
              <w:rPr>
                <w:b/>
                <w:bCs/>
                <w:sz w:val="24"/>
                <w:szCs w:val="24"/>
              </w:rPr>
            </w:pPr>
            <w:r w:rsidRPr="0042750D">
              <w:rPr>
                <w:b/>
                <w:bCs/>
                <w:sz w:val="24"/>
                <w:szCs w:val="24"/>
              </w:rPr>
              <w:t>TSBDir to make proposals, where appropriate, for achieving the aims of this resolution</w:t>
            </w:r>
            <w:r w:rsidR="005F77AE" w:rsidRPr="0042750D">
              <w:rPr>
                <w:b/>
                <w:bCs/>
                <w:sz w:val="24"/>
                <w:szCs w:val="24"/>
              </w:rPr>
              <w:t xml:space="preserve"> (</w:t>
            </w:r>
            <w:r w:rsidR="005F77AE" w:rsidRPr="0042750D">
              <w:rPr>
                <w:b/>
                <w:bCs/>
                <w:i/>
                <w:sz w:val="24"/>
                <w:szCs w:val="24"/>
              </w:rPr>
              <w:t>instructs 6</w:t>
            </w:r>
            <w:r w:rsidR="005F77AE" w:rsidRPr="0042750D">
              <w:rPr>
                <w:b/>
                <w:bCs/>
                <w:sz w:val="24"/>
                <w:szCs w:val="24"/>
              </w:rPr>
              <w:t>)</w:t>
            </w:r>
            <w:r w:rsidRPr="0042750D">
              <w:rPr>
                <w:b/>
                <w:bCs/>
                <w:sz w:val="24"/>
                <w:szCs w:val="24"/>
              </w:rPr>
              <w:t>.</w:t>
            </w:r>
          </w:p>
        </w:tc>
        <w:tc>
          <w:tcPr>
            <w:tcW w:w="1601" w:type="dxa"/>
            <w:tcBorders>
              <w:top w:val="single" w:sz="12" w:space="0" w:color="auto"/>
            </w:tcBorders>
            <w:shd w:val="clear" w:color="auto" w:fill="auto"/>
            <w:vAlign w:val="center"/>
            <w:hideMark/>
          </w:tcPr>
          <w:p w14:paraId="258B16D4" w14:textId="77777777" w:rsidR="0043567B" w:rsidRPr="0042750D" w:rsidRDefault="0043567B" w:rsidP="007F6958">
            <w:pPr>
              <w:pStyle w:val="Tabletext"/>
              <w:jc w:val="center"/>
              <w:rPr>
                <w:b/>
                <w:bCs/>
                <w:sz w:val="24"/>
                <w:szCs w:val="24"/>
              </w:rPr>
            </w:pPr>
            <w:r w:rsidRPr="0042750D">
              <w:rPr>
                <w:b/>
                <w:bCs/>
                <w:sz w:val="24"/>
                <w:szCs w:val="24"/>
              </w:rPr>
              <w:t>Ongoing</w:t>
            </w:r>
          </w:p>
        </w:tc>
        <w:tc>
          <w:tcPr>
            <w:tcW w:w="1145" w:type="dxa"/>
            <w:tcBorders>
              <w:top w:val="single" w:sz="12" w:space="0" w:color="auto"/>
            </w:tcBorders>
            <w:shd w:val="clear" w:color="auto" w:fill="auto"/>
            <w:vAlign w:val="center"/>
          </w:tcPr>
          <w:p w14:paraId="63F78A1F" w14:textId="77777777" w:rsidR="0043567B" w:rsidRPr="0042750D" w:rsidRDefault="0043567B" w:rsidP="007F6958">
            <w:pPr>
              <w:pStyle w:val="Tabletext"/>
              <w:jc w:val="center"/>
              <w:rPr>
                <w:b/>
                <w:bCs/>
                <w:sz w:val="24"/>
                <w:szCs w:val="24"/>
              </w:rPr>
            </w:pPr>
          </w:p>
        </w:tc>
        <w:tc>
          <w:tcPr>
            <w:tcW w:w="1336" w:type="dxa"/>
            <w:tcBorders>
              <w:top w:val="single" w:sz="12" w:space="0" w:color="auto"/>
            </w:tcBorders>
            <w:shd w:val="clear" w:color="auto" w:fill="auto"/>
            <w:vAlign w:val="center"/>
          </w:tcPr>
          <w:p w14:paraId="2A7AAF90" w14:textId="77777777" w:rsidR="0043567B" w:rsidRPr="0042750D" w:rsidRDefault="0043567B" w:rsidP="007F6958">
            <w:pPr>
              <w:pStyle w:val="Tabletext"/>
              <w:jc w:val="center"/>
              <w:rPr>
                <w:b/>
                <w:bCs/>
                <w:sz w:val="24"/>
                <w:szCs w:val="24"/>
              </w:rPr>
            </w:pPr>
          </w:p>
        </w:tc>
      </w:tr>
      <w:tr w:rsidR="0043567B" w:rsidRPr="0042750D" w14:paraId="44C5A924" w14:textId="77777777" w:rsidTr="007F6958">
        <w:trPr>
          <w:cantSplit/>
          <w:jc w:val="center"/>
        </w:trPr>
        <w:tc>
          <w:tcPr>
            <w:tcW w:w="911" w:type="dxa"/>
            <w:vMerge/>
            <w:shd w:val="clear" w:color="auto" w:fill="auto"/>
            <w:vAlign w:val="center"/>
          </w:tcPr>
          <w:p w14:paraId="10891130" w14:textId="77777777" w:rsidR="0043567B" w:rsidRPr="0042750D" w:rsidRDefault="0043567B" w:rsidP="007F6958">
            <w:pPr>
              <w:pStyle w:val="Tabletext"/>
              <w:rPr>
                <w:sz w:val="24"/>
                <w:szCs w:val="24"/>
              </w:rPr>
            </w:pPr>
          </w:p>
        </w:tc>
        <w:tc>
          <w:tcPr>
            <w:tcW w:w="8921" w:type="dxa"/>
            <w:gridSpan w:val="4"/>
            <w:shd w:val="clear" w:color="auto" w:fill="auto"/>
          </w:tcPr>
          <w:p w14:paraId="7565283D" w14:textId="77777777" w:rsidR="0043567B" w:rsidRPr="0042750D" w:rsidRDefault="0043567B" w:rsidP="007F6958">
            <w:pPr>
              <w:pStyle w:val="Tabletext"/>
              <w:rPr>
                <w:szCs w:val="22"/>
              </w:rPr>
            </w:pPr>
          </w:p>
        </w:tc>
      </w:tr>
      <w:tr w:rsidR="0043567B" w:rsidRPr="0042750D" w14:paraId="172A5E96" w14:textId="77777777" w:rsidTr="00D535B6">
        <w:trPr>
          <w:cantSplit/>
          <w:jc w:val="center"/>
        </w:trPr>
        <w:tc>
          <w:tcPr>
            <w:tcW w:w="911" w:type="dxa"/>
            <w:vMerge w:val="restart"/>
            <w:tcBorders>
              <w:top w:val="single" w:sz="12" w:space="0" w:color="auto"/>
            </w:tcBorders>
            <w:shd w:val="clear" w:color="auto" w:fill="auto"/>
          </w:tcPr>
          <w:p w14:paraId="00F5739D" w14:textId="52BEEE70" w:rsidR="0043567B" w:rsidRPr="0042750D" w:rsidRDefault="0043567B" w:rsidP="0043567B">
            <w:pPr>
              <w:pStyle w:val="Tabletext"/>
              <w:keepNext/>
              <w:keepLines/>
              <w:rPr>
                <w:b/>
                <w:bCs/>
                <w:sz w:val="24"/>
                <w:szCs w:val="24"/>
              </w:rPr>
            </w:pPr>
            <w:r w:rsidRPr="0042750D">
              <w:rPr>
                <w:b/>
                <w:bCs/>
                <w:sz w:val="24"/>
                <w:szCs w:val="24"/>
              </w:rPr>
              <w:t>133-07</w:t>
            </w:r>
          </w:p>
        </w:tc>
        <w:tc>
          <w:tcPr>
            <w:tcW w:w="4839" w:type="dxa"/>
            <w:tcBorders>
              <w:top w:val="single" w:sz="12" w:space="0" w:color="auto"/>
            </w:tcBorders>
            <w:shd w:val="clear" w:color="auto" w:fill="auto"/>
            <w:hideMark/>
          </w:tcPr>
          <w:p w14:paraId="1AA67A39" w14:textId="7706219B" w:rsidR="0043567B" w:rsidRPr="0042750D" w:rsidRDefault="0043567B" w:rsidP="00B04E79">
            <w:pPr>
              <w:pStyle w:val="Tabletext"/>
              <w:keepNext/>
              <w:keepLines/>
              <w:rPr>
                <w:b/>
                <w:bCs/>
                <w:sz w:val="24"/>
                <w:szCs w:val="24"/>
              </w:rPr>
            </w:pPr>
            <w:r w:rsidRPr="0042750D">
              <w:rPr>
                <w:b/>
                <w:bCs/>
                <w:sz w:val="24"/>
                <w:szCs w:val="24"/>
              </w:rPr>
              <w:t>TSBDir to</w:t>
            </w:r>
            <w:r w:rsidR="00B04E79" w:rsidRPr="0042750D">
              <w:rPr>
                <w:b/>
                <w:bCs/>
                <w:sz w:val="24"/>
                <w:szCs w:val="24"/>
              </w:rPr>
              <w:t xml:space="preserve"> contribute to SecGen’s annual </w:t>
            </w:r>
            <w:r w:rsidRPr="0042750D">
              <w:rPr>
                <w:b/>
                <w:bCs/>
                <w:sz w:val="24"/>
                <w:szCs w:val="24"/>
              </w:rPr>
              <w:t>report to the ITU Council on the activities undertaken and achievements attained on this subject</w:t>
            </w:r>
            <w:r w:rsidR="005F77AE" w:rsidRPr="0042750D">
              <w:rPr>
                <w:b/>
                <w:bCs/>
                <w:sz w:val="24"/>
                <w:szCs w:val="24"/>
              </w:rPr>
              <w:t xml:space="preserve"> (</w:t>
            </w:r>
            <w:r w:rsidR="005F77AE" w:rsidRPr="0042750D">
              <w:rPr>
                <w:b/>
                <w:bCs/>
                <w:i/>
                <w:sz w:val="24"/>
                <w:szCs w:val="24"/>
              </w:rPr>
              <w:t>instructs 8</w:t>
            </w:r>
            <w:r w:rsidR="005F77AE" w:rsidRPr="0042750D">
              <w:rPr>
                <w:b/>
                <w:bCs/>
                <w:sz w:val="24"/>
                <w:szCs w:val="24"/>
              </w:rPr>
              <w:t>)</w:t>
            </w:r>
            <w:r w:rsidRPr="0042750D">
              <w:rPr>
                <w:b/>
                <w:bCs/>
                <w:sz w:val="24"/>
                <w:szCs w:val="24"/>
              </w:rPr>
              <w:t>.</w:t>
            </w:r>
          </w:p>
        </w:tc>
        <w:tc>
          <w:tcPr>
            <w:tcW w:w="1601" w:type="dxa"/>
            <w:tcBorders>
              <w:top w:val="single" w:sz="12" w:space="0" w:color="auto"/>
            </w:tcBorders>
            <w:shd w:val="clear" w:color="auto" w:fill="auto"/>
            <w:vAlign w:val="center"/>
            <w:hideMark/>
          </w:tcPr>
          <w:p w14:paraId="7FABA59C" w14:textId="6656AE6C" w:rsidR="0043567B" w:rsidRPr="0042750D" w:rsidRDefault="001904FD" w:rsidP="007F6958">
            <w:pPr>
              <w:pStyle w:val="Tabletext"/>
              <w:jc w:val="center"/>
              <w:rPr>
                <w:b/>
                <w:bCs/>
                <w:sz w:val="24"/>
                <w:szCs w:val="24"/>
              </w:rPr>
            </w:pPr>
            <w:r w:rsidRPr="0042750D">
              <w:rPr>
                <w:b/>
                <w:bCs/>
                <w:sz w:val="24"/>
                <w:szCs w:val="24"/>
              </w:rPr>
              <w:t>Council</w:t>
            </w:r>
          </w:p>
        </w:tc>
        <w:tc>
          <w:tcPr>
            <w:tcW w:w="1145" w:type="dxa"/>
            <w:tcBorders>
              <w:top w:val="single" w:sz="12" w:space="0" w:color="auto"/>
            </w:tcBorders>
            <w:shd w:val="clear" w:color="auto" w:fill="auto"/>
            <w:vAlign w:val="center"/>
          </w:tcPr>
          <w:p w14:paraId="76FD47C1" w14:textId="583E19EA" w:rsidR="0043567B" w:rsidRPr="0042750D" w:rsidRDefault="00D535B6" w:rsidP="007F6958">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6DB6C181" w14:textId="77777777" w:rsidR="0043567B" w:rsidRPr="0042750D" w:rsidRDefault="0043567B" w:rsidP="007F6958">
            <w:pPr>
              <w:pStyle w:val="Tabletext"/>
              <w:jc w:val="center"/>
              <w:rPr>
                <w:b/>
                <w:bCs/>
                <w:sz w:val="24"/>
                <w:szCs w:val="24"/>
              </w:rPr>
            </w:pPr>
          </w:p>
        </w:tc>
      </w:tr>
      <w:tr w:rsidR="0043567B" w:rsidRPr="0042750D" w14:paraId="57E6B31A" w14:textId="77777777" w:rsidTr="006600FD">
        <w:trPr>
          <w:cantSplit/>
          <w:jc w:val="center"/>
        </w:trPr>
        <w:tc>
          <w:tcPr>
            <w:tcW w:w="911" w:type="dxa"/>
            <w:vMerge/>
            <w:tcBorders>
              <w:bottom w:val="single" w:sz="12" w:space="0" w:color="auto"/>
            </w:tcBorders>
            <w:shd w:val="clear" w:color="auto" w:fill="auto"/>
            <w:vAlign w:val="center"/>
          </w:tcPr>
          <w:p w14:paraId="4F7B698C" w14:textId="77777777" w:rsidR="0043567B" w:rsidRPr="0042750D" w:rsidRDefault="0043567B" w:rsidP="007F6958">
            <w:pPr>
              <w:pStyle w:val="Tabletext"/>
              <w:rPr>
                <w:sz w:val="24"/>
                <w:szCs w:val="24"/>
              </w:rPr>
            </w:pPr>
          </w:p>
        </w:tc>
        <w:tc>
          <w:tcPr>
            <w:tcW w:w="8921" w:type="dxa"/>
            <w:gridSpan w:val="4"/>
            <w:tcBorders>
              <w:bottom w:val="single" w:sz="12" w:space="0" w:color="auto"/>
            </w:tcBorders>
            <w:shd w:val="clear" w:color="auto" w:fill="auto"/>
          </w:tcPr>
          <w:p w14:paraId="4C8CFD85" w14:textId="3BFF4C6A" w:rsidR="0043567B" w:rsidRPr="0042750D" w:rsidRDefault="00D535B6" w:rsidP="005170FA">
            <w:pPr>
              <w:pStyle w:val="Tabletext"/>
              <w:rPr>
                <w:szCs w:val="22"/>
              </w:rPr>
            </w:pPr>
            <w:r w:rsidRPr="0042750D">
              <w:t xml:space="preserve">See </w:t>
            </w:r>
            <w:hyperlink r:id="rId57" w:history="1">
              <w:r w:rsidRPr="0042750D">
                <w:rPr>
                  <w:rStyle w:val="Hyperlink"/>
                </w:rPr>
                <w:t>CWG-Internet 12/2</w:t>
              </w:r>
            </w:hyperlink>
            <w:r w:rsidR="00237DC6" w:rsidRPr="0042750D">
              <w:rPr>
                <w:rStyle w:val="Hyperlink"/>
              </w:rPr>
              <w:t xml:space="preserve">, </w:t>
            </w:r>
            <w:hyperlink r:id="rId58" w:history="1">
              <w:r w:rsidR="00237DC6" w:rsidRPr="0042750D">
                <w:rPr>
                  <w:rStyle w:val="Hyperlink"/>
                </w:rPr>
                <w:t>CWG-Internet-13/3</w:t>
              </w:r>
            </w:hyperlink>
            <w:r w:rsidR="00237DC6" w:rsidRPr="0042750D">
              <w:t xml:space="preserve"> </w:t>
            </w:r>
            <w:r w:rsidRPr="0042750D">
              <w:t>“ITU Internet Activities - Resolutions 101, 102, 133</w:t>
            </w:r>
            <w:r w:rsidR="005170FA" w:rsidRPr="0042750D">
              <w:t>, 180, and 206</w:t>
            </w:r>
            <w:r w:rsidRPr="0042750D">
              <w:t>”</w:t>
            </w:r>
            <w:r w:rsidR="00BA76D1" w:rsidRPr="0042750D">
              <w:t xml:space="preserve">; see </w:t>
            </w:r>
            <w:hyperlink r:id="rId59" w:history="1">
              <w:r w:rsidR="00BA76D1" w:rsidRPr="0042750D">
                <w:rPr>
                  <w:rStyle w:val="Hyperlink"/>
                </w:rPr>
                <w:t>C19/18</w:t>
              </w:r>
            </w:hyperlink>
            <w:r w:rsidR="00BA76D1" w:rsidRPr="0042750D">
              <w:t>.</w:t>
            </w:r>
          </w:p>
        </w:tc>
      </w:tr>
    </w:tbl>
    <w:p w14:paraId="6686A744" w14:textId="77777777" w:rsidR="00F0236A" w:rsidRPr="0042750D" w:rsidRDefault="00DD025B" w:rsidP="00F0236A">
      <w:pPr>
        <w:rPr>
          <w:rStyle w:val="Hyperlink"/>
          <w:sz w:val="24"/>
        </w:rPr>
      </w:pPr>
      <w:hyperlink w:anchor="Top" w:history="1">
        <w:r w:rsidR="00F0236A" w:rsidRPr="0042750D">
          <w:rPr>
            <w:rStyle w:val="Hyperlink"/>
            <w:sz w:val="24"/>
          </w:rPr>
          <w:t>» Top</w:t>
        </w:r>
      </w:hyperlink>
    </w:p>
    <w:p w14:paraId="6319C379" w14:textId="25599EBC" w:rsidR="00F0236A" w:rsidRPr="0042750D" w:rsidRDefault="00A965CA" w:rsidP="00DA1509">
      <w:pPr>
        <w:pStyle w:val="Heading1"/>
        <w:keepNext/>
        <w:keepLines/>
        <w:rPr>
          <w:sz w:val="24"/>
          <w:szCs w:val="24"/>
          <w:lang w:val="en-GB"/>
        </w:rPr>
      </w:pPr>
      <w:bookmarkStart w:id="107" w:name="Resolution_50"/>
      <w:bookmarkStart w:id="108" w:name="_Toc30749162"/>
      <w:bookmarkEnd w:id="107"/>
      <w:r w:rsidRPr="0042750D">
        <w:rPr>
          <w:sz w:val="24"/>
          <w:szCs w:val="24"/>
          <w:lang w:val="en-GB"/>
        </w:rPr>
        <w:t>RESOLUTION 136 (REV. DUBAI, 2018) – The use of telecommunications/information and communication technologies for humanitarian assistance and for monitoring and management in emergency and disaster situations, including health-related emergencies, for early warning, prevention, mitigation and relief</w:t>
      </w:r>
      <w:bookmarkEnd w:id="108"/>
    </w:p>
    <w:p w14:paraId="6D67E4C1" w14:textId="77777777" w:rsidR="00713C4B" w:rsidRPr="0042750D" w:rsidRDefault="00713C4B" w:rsidP="00DA1509">
      <w:pPr>
        <w:pStyle w:val="Call"/>
        <w:rPr>
          <w:szCs w:val="22"/>
          <w:lang w:val="en-GB"/>
        </w:rPr>
      </w:pPr>
      <w:r w:rsidRPr="0042750D">
        <w:rPr>
          <w:szCs w:val="22"/>
          <w:lang w:val="en-GB"/>
        </w:rPr>
        <w:t>resolves to instruct the Secretary-General</w:t>
      </w:r>
    </w:p>
    <w:p w14:paraId="45BFA651" w14:textId="77777777" w:rsidR="00713C4B" w:rsidRPr="0042750D" w:rsidRDefault="00713C4B" w:rsidP="00DA1509">
      <w:pPr>
        <w:keepNext/>
        <w:keepLines/>
        <w:rPr>
          <w:szCs w:val="22"/>
        </w:rPr>
      </w:pPr>
      <w:r w:rsidRPr="0042750D">
        <w:rPr>
          <w:szCs w:val="22"/>
        </w:rPr>
        <w:t>1</w:t>
      </w:r>
      <w:r w:rsidRPr="0042750D">
        <w:rPr>
          <w:szCs w:val="22"/>
        </w:rPr>
        <w:tab/>
        <w:t>to collaborate with the United Nations Office of the Coordinator of Emergency Relief Operations, Office for Disaster Risk Reduction and World Food Programme, and with other relevant organizations, to enhance the Union's participation in activities related to emergency communications preparedness and early-warning systems;</w:t>
      </w:r>
    </w:p>
    <w:p w14:paraId="645C590D" w14:textId="77777777" w:rsidR="00713C4B" w:rsidRPr="0042750D" w:rsidRDefault="00713C4B" w:rsidP="00713C4B">
      <w:pPr>
        <w:rPr>
          <w:szCs w:val="22"/>
        </w:rPr>
      </w:pPr>
      <w:r w:rsidRPr="0042750D">
        <w:rPr>
          <w:szCs w:val="22"/>
        </w:rPr>
        <w:t>2</w:t>
      </w:r>
      <w:r w:rsidRPr="0042750D">
        <w:rPr>
          <w:szCs w:val="22"/>
        </w:rPr>
        <w:tab/>
        <w:t>to continue to collaborate with all relevant parties, including the United Nations and its agencies, in particular the World Health Organization, in order to define and engage in programmes to respond to and address health-related emergencies in areas within the scope and mandate of the Union;</w:t>
      </w:r>
    </w:p>
    <w:p w14:paraId="45D12994" w14:textId="77777777" w:rsidR="00713C4B" w:rsidRPr="0042750D" w:rsidRDefault="00713C4B" w:rsidP="00713C4B">
      <w:pPr>
        <w:rPr>
          <w:szCs w:val="22"/>
        </w:rPr>
      </w:pPr>
      <w:r w:rsidRPr="0042750D">
        <w:rPr>
          <w:szCs w:val="22"/>
        </w:rPr>
        <w:t>3</w:t>
      </w:r>
      <w:r w:rsidRPr="0042750D">
        <w:rPr>
          <w:szCs w:val="22"/>
        </w:rPr>
        <w:tab/>
        <w:t>to implement measures aimed at mobilizing support from governments, industry and other partners to respond to and address health-related emergencies;</w:t>
      </w:r>
    </w:p>
    <w:p w14:paraId="0434F527" w14:textId="77777777" w:rsidR="00713C4B" w:rsidRPr="0042750D" w:rsidRDefault="00713C4B" w:rsidP="00713C4B">
      <w:pPr>
        <w:rPr>
          <w:szCs w:val="22"/>
        </w:rPr>
      </w:pPr>
      <w:r w:rsidRPr="0042750D">
        <w:rPr>
          <w:szCs w:val="22"/>
        </w:rPr>
        <w:t>4</w:t>
      </w:r>
      <w:r w:rsidRPr="0042750D">
        <w:rPr>
          <w:szCs w:val="22"/>
        </w:rPr>
        <w:tab/>
        <w:t xml:space="preserve">to coordinate the activities conducted by the ITU Sectors in line with </w:t>
      </w:r>
      <w:r w:rsidRPr="0042750D">
        <w:rPr>
          <w:i/>
          <w:iCs/>
          <w:szCs w:val="22"/>
        </w:rPr>
        <w:t>instructs the Directors of the Bureaux</w:t>
      </w:r>
      <w:r w:rsidRPr="0042750D">
        <w:rPr>
          <w:szCs w:val="22"/>
        </w:rPr>
        <w:t xml:space="preserve"> 5, in order to ensure the most effective action possible by ITU in this matter;</w:t>
      </w:r>
    </w:p>
    <w:p w14:paraId="7EAD793C" w14:textId="77777777" w:rsidR="00713C4B" w:rsidRPr="0042750D" w:rsidRDefault="00713C4B" w:rsidP="00713C4B">
      <w:pPr>
        <w:rPr>
          <w:szCs w:val="22"/>
        </w:rPr>
      </w:pPr>
      <w:r w:rsidRPr="0042750D">
        <w:rPr>
          <w:szCs w:val="22"/>
        </w:rPr>
        <w:t>5</w:t>
      </w:r>
      <w:r w:rsidRPr="0042750D">
        <w:rPr>
          <w:szCs w:val="22"/>
        </w:rPr>
        <w:tab/>
        <w:t>to assist Member States, if they so request, in their work towards their national accession to the Tampere Convention, as well as with the development of their practical arrangements for the implementation of the Tampere Convention, in close collaboration with the United Nations Emergency Relief Coordinator;</w:t>
      </w:r>
    </w:p>
    <w:p w14:paraId="03CBA9D2" w14:textId="77777777" w:rsidR="00713C4B" w:rsidRPr="0042750D" w:rsidRDefault="00713C4B" w:rsidP="00713C4B">
      <w:pPr>
        <w:rPr>
          <w:szCs w:val="22"/>
        </w:rPr>
      </w:pPr>
      <w:r w:rsidRPr="0042750D">
        <w:rPr>
          <w:szCs w:val="22"/>
        </w:rPr>
        <w:t>6</w:t>
      </w:r>
      <w:r w:rsidRPr="0042750D">
        <w:rPr>
          <w:szCs w:val="22"/>
        </w:rPr>
        <w:tab/>
        <w:t>to assist Member States in the establishment of early warning systems for emergency situations in developing countries, as requested, and within existing budgetary resources,</w:t>
      </w:r>
    </w:p>
    <w:p w14:paraId="373E9E2E" w14:textId="77777777" w:rsidR="00713C4B" w:rsidRPr="0042750D" w:rsidRDefault="00713C4B" w:rsidP="00713C4B">
      <w:pPr>
        <w:pStyle w:val="Call"/>
        <w:rPr>
          <w:szCs w:val="22"/>
          <w:lang w:val="en-GB"/>
        </w:rPr>
      </w:pPr>
      <w:r w:rsidRPr="0042750D">
        <w:rPr>
          <w:szCs w:val="22"/>
          <w:lang w:val="en-GB"/>
        </w:rPr>
        <w:t>instructs the Directors of the Bureaux</w:t>
      </w:r>
    </w:p>
    <w:p w14:paraId="784709B9" w14:textId="77777777" w:rsidR="00713C4B" w:rsidRPr="0042750D" w:rsidRDefault="00713C4B" w:rsidP="00713C4B">
      <w:pPr>
        <w:rPr>
          <w:szCs w:val="22"/>
        </w:rPr>
      </w:pPr>
      <w:r w:rsidRPr="0042750D">
        <w:rPr>
          <w:szCs w:val="22"/>
        </w:rPr>
        <w:t>1</w:t>
      </w:r>
      <w:r w:rsidRPr="0042750D">
        <w:rPr>
          <w:szCs w:val="22"/>
        </w:rPr>
        <w:tab/>
        <w:t>to continue to support studies through the relevant ITU study groups concerning technical and operational implementation of solutions and identification of the best practices on public policies on emergency telecommunications at local, national and regional levels in order to enhance disaster early warning, prevention, preparedness, relief and recovery, including response to health-related emergencies, taking into account technical and technological developments;</w:t>
      </w:r>
    </w:p>
    <w:p w14:paraId="584CF531" w14:textId="77777777" w:rsidR="00713C4B" w:rsidRPr="0042750D" w:rsidRDefault="00713C4B" w:rsidP="00713C4B">
      <w:pPr>
        <w:rPr>
          <w:rFonts w:eastAsia="Calibri"/>
          <w:szCs w:val="22"/>
        </w:rPr>
      </w:pPr>
      <w:r w:rsidRPr="0042750D">
        <w:rPr>
          <w:szCs w:val="22"/>
        </w:rPr>
        <w:t>2</w:t>
      </w:r>
      <w:r w:rsidRPr="0042750D">
        <w:rPr>
          <w:szCs w:val="22"/>
        </w:rPr>
        <w:tab/>
      </w:r>
      <w:r w:rsidRPr="0042750D">
        <w:rPr>
          <w:rFonts w:eastAsia="Calibri"/>
          <w:szCs w:val="22"/>
        </w:rPr>
        <w:t xml:space="preserve">to conduct training programmes, workshops and capacity building, including consideration of the roles and participation of academia and other stakeholders, for trainers of relevant organizations and entities, especially in developing countries, on technical and operational aspects of networks and their use for monitoring and management in emergency and disaster situations, including health-related emergencies; </w:t>
      </w:r>
    </w:p>
    <w:p w14:paraId="1B6743BA" w14:textId="77777777" w:rsidR="00713C4B" w:rsidRPr="0042750D" w:rsidRDefault="00713C4B" w:rsidP="00713C4B">
      <w:pPr>
        <w:rPr>
          <w:szCs w:val="22"/>
        </w:rPr>
      </w:pPr>
      <w:r w:rsidRPr="0042750D">
        <w:rPr>
          <w:szCs w:val="22"/>
        </w:rPr>
        <w:t>3</w:t>
      </w:r>
      <w:r w:rsidRPr="0042750D">
        <w:rPr>
          <w:szCs w:val="22"/>
        </w:rPr>
        <w:tab/>
        <w:t xml:space="preserve">to support the development of robust, comprehensive, all-hazards emergency and disaster </w:t>
      </w:r>
      <w:r w:rsidRPr="0042750D">
        <w:rPr>
          <w:rFonts w:eastAsia="Calibri"/>
          <w:szCs w:val="22"/>
        </w:rPr>
        <w:t xml:space="preserve">prediction, detection, </w:t>
      </w:r>
      <w:r w:rsidRPr="0042750D">
        <w:rPr>
          <w:szCs w:val="22"/>
        </w:rPr>
        <w:t>early-warning, mitigation, response, relief and recovery systems that also take into account the specific needs of persons with disabilities, children, the elderly, displaced persons and the illiterate, at the local, national, regional and international levels, including monitoring and management systems involving the use of telecommunications/ICTs (e.g. remote sensing), in collaboration with other international agencies, in order to support coordination at the regional and global level;</w:t>
      </w:r>
    </w:p>
    <w:p w14:paraId="639DF1C3" w14:textId="77777777" w:rsidR="00713C4B" w:rsidRPr="0042750D" w:rsidRDefault="00713C4B" w:rsidP="00713C4B">
      <w:pPr>
        <w:rPr>
          <w:i/>
          <w:iCs/>
          <w:szCs w:val="22"/>
          <w:lang w:bidi="ar-EG"/>
        </w:rPr>
      </w:pPr>
      <w:r w:rsidRPr="0042750D">
        <w:rPr>
          <w:szCs w:val="22"/>
        </w:rPr>
        <w:t>4</w:t>
      </w:r>
      <w:r w:rsidRPr="0042750D">
        <w:rPr>
          <w:szCs w:val="22"/>
        </w:rPr>
        <w:tab/>
        <w:t>to promote implementation by appropriate alerting authorities of the international standard for all-media public warning, in concert with ITU guidelines developed through the relevant ITU study groups for application to all disaster and emergency situations;</w:t>
      </w:r>
    </w:p>
    <w:p w14:paraId="3D50B2B6" w14:textId="77777777" w:rsidR="00713C4B" w:rsidRPr="0042750D" w:rsidRDefault="00713C4B" w:rsidP="00713C4B">
      <w:pPr>
        <w:rPr>
          <w:szCs w:val="22"/>
          <w:lang w:bidi="ar-EG"/>
        </w:rPr>
      </w:pPr>
      <w:r w:rsidRPr="0042750D">
        <w:rPr>
          <w:szCs w:val="22"/>
          <w:lang w:bidi="ar-EG"/>
        </w:rPr>
        <w:t>5</w:t>
      </w:r>
      <w:r w:rsidRPr="0042750D">
        <w:rPr>
          <w:szCs w:val="22"/>
          <w:lang w:bidi="ar-EG"/>
        </w:rPr>
        <w:tab/>
        <w:t>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t>
      </w:r>
    </w:p>
    <w:p w14:paraId="5BE4C708" w14:textId="77777777" w:rsidR="00713C4B" w:rsidRPr="0042750D" w:rsidRDefault="00713C4B" w:rsidP="00713C4B">
      <w:pPr>
        <w:rPr>
          <w:szCs w:val="22"/>
          <w:lang w:bidi="ar-EG"/>
        </w:rPr>
      </w:pPr>
      <w:r w:rsidRPr="0042750D">
        <w:rPr>
          <w:szCs w:val="22"/>
          <w:lang w:bidi="ar-EG"/>
        </w:rPr>
        <w:t>6</w:t>
      </w:r>
      <w:r w:rsidRPr="0042750D">
        <w:rPr>
          <w:szCs w:val="22"/>
          <w:lang w:bidi="ar-EG"/>
        </w:rPr>
        <w:tab/>
      </w:r>
      <w:r w:rsidRPr="0042750D">
        <w:rPr>
          <w:szCs w:val="22"/>
        </w:rPr>
        <w:t>to analyse ongoing work in all Sectors of ITU</w:t>
      </w:r>
      <w:r w:rsidRPr="0042750D">
        <w:rPr>
          <w:rFonts w:eastAsia="Calibri"/>
          <w:szCs w:val="22"/>
        </w:rPr>
        <w:t>, regional entities</w:t>
      </w:r>
      <w:r w:rsidRPr="0042750D">
        <w:rPr>
          <w:szCs w:val="22"/>
        </w:rPr>
        <w:t xml:space="preserve"> and other expert organizations, and promote joint activities to avoid duplication of efforts and resources in the development, use and interworking of public and private telecommunications/ICTs, including radiocommunication and satellite systems, in times of emergencies and disaster relief operations in response to natural disasters;</w:t>
      </w:r>
    </w:p>
    <w:p w14:paraId="0FA1DD81" w14:textId="77777777" w:rsidR="00713C4B" w:rsidRPr="0042750D" w:rsidRDefault="00713C4B" w:rsidP="00713C4B">
      <w:pPr>
        <w:rPr>
          <w:szCs w:val="22"/>
        </w:rPr>
      </w:pPr>
      <w:r w:rsidRPr="0042750D">
        <w:rPr>
          <w:szCs w:val="22"/>
          <w:lang w:bidi="ar-EG"/>
        </w:rPr>
        <w:t>7</w:t>
      </w:r>
      <w:r w:rsidRPr="0042750D">
        <w:rPr>
          <w:szCs w:val="22"/>
          <w:lang w:bidi="ar-EG"/>
        </w:rPr>
        <w:tab/>
      </w:r>
      <w:r w:rsidRPr="0042750D">
        <w:rPr>
          <w:szCs w:val="22"/>
        </w:rPr>
        <w:t xml:space="preserve">to assist Member States in enhancing and strengthening the use of all available communication </w:t>
      </w:r>
      <w:r w:rsidRPr="0042750D">
        <w:rPr>
          <w:rFonts w:eastAsia="Calibri"/>
          <w:szCs w:val="22"/>
        </w:rPr>
        <w:t xml:space="preserve">systems, including </w:t>
      </w:r>
      <w:r w:rsidRPr="0042750D">
        <w:rPr>
          <w:szCs w:val="22"/>
        </w:rPr>
        <w:t>satellite, amateur radio and broadcasting services, in the event of the disruption of conventional power supply or telecommunication networks,</w:t>
      </w:r>
    </w:p>
    <w:p w14:paraId="63530C00" w14:textId="42F97B40" w:rsidR="00F0236A" w:rsidRPr="0042750D" w:rsidRDefault="00713C4B" w:rsidP="00713C4B">
      <w:pPr>
        <w:spacing w:after="240"/>
        <w:rPr>
          <w:szCs w:val="22"/>
          <w:lang w:eastAsia="ko-KR"/>
        </w:rPr>
      </w:pPr>
      <w:r w:rsidRPr="0042750D">
        <w:rPr>
          <w:rFonts w:eastAsia="Calibri"/>
          <w:szCs w:val="22"/>
        </w:rPr>
        <w:t>8</w:t>
      </w:r>
      <w:r w:rsidRPr="0042750D">
        <w:rPr>
          <w:rFonts w:eastAsia="Calibri"/>
          <w:szCs w:val="22"/>
        </w:rPr>
        <w:tab/>
      </w:r>
      <w:r w:rsidRPr="0042750D">
        <w:rPr>
          <w:szCs w:val="22"/>
        </w:rPr>
        <w:t>to assist Member States, particularly developing countries, in the use of telecommunications/ICTs to support the exchange of timely information on emergencies, including health-related emergencies, and to develop feasibility studies, project management tools and support to respond to and address emergencies, including health-related emergencies</w:t>
      </w:r>
      <w:r w:rsidR="00F0236A" w:rsidRPr="0042750D">
        <w:rPr>
          <w:szCs w:val="22"/>
          <w:lang w:eastAsia="ko-KR"/>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F0236A" w:rsidRPr="0042750D" w14:paraId="56CCAD08" w14:textId="77777777" w:rsidTr="00043514">
        <w:trPr>
          <w:tblHeader/>
          <w:jc w:val="center"/>
        </w:trPr>
        <w:tc>
          <w:tcPr>
            <w:tcW w:w="908" w:type="dxa"/>
            <w:tcBorders>
              <w:top w:val="single" w:sz="12" w:space="0" w:color="auto"/>
              <w:bottom w:val="single" w:sz="12" w:space="0" w:color="auto"/>
            </w:tcBorders>
            <w:shd w:val="clear" w:color="auto" w:fill="auto"/>
            <w:vAlign w:val="center"/>
          </w:tcPr>
          <w:p w14:paraId="04005517" w14:textId="77777777" w:rsidR="00F0236A" w:rsidRPr="0042750D" w:rsidRDefault="00F0236A" w:rsidP="008C7A96">
            <w:pPr>
              <w:pStyle w:val="Tablehead"/>
              <w:keepNext w:val="0"/>
              <w:rPr>
                <w:sz w:val="24"/>
                <w:szCs w:val="24"/>
              </w:rPr>
            </w:pPr>
            <w:r w:rsidRPr="0042750D">
              <w:rPr>
                <w:sz w:val="24"/>
                <w:szCs w:val="24"/>
              </w:rPr>
              <w:t>Action Item</w:t>
            </w:r>
          </w:p>
        </w:tc>
        <w:tc>
          <w:tcPr>
            <w:tcW w:w="4895" w:type="dxa"/>
            <w:tcBorders>
              <w:top w:val="single" w:sz="12" w:space="0" w:color="auto"/>
              <w:bottom w:val="single" w:sz="12" w:space="0" w:color="auto"/>
            </w:tcBorders>
            <w:shd w:val="clear" w:color="auto" w:fill="auto"/>
            <w:vAlign w:val="center"/>
            <w:hideMark/>
          </w:tcPr>
          <w:p w14:paraId="1BCCF4DA" w14:textId="77777777" w:rsidR="00F0236A" w:rsidRPr="0042750D" w:rsidRDefault="00F0236A" w:rsidP="00DF36E1">
            <w:pPr>
              <w:pStyle w:val="Tablehead"/>
              <w:rPr>
                <w:sz w:val="24"/>
                <w:szCs w:val="24"/>
              </w:rPr>
            </w:pPr>
            <w:r w:rsidRPr="0042750D">
              <w:rPr>
                <w:sz w:val="24"/>
                <w:szCs w:val="24"/>
              </w:rPr>
              <w:t>Action</w:t>
            </w:r>
          </w:p>
        </w:tc>
        <w:tc>
          <w:tcPr>
            <w:tcW w:w="1548" w:type="dxa"/>
            <w:tcBorders>
              <w:top w:val="single" w:sz="12" w:space="0" w:color="auto"/>
              <w:bottom w:val="single" w:sz="12" w:space="0" w:color="auto"/>
            </w:tcBorders>
            <w:shd w:val="clear" w:color="auto" w:fill="auto"/>
            <w:vAlign w:val="center"/>
            <w:hideMark/>
          </w:tcPr>
          <w:p w14:paraId="20DA0A17" w14:textId="77777777" w:rsidR="00F0236A" w:rsidRPr="0042750D" w:rsidRDefault="00F0236A" w:rsidP="00DF36E1">
            <w:pPr>
              <w:pStyle w:val="Tablehead"/>
              <w:rPr>
                <w:sz w:val="24"/>
                <w:szCs w:val="24"/>
              </w:rPr>
            </w:pPr>
            <w:r w:rsidRPr="0042750D">
              <w:rPr>
                <w:sz w:val="24"/>
                <w:szCs w:val="24"/>
              </w:rPr>
              <w:t>Milestone</w:t>
            </w:r>
          </w:p>
        </w:tc>
        <w:tc>
          <w:tcPr>
            <w:tcW w:w="1145" w:type="dxa"/>
            <w:tcBorders>
              <w:top w:val="single" w:sz="12" w:space="0" w:color="auto"/>
              <w:bottom w:val="single" w:sz="12" w:space="0" w:color="auto"/>
            </w:tcBorders>
            <w:shd w:val="clear" w:color="auto" w:fill="auto"/>
            <w:vAlign w:val="center"/>
          </w:tcPr>
          <w:p w14:paraId="67C1E55A" w14:textId="77777777" w:rsidR="00F0236A" w:rsidRPr="0042750D" w:rsidRDefault="00F0236A" w:rsidP="00DF36E1">
            <w:pPr>
              <w:pStyle w:val="Tablehead"/>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889519"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728BD5B9" w14:textId="77777777" w:rsidTr="00C641B4">
        <w:trPr>
          <w:cantSplit/>
          <w:jc w:val="center"/>
        </w:trPr>
        <w:tc>
          <w:tcPr>
            <w:tcW w:w="908" w:type="dxa"/>
            <w:vMerge w:val="restart"/>
            <w:tcBorders>
              <w:top w:val="single" w:sz="12" w:space="0" w:color="auto"/>
            </w:tcBorders>
            <w:shd w:val="clear" w:color="auto" w:fill="auto"/>
          </w:tcPr>
          <w:p w14:paraId="0516FAA7" w14:textId="08889F87" w:rsidR="00F0236A" w:rsidRPr="0042750D" w:rsidRDefault="00A965CA" w:rsidP="00DF36E1">
            <w:pPr>
              <w:pStyle w:val="Tabletext"/>
              <w:rPr>
                <w:b/>
                <w:bCs/>
                <w:sz w:val="24"/>
                <w:szCs w:val="24"/>
              </w:rPr>
            </w:pPr>
            <w:r w:rsidRPr="0042750D">
              <w:rPr>
                <w:b/>
                <w:bCs/>
                <w:sz w:val="24"/>
                <w:szCs w:val="24"/>
              </w:rPr>
              <w:t>136</w:t>
            </w:r>
            <w:r w:rsidR="00F0236A" w:rsidRPr="0042750D">
              <w:rPr>
                <w:b/>
                <w:bCs/>
                <w:sz w:val="24"/>
                <w:szCs w:val="24"/>
              </w:rPr>
              <w:t>-01</w:t>
            </w:r>
          </w:p>
        </w:tc>
        <w:tc>
          <w:tcPr>
            <w:tcW w:w="4895" w:type="dxa"/>
            <w:tcBorders>
              <w:top w:val="single" w:sz="12" w:space="0" w:color="auto"/>
              <w:bottom w:val="single" w:sz="4" w:space="0" w:color="auto"/>
            </w:tcBorders>
            <w:shd w:val="clear" w:color="auto" w:fill="auto"/>
          </w:tcPr>
          <w:p w14:paraId="5D9A9DFA" w14:textId="242D58E8" w:rsidR="00F0236A" w:rsidRPr="0042750D" w:rsidRDefault="00A965CA" w:rsidP="00A965CA">
            <w:pPr>
              <w:pStyle w:val="Tabletext"/>
              <w:rPr>
                <w:b/>
                <w:bCs/>
                <w:sz w:val="24"/>
                <w:szCs w:val="24"/>
                <w:lang w:eastAsia="ko-KR"/>
              </w:rPr>
            </w:pPr>
            <w:r w:rsidRPr="0042750D">
              <w:rPr>
                <w:b/>
                <w:bCs/>
                <w:sz w:val="24"/>
                <w:szCs w:val="24"/>
                <w:lang w:eastAsia="ko-KR"/>
              </w:rPr>
              <w:t>TSBDir to continue to support studies through the relevant ITU</w:t>
            </w:r>
            <w:r w:rsidR="00BA6F21" w:rsidRPr="0042750D">
              <w:rPr>
                <w:b/>
                <w:bCs/>
                <w:sz w:val="24"/>
                <w:szCs w:val="24"/>
                <w:lang w:eastAsia="ko-KR"/>
              </w:rPr>
              <w:t>-T</w:t>
            </w:r>
            <w:r w:rsidRPr="0042750D">
              <w:rPr>
                <w:b/>
                <w:bCs/>
                <w:sz w:val="24"/>
                <w:szCs w:val="24"/>
                <w:lang w:eastAsia="ko-KR"/>
              </w:rPr>
              <w:t xml:space="preserve"> study groups concerning technical and operational implementation of solutions and identification of the best practices on public policies on emergency telecommunications at local, national and regional levels</w:t>
            </w:r>
            <w:r w:rsidR="00C641B4" w:rsidRPr="0042750D">
              <w:rPr>
                <w:b/>
                <w:bCs/>
                <w:sz w:val="24"/>
                <w:szCs w:val="24"/>
                <w:lang w:eastAsia="ko-KR"/>
              </w:rPr>
              <w:t xml:space="preserve"> </w:t>
            </w:r>
            <w:r w:rsidR="00C641B4" w:rsidRPr="0042750D">
              <w:rPr>
                <w:b/>
                <w:bCs/>
                <w:sz w:val="24"/>
                <w:szCs w:val="24"/>
              </w:rPr>
              <w:t>(</w:t>
            </w:r>
            <w:r w:rsidR="00C641B4" w:rsidRPr="0042750D">
              <w:rPr>
                <w:b/>
                <w:bCs/>
                <w:i/>
                <w:sz w:val="24"/>
                <w:szCs w:val="24"/>
              </w:rPr>
              <w:t>instructs 1</w:t>
            </w:r>
            <w:r w:rsidR="00C641B4" w:rsidRPr="0042750D">
              <w:rPr>
                <w:b/>
                <w:bCs/>
                <w:sz w:val="24"/>
                <w:szCs w:val="24"/>
              </w:rPr>
              <w:t>)</w:t>
            </w:r>
            <w:r w:rsidRPr="0042750D">
              <w:rPr>
                <w:b/>
                <w:bCs/>
                <w:sz w:val="24"/>
                <w:szCs w:val="24"/>
                <w:lang w:eastAsia="ko-KR"/>
              </w:rPr>
              <w:t>.</w:t>
            </w:r>
          </w:p>
        </w:tc>
        <w:tc>
          <w:tcPr>
            <w:tcW w:w="1548" w:type="dxa"/>
            <w:tcBorders>
              <w:top w:val="single" w:sz="12" w:space="0" w:color="auto"/>
              <w:bottom w:val="single" w:sz="4" w:space="0" w:color="auto"/>
            </w:tcBorders>
            <w:shd w:val="clear" w:color="auto" w:fill="auto"/>
            <w:vAlign w:val="center"/>
          </w:tcPr>
          <w:p w14:paraId="0FAB5A56"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5" w:type="dxa"/>
            <w:tcBorders>
              <w:top w:val="single" w:sz="12" w:space="0" w:color="auto"/>
              <w:bottom w:val="single" w:sz="4" w:space="0" w:color="auto"/>
            </w:tcBorders>
            <w:shd w:val="clear" w:color="auto" w:fill="auto"/>
            <w:vAlign w:val="center"/>
          </w:tcPr>
          <w:p w14:paraId="3BB558E7" w14:textId="34B8BFB5" w:rsidR="00F0236A" w:rsidRPr="0042750D" w:rsidRDefault="007C3186" w:rsidP="00DF36E1">
            <w:pPr>
              <w:pStyle w:val="Tabletext"/>
              <w:jc w:val="center"/>
              <w:rPr>
                <w:b/>
                <w:bCs/>
                <w:sz w:val="24"/>
                <w:szCs w:val="24"/>
              </w:rPr>
            </w:pPr>
            <w:r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37207095" w14:textId="77777777" w:rsidR="00F0236A" w:rsidRPr="0042750D" w:rsidRDefault="00F0236A" w:rsidP="00DF36E1">
            <w:pPr>
              <w:pStyle w:val="Tabletext"/>
              <w:jc w:val="center"/>
              <w:rPr>
                <w:b/>
                <w:bCs/>
                <w:sz w:val="24"/>
                <w:szCs w:val="24"/>
              </w:rPr>
            </w:pPr>
          </w:p>
        </w:tc>
      </w:tr>
      <w:tr w:rsidR="00F0236A" w:rsidRPr="0042750D" w14:paraId="48C03DC8" w14:textId="77777777" w:rsidTr="00601595">
        <w:trPr>
          <w:jc w:val="center"/>
        </w:trPr>
        <w:tc>
          <w:tcPr>
            <w:tcW w:w="908" w:type="dxa"/>
            <w:vMerge/>
            <w:tcBorders>
              <w:bottom w:val="single" w:sz="12" w:space="0" w:color="auto"/>
            </w:tcBorders>
            <w:shd w:val="clear" w:color="auto" w:fill="auto"/>
          </w:tcPr>
          <w:p w14:paraId="799312FD" w14:textId="77777777" w:rsidR="00F0236A" w:rsidRPr="0042750D" w:rsidRDefault="00F0236A" w:rsidP="00DF36E1">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774A603D" w14:textId="10558F80" w:rsidR="0006366E" w:rsidRPr="0042750D" w:rsidRDefault="0006366E" w:rsidP="00456CCC">
            <w:pPr>
              <w:pStyle w:val="NormalWeb"/>
              <w:numPr>
                <w:ilvl w:val="0"/>
                <w:numId w:val="5"/>
              </w:numPr>
              <w:spacing w:before="40" w:after="120"/>
              <w:ind w:left="357" w:hanging="357"/>
              <w:rPr>
                <w:sz w:val="22"/>
                <w:szCs w:val="22"/>
                <w:lang w:val="en-GB"/>
              </w:rPr>
            </w:pPr>
            <w:r w:rsidRPr="0042750D">
              <w:rPr>
                <w:sz w:val="22"/>
                <w:szCs w:val="22"/>
                <w:lang w:val="en-GB"/>
              </w:rPr>
              <w:t>ITU-T SG2 is the lead study group on “telecommunications for disaster relief/early warning, network resilience and recovery” and is promoting coordination and collaboration within ITU-T, with BDT and BR as well as outside of ITU.</w:t>
            </w:r>
          </w:p>
          <w:p w14:paraId="7B5AF7FF" w14:textId="5DD30B38" w:rsidR="0006366E" w:rsidRPr="0042750D" w:rsidRDefault="0006366E" w:rsidP="007C3186">
            <w:pPr>
              <w:pStyle w:val="NormalWeb"/>
              <w:numPr>
                <w:ilvl w:val="0"/>
                <w:numId w:val="5"/>
              </w:numPr>
              <w:spacing w:before="120" w:after="120"/>
              <w:rPr>
                <w:sz w:val="22"/>
                <w:szCs w:val="22"/>
                <w:lang w:val="en-GB"/>
              </w:rPr>
            </w:pPr>
            <w:r w:rsidRPr="0042750D">
              <w:rPr>
                <w:sz w:val="22"/>
                <w:szCs w:val="22"/>
                <w:lang w:val="en-GB"/>
              </w:rPr>
              <w:t>Each Study Group within ITU-T is working on this issue according to their mandate collaborating with other organizations as necessary.</w:t>
            </w:r>
          </w:p>
          <w:p w14:paraId="6BE8EAF1" w14:textId="77777777" w:rsidR="0006366E" w:rsidRPr="0042750D" w:rsidRDefault="0006366E" w:rsidP="007C3186">
            <w:pPr>
              <w:pStyle w:val="NormalWeb"/>
              <w:numPr>
                <w:ilvl w:val="0"/>
                <w:numId w:val="5"/>
              </w:numPr>
              <w:spacing w:before="120" w:after="120"/>
              <w:rPr>
                <w:sz w:val="22"/>
                <w:szCs w:val="22"/>
                <w:lang w:val="en-GB"/>
              </w:rPr>
            </w:pPr>
            <w:r w:rsidRPr="0042750D">
              <w:rPr>
                <w:sz w:val="22"/>
                <w:szCs w:val="22"/>
                <w:lang w:val="en-GB"/>
              </w:rPr>
              <w:t>TSB is collaborating with BDT and BR on this issue including participation in regional workshops to assist developing countries and other activities.</w:t>
            </w:r>
          </w:p>
          <w:p w14:paraId="618A22C0" w14:textId="6C16BCB0" w:rsidR="0006366E" w:rsidRPr="0042750D" w:rsidRDefault="007C3186" w:rsidP="007C3186">
            <w:pPr>
              <w:pStyle w:val="NormalWeb"/>
              <w:numPr>
                <w:ilvl w:val="0"/>
                <w:numId w:val="5"/>
              </w:numPr>
              <w:spacing w:before="120" w:after="120"/>
              <w:rPr>
                <w:sz w:val="22"/>
                <w:szCs w:val="22"/>
                <w:lang w:val="en-GB"/>
              </w:rPr>
            </w:pPr>
            <w:r w:rsidRPr="0042750D">
              <w:rPr>
                <w:sz w:val="22"/>
                <w:szCs w:val="22"/>
                <w:lang w:val="en-GB"/>
              </w:rPr>
              <w:t>The f</w:t>
            </w:r>
            <w:r w:rsidR="0006366E" w:rsidRPr="0042750D">
              <w:rPr>
                <w:sz w:val="22"/>
                <w:szCs w:val="22"/>
                <w:lang w:val="en-GB"/>
              </w:rPr>
              <w:t xml:space="preserve">ollowing Recommendations and Supplements related to this issue were approved between December 2018 and </w:t>
            </w:r>
            <w:r w:rsidR="00D17435" w:rsidRPr="0042750D">
              <w:rPr>
                <w:sz w:val="22"/>
                <w:szCs w:val="22"/>
                <w:lang w:val="en-GB"/>
              </w:rPr>
              <w:t xml:space="preserve">December </w:t>
            </w:r>
            <w:r w:rsidR="0006366E" w:rsidRPr="0042750D">
              <w:rPr>
                <w:sz w:val="22"/>
                <w:szCs w:val="22"/>
                <w:lang w:val="en-GB"/>
              </w:rPr>
              <w:t>2019:</w:t>
            </w:r>
          </w:p>
          <w:p w14:paraId="0B63FBB1" w14:textId="5B129E88" w:rsidR="0006366E" w:rsidRPr="0042750D" w:rsidRDefault="0006366E" w:rsidP="00CD15C5">
            <w:pPr>
              <w:pStyle w:val="NormalWeb"/>
              <w:numPr>
                <w:ilvl w:val="1"/>
                <w:numId w:val="5"/>
              </w:numPr>
              <w:spacing w:before="120" w:after="120"/>
              <w:ind w:left="1293" w:hanging="573"/>
              <w:contextualSpacing/>
              <w:rPr>
                <w:sz w:val="22"/>
                <w:szCs w:val="22"/>
                <w:lang w:val="en-GB"/>
              </w:rPr>
            </w:pPr>
            <w:r w:rsidRPr="0042750D">
              <w:rPr>
                <w:sz w:val="22"/>
                <w:szCs w:val="22"/>
                <w:lang w:val="en-GB"/>
              </w:rPr>
              <w:t xml:space="preserve">SG2: </w:t>
            </w:r>
            <w:r w:rsidR="007C3186" w:rsidRPr="0042750D">
              <w:rPr>
                <w:sz w:val="22"/>
                <w:szCs w:val="22"/>
                <w:lang w:val="en-GB"/>
              </w:rPr>
              <w:t xml:space="preserve">ITU-T </w:t>
            </w:r>
            <w:r w:rsidRPr="0042750D">
              <w:rPr>
                <w:rFonts w:ascii="inherit" w:eastAsiaTheme="majorEastAsia" w:hAnsi="inherit"/>
                <w:sz w:val="22"/>
                <w:szCs w:val="22"/>
                <w:bdr w:val="none" w:sz="0" w:space="0" w:color="auto" w:frame="1"/>
                <w:lang w:val="en-GB"/>
              </w:rPr>
              <w:t>E.Suppl.1to ITU-T E.100 series</w:t>
            </w:r>
            <w:r w:rsidR="007C3186" w:rsidRPr="0042750D">
              <w:rPr>
                <w:rFonts w:ascii="inherit" w:eastAsiaTheme="majorEastAsia" w:hAnsi="inherit"/>
                <w:sz w:val="22"/>
                <w:szCs w:val="22"/>
                <w:bdr w:val="none" w:sz="0" w:space="0" w:color="auto" w:frame="1"/>
                <w:lang w:val="en-GB"/>
              </w:rPr>
              <w:t xml:space="preserve"> </w:t>
            </w:r>
            <w:r w:rsidRPr="0042750D">
              <w:rPr>
                <w:sz w:val="22"/>
                <w:szCs w:val="22"/>
                <w:lang w:val="en-GB"/>
              </w:rPr>
              <w:t>“Framework of disaster management for disaster relief system” (February 2019)</w:t>
            </w:r>
            <w:r w:rsidR="007C3186" w:rsidRPr="0042750D">
              <w:rPr>
                <w:sz w:val="22"/>
                <w:szCs w:val="22"/>
                <w:lang w:val="en-GB"/>
              </w:rPr>
              <w:t>.</w:t>
            </w:r>
          </w:p>
          <w:p w14:paraId="15BB63E9" w14:textId="0297BE10" w:rsidR="0006366E" w:rsidRPr="0042750D" w:rsidRDefault="0006366E" w:rsidP="00CD15C5">
            <w:pPr>
              <w:pStyle w:val="NormalWeb"/>
              <w:numPr>
                <w:ilvl w:val="1"/>
                <w:numId w:val="5"/>
              </w:numPr>
              <w:spacing w:before="120" w:after="120"/>
              <w:ind w:left="1293" w:hanging="573"/>
              <w:contextualSpacing/>
              <w:rPr>
                <w:sz w:val="22"/>
                <w:szCs w:val="22"/>
                <w:lang w:val="en-GB"/>
              </w:rPr>
            </w:pPr>
            <w:r w:rsidRPr="0042750D">
              <w:rPr>
                <w:sz w:val="22"/>
                <w:szCs w:val="22"/>
                <w:lang w:val="en-GB"/>
              </w:rPr>
              <w:t xml:space="preserve">SG2: </w:t>
            </w:r>
            <w:r w:rsidR="007C3186" w:rsidRPr="0042750D">
              <w:rPr>
                <w:sz w:val="22"/>
                <w:szCs w:val="22"/>
                <w:lang w:val="en-GB"/>
              </w:rPr>
              <w:t xml:space="preserve">ITU-T </w:t>
            </w:r>
            <w:r w:rsidRPr="0042750D">
              <w:rPr>
                <w:rFonts w:ascii="inherit" w:eastAsiaTheme="majorEastAsia" w:hAnsi="inherit"/>
                <w:sz w:val="22"/>
                <w:szCs w:val="22"/>
                <w:bdr w:val="none" w:sz="0" w:space="0" w:color="auto" w:frame="1"/>
                <w:lang w:val="en-GB"/>
              </w:rPr>
              <w:t xml:space="preserve">E.102 </w:t>
            </w:r>
            <w:r w:rsidRPr="0042750D">
              <w:rPr>
                <w:sz w:val="22"/>
                <w:szCs w:val="22"/>
                <w:lang w:val="en-GB"/>
              </w:rPr>
              <w:t>“Terms and definitions for disaster relief systems, network resilience and recovery” (</w:t>
            </w:r>
            <w:r w:rsidR="008B4EB9" w:rsidRPr="0042750D">
              <w:rPr>
                <w:sz w:val="22"/>
                <w:szCs w:val="22"/>
                <w:lang w:val="en-GB"/>
              </w:rPr>
              <w:t xml:space="preserve">December </w:t>
            </w:r>
            <w:r w:rsidRPr="0042750D">
              <w:rPr>
                <w:sz w:val="22"/>
                <w:szCs w:val="22"/>
                <w:lang w:val="en-GB"/>
              </w:rPr>
              <w:t>2019)</w:t>
            </w:r>
            <w:r w:rsidR="007C3186" w:rsidRPr="0042750D">
              <w:rPr>
                <w:sz w:val="22"/>
                <w:szCs w:val="22"/>
                <w:lang w:val="en-GB"/>
              </w:rPr>
              <w:t>.</w:t>
            </w:r>
          </w:p>
          <w:p w14:paraId="50F4945F" w14:textId="0FB623F8" w:rsidR="0006366E" w:rsidRPr="0042750D" w:rsidRDefault="0006366E" w:rsidP="00CD15C5">
            <w:pPr>
              <w:pStyle w:val="NormalWeb"/>
              <w:numPr>
                <w:ilvl w:val="1"/>
                <w:numId w:val="5"/>
              </w:numPr>
              <w:spacing w:before="120" w:after="120"/>
              <w:ind w:left="1293" w:hanging="573"/>
              <w:contextualSpacing/>
              <w:rPr>
                <w:sz w:val="22"/>
                <w:szCs w:val="22"/>
                <w:lang w:val="en-GB"/>
              </w:rPr>
            </w:pPr>
            <w:r w:rsidRPr="0042750D">
              <w:rPr>
                <w:sz w:val="22"/>
                <w:szCs w:val="22"/>
                <w:lang w:val="en-GB"/>
              </w:rPr>
              <w:t xml:space="preserve">SG11: </w:t>
            </w:r>
            <w:r w:rsidR="007C3186" w:rsidRPr="0042750D">
              <w:rPr>
                <w:sz w:val="22"/>
                <w:szCs w:val="22"/>
                <w:lang w:val="en-GB"/>
              </w:rPr>
              <w:t xml:space="preserve">ITU-T </w:t>
            </w:r>
            <w:r w:rsidRPr="0042750D">
              <w:rPr>
                <w:rFonts w:ascii="inherit" w:eastAsiaTheme="majorEastAsia" w:hAnsi="inherit"/>
                <w:sz w:val="22"/>
                <w:szCs w:val="22"/>
                <w:bdr w:val="none" w:sz="0" w:space="0" w:color="auto" w:frame="1"/>
                <w:lang w:val="en-GB"/>
              </w:rPr>
              <w:t>Q.Sup70</w:t>
            </w:r>
            <w:r w:rsidRPr="0042750D">
              <w:rPr>
                <w:sz w:val="22"/>
                <w:szCs w:val="22"/>
                <w:lang w:val="en-GB"/>
              </w:rPr>
              <w:t xml:space="preserve"> "Signalling requirements for IMS and GSM/UMTS network supporting Multi-device emergency telecommunications service” (June 2019)</w:t>
            </w:r>
            <w:r w:rsidR="007C3186" w:rsidRPr="0042750D">
              <w:rPr>
                <w:sz w:val="22"/>
                <w:szCs w:val="22"/>
                <w:lang w:val="en-GB"/>
              </w:rPr>
              <w:t>.</w:t>
            </w:r>
          </w:p>
          <w:p w14:paraId="50C375BB" w14:textId="684A8FC2" w:rsidR="00683AAC" w:rsidRPr="0042750D" w:rsidRDefault="00683AAC" w:rsidP="00CD15C5">
            <w:pPr>
              <w:pStyle w:val="NormalWeb"/>
              <w:numPr>
                <w:ilvl w:val="1"/>
                <w:numId w:val="5"/>
              </w:numPr>
              <w:spacing w:before="120" w:after="120"/>
              <w:ind w:left="1293" w:hanging="573"/>
              <w:contextualSpacing/>
              <w:rPr>
                <w:sz w:val="22"/>
                <w:szCs w:val="22"/>
                <w:lang w:val="en-GB"/>
              </w:rPr>
            </w:pPr>
            <w:r w:rsidRPr="0042750D">
              <w:rPr>
                <w:sz w:val="22"/>
                <w:szCs w:val="22"/>
                <w:lang w:val="en-GB"/>
              </w:rPr>
              <w:t xml:space="preserve">SG20: ITU-T </w:t>
            </w:r>
            <w:r w:rsidRPr="0042750D">
              <w:rPr>
                <w:rFonts w:ascii="inherit" w:eastAsiaTheme="majorEastAsia" w:hAnsi="inherit"/>
                <w:sz w:val="22"/>
                <w:szCs w:val="22"/>
                <w:bdr w:val="none" w:sz="0" w:space="0" w:color="auto" w:frame="1"/>
                <w:lang w:val="en-GB"/>
              </w:rPr>
              <w:t>Y.4467</w:t>
            </w:r>
            <w:r w:rsidRPr="0042750D">
              <w:rPr>
                <w:sz w:val="22"/>
                <w:szCs w:val="22"/>
                <w:lang w:val="en-GB"/>
              </w:rPr>
              <w:t xml:space="preserve"> “Minimum set of data structure for automotive emergency response system”</w:t>
            </w:r>
            <w:r w:rsidR="00AD1708" w:rsidRPr="0042750D">
              <w:rPr>
                <w:sz w:val="22"/>
                <w:szCs w:val="22"/>
                <w:lang w:val="en-GB"/>
              </w:rPr>
              <w:t xml:space="preserve"> (January 2020).</w:t>
            </w:r>
          </w:p>
          <w:p w14:paraId="598EA7AD" w14:textId="43C05AD0" w:rsidR="00683AAC" w:rsidRPr="0042750D" w:rsidRDefault="00683AAC" w:rsidP="00CD15C5">
            <w:pPr>
              <w:pStyle w:val="NormalWeb"/>
              <w:numPr>
                <w:ilvl w:val="1"/>
                <w:numId w:val="5"/>
              </w:numPr>
              <w:spacing w:before="120" w:after="120"/>
              <w:ind w:left="1293" w:hanging="573"/>
              <w:contextualSpacing/>
              <w:rPr>
                <w:sz w:val="22"/>
                <w:szCs w:val="22"/>
                <w:lang w:val="en-GB"/>
              </w:rPr>
            </w:pPr>
            <w:r w:rsidRPr="0042750D">
              <w:rPr>
                <w:sz w:val="22"/>
                <w:szCs w:val="22"/>
                <w:lang w:val="en-GB"/>
              </w:rPr>
              <w:t xml:space="preserve">SG20: ITU-T </w:t>
            </w:r>
            <w:r w:rsidRPr="0042750D">
              <w:rPr>
                <w:rFonts w:ascii="inherit" w:eastAsiaTheme="majorEastAsia" w:hAnsi="inherit"/>
                <w:sz w:val="22"/>
                <w:szCs w:val="22"/>
                <w:bdr w:val="none" w:sz="0" w:space="0" w:color="auto" w:frame="1"/>
                <w:lang w:val="en-GB"/>
              </w:rPr>
              <w:t>Y.4468</w:t>
            </w:r>
            <w:r w:rsidRPr="0042750D">
              <w:rPr>
                <w:sz w:val="22"/>
                <w:szCs w:val="22"/>
                <w:lang w:val="en-GB"/>
              </w:rPr>
              <w:t xml:space="preserve"> “Minimum set of data transfer protocol for automotive emergency response system”</w:t>
            </w:r>
            <w:r w:rsidR="00AD1708" w:rsidRPr="0042750D">
              <w:rPr>
                <w:sz w:val="22"/>
                <w:szCs w:val="22"/>
                <w:lang w:val="en-GB"/>
              </w:rPr>
              <w:t xml:space="preserve"> (January 2020)</w:t>
            </w:r>
            <w:r w:rsidRPr="0042750D">
              <w:rPr>
                <w:sz w:val="22"/>
                <w:szCs w:val="22"/>
                <w:lang w:val="en-GB"/>
              </w:rPr>
              <w:t>.</w:t>
            </w:r>
          </w:p>
          <w:p w14:paraId="51ECD93A" w14:textId="5124C874" w:rsidR="0006366E" w:rsidRPr="0042750D" w:rsidRDefault="007C3186" w:rsidP="007C3186">
            <w:pPr>
              <w:pStyle w:val="NormalWeb"/>
              <w:numPr>
                <w:ilvl w:val="0"/>
                <w:numId w:val="5"/>
              </w:numPr>
              <w:spacing w:before="120" w:after="120"/>
              <w:rPr>
                <w:sz w:val="22"/>
                <w:szCs w:val="22"/>
                <w:lang w:val="en-GB"/>
              </w:rPr>
            </w:pPr>
            <w:r w:rsidRPr="0042750D">
              <w:rPr>
                <w:sz w:val="22"/>
                <w:szCs w:val="22"/>
                <w:lang w:val="en-GB"/>
              </w:rPr>
              <w:t>The f</w:t>
            </w:r>
            <w:r w:rsidR="0006366E" w:rsidRPr="0042750D">
              <w:rPr>
                <w:sz w:val="22"/>
                <w:szCs w:val="22"/>
                <w:lang w:val="en-GB"/>
              </w:rPr>
              <w:t>ollowing work items related to this issue are currently under development:</w:t>
            </w:r>
          </w:p>
          <w:p w14:paraId="44DF786B" w14:textId="181D9B00" w:rsidR="008E1B15" w:rsidRPr="0042750D" w:rsidRDefault="008E1B15" w:rsidP="00CD15C5">
            <w:pPr>
              <w:pStyle w:val="NormalWeb"/>
              <w:numPr>
                <w:ilvl w:val="1"/>
                <w:numId w:val="5"/>
              </w:numPr>
              <w:spacing w:before="120" w:after="120"/>
              <w:ind w:left="1293" w:hanging="573"/>
              <w:contextualSpacing/>
              <w:rPr>
                <w:sz w:val="22"/>
                <w:szCs w:val="22"/>
                <w:lang w:val="en-GB"/>
              </w:rPr>
            </w:pPr>
            <w:r w:rsidRPr="0042750D">
              <w:rPr>
                <w:sz w:val="22"/>
                <w:szCs w:val="22"/>
                <w:lang w:val="en-GB"/>
              </w:rPr>
              <w:t>SG2: Tehnical Report TR.CLE “Identify call location for emergency service”.</w:t>
            </w:r>
          </w:p>
          <w:p w14:paraId="06566250" w14:textId="1DC5B5E3" w:rsidR="0006366E" w:rsidRPr="0042750D" w:rsidRDefault="0006366E" w:rsidP="00CD15C5">
            <w:pPr>
              <w:pStyle w:val="NormalWeb"/>
              <w:numPr>
                <w:ilvl w:val="1"/>
                <w:numId w:val="5"/>
              </w:numPr>
              <w:spacing w:before="120" w:after="120"/>
              <w:ind w:left="1293" w:hanging="573"/>
              <w:contextualSpacing/>
              <w:rPr>
                <w:sz w:val="22"/>
                <w:szCs w:val="22"/>
                <w:lang w:val="en-GB"/>
              </w:rPr>
            </w:pPr>
            <w:r w:rsidRPr="0042750D">
              <w:rPr>
                <w:sz w:val="22"/>
                <w:szCs w:val="22"/>
                <w:lang w:val="en-GB"/>
              </w:rPr>
              <w:t xml:space="preserve">SG11: </w:t>
            </w:r>
            <w:r w:rsidR="007C3186" w:rsidRPr="0042750D">
              <w:rPr>
                <w:sz w:val="22"/>
                <w:szCs w:val="22"/>
                <w:lang w:val="en-GB"/>
              </w:rPr>
              <w:t xml:space="preserve">ITU-T </w:t>
            </w:r>
            <w:r w:rsidRPr="0042750D">
              <w:rPr>
                <w:rFonts w:ascii="inherit" w:eastAsiaTheme="majorEastAsia" w:hAnsi="inherit"/>
                <w:sz w:val="22"/>
                <w:szCs w:val="22"/>
                <w:bdr w:val="none" w:sz="0" w:space="0" w:color="auto" w:frame="1"/>
                <w:lang w:val="en-GB"/>
              </w:rPr>
              <w:t>Q.ETN-DS</w:t>
            </w:r>
            <w:r w:rsidRPr="0042750D">
              <w:rPr>
                <w:sz w:val="22"/>
                <w:szCs w:val="22"/>
                <w:lang w:val="en-GB"/>
              </w:rPr>
              <w:t xml:space="preserve"> “Signalling architecture of the fast deployment emergency telecommunication network to be used in a natural disaster”</w:t>
            </w:r>
            <w:r w:rsidR="007C3186" w:rsidRPr="0042750D">
              <w:rPr>
                <w:sz w:val="22"/>
                <w:szCs w:val="22"/>
                <w:lang w:val="en-GB"/>
              </w:rPr>
              <w:t>.</w:t>
            </w:r>
          </w:p>
          <w:p w14:paraId="3B063B2E" w14:textId="3B616FD4" w:rsidR="0006366E" w:rsidRPr="0042750D" w:rsidRDefault="0006366E" w:rsidP="00CD15C5">
            <w:pPr>
              <w:pStyle w:val="NormalWeb"/>
              <w:numPr>
                <w:ilvl w:val="1"/>
                <w:numId w:val="5"/>
              </w:numPr>
              <w:spacing w:before="120" w:after="120"/>
              <w:ind w:left="1293" w:hanging="573"/>
              <w:contextualSpacing/>
              <w:rPr>
                <w:sz w:val="22"/>
                <w:szCs w:val="22"/>
                <w:lang w:val="en-GB"/>
              </w:rPr>
            </w:pPr>
            <w:r w:rsidRPr="0042750D">
              <w:rPr>
                <w:sz w:val="22"/>
                <w:szCs w:val="22"/>
                <w:lang w:val="en-GB"/>
              </w:rPr>
              <w:t xml:space="preserve">SG11: </w:t>
            </w:r>
            <w:r w:rsidR="007C3186" w:rsidRPr="0042750D">
              <w:rPr>
                <w:sz w:val="22"/>
                <w:szCs w:val="22"/>
                <w:lang w:val="en-GB"/>
              </w:rPr>
              <w:t xml:space="preserve">ITU-T </w:t>
            </w:r>
            <w:r w:rsidRPr="0042750D">
              <w:rPr>
                <w:rFonts w:ascii="inherit" w:eastAsiaTheme="majorEastAsia" w:hAnsi="inherit"/>
                <w:sz w:val="22"/>
                <w:szCs w:val="22"/>
                <w:bdr w:val="none" w:sz="0" w:space="0" w:color="auto" w:frame="1"/>
                <w:lang w:val="en-GB"/>
              </w:rPr>
              <w:t>X.mp2p-ldmp</w:t>
            </w:r>
            <w:r w:rsidRPr="0042750D">
              <w:rPr>
                <w:sz w:val="22"/>
                <w:szCs w:val="22"/>
                <w:lang w:val="en-GB"/>
              </w:rPr>
              <w:t xml:space="preserve"> “Managed P2P communications: Management protocol for live data sources”</w:t>
            </w:r>
            <w:r w:rsidR="007C3186" w:rsidRPr="0042750D">
              <w:rPr>
                <w:sz w:val="22"/>
                <w:szCs w:val="22"/>
                <w:lang w:val="en-GB"/>
              </w:rPr>
              <w:t>.</w:t>
            </w:r>
          </w:p>
          <w:p w14:paraId="79191C50" w14:textId="6FA5158E" w:rsidR="0006366E" w:rsidRPr="0042750D" w:rsidRDefault="0006366E" w:rsidP="00CD15C5">
            <w:pPr>
              <w:pStyle w:val="NormalWeb"/>
              <w:numPr>
                <w:ilvl w:val="1"/>
                <w:numId w:val="5"/>
              </w:numPr>
              <w:spacing w:before="120" w:after="120"/>
              <w:ind w:left="1293" w:hanging="573"/>
              <w:contextualSpacing/>
              <w:rPr>
                <w:sz w:val="22"/>
                <w:szCs w:val="22"/>
                <w:lang w:val="en-GB"/>
              </w:rPr>
            </w:pPr>
            <w:r w:rsidRPr="0042750D">
              <w:rPr>
                <w:sz w:val="22"/>
                <w:szCs w:val="22"/>
                <w:lang w:val="en-GB"/>
              </w:rPr>
              <w:t xml:space="preserve">SG11: </w:t>
            </w:r>
            <w:r w:rsidR="007C3186" w:rsidRPr="0042750D">
              <w:rPr>
                <w:sz w:val="22"/>
                <w:szCs w:val="22"/>
                <w:lang w:val="en-GB"/>
              </w:rPr>
              <w:t xml:space="preserve">ITU-T </w:t>
            </w:r>
            <w:r w:rsidRPr="0042750D">
              <w:rPr>
                <w:rFonts w:ascii="inherit" w:eastAsiaTheme="majorEastAsia" w:hAnsi="inherit"/>
                <w:sz w:val="22"/>
                <w:szCs w:val="22"/>
                <w:bdr w:val="none" w:sz="0" w:space="0" w:color="auto" w:frame="1"/>
                <w:lang w:val="en-GB"/>
              </w:rPr>
              <w:t>Q.suppl.ETS_Multi_Access</w:t>
            </w:r>
            <w:r w:rsidRPr="0042750D">
              <w:rPr>
                <w:sz w:val="22"/>
                <w:szCs w:val="22"/>
                <w:lang w:val="en-GB"/>
              </w:rPr>
              <w:t xml:space="preserve"> “Signalling requirements for IMS emergency telecommunications service in support of multiple accesses”</w:t>
            </w:r>
            <w:r w:rsidR="007C3186" w:rsidRPr="0042750D">
              <w:rPr>
                <w:sz w:val="22"/>
                <w:szCs w:val="22"/>
                <w:lang w:val="en-GB"/>
              </w:rPr>
              <w:t>.</w:t>
            </w:r>
          </w:p>
          <w:p w14:paraId="536029A3" w14:textId="5E741DC7" w:rsidR="0006366E" w:rsidRPr="0042750D" w:rsidRDefault="0006366E" w:rsidP="00CD15C5">
            <w:pPr>
              <w:pStyle w:val="NormalWeb"/>
              <w:numPr>
                <w:ilvl w:val="1"/>
                <w:numId w:val="5"/>
              </w:numPr>
              <w:spacing w:before="120" w:after="120"/>
              <w:ind w:left="1293" w:hanging="573"/>
              <w:contextualSpacing/>
              <w:rPr>
                <w:sz w:val="22"/>
                <w:szCs w:val="22"/>
                <w:lang w:val="en-GB"/>
              </w:rPr>
            </w:pPr>
            <w:r w:rsidRPr="0042750D">
              <w:rPr>
                <w:sz w:val="22"/>
                <w:szCs w:val="22"/>
                <w:lang w:val="en-GB"/>
              </w:rPr>
              <w:t xml:space="preserve">SG16: </w:t>
            </w:r>
            <w:r w:rsidR="007C3186" w:rsidRPr="0042750D">
              <w:rPr>
                <w:sz w:val="22"/>
                <w:szCs w:val="22"/>
                <w:lang w:val="en-GB"/>
              </w:rPr>
              <w:t xml:space="preserve">ITU-T </w:t>
            </w:r>
            <w:r w:rsidRPr="0042750D">
              <w:rPr>
                <w:rFonts w:ascii="inherit" w:eastAsiaTheme="majorEastAsia" w:hAnsi="inherit"/>
                <w:sz w:val="22"/>
                <w:szCs w:val="22"/>
                <w:bdr w:val="none" w:sz="0" w:space="0" w:color="auto" w:frame="1"/>
                <w:lang w:val="en-GB"/>
              </w:rPr>
              <w:t>H.DS-CASF</w:t>
            </w:r>
            <w:r w:rsidRPr="0042750D">
              <w:rPr>
                <w:sz w:val="22"/>
                <w:szCs w:val="22"/>
                <w:lang w:val="en-GB"/>
              </w:rPr>
              <w:t xml:space="preserve"> “Digital signage: Common alerting service framework”</w:t>
            </w:r>
            <w:r w:rsidR="007C3186" w:rsidRPr="0042750D">
              <w:rPr>
                <w:sz w:val="22"/>
                <w:szCs w:val="22"/>
                <w:lang w:val="en-GB"/>
              </w:rPr>
              <w:t>.</w:t>
            </w:r>
          </w:p>
          <w:p w14:paraId="2E14900F" w14:textId="5C639511" w:rsidR="0006366E" w:rsidRPr="0042750D" w:rsidRDefault="0006366E" w:rsidP="00CD15C5">
            <w:pPr>
              <w:pStyle w:val="NormalWeb"/>
              <w:numPr>
                <w:ilvl w:val="1"/>
                <w:numId w:val="5"/>
              </w:numPr>
              <w:spacing w:before="120" w:after="120"/>
              <w:ind w:left="1293" w:hanging="573"/>
              <w:contextualSpacing/>
              <w:rPr>
                <w:sz w:val="22"/>
                <w:szCs w:val="22"/>
                <w:lang w:val="en-GB"/>
              </w:rPr>
            </w:pPr>
            <w:r w:rsidRPr="0042750D">
              <w:rPr>
                <w:sz w:val="22"/>
                <w:szCs w:val="22"/>
                <w:lang w:val="en-GB"/>
              </w:rPr>
              <w:t xml:space="preserve">SG20: </w:t>
            </w:r>
            <w:r w:rsidR="007C3186" w:rsidRPr="0042750D">
              <w:rPr>
                <w:sz w:val="22"/>
                <w:szCs w:val="22"/>
                <w:lang w:val="en-GB"/>
              </w:rPr>
              <w:t xml:space="preserve">ITU-T </w:t>
            </w:r>
            <w:r w:rsidRPr="0042750D">
              <w:rPr>
                <w:rFonts w:ascii="inherit" w:eastAsiaTheme="majorEastAsia" w:hAnsi="inherit"/>
                <w:sz w:val="22"/>
                <w:szCs w:val="22"/>
                <w:bdr w:val="none" w:sz="0" w:space="0" w:color="auto" w:frame="1"/>
                <w:lang w:val="en-GB"/>
              </w:rPr>
              <w:t>Y.disaster_notification</w:t>
            </w:r>
            <w:r w:rsidRPr="0042750D">
              <w:rPr>
                <w:sz w:val="22"/>
                <w:szCs w:val="22"/>
                <w:lang w:val="en-GB"/>
              </w:rPr>
              <w:t xml:space="preserve"> “Framework of the disaster notification of the population in smart cities and communities”</w:t>
            </w:r>
            <w:r w:rsidR="007C3186" w:rsidRPr="0042750D">
              <w:rPr>
                <w:sz w:val="22"/>
                <w:szCs w:val="22"/>
                <w:lang w:val="en-GB"/>
              </w:rPr>
              <w:t>.</w:t>
            </w:r>
          </w:p>
          <w:p w14:paraId="65E7677D" w14:textId="099F8738" w:rsidR="0006366E" w:rsidRPr="0042750D" w:rsidRDefault="0006366E" w:rsidP="00CD15C5">
            <w:pPr>
              <w:pStyle w:val="NormalWeb"/>
              <w:numPr>
                <w:ilvl w:val="1"/>
                <w:numId w:val="5"/>
              </w:numPr>
              <w:spacing w:before="120" w:after="120"/>
              <w:ind w:left="1293" w:hanging="573"/>
              <w:contextualSpacing/>
              <w:rPr>
                <w:sz w:val="22"/>
                <w:szCs w:val="22"/>
                <w:lang w:val="en-GB"/>
              </w:rPr>
            </w:pPr>
            <w:r w:rsidRPr="0042750D">
              <w:rPr>
                <w:sz w:val="22"/>
                <w:szCs w:val="22"/>
                <w:lang w:val="en-GB"/>
              </w:rPr>
              <w:t xml:space="preserve">SG20: </w:t>
            </w:r>
            <w:r w:rsidR="007C3186" w:rsidRPr="0042750D">
              <w:rPr>
                <w:sz w:val="22"/>
                <w:szCs w:val="22"/>
                <w:lang w:val="en-GB"/>
              </w:rPr>
              <w:t xml:space="preserve">ITU-T </w:t>
            </w:r>
            <w:r w:rsidRPr="0042750D">
              <w:rPr>
                <w:sz w:val="22"/>
                <w:szCs w:val="22"/>
                <w:lang w:val="en-GB"/>
              </w:rPr>
              <w:t>Y.smart-evacuation “Framework of smart evacuation during emergencies in smart cities and communities”</w:t>
            </w:r>
            <w:r w:rsidR="007C3186" w:rsidRPr="0042750D">
              <w:rPr>
                <w:sz w:val="22"/>
                <w:szCs w:val="22"/>
                <w:lang w:val="en-GB"/>
              </w:rPr>
              <w:t>.</w:t>
            </w:r>
          </w:p>
          <w:p w14:paraId="0CB9A374" w14:textId="6E5D40F7" w:rsidR="00F0236A" w:rsidRPr="0042750D" w:rsidRDefault="0006366E" w:rsidP="00CD15C5">
            <w:pPr>
              <w:pStyle w:val="NormalWeb"/>
              <w:numPr>
                <w:ilvl w:val="1"/>
                <w:numId w:val="5"/>
              </w:numPr>
              <w:spacing w:before="120" w:after="120"/>
              <w:ind w:left="1293" w:hanging="573"/>
              <w:contextualSpacing/>
              <w:rPr>
                <w:lang w:val="en-GB"/>
              </w:rPr>
            </w:pPr>
            <w:r w:rsidRPr="0042750D">
              <w:rPr>
                <w:sz w:val="22"/>
                <w:szCs w:val="22"/>
                <w:lang w:val="en-GB"/>
              </w:rPr>
              <w:t xml:space="preserve">SG20: </w:t>
            </w:r>
            <w:r w:rsidR="007C3186" w:rsidRPr="0042750D">
              <w:rPr>
                <w:sz w:val="22"/>
                <w:szCs w:val="22"/>
                <w:lang w:val="en-GB"/>
              </w:rPr>
              <w:t xml:space="preserve">ITU-T </w:t>
            </w:r>
            <w:r w:rsidRPr="0042750D">
              <w:rPr>
                <w:rFonts w:ascii="inherit" w:eastAsiaTheme="majorEastAsia" w:hAnsi="inherit"/>
                <w:sz w:val="22"/>
                <w:szCs w:val="22"/>
                <w:bdr w:val="none" w:sz="0" w:space="0" w:color="auto" w:frame="1"/>
                <w:lang w:val="en-GB"/>
              </w:rPr>
              <w:t>Y.smoke-detection</w:t>
            </w:r>
            <w:r w:rsidRPr="0042750D">
              <w:rPr>
                <w:sz w:val="22"/>
                <w:szCs w:val="22"/>
                <w:lang w:val="en-GB"/>
              </w:rPr>
              <w:t xml:space="preserve"> “Requirements and functional architecture of smart fire smoke detection service”</w:t>
            </w:r>
            <w:r w:rsidR="007C3186" w:rsidRPr="0042750D">
              <w:rPr>
                <w:sz w:val="22"/>
                <w:szCs w:val="22"/>
                <w:lang w:val="en-GB"/>
              </w:rPr>
              <w:t>.</w:t>
            </w:r>
          </w:p>
        </w:tc>
      </w:tr>
      <w:tr w:rsidR="00F0236A" w:rsidRPr="0042750D" w14:paraId="6EE4F79F" w14:textId="77777777" w:rsidTr="00C641B4">
        <w:trPr>
          <w:cantSplit/>
          <w:jc w:val="center"/>
        </w:trPr>
        <w:tc>
          <w:tcPr>
            <w:tcW w:w="908" w:type="dxa"/>
            <w:vMerge w:val="restart"/>
            <w:tcBorders>
              <w:top w:val="single" w:sz="12" w:space="0" w:color="auto"/>
            </w:tcBorders>
            <w:shd w:val="clear" w:color="auto" w:fill="auto"/>
          </w:tcPr>
          <w:p w14:paraId="120F002E" w14:textId="20E77369" w:rsidR="00F0236A" w:rsidRPr="0042750D" w:rsidRDefault="00C04EBA" w:rsidP="008128E2">
            <w:pPr>
              <w:pStyle w:val="Tabletext"/>
              <w:keepNext/>
              <w:keepLines/>
              <w:rPr>
                <w:b/>
                <w:bCs/>
                <w:sz w:val="24"/>
                <w:szCs w:val="24"/>
              </w:rPr>
            </w:pPr>
            <w:r w:rsidRPr="0042750D">
              <w:rPr>
                <w:b/>
                <w:bCs/>
                <w:sz w:val="24"/>
                <w:szCs w:val="24"/>
              </w:rPr>
              <w:t>136</w:t>
            </w:r>
            <w:r w:rsidR="00F0236A" w:rsidRPr="0042750D">
              <w:rPr>
                <w:b/>
                <w:bCs/>
                <w:sz w:val="24"/>
                <w:szCs w:val="24"/>
              </w:rPr>
              <w:t>-02</w:t>
            </w:r>
          </w:p>
        </w:tc>
        <w:tc>
          <w:tcPr>
            <w:tcW w:w="4895" w:type="dxa"/>
            <w:tcBorders>
              <w:top w:val="single" w:sz="12" w:space="0" w:color="auto"/>
            </w:tcBorders>
            <w:shd w:val="clear" w:color="auto" w:fill="auto"/>
            <w:hideMark/>
          </w:tcPr>
          <w:p w14:paraId="6486B0B0" w14:textId="6DAD8F00" w:rsidR="00F0236A" w:rsidRPr="0042750D" w:rsidRDefault="00C04EBA" w:rsidP="00C04EBA">
            <w:pPr>
              <w:pStyle w:val="Tabletext"/>
              <w:rPr>
                <w:b/>
                <w:bCs/>
                <w:sz w:val="24"/>
                <w:szCs w:val="24"/>
                <w:lang w:eastAsia="ko-KR"/>
              </w:rPr>
            </w:pPr>
            <w:r w:rsidRPr="0042750D">
              <w:rPr>
                <w:b/>
                <w:bCs/>
                <w:sz w:val="24"/>
                <w:szCs w:val="24"/>
                <w:lang w:eastAsia="ko-KR"/>
              </w:rPr>
              <w:t>TSBDir to conduct training programmes, workshops and capacity building</w:t>
            </w:r>
            <w:r w:rsidR="00C641B4" w:rsidRPr="0042750D">
              <w:rPr>
                <w:b/>
                <w:bCs/>
                <w:sz w:val="24"/>
                <w:szCs w:val="24"/>
                <w:lang w:eastAsia="ko-KR"/>
              </w:rPr>
              <w:t xml:space="preserve"> </w:t>
            </w:r>
            <w:r w:rsidR="00C641B4" w:rsidRPr="0042750D">
              <w:rPr>
                <w:b/>
                <w:bCs/>
                <w:sz w:val="24"/>
                <w:szCs w:val="24"/>
              </w:rPr>
              <w:t>(</w:t>
            </w:r>
            <w:r w:rsidR="00C641B4" w:rsidRPr="0042750D">
              <w:rPr>
                <w:b/>
                <w:bCs/>
                <w:i/>
                <w:sz w:val="24"/>
                <w:szCs w:val="24"/>
              </w:rPr>
              <w:t>instructs 2</w:t>
            </w:r>
            <w:r w:rsidR="00C641B4" w:rsidRPr="0042750D">
              <w:rPr>
                <w:b/>
                <w:bCs/>
                <w:sz w:val="24"/>
                <w:szCs w:val="24"/>
              </w:rPr>
              <w:t>)</w:t>
            </w:r>
            <w:r w:rsidRPr="0042750D">
              <w:rPr>
                <w:b/>
                <w:bCs/>
                <w:sz w:val="24"/>
                <w:szCs w:val="24"/>
                <w:lang w:eastAsia="ko-KR"/>
              </w:rPr>
              <w:t>.</w:t>
            </w:r>
          </w:p>
        </w:tc>
        <w:tc>
          <w:tcPr>
            <w:tcW w:w="1548" w:type="dxa"/>
            <w:tcBorders>
              <w:top w:val="single" w:sz="12" w:space="0" w:color="auto"/>
            </w:tcBorders>
            <w:shd w:val="clear" w:color="auto" w:fill="auto"/>
            <w:vAlign w:val="center"/>
            <w:hideMark/>
          </w:tcPr>
          <w:p w14:paraId="1E3530D2"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5" w:type="dxa"/>
            <w:tcBorders>
              <w:top w:val="single" w:sz="12" w:space="0" w:color="auto"/>
            </w:tcBorders>
            <w:shd w:val="clear" w:color="auto" w:fill="auto"/>
            <w:vAlign w:val="center"/>
          </w:tcPr>
          <w:p w14:paraId="799EBCCE" w14:textId="1C20BB3F" w:rsidR="00F0236A" w:rsidRPr="0042750D" w:rsidRDefault="006170AA" w:rsidP="00DF36E1">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59BE26D7" w14:textId="77777777" w:rsidR="00F0236A" w:rsidRPr="0042750D" w:rsidRDefault="00F0236A" w:rsidP="00DF36E1">
            <w:pPr>
              <w:pStyle w:val="Tabletext"/>
              <w:jc w:val="center"/>
              <w:rPr>
                <w:b/>
                <w:bCs/>
                <w:sz w:val="24"/>
                <w:szCs w:val="24"/>
              </w:rPr>
            </w:pPr>
          </w:p>
        </w:tc>
      </w:tr>
      <w:tr w:rsidR="00F0236A" w:rsidRPr="0042750D" w14:paraId="4E496B24" w14:textId="77777777" w:rsidTr="00E44E48">
        <w:trPr>
          <w:cantSplit/>
          <w:jc w:val="center"/>
        </w:trPr>
        <w:tc>
          <w:tcPr>
            <w:tcW w:w="908" w:type="dxa"/>
            <w:vMerge/>
            <w:shd w:val="clear" w:color="auto" w:fill="auto"/>
          </w:tcPr>
          <w:p w14:paraId="60FC6FB8" w14:textId="77777777" w:rsidR="00F0236A" w:rsidRPr="0042750D" w:rsidRDefault="00F0236A" w:rsidP="00DF36E1">
            <w:pPr>
              <w:pStyle w:val="Tabletext"/>
              <w:rPr>
                <w:sz w:val="24"/>
                <w:szCs w:val="24"/>
              </w:rPr>
            </w:pPr>
          </w:p>
        </w:tc>
        <w:tc>
          <w:tcPr>
            <w:tcW w:w="8924" w:type="dxa"/>
            <w:gridSpan w:val="4"/>
            <w:shd w:val="clear" w:color="auto" w:fill="auto"/>
          </w:tcPr>
          <w:p w14:paraId="5453BEEA" w14:textId="77777777" w:rsidR="0098379C" w:rsidRPr="0042750D" w:rsidRDefault="0006366E" w:rsidP="00456CCC">
            <w:pPr>
              <w:spacing w:before="40"/>
              <w:rPr>
                <w:szCs w:val="22"/>
              </w:rPr>
            </w:pPr>
            <w:r w:rsidRPr="0042750D">
              <w:rPr>
                <w:szCs w:val="22"/>
              </w:rPr>
              <w:t>See 136-01</w:t>
            </w:r>
            <w:r w:rsidR="00227DD3" w:rsidRPr="0042750D">
              <w:rPr>
                <w:szCs w:val="22"/>
              </w:rPr>
              <w:t>.</w:t>
            </w:r>
          </w:p>
          <w:p w14:paraId="4F56C17B" w14:textId="614FFAC2" w:rsidR="00682681" w:rsidRPr="0042750D" w:rsidRDefault="0098379C" w:rsidP="0098379C">
            <w:pPr>
              <w:rPr>
                <w:rFonts w:eastAsiaTheme="minorHAnsi"/>
                <w:color w:val="1F497D"/>
                <w:szCs w:val="22"/>
                <w:lang w:eastAsia="en-GB"/>
              </w:rPr>
            </w:pPr>
            <w:r w:rsidRPr="0042750D">
              <w:rPr>
                <w:szCs w:val="22"/>
              </w:rPr>
              <w:t>Note: TSB does not have the complete control of the activities of ITU-T since it is largely contribution driven.</w:t>
            </w:r>
          </w:p>
        </w:tc>
      </w:tr>
      <w:tr w:rsidR="00F0236A" w:rsidRPr="0042750D" w14:paraId="092D1DEB" w14:textId="77777777" w:rsidTr="00C641B4">
        <w:trPr>
          <w:cantSplit/>
          <w:jc w:val="center"/>
        </w:trPr>
        <w:tc>
          <w:tcPr>
            <w:tcW w:w="908" w:type="dxa"/>
            <w:vMerge w:val="restart"/>
            <w:tcBorders>
              <w:top w:val="single" w:sz="12" w:space="0" w:color="auto"/>
            </w:tcBorders>
            <w:shd w:val="clear" w:color="auto" w:fill="auto"/>
          </w:tcPr>
          <w:p w14:paraId="71A02DA6" w14:textId="6E834913" w:rsidR="00F0236A" w:rsidRPr="0042750D" w:rsidRDefault="00C04EBA" w:rsidP="00C04EBA">
            <w:pPr>
              <w:pStyle w:val="Tabletext"/>
              <w:keepNext/>
              <w:keepLines/>
              <w:rPr>
                <w:b/>
                <w:bCs/>
                <w:sz w:val="24"/>
                <w:szCs w:val="24"/>
              </w:rPr>
            </w:pPr>
            <w:r w:rsidRPr="0042750D">
              <w:rPr>
                <w:b/>
                <w:bCs/>
                <w:sz w:val="24"/>
                <w:szCs w:val="24"/>
              </w:rPr>
              <w:t>136</w:t>
            </w:r>
            <w:r w:rsidR="00F0236A" w:rsidRPr="0042750D">
              <w:rPr>
                <w:b/>
                <w:bCs/>
                <w:sz w:val="24"/>
                <w:szCs w:val="24"/>
              </w:rPr>
              <w:t>-0</w:t>
            </w:r>
            <w:r w:rsidRPr="0042750D">
              <w:rPr>
                <w:b/>
                <w:bCs/>
                <w:sz w:val="24"/>
                <w:szCs w:val="24"/>
              </w:rPr>
              <w:t>3</w:t>
            </w:r>
          </w:p>
        </w:tc>
        <w:tc>
          <w:tcPr>
            <w:tcW w:w="4895" w:type="dxa"/>
            <w:tcBorders>
              <w:top w:val="single" w:sz="12" w:space="0" w:color="auto"/>
            </w:tcBorders>
            <w:shd w:val="clear" w:color="auto" w:fill="auto"/>
          </w:tcPr>
          <w:p w14:paraId="290436E3" w14:textId="79F9B9A5" w:rsidR="00F0236A" w:rsidRPr="0042750D" w:rsidRDefault="00C04EBA" w:rsidP="00C04EBA">
            <w:pPr>
              <w:pStyle w:val="Tabletext"/>
              <w:rPr>
                <w:b/>
                <w:bCs/>
                <w:sz w:val="24"/>
                <w:szCs w:val="24"/>
                <w:lang w:eastAsia="ko-KR"/>
              </w:rPr>
            </w:pPr>
            <w:r w:rsidRPr="0042750D">
              <w:rPr>
                <w:b/>
                <w:bCs/>
                <w:sz w:val="24"/>
                <w:szCs w:val="24"/>
                <w:lang w:eastAsia="ko-KR"/>
              </w:rPr>
              <w:t>TSBDir to support the development of robust, comprehensive, all-hazards emergency and disaster prediction, detection, early-warning, mitigation, response, relief and recovery systems</w:t>
            </w:r>
            <w:r w:rsidR="00C641B4" w:rsidRPr="0042750D">
              <w:rPr>
                <w:b/>
                <w:bCs/>
                <w:sz w:val="24"/>
                <w:szCs w:val="24"/>
                <w:lang w:eastAsia="ko-KR"/>
              </w:rPr>
              <w:t xml:space="preserve"> </w:t>
            </w:r>
            <w:r w:rsidR="00C641B4" w:rsidRPr="0042750D">
              <w:rPr>
                <w:b/>
                <w:bCs/>
                <w:sz w:val="24"/>
                <w:szCs w:val="24"/>
              </w:rPr>
              <w:t>(</w:t>
            </w:r>
            <w:r w:rsidR="00C641B4" w:rsidRPr="0042750D">
              <w:rPr>
                <w:b/>
                <w:bCs/>
                <w:i/>
                <w:sz w:val="24"/>
                <w:szCs w:val="24"/>
              </w:rPr>
              <w:t>instructs 3</w:t>
            </w:r>
            <w:r w:rsidR="00C641B4" w:rsidRPr="0042750D">
              <w:rPr>
                <w:b/>
                <w:bCs/>
                <w:sz w:val="24"/>
                <w:szCs w:val="24"/>
              </w:rPr>
              <w:t>)</w:t>
            </w:r>
            <w:r w:rsidRPr="0042750D">
              <w:rPr>
                <w:b/>
                <w:bCs/>
                <w:sz w:val="24"/>
                <w:szCs w:val="24"/>
                <w:lang w:eastAsia="ko-KR"/>
              </w:rPr>
              <w:t>.</w:t>
            </w:r>
          </w:p>
        </w:tc>
        <w:tc>
          <w:tcPr>
            <w:tcW w:w="1548" w:type="dxa"/>
            <w:tcBorders>
              <w:top w:val="single" w:sz="12" w:space="0" w:color="auto"/>
            </w:tcBorders>
            <w:shd w:val="clear" w:color="auto" w:fill="auto"/>
            <w:vAlign w:val="center"/>
          </w:tcPr>
          <w:p w14:paraId="21BA666D"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5" w:type="dxa"/>
            <w:tcBorders>
              <w:top w:val="single" w:sz="12" w:space="0" w:color="auto"/>
            </w:tcBorders>
            <w:shd w:val="clear" w:color="auto" w:fill="auto"/>
            <w:vAlign w:val="center"/>
          </w:tcPr>
          <w:p w14:paraId="06F833C6" w14:textId="0BF85CEA" w:rsidR="00F0236A" w:rsidRPr="0042750D" w:rsidRDefault="006170AA" w:rsidP="00DF36E1">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7AE6F40A" w14:textId="77777777" w:rsidR="00F0236A" w:rsidRPr="0042750D" w:rsidRDefault="00F0236A" w:rsidP="00DF36E1">
            <w:pPr>
              <w:pStyle w:val="Tabletext"/>
              <w:jc w:val="center"/>
              <w:rPr>
                <w:b/>
                <w:bCs/>
                <w:sz w:val="24"/>
                <w:szCs w:val="24"/>
              </w:rPr>
            </w:pPr>
          </w:p>
        </w:tc>
      </w:tr>
      <w:tr w:rsidR="00F0236A" w:rsidRPr="0042750D" w14:paraId="31B73442" w14:textId="77777777" w:rsidTr="00E44E48">
        <w:trPr>
          <w:cantSplit/>
          <w:jc w:val="center"/>
        </w:trPr>
        <w:tc>
          <w:tcPr>
            <w:tcW w:w="908" w:type="dxa"/>
            <w:vMerge/>
            <w:tcBorders>
              <w:bottom w:val="single" w:sz="12" w:space="0" w:color="auto"/>
            </w:tcBorders>
            <w:shd w:val="clear" w:color="auto" w:fill="auto"/>
          </w:tcPr>
          <w:p w14:paraId="22E184A2" w14:textId="77777777" w:rsidR="00F0236A" w:rsidRPr="0042750D" w:rsidRDefault="00F0236A" w:rsidP="00DF36E1">
            <w:pPr>
              <w:pStyle w:val="Tabletext"/>
              <w:rPr>
                <w:sz w:val="24"/>
                <w:szCs w:val="24"/>
              </w:rPr>
            </w:pPr>
          </w:p>
        </w:tc>
        <w:tc>
          <w:tcPr>
            <w:tcW w:w="8924" w:type="dxa"/>
            <w:gridSpan w:val="4"/>
            <w:tcBorders>
              <w:bottom w:val="single" w:sz="12" w:space="0" w:color="auto"/>
            </w:tcBorders>
            <w:shd w:val="clear" w:color="auto" w:fill="auto"/>
          </w:tcPr>
          <w:p w14:paraId="0425B3EF" w14:textId="77777777" w:rsidR="00F0236A" w:rsidRPr="0042750D" w:rsidRDefault="0006366E" w:rsidP="00DF36E1">
            <w:pPr>
              <w:pStyle w:val="Tabletext"/>
              <w:rPr>
                <w:szCs w:val="22"/>
              </w:rPr>
            </w:pPr>
            <w:r w:rsidRPr="0042750D">
              <w:rPr>
                <w:szCs w:val="22"/>
              </w:rPr>
              <w:t>See 136-01</w:t>
            </w:r>
            <w:r w:rsidR="004D3926" w:rsidRPr="0042750D">
              <w:rPr>
                <w:szCs w:val="22"/>
              </w:rPr>
              <w:t>.</w:t>
            </w:r>
          </w:p>
          <w:p w14:paraId="54E35EC3" w14:textId="78B898F7" w:rsidR="00BB01C2" w:rsidRPr="0042750D" w:rsidRDefault="00BB01C2" w:rsidP="00DF36E1">
            <w:pPr>
              <w:pStyle w:val="Tabletext"/>
              <w:rPr>
                <w:sz w:val="24"/>
                <w:szCs w:val="24"/>
              </w:rPr>
            </w:pPr>
            <w:r w:rsidRPr="0042750D">
              <w:rPr>
                <w:szCs w:val="22"/>
              </w:rPr>
              <w:t>Note: TSB does not have the complete control of the activities of ITU-T since it is largely contribution driven.</w:t>
            </w:r>
          </w:p>
        </w:tc>
      </w:tr>
      <w:tr w:rsidR="00F0236A" w:rsidRPr="0042750D" w14:paraId="2162A821" w14:textId="77777777" w:rsidTr="004D3926">
        <w:trPr>
          <w:jc w:val="center"/>
        </w:trPr>
        <w:tc>
          <w:tcPr>
            <w:tcW w:w="908" w:type="dxa"/>
            <w:vMerge w:val="restart"/>
            <w:tcBorders>
              <w:top w:val="single" w:sz="12" w:space="0" w:color="auto"/>
            </w:tcBorders>
            <w:shd w:val="clear" w:color="auto" w:fill="auto"/>
          </w:tcPr>
          <w:p w14:paraId="5C5CA483" w14:textId="0127C52A" w:rsidR="00F0236A" w:rsidRPr="0042750D" w:rsidRDefault="00C04EBA" w:rsidP="008C7A96">
            <w:pPr>
              <w:pStyle w:val="Tabletext"/>
              <w:rPr>
                <w:b/>
                <w:bCs/>
                <w:sz w:val="24"/>
                <w:szCs w:val="24"/>
              </w:rPr>
            </w:pPr>
            <w:r w:rsidRPr="0042750D">
              <w:rPr>
                <w:b/>
                <w:bCs/>
                <w:sz w:val="24"/>
                <w:szCs w:val="24"/>
              </w:rPr>
              <w:t>136-04</w:t>
            </w:r>
          </w:p>
        </w:tc>
        <w:tc>
          <w:tcPr>
            <w:tcW w:w="4895" w:type="dxa"/>
            <w:tcBorders>
              <w:top w:val="single" w:sz="12" w:space="0" w:color="auto"/>
            </w:tcBorders>
            <w:shd w:val="clear" w:color="auto" w:fill="auto"/>
          </w:tcPr>
          <w:p w14:paraId="69201BF1" w14:textId="344B505B" w:rsidR="00F0236A" w:rsidRPr="0042750D" w:rsidRDefault="00C04EBA" w:rsidP="008C7A96">
            <w:pPr>
              <w:pStyle w:val="Tabletext"/>
              <w:rPr>
                <w:b/>
                <w:bCs/>
                <w:sz w:val="24"/>
                <w:szCs w:val="24"/>
                <w:lang w:eastAsia="ko-KR"/>
              </w:rPr>
            </w:pPr>
            <w:r w:rsidRPr="0042750D">
              <w:rPr>
                <w:b/>
                <w:bCs/>
                <w:sz w:val="24"/>
                <w:szCs w:val="24"/>
                <w:lang w:eastAsia="ko-KR"/>
              </w:rPr>
              <w:t>TSBDir to promote implementation by appropriate alerting authorities of the international standard for all-media public warning, in concert with ITU guidelines developed through the relevant ITU</w:t>
            </w:r>
            <w:r w:rsidR="00BA6F21" w:rsidRPr="0042750D">
              <w:rPr>
                <w:b/>
                <w:bCs/>
                <w:sz w:val="24"/>
                <w:szCs w:val="24"/>
                <w:lang w:eastAsia="ko-KR"/>
              </w:rPr>
              <w:t>-T</w:t>
            </w:r>
            <w:r w:rsidRPr="0042750D">
              <w:rPr>
                <w:b/>
                <w:bCs/>
                <w:sz w:val="24"/>
                <w:szCs w:val="24"/>
                <w:lang w:eastAsia="ko-KR"/>
              </w:rPr>
              <w:t xml:space="preserve"> study groups for application to all disaster and emergency situations</w:t>
            </w:r>
            <w:r w:rsidR="00C641B4" w:rsidRPr="0042750D">
              <w:rPr>
                <w:b/>
                <w:bCs/>
                <w:sz w:val="24"/>
                <w:szCs w:val="24"/>
                <w:lang w:eastAsia="ko-KR"/>
              </w:rPr>
              <w:t xml:space="preserve"> </w:t>
            </w:r>
            <w:r w:rsidR="00C641B4" w:rsidRPr="0042750D">
              <w:rPr>
                <w:b/>
                <w:bCs/>
                <w:sz w:val="24"/>
                <w:szCs w:val="24"/>
              </w:rPr>
              <w:t>(</w:t>
            </w:r>
            <w:r w:rsidR="00C641B4" w:rsidRPr="0042750D">
              <w:rPr>
                <w:b/>
                <w:bCs/>
                <w:i/>
                <w:sz w:val="24"/>
                <w:szCs w:val="24"/>
              </w:rPr>
              <w:t>instructs 4</w:t>
            </w:r>
            <w:r w:rsidR="00C641B4" w:rsidRPr="0042750D">
              <w:rPr>
                <w:b/>
                <w:bCs/>
                <w:sz w:val="24"/>
                <w:szCs w:val="24"/>
              </w:rPr>
              <w:t>)</w:t>
            </w:r>
            <w:r w:rsidRPr="0042750D">
              <w:rPr>
                <w:b/>
                <w:bCs/>
                <w:sz w:val="24"/>
                <w:szCs w:val="24"/>
                <w:lang w:eastAsia="ko-KR"/>
              </w:rPr>
              <w:t>.</w:t>
            </w:r>
          </w:p>
        </w:tc>
        <w:tc>
          <w:tcPr>
            <w:tcW w:w="1548" w:type="dxa"/>
            <w:tcBorders>
              <w:top w:val="single" w:sz="12" w:space="0" w:color="auto"/>
            </w:tcBorders>
            <w:shd w:val="clear" w:color="auto" w:fill="auto"/>
            <w:vAlign w:val="center"/>
          </w:tcPr>
          <w:p w14:paraId="0FDCCB0A" w14:textId="77777777" w:rsidR="00F0236A" w:rsidRPr="0042750D" w:rsidRDefault="00F0236A" w:rsidP="008C7A96">
            <w:pPr>
              <w:pStyle w:val="Tabletext"/>
              <w:jc w:val="center"/>
              <w:rPr>
                <w:b/>
                <w:bCs/>
                <w:sz w:val="24"/>
                <w:szCs w:val="24"/>
              </w:rPr>
            </w:pPr>
            <w:r w:rsidRPr="0042750D">
              <w:rPr>
                <w:b/>
                <w:bCs/>
                <w:sz w:val="24"/>
                <w:szCs w:val="24"/>
              </w:rPr>
              <w:t>Ongoing</w:t>
            </w:r>
          </w:p>
        </w:tc>
        <w:tc>
          <w:tcPr>
            <w:tcW w:w="1145" w:type="dxa"/>
            <w:tcBorders>
              <w:top w:val="single" w:sz="12" w:space="0" w:color="auto"/>
            </w:tcBorders>
            <w:shd w:val="clear" w:color="auto" w:fill="auto"/>
            <w:vAlign w:val="center"/>
          </w:tcPr>
          <w:p w14:paraId="2465F3FC" w14:textId="3D427D09" w:rsidR="00F0236A" w:rsidRPr="0042750D" w:rsidRDefault="006170AA" w:rsidP="008C7A96">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764DCA9C" w14:textId="77777777" w:rsidR="00F0236A" w:rsidRPr="0042750D" w:rsidRDefault="00F0236A" w:rsidP="008C7A96">
            <w:pPr>
              <w:pStyle w:val="Tabletext"/>
              <w:jc w:val="center"/>
              <w:rPr>
                <w:b/>
                <w:bCs/>
                <w:sz w:val="24"/>
                <w:szCs w:val="24"/>
              </w:rPr>
            </w:pPr>
          </w:p>
        </w:tc>
      </w:tr>
      <w:tr w:rsidR="00F0236A" w:rsidRPr="0042750D" w14:paraId="071B055F" w14:textId="77777777" w:rsidTr="004D3926">
        <w:trPr>
          <w:jc w:val="center"/>
        </w:trPr>
        <w:tc>
          <w:tcPr>
            <w:tcW w:w="908" w:type="dxa"/>
            <w:vMerge/>
            <w:shd w:val="clear" w:color="auto" w:fill="auto"/>
          </w:tcPr>
          <w:p w14:paraId="60D8AB5D" w14:textId="77777777" w:rsidR="00F0236A" w:rsidRPr="0042750D" w:rsidRDefault="00F0236A" w:rsidP="008C7A96">
            <w:pPr>
              <w:pStyle w:val="Tabletext"/>
              <w:rPr>
                <w:sz w:val="24"/>
                <w:szCs w:val="24"/>
              </w:rPr>
            </w:pPr>
          </w:p>
        </w:tc>
        <w:tc>
          <w:tcPr>
            <w:tcW w:w="8924" w:type="dxa"/>
            <w:gridSpan w:val="4"/>
            <w:shd w:val="clear" w:color="auto" w:fill="auto"/>
          </w:tcPr>
          <w:p w14:paraId="27C31A49" w14:textId="77777777" w:rsidR="00F0236A" w:rsidRPr="0042750D" w:rsidRDefault="0006366E" w:rsidP="008C7A96">
            <w:pPr>
              <w:pStyle w:val="Tabletext"/>
              <w:rPr>
                <w:szCs w:val="22"/>
              </w:rPr>
            </w:pPr>
            <w:r w:rsidRPr="0042750D">
              <w:rPr>
                <w:szCs w:val="22"/>
              </w:rPr>
              <w:t>See 136-01</w:t>
            </w:r>
            <w:r w:rsidR="004D3926" w:rsidRPr="0042750D">
              <w:rPr>
                <w:szCs w:val="22"/>
              </w:rPr>
              <w:t>.</w:t>
            </w:r>
          </w:p>
          <w:p w14:paraId="73330385" w14:textId="1D467A3F" w:rsidR="00BB01C2" w:rsidRPr="0042750D" w:rsidRDefault="00BB01C2" w:rsidP="008C7A96">
            <w:pPr>
              <w:pStyle w:val="Tabletext"/>
              <w:rPr>
                <w:szCs w:val="22"/>
              </w:rPr>
            </w:pPr>
            <w:r w:rsidRPr="0042750D">
              <w:rPr>
                <w:szCs w:val="22"/>
              </w:rPr>
              <w:t>Note: TSB does not have the complete control of the activities of ITU-T since it is largely contribution driven.</w:t>
            </w:r>
          </w:p>
        </w:tc>
      </w:tr>
      <w:tr w:rsidR="00F0236A" w:rsidRPr="0042750D" w14:paraId="7E4864D4" w14:textId="77777777" w:rsidTr="00C641B4">
        <w:trPr>
          <w:cantSplit/>
          <w:jc w:val="center"/>
        </w:trPr>
        <w:tc>
          <w:tcPr>
            <w:tcW w:w="908" w:type="dxa"/>
            <w:vMerge w:val="restart"/>
            <w:tcBorders>
              <w:top w:val="single" w:sz="12" w:space="0" w:color="auto"/>
            </w:tcBorders>
            <w:shd w:val="clear" w:color="auto" w:fill="auto"/>
          </w:tcPr>
          <w:p w14:paraId="32A9D153" w14:textId="772A5345" w:rsidR="00F0236A" w:rsidRPr="0042750D" w:rsidRDefault="00C04EBA" w:rsidP="00C04EBA">
            <w:pPr>
              <w:pStyle w:val="Tabletext"/>
              <w:keepNext/>
              <w:keepLines/>
              <w:rPr>
                <w:b/>
                <w:bCs/>
                <w:sz w:val="24"/>
                <w:szCs w:val="24"/>
              </w:rPr>
            </w:pPr>
            <w:r w:rsidRPr="0042750D">
              <w:rPr>
                <w:b/>
                <w:bCs/>
                <w:sz w:val="24"/>
                <w:szCs w:val="24"/>
              </w:rPr>
              <w:t>136</w:t>
            </w:r>
            <w:r w:rsidR="00F0236A" w:rsidRPr="0042750D">
              <w:rPr>
                <w:b/>
                <w:bCs/>
                <w:sz w:val="24"/>
                <w:szCs w:val="24"/>
              </w:rPr>
              <w:t>-0</w:t>
            </w:r>
            <w:r w:rsidRPr="0042750D">
              <w:rPr>
                <w:b/>
                <w:bCs/>
                <w:sz w:val="24"/>
                <w:szCs w:val="24"/>
              </w:rPr>
              <w:t>5</w:t>
            </w:r>
          </w:p>
        </w:tc>
        <w:tc>
          <w:tcPr>
            <w:tcW w:w="4895" w:type="dxa"/>
            <w:tcBorders>
              <w:top w:val="single" w:sz="12" w:space="0" w:color="auto"/>
            </w:tcBorders>
            <w:shd w:val="clear" w:color="auto" w:fill="auto"/>
          </w:tcPr>
          <w:p w14:paraId="37D01F64" w14:textId="0EB9C78E" w:rsidR="00F0236A" w:rsidRPr="0042750D" w:rsidRDefault="00C04EBA" w:rsidP="00C04EBA">
            <w:pPr>
              <w:pStyle w:val="Tabletext"/>
              <w:rPr>
                <w:b/>
                <w:bCs/>
                <w:sz w:val="24"/>
                <w:szCs w:val="24"/>
                <w:lang w:eastAsia="ko-KR"/>
              </w:rPr>
            </w:pPr>
            <w:r w:rsidRPr="0042750D">
              <w:rPr>
                <w:b/>
                <w:bCs/>
                <w:sz w:val="24"/>
                <w:szCs w:val="24"/>
                <w:lang w:eastAsia="ko-KR"/>
              </w:rPr>
              <w:t>TSBDir 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t>
            </w:r>
            <w:r w:rsidR="00C641B4" w:rsidRPr="0042750D">
              <w:rPr>
                <w:b/>
                <w:bCs/>
                <w:sz w:val="24"/>
                <w:szCs w:val="24"/>
                <w:lang w:eastAsia="ko-KR"/>
              </w:rPr>
              <w:t xml:space="preserve"> </w:t>
            </w:r>
            <w:r w:rsidR="00C641B4" w:rsidRPr="0042750D">
              <w:rPr>
                <w:b/>
                <w:bCs/>
                <w:sz w:val="24"/>
                <w:szCs w:val="24"/>
              </w:rPr>
              <w:t>(</w:t>
            </w:r>
            <w:r w:rsidR="00C641B4" w:rsidRPr="0042750D">
              <w:rPr>
                <w:b/>
                <w:bCs/>
                <w:i/>
                <w:sz w:val="24"/>
                <w:szCs w:val="24"/>
              </w:rPr>
              <w:t>instructs 5</w:t>
            </w:r>
            <w:r w:rsidR="00C641B4" w:rsidRPr="0042750D">
              <w:rPr>
                <w:b/>
                <w:bCs/>
                <w:sz w:val="24"/>
                <w:szCs w:val="24"/>
              </w:rPr>
              <w:t>)</w:t>
            </w:r>
            <w:r w:rsidRPr="0042750D">
              <w:rPr>
                <w:b/>
                <w:bCs/>
                <w:sz w:val="24"/>
                <w:szCs w:val="24"/>
                <w:lang w:eastAsia="ko-KR"/>
              </w:rPr>
              <w:t>.</w:t>
            </w:r>
          </w:p>
        </w:tc>
        <w:tc>
          <w:tcPr>
            <w:tcW w:w="1548" w:type="dxa"/>
            <w:tcBorders>
              <w:top w:val="single" w:sz="12" w:space="0" w:color="auto"/>
            </w:tcBorders>
            <w:shd w:val="clear" w:color="auto" w:fill="auto"/>
            <w:vAlign w:val="center"/>
          </w:tcPr>
          <w:p w14:paraId="465108AF"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5" w:type="dxa"/>
            <w:tcBorders>
              <w:top w:val="single" w:sz="12" w:space="0" w:color="auto"/>
            </w:tcBorders>
            <w:shd w:val="clear" w:color="auto" w:fill="auto"/>
            <w:vAlign w:val="center"/>
          </w:tcPr>
          <w:p w14:paraId="2DC6F4BF" w14:textId="30DE730E" w:rsidR="00F0236A" w:rsidRPr="0042750D" w:rsidRDefault="004D3926" w:rsidP="00DF36E1">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44A80EB1" w14:textId="77777777" w:rsidR="00F0236A" w:rsidRPr="0042750D" w:rsidRDefault="00F0236A" w:rsidP="00DF36E1">
            <w:pPr>
              <w:pStyle w:val="Tabletext"/>
              <w:jc w:val="center"/>
              <w:rPr>
                <w:b/>
                <w:bCs/>
                <w:sz w:val="24"/>
                <w:szCs w:val="24"/>
              </w:rPr>
            </w:pPr>
          </w:p>
        </w:tc>
      </w:tr>
      <w:tr w:rsidR="00F0236A" w:rsidRPr="0042750D" w14:paraId="7FB62B55" w14:textId="77777777" w:rsidTr="00E44E48">
        <w:trPr>
          <w:cantSplit/>
          <w:jc w:val="center"/>
        </w:trPr>
        <w:tc>
          <w:tcPr>
            <w:tcW w:w="908" w:type="dxa"/>
            <w:vMerge/>
            <w:tcBorders>
              <w:bottom w:val="single" w:sz="12" w:space="0" w:color="auto"/>
            </w:tcBorders>
            <w:shd w:val="clear" w:color="auto" w:fill="auto"/>
          </w:tcPr>
          <w:p w14:paraId="3A5112A0" w14:textId="77777777" w:rsidR="00F0236A" w:rsidRPr="0042750D" w:rsidRDefault="00F0236A" w:rsidP="00DF36E1">
            <w:pPr>
              <w:pStyle w:val="Tabletext"/>
              <w:rPr>
                <w:sz w:val="24"/>
                <w:szCs w:val="24"/>
              </w:rPr>
            </w:pPr>
          </w:p>
        </w:tc>
        <w:tc>
          <w:tcPr>
            <w:tcW w:w="8924" w:type="dxa"/>
            <w:gridSpan w:val="4"/>
            <w:tcBorders>
              <w:bottom w:val="single" w:sz="12" w:space="0" w:color="auto"/>
            </w:tcBorders>
            <w:shd w:val="clear" w:color="auto" w:fill="auto"/>
          </w:tcPr>
          <w:p w14:paraId="27816429" w14:textId="77777777" w:rsidR="00F0236A" w:rsidRPr="0042750D" w:rsidRDefault="0006366E" w:rsidP="00DF36E1">
            <w:pPr>
              <w:pStyle w:val="Tabletext"/>
              <w:rPr>
                <w:szCs w:val="22"/>
              </w:rPr>
            </w:pPr>
            <w:r w:rsidRPr="0042750D">
              <w:rPr>
                <w:szCs w:val="22"/>
              </w:rPr>
              <w:t>See 136-01</w:t>
            </w:r>
            <w:r w:rsidR="004D3926" w:rsidRPr="0042750D">
              <w:rPr>
                <w:szCs w:val="22"/>
              </w:rPr>
              <w:t>.</w:t>
            </w:r>
          </w:p>
          <w:p w14:paraId="53445678" w14:textId="564B3FE1" w:rsidR="00BB01C2" w:rsidRPr="0042750D" w:rsidRDefault="00BB01C2" w:rsidP="00DF36E1">
            <w:pPr>
              <w:pStyle w:val="Tabletext"/>
              <w:rPr>
                <w:sz w:val="24"/>
                <w:szCs w:val="24"/>
              </w:rPr>
            </w:pPr>
            <w:r w:rsidRPr="0042750D">
              <w:rPr>
                <w:szCs w:val="22"/>
              </w:rPr>
              <w:t>Note: TSB does not have the complete control of the activities of ITU-T since it is largely contribution driven.</w:t>
            </w:r>
          </w:p>
        </w:tc>
      </w:tr>
      <w:tr w:rsidR="00F0236A" w:rsidRPr="0042750D" w14:paraId="068C66BB" w14:textId="77777777" w:rsidTr="00BB01C2">
        <w:trPr>
          <w:jc w:val="center"/>
        </w:trPr>
        <w:tc>
          <w:tcPr>
            <w:tcW w:w="908" w:type="dxa"/>
            <w:vMerge w:val="restart"/>
            <w:tcBorders>
              <w:top w:val="single" w:sz="12" w:space="0" w:color="auto"/>
            </w:tcBorders>
            <w:shd w:val="clear" w:color="auto" w:fill="auto"/>
          </w:tcPr>
          <w:p w14:paraId="0AA951BF" w14:textId="50E864AE" w:rsidR="00F0236A" w:rsidRPr="0042750D" w:rsidRDefault="00C04EBA" w:rsidP="00C04EBA">
            <w:pPr>
              <w:pStyle w:val="Tabletext"/>
              <w:rPr>
                <w:b/>
                <w:bCs/>
                <w:sz w:val="24"/>
                <w:szCs w:val="24"/>
              </w:rPr>
            </w:pPr>
            <w:r w:rsidRPr="0042750D">
              <w:rPr>
                <w:b/>
                <w:bCs/>
                <w:sz w:val="24"/>
                <w:szCs w:val="24"/>
              </w:rPr>
              <w:t>136</w:t>
            </w:r>
            <w:r w:rsidR="00F0236A" w:rsidRPr="0042750D">
              <w:rPr>
                <w:b/>
                <w:bCs/>
                <w:sz w:val="24"/>
                <w:szCs w:val="24"/>
              </w:rPr>
              <w:t>-0</w:t>
            </w:r>
            <w:r w:rsidRPr="0042750D">
              <w:rPr>
                <w:b/>
                <w:bCs/>
                <w:sz w:val="24"/>
                <w:szCs w:val="24"/>
              </w:rPr>
              <w:t>6</w:t>
            </w:r>
          </w:p>
        </w:tc>
        <w:tc>
          <w:tcPr>
            <w:tcW w:w="4895" w:type="dxa"/>
            <w:tcBorders>
              <w:top w:val="single" w:sz="12" w:space="0" w:color="auto"/>
            </w:tcBorders>
            <w:shd w:val="clear" w:color="auto" w:fill="auto"/>
          </w:tcPr>
          <w:p w14:paraId="1CB1B53A" w14:textId="407B6187" w:rsidR="00F0236A" w:rsidRPr="0042750D" w:rsidRDefault="00C04EBA" w:rsidP="00FC6DC4">
            <w:pPr>
              <w:pStyle w:val="Tabletext"/>
              <w:keepNext/>
              <w:keepLines/>
              <w:rPr>
                <w:b/>
                <w:bCs/>
                <w:sz w:val="24"/>
                <w:szCs w:val="24"/>
                <w:lang w:eastAsia="ko-KR"/>
              </w:rPr>
            </w:pPr>
            <w:r w:rsidRPr="0042750D">
              <w:rPr>
                <w:b/>
                <w:bCs/>
                <w:sz w:val="24"/>
                <w:szCs w:val="24"/>
                <w:lang w:eastAsia="ko-KR"/>
              </w:rPr>
              <w:t>TSBDir to analyse ongoing work in all Sectors of ITU, regional entities and other expert organizations, and promote joint activities to avoid duplication of efforts and resources in the development, use and interworking of public and private telecommunications/ICTs</w:t>
            </w:r>
            <w:r w:rsidR="00C641B4" w:rsidRPr="0042750D">
              <w:rPr>
                <w:b/>
                <w:bCs/>
                <w:sz w:val="24"/>
                <w:szCs w:val="24"/>
                <w:lang w:eastAsia="ko-KR"/>
              </w:rPr>
              <w:t xml:space="preserve"> </w:t>
            </w:r>
            <w:r w:rsidR="00C641B4" w:rsidRPr="0042750D">
              <w:rPr>
                <w:b/>
                <w:bCs/>
                <w:sz w:val="24"/>
                <w:szCs w:val="24"/>
              </w:rPr>
              <w:t>(</w:t>
            </w:r>
            <w:r w:rsidR="00C641B4" w:rsidRPr="0042750D">
              <w:rPr>
                <w:b/>
                <w:bCs/>
                <w:i/>
                <w:sz w:val="24"/>
                <w:szCs w:val="24"/>
              </w:rPr>
              <w:t>instructs 6</w:t>
            </w:r>
            <w:r w:rsidR="00C641B4" w:rsidRPr="0042750D">
              <w:rPr>
                <w:b/>
                <w:bCs/>
                <w:sz w:val="24"/>
                <w:szCs w:val="24"/>
              </w:rPr>
              <w:t>)</w:t>
            </w:r>
            <w:r w:rsidRPr="0042750D">
              <w:rPr>
                <w:b/>
                <w:bCs/>
                <w:sz w:val="24"/>
                <w:szCs w:val="24"/>
                <w:lang w:eastAsia="ko-KR"/>
              </w:rPr>
              <w:t>.</w:t>
            </w:r>
          </w:p>
        </w:tc>
        <w:tc>
          <w:tcPr>
            <w:tcW w:w="1548" w:type="dxa"/>
            <w:tcBorders>
              <w:top w:val="single" w:sz="12" w:space="0" w:color="auto"/>
            </w:tcBorders>
            <w:shd w:val="clear" w:color="auto" w:fill="auto"/>
            <w:vAlign w:val="center"/>
          </w:tcPr>
          <w:p w14:paraId="68822552" w14:textId="2C79D5D9" w:rsidR="00F0236A" w:rsidRPr="0042750D" w:rsidRDefault="00713C4B" w:rsidP="00FC6DC4">
            <w:pPr>
              <w:pStyle w:val="Tabletext"/>
              <w:keepNext/>
              <w:keepLines/>
              <w:jc w:val="center"/>
              <w:rPr>
                <w:b/>
                <w:bCs/>
                <w:sz w:val="24"/>
                <w:szCs w:val="24"/>
              </w:rPr>
            </w:pPr>
            <w:r w:rsidRPr="0042750D">
              <w:rPr>
                <w:b/>
                <w:bCs/>
                <w:sz w:val="24"/>
                <w:szCs w:val="24"/>
              </w:rPr>
              <w:t>Ongoing</w:t>
            </w:r>
          </w:p>
        </w:tc>
        <w:tc>
          <w:tcPr>
            <w:tcW w:w="1145" w:type="dxa"/>
            <w:tcBorders>
              <w:top w:val="single" w:sz="12" w:space="0" w:color="auto"/>
            </w:tcBorders>
            <w:shd w:val="clear" w:color="auto" w:fill="auto"/>
            <w:vAlign w:val="center"/>
          </w:tcPr>
          <w:p w14:paraId="63DE9DEB" w14:textId="53A1DDE7" w:rsidR="00F0236A" w:rsidRPr="0042750D" w:rsidRDefault="004D3926" w:rsidP="00FC6DC4">
            <w:pPr>
              <w:pStyle w:val="Tabletext"/>
              <w:keepNext/>
              <w:keepLines/>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6E5D261F" w14:textId="77777777" w:rsidR="00F0236A" w:rsidRPr="0042750D" w:rsidRDefault="00F0236A" w:rsidP="00FC6DC4">
            <w:pPr>
              <w:pStyle w:val="Tabletext"/>
              <w:keepNext/>
              <w:keepLines/>
              <w:jc w:val="center"/>
              <w:rPr>
                <w:b/>
                <w:bCs/>
                <w:sz w:val="24"/>
                <w:szCs w:val="24"/>
              </w:rPr>
            </w:pPr>
          </w:p>
        </w:tc>
      </w:tr>
      <w:tr w:rsidR="00F0236A" w:rsidRPr="0042750D" w14:paraId="6A50BF52" w14:textId="77777777" w:rsidTr="00BB01C2">
        <w:trPr>
          <w:jc w:val="center"/>
        </w:trPr>
        <w:tc>
          <w:tcPr>
            <w:tcW w:w="908" w:type="dxa"/>
            <w:vMerge/>
            <w:tcBorders>
              <w:bottom w:val="single" w:sz="12" w:space="0" w:color="auto"/>
            </w:tcBorders>
            <w:shd w:val="clear" w:color="auto" w:fill="auto"/>
          </w:tcPr>
          <w:p w14:paraId="534DC3F6" w14:textId="77777777" w:rsidR="00F0236A" w:rsidRPr="0042750D" w:rsidRDefault="00F0236A" w:rsidP="00DF36E1">
            <w:pPr>
              <w:pStyle w:val="Tabletext"/>
              <w:rPr>
                <w:sz w:val="24"/>
                <w:szCs w:val="24"/>
              </w:rPr>
            </w:pPr>
          </w:p>
        </w:tc>
        <w:tc>
          <w:tcPr>
            <w:tcW w:w="8924" w:type="dxa"/>
            <w:gridSpan w:val="4"/>
            <w:tcBorders>
              <w:bottom w:val="single" w:sz="12" w:space="0" w:color="auto"/>
            </w:tcBorders>
            <w:shd w:val="clear" w:color="auto" w:fill="auto"/>
          </w:tcPr>
          <w:p w14:paraId="43EB5E6B" w14:textId="77777777" w:rsidR="00F0236A" w:rsidRPr="0042750D" w:rsidRDefault="0006366E" w:rsidP="00FC6DC4">
            <w:pPr>
              <w:pStyle w:val="Tabletext"/>
              <w:keepNext/>
              <w:keepLines/>
              <w:rPr>
                <w:szCs w:val="22"/>
              </w:rPr>
            </w:pPr>
            <w:r w:rsidRPr="0042750D">
              <w:rPr>
                <w:szCs w:val="22"/>
              </w:rPr>
              <w:t>See 136-01</w:t>
            </w:r>
            <w:r w:rsidR="004D3926" w:rsidRPr="0042750D">
              <w:rPr>
                <w:szCs w:val="22"/>
              </w:rPr>
              <w:t>.</w:t>
            </w:r>
          </w:p>
          <w:p w14:paraId="2DCE9C59" w14:textId="77562AB2" w:rsidR="00BB01C2" w:rsidRPr="0042750D" w:rsidRDefault="00BB01C2" w:rsidP="00FC6DC4">
            <w:pPr>
              <w:pStyle w:val="Tabletext"/>
              <w:keepNext/>
              <w:keepLines/>
              <w:rPr>
                <w:szCs w:val="22"/>
              </w:rPr>
            </w:pPr>
            <w:r w:rsidRPr="0042750D">
              <w:rPr>
                <w:szCs w:val="22"/>
              </w:rPr>
              <w:t>Note: TSB does not have the complete control of the activities of ITU-T since it is largely contribution driven.</w:t>
            </w:r>
          </w:p>
        </w:tc>
      </w:tr>
      <w:tr w:rsidR="00F0236A" w:rsidRPr="0042750D" w14:paraId="19434D14" w14:textId="77777777" w:rsidTr="00C641B4">
        <w:trPr>
          <w:cantSplit/>
          <w:jc w:val="center"/>
        </w:trPr>
        <w:tc>
          <w:tcPr>
            <w:tcW w:w="908" w:type="dxa"/>
            <w:vMerge w:val="restart"/>
            <w:tcBorders>
              <w:top w:val="single" w:sz="12" w:space="0" w:color="auto"/>
            </w:tcBorders>
            <w:shd w:val="clear" w:color="auto" w:fill="auto"/>
          </w:tcPr>
          <w:p w14:paraId="36C8A773" w14:textId="451E5FF0" w:rsidR="00F0236A" w:rsidRPr="0042750D" w:rsidRDefault="00C04EBA" w:rsidP="00C04EBA">
            <w:pPr>
              <w:pStyle w:val="Tabletext"/>
              <w:rPr>
                <w:b/>
                <w:bCs/>
                <w:sz w:val="24"/>
                <w:szCs w:val="24"/>
              </w:rPr>
            </w:pPr>
            <w:r w:rsidRPr="0042750D">
              <w:rPr>
                <w:b/>
                <w:bCs/>
                <w:sz w:val="24"/>
                <w:szCs w:val="24"/>
              </w:rPr>
              <w:t>136</w:t>
            </w:r>
            <w:r w:rsidR="00F0236A" w:rsidRPr="0042750D">
              <w:rPr>
                <w:b/>
                <w:bCs/>
                <w:sz w:val="24"/>
                <w:szCs w:val="24"/>
              </w:rPr>
              <w:t>-</w:t>
            </w:r>
            <w:r w:rsidRPr="0042750D">
              <w:rPr>
                <w:b/>
                <w:bCs/>
                <w:sz w:val="24"/>
                <w:szCs w:val="24"/>
              </w:rPr>
              <w:t>07</w:t>
            </w:r>
          </w:p>
        </w:tc>
        <w:tc>
          <w:tcPr>
            <w:tcW w:w="4895" w:type="dxa"/>
            <w:tcBorders>
              <w:top w:val="single" w:sz="12" w:space="0" w:color="auto"/>
            </w:tcBorders>
            <w:shd w:val="clear" w:color="auto" w:fill="auto"/>
          </w:tcPr>
          <w:p w14:paraId="4ACCA784" w14:textId="25224216" w:rsidR="00F0236A" w:rsidRPr="0042750D" w:rsidRDefault="00C04EBA" w:rsidP="00C04EBA">
            <w:pPr>
              <w:pStyle w:val="Tabletext"/>
              <w:rPr>
                <w:b/>
                <w:bCs/>
                <w:sz w:val="24"/>
                <w:szCs w:val="24"/>
                <w:lang w:eastAsia="ko-KR"/>
              </w:rPr>
            </w:pPr>
            <w:r w:rsidRPr="0042750D">
              <w:rPr>
                <w:b/>
                <w:bCs/>
                <w:sz w:val="24"/>
                <w:szCs w:val="24"/>
                <w:lang w:eastAsia="ko-KR"/>
              </w:rPr>
              <w:t>TSBDir to assist Member States in enhancing and strengthening the use of all available communication systems</w:t>
            </w:r>
            <w:r w:rsidR="00C641B4" w:rsidRPr="0042750D">
              <w:rPr>
                <w:b/>
                <w:bCs/>
                <w:sz w:val="24"/>
                <w:szCs w:val="24"/>
                <w:lang w:eastAsia="ko-KR"/>
              </w:rPr>
              <w:t xml:space="preserve"> </w:t>
            </w:r>
            <w:r w:rsidR="00C641B4" w:rsidRPr="0042750D">
              <w:rPr>
                <w:b/>
                <w:bCs/>
                <w:sz w:val="24"/>
                <w:szCs w:val="24"/>
              </w:rPr>
              <w:t>(</w:t>
            </w:r>
            <w:r w:rsidR="00C641B4" w:rsidRPr="0042750D">
              <w:rPr>
                <w:b/>
                <w:bCs/>
                <w:i/>
                <w:sz w:val="24"/>
                <w:szCs w:val="24"/>
              </w:rPr>
              <w:t>instructs 7</w:t>
            </w:r>
            <w:r w:rsidR="00C641B4" w:rsidRPr="0042750D">
              <w:rPr>
                <w:b/>
                <w:bCs/>
                <w:sz w:val="24"/>
                <w:szCs w:val="24"/>
              </w:rPr>
              <w:t>)</w:t>
            </w:r>
            <w:r w:rsidRPr="0042750D">
              <w:rPr>
                <w:b/>
                <w:bCs/>
                <w:sz w:val="24"/>
                <w:szCs w:val="24"/>
                <w:lang w:eastAsia="ko-KR"/>
              </w:rPr>
              <w:t>.</w:t>
            </w:r>
          </w:p>
        </w:tc>
        <w:tc>
          <w:tcPr>
            <w:tcW w:w="1548" w:type="dxa"/>
            <w:tcBorders>
              <w:top w:val="single" w:sz="12" w:space="0" w:color="auto"/>
            </w:tcBorders>
            <w:shd w:val="clear" w:color="auto" w:fill="auto"/>
            <w:vAlign w:val="center"/>
          </w:tcPr>
          <w:p w14:paraId="28434A65"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5" w:type="dxa"/>
            <w:tcBorders>
              <w:top w:val="single" w:sz="12" w:space="0" w:color="auto"/>
            </w:tcBorders>
            <w:shd w:val="clear" w:color="auto" w:fill="auto"/>
            <w:vAlign w:val="center"/>
          </w:tcPr>
          <w:p w14:paraId="3889DD8F" w14:textId="2DE043CB" w:rsidR="00F0236A" w:rsidRPr="0042750D" w:rsidRDefault="004D3926" w:rsidP="00DF36E1">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1C057AC3" w14:textId="77777777" w:rsidR="00F0236A" w:rsidRPr="0042750D" w:rsidRDefault="00F0236A" w:rsidP="00DF36E1">
            <w:pPr>
              <w:pStyle w:val="Tabletext"/>
              <w:jc w:val="center"/>
              <w:rPr>
                <w:b/>
                <w:bCs/>
                <w:sz w:val="24"/>
                <w:szCs w:val="24"/>
              </w:rPr>
            </w:pPr>
          </w:p>
        </w:tc>
      </w:tr>
      <w:tr w:rsidR="00F0236A" w:rsidRPr="0042750D" w14:paraId="0FA97321" w14:textId="77777777" w:rsidTr="00E44E48">
        <w:trPr>
          <w:cantSplit/>
          <w:jc w:val="center"/>
        </w:trPr>
        <w:tc>
          <w:tcPr>
            <w:tcW w:w="908" w:type="dxa"/>
            <w:vMerge/>
            <w:tcBorders>
              <w:bottom w:val="single" w:sz="12" w:space="0" w:color="auto"/>
            </w:tcBorders>
            <w:shd w:val="clear" w:color="auto" w:fill="auto"/>
          </w:tcPr>
          <w:p w14:paraId="45F0C19F" w14:textId="77777777" w:rsidR="00F0236A" w:rsidRPr="0042750D" w:rsidRDefault="00F0236A" w:rsidP="00DF36E1">
            <w:pPr>
              <w:pStyle w:val="Tabletext"/>
              <w:rPr>
                <w:sz w:val="24"/>
                <w:szCs w:val="24"/>
              </w:rPr>
            </w:pPr>
          </w:p>
        </w:tc>
        <w:tc>
          <w:tcPr>
            <w:tcW w:w="8924" w:type="dxa"/>
            <w:gridSpan w:val="4"/>
            <w:tcBorders>
              <w:bottom w:val="single" w:sz="12" w:space="0" w:color="auto"/>
            </w:tcBorders>
            <w:shd w:val="clear" w:color="auto" w:fill="auto"/>
          </w:tcPr>
          <w:p w14:paraId="29F6217B" w14:textId="77777777" w:rsidR="00F0236A" w:rsidRPr="0042750D" w:rsidRDefault="0006366E" w:rsidP="00DF36E1">
            <w:pPr>
              <w:pStyle w:val="Tabletext"/>
              <w:rPr>
                <w:szCs w:val="22"/>
              </w:rPr>
            </w:pPr>
            <w:r w:rsidRPr="0042750D">
              <w:rPr>
                <w:szCs w:val="22"/>
              </w:rPr>
              <w:t>See 136-01</w:t>
            </w:r>
            <w:r w:rsidR="004D3926" w:rsidRPr="0042750D">
              <w:rPr>
                <w:szCs w:val="22"/>
              </w:rPr>
              <w:t>.</w:t>
            </w:r>
          </w:p>
          <w:p w14:paraId="4040C3EF" w14:textId="1ADCF3A2" w:rsidR="00BB01C2" w:rsidRPr="0042750D" w:rsidRDefault="00BB01C2" w:rsidP="00DF36E1">
            <w:pPr>
              <w:pStyle w:val="Tabletext"/>
              <w:rPr>
                <w:szCs w:val="22"/>
              </w:rPr>
            </w:pPr>
            <w:r w:rsidRPr="0042750D">
              <w:rPr>
                <w:szCs w:val="22"/>
              </w:rPr>
              <w:t>Note: TSB does not have the complete control of the activities of ITU-T since it is largely contribution driven.</w:t>
            </w:r>
          </w:p>
        </w:tc>
      </w:tr>
      <w:tr w:rsidR="00F0236A" w:rsidRPr="0042750D" w14:paraId="7F9F8415" w14:textId="77777777" w:rsidTr="00C641B4">
        <w:trPr>
          <w:cantSplit/>
          <w:jc w:val="center"/>
        </w:trPr>
        <w:tc>
          <w:tcPr>
            <w:tcW w:w="908" w:type="dxa"/>
            <w:vMerge w:val="restart"/>
            <w:tcBorders>
              <w:top w:val="single" w:sz="12" w:space="0" w:color="auto"/>
            </w:tcBorders>
            <w:shd w:val="clear" w:color="auto" w:fill="auto"/>
          </w:tcPr>
          <w:p w14:paraId="72B28184" w14:textId="55352B7C" w:rsidR="00F0236A" w:rsidRPr="0042750D" w:rsidRDefault="00C04EBA" w:rsidP="00740C8F">
            <w:pPr>
              <w:pStyle w:val="Tabletext"/>
              <w:keepNext/>
              <w:keepLines/>
              <w:rPr>
                <w:b/>
                <w:bCs/>
                <w:sz w:val="24"/>
                <w:szCs w:val="24"/>
              </w:rPr>
            </w:pPr>
            <w:r w:rsidRPr="0042750D">
              <w:rPr>
                <w:b/>
                <w:bCs/>
                <w:sz w:val="24"/>
                <w:szCs w:val="24"/>
              </w:rPr>
              <w:t>136</w:t>
            </w:r>
            <w:r w:rsidR="00F0236A" w:rsidRPr="0042750D">
              <w:rPr>
                <w:b/>
                <w:bCs/>
                <w:sz w:val="24"/>
                <w:szCs w:val="24"/>
              </w:rPr>
              <w:t>-</w:t>
            </w:r>
            <w:r w:rsidRPr="0042750D">
              <w:rPr>
                <w:b/>
                <w:bCs/>
                <w:sz w:val="24"/>
                <w:szCs w:val="24"/>
              </w:rPr>
              <w:t>08</w:t>
            </w:r>
          </w:p>
        </w:tc>
        <w:tc>
          <w:tcPr>
            <w:tcW w:w="4895" w:type="dxa"/>
            <w:tcBorders>
              <w:top w:val="single" w:sz="12" w:space="0" w:color="auto"/>
            </w:tcBorders>
            <w:shd w:val="clear" w:color="auto" w:fill="auto"/>
          </w:tcPr>
          <w:p w14:paraId="451F9E90" w14:textId="541D90AA" w:rsidR="00F0236A" w:rsidRPr="0042750D" w:rsidRDefault="00C04EBA" w:rsidP="00740C8F">
            <w:pPr>
              <w:pStyle w:val="Tabletext"/>
              <w:keepNext/>
              <w:keepLines/>
              <w:rPr>
                <w:b/>
                <w:bCs/>
                <w:sz w:val="24"/>
                <w:szCs w:val="24"/>
              </w:rPr>
            </w:pPr>
            <w:r w:rsidRPr="0042750D">
              <w:rPr>
                <w:b/>
                <w:bCs/>
                <w:sz w:val="24"/>
                <w:szCs w:val="24"/>
                <w:lang w:eastAsia="ko-KR"/>
              </w:rPr>
              <w:t>TSBDir to assist Member States, particularly developing countries, in the use</w:t>
            </w:r>
            <w:r w:rsidR="00BA6F21" w:rsidRPr="0042750D">
              <w:rPr>
                <w:b/>
                <w:bCs/>
                <w:sz w:val="24"/>
                <w:szCs w:val="24"/>
                <w:lang w:eastAsia="ko-KR"/>
              </w:rPr>
              <w:t xml:space="preserve"> of telecommunications/ICTs; </w:t>
            </w:r>
            <w:r w:rsidRPr="0042750D">
              <w:rPr>
                <w:b/>
                <w:bCs/>
                <w:sz w:val="24"/>
                <w:szCs w:val="24"/>
                <w:lang w:eastAsia="ko-KR"/>
              </w:rPr>
              <w:t>and to develop feasibility studies, project management tools and support to respond to and address emergencies</w:t>
            </w:r>
            <w:r w:rsidR="00C641B4" w:rsidRPr="0042750D">
              <w:rPr>
                <w:b/>
                <w:bCs/>
                <w:sz w:val="24"/>
                <w:szCs w:val="24"/>
                <w:lang w:eastAsia="ko-KR"/>
              </w:rPr>
              <w:t xml:space="preserve"> </w:t>
            </w:r>
            <w:r w:rsidR="00C641B4" w:rsidRPr="0042750D">
              <w:rPr>
                <w:b/>
                <w:bCs/>
                <w:sz w:val="24"/>
                <w:szCs w:val="24"/>
              </w:rPr>
              <w:t>(</w:t>
            </w:r>
            <w:r w:rsidR="00C641B4" w:rsidRPr="0042750D">
              <w:rPr>
                <w:b/>
                <w:bCs/>
                <w:i/>
                <w:sz w:val="24"/>
                <w:szCs w:val="24"/>
              </w:rPr>
              <w:t>instructs 8</w:t>
            </w:r>
            <w:r w:rsidR="00C641B4" w:rsidRPr="0042750D">
              <w:rPr>
                <w:b/>
                <w:bCs/>
                <w:sz w:val="24"/>
                <w:szCs w:val="24"/>
              </w:rPr>
              <w:t>)</w:t>
            </w:r>
            <w:r w:rsidRPr="0042750D">
              <w:rPr>
                <w:b/>
                <w:bCs/>
                <w:sz w:val="24"/>
                <w:szCs w:val="24"/>
                <w:lang w:eastAsia="ko-KR"/>
              </w:rPr>
              <w:t>.</w:t>
            </w:r>
          </w:p>
        </w:tc>
        <w:tc>
          <w:tcPr>
            <w:tcW w:w="1548" w:type="dxa"/>
            <w:tcBorders>
              <w:top w:val="single" w:sz="12" w:space="0" w:color="auto"/>
            </w:tcBorders>
            <w:shd w:val="clear" w:color="auto" w:fill="auto"/>
            <w:vAlign w:val="center"/>
          </w:tcPr>
          <w:p w14:paraId="6912CCA8" w14:textId="77777777" w:rsidR="00F0236A" w:rsidRPr="0042750D" w:rsidRDefault="00F0236A" w:rsidP="00740C8F">
            <w:pPr>
              <w:pStyle w:val="Tabletext"/>
              <w:keepNext/>
              <w:keepLines/>
              <w:jc w:val="center"/>
              <w:rPr>
                <w:b/>
                <w:bCs/>
                <w:sz w:val="24"/>
                <w:szCs w:val="24"/>
              </w:rPr>
            </w:pPr>
            <w:r w:rsidRPr="0042750D">
              <w:rPr>
                <w:b/>
                <w:bCs/>
                <w:sz w:val="24"/>
                <w:szCs w:val="24"/>
              </w:rPr>
              <w:t>Ongoing</w:t>
            </w:r>
          </w:p>
        </w:tc>
        <w:tc>
          <w:tcPr>
            <w:tcW w:w="1145" w:type="dxa"/>
            <w:tcBorders>
              <w:top w:val="single" w:sz="12" w:space="0" w:color="auto"/>
            </w:tcBorders>
            <w:shd w:val="clear" w:color="auto" w:fill="auto"/>
            <w:vAlign w:val="center"/>
          </w:tcPr>
          <w:p w14:paraId="11423AC7" w14:textId="46693FD1" w:rsidR="00F0236A" w:rsidRPr="0042750D" w:rsidRDefault="004D3926" w:rsidP="00740C8F">
            <w:pPr>
              <w:pStyle w:val="Tabletext"/>
              <w:keepNext/>
              <w:keepLines/>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34D58D6E" w14:textId="77777777" w:rsidR="00F0236A" w:rsidRPr="0042750D" w:rsidRDefault="00F0236A" w:rsidP="00740C8F">
            <w:pPr>
              <w:pStyle w:val="Tabletext"/>
              <w:keepNext/>
              <w:keepLines/>
              <w:jc w:val="center"/>
              <w:rPr>
                <w:b/>
                <w:bCs/>
                <w:sz w:val="24"/>
                <w:szCs w:val="24"/>
              </w:rPr>
            </w:pPr>
          </w:p>
        </w:tc>
      </w:tr>
      <w:tr w:rsidR="00F0236A" w:rsidRPr="0042750D" w14:paraId="7334407A" w14:textId="77777777" w:rsidTr="00E44E48">
        <w:trPr>
          <w:cantSplit/>
          <w:jc w:val="center"/>
        </w:trPr>
        <w:tc>
          <w:tcPr>
            <w:tcW w:w="908" w:type="dxa"/>
            <w:vMerge/>
            <w:shd w:val="clear" w:color="auto" w:fill="auto"/>
          </w:tcPr>
          <w:p w14:paraId="259B12A4" w14:textId="77777777" w:rsidR="00F0236A" w:rsidRPr="0042750D" w:rsidRDefault="00F0236A" w:rsidP="00740C8F">
            <w:pPr>
              <w:pStyle w:val="Tabletext"/>
              <w:keepNext/>
              <w:keepLines/>
              <w:rPr>
                <w:sz w:val="24"/>
                <w:szCs w:val="24"/>
              </w:rPr>
            </w:pPr>
          </w:p>
        </w:tc>
        <w:tc>
          <w:tcPr>
            <w:tcW w:w="8924" w:type="dxa"/>
            <w:gridSpan w:val="4"/>
            <w:shd w:val="clear" w:color="auto" w:fill="auto"/>
          </w:tcPr>
          <w:p w14:paraId="535B06BF" w14:textId="77777777" w:rsidR="00F0236A" w:rsidRPr="0042750D" w:rsidRDefault="0006366E" w:rsidP="00740C8F">
            <w:pPr>
              <w:pStyle w:val="Tabletext"/>
              <w:keepNext/>
              <w:keepLines/>
              <w:rPr>
                <w:szCs w:val="22"/>
              </w:rPr>
            </w:pPr>
            <w:r w:rsidRPr="0042750D">
              <w:rPr>
                <w:szCs w:val="22"/>
              </w:rPr>
              <w:t>See 136-01</w:t>
            </w:r>
            <w:r w:rsidR="004D3926" w:rsidRPr="0042750D">
              <w:rPr>
                <w:szCs w:val="22"/>
              </w:rPr>
              <w:t>.</w:t>
            </w:r>
          </w:p>
          <w:p w14:paraId="4926DE8A" w14:textId="4D44BB85" w:rsidR="00BB01C2" w:rsidRPr="0042750D" w:rsidRDefault="00BB01C2" w:rsidP="00740C8F">
            <w:pPr>
              <w:pStyle w:val="Tabletext"/>
              <w:keepNext/>
              <w:keepLines/>
              <w:rPr>
                <w:szCs w:val="22"/>
              </w:rPr>
            </w:pPr>
            <w:r w:rsidRPr="0042750D">
              <w:rPr>
                <w:szCs w:val="22"/>
              </w:rPr>
              <w:t>Note: TSB does not have the complete control of the activities of ITU-T since it is largely contribution driven.</w:t>
            </w:r>
          </w:p>
        </w:tc>
      </w:tr>
    </w:tbl>
    <w:bookmarkStart w:id="109" w:name="Item50_01"/>
    <w:bookmarkStart w:id="110" w:name="Item50_02"/>
    <w:bookmarkStart w:id="111" w:name="Item50_03"/>
    <w:bookmarkStart w:id="112" w:name="Item50_04"/>
    <w:bookmarkStart w:id="113" w:name="Item50_05"/>
    <w:bookmarkStart w:id="114" w:name="Item50_06"/>
    <w:bookmarkStart w:id="115" w:name="Item50_07"/>
    <w:bookmarkStart w:id="116" w:name="Item50_08"/>
    <w:bookmarkStart w:id="117" w:name="Item50_09"/>
    <w:bookmarkStart w:id="118" w:name="Item50_10"/>
    <w:bookmarkStart w:id="119" w:name="Item50_11"/>
    <w:bookmarkStart w:id="120" w:name="Item50_12"/>
    <w:bookmarkStart w:id="121" w:name="Item50_13"/>
    <w:bookmarkStart w:id="122" w:name="Item50_14"/>
    <w:bookmarkStart w:id="123" w:name="Item50_15"/>
    <w:bookmarkStart w:id="124" w:name="Item50_16"/>
    <w:bookmarkStart w:id="125" w:name="Item50_17"/>
    <w:bookmarkStart w:id="126" w:name="Item50_18"/>
    <w:bookmarkStart w:id="127" w:name="Item50_19"/>
    <w:bookmarkStart w:id="128" w:name="Item50_2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0869703B" w14:textId="77777777" w:rsidR="00F0236A" w:rsidRPr="0042750D" w:rsidRDefault="00F0236A" w:rsidP="00F0236A">
      <w:pPr>
        <w:rPr>
          <w:rStyle w:val="Hyperlink"/>
          <w:sz w:val="24"/>
        </w:rPr>
      </w:pPr>
      <w:r w:rsidRPr="0042750D">
        <w:fldChar w:fldCharType="begin"/>
      </w:r>
      <w:r w:rsidRPr="0042750D">
        <w:rPr>
          <w:sz w:val="24"/>
        </w:rPr>
        <w:instrText xml:space="preserve"> HYPERLINK \l "Top" </w:instrText>
      </w:r>
      <w:r w:rsidRPr="0042750D">
        <w:fldChar w:fldCharType="separate"/>
      </w:r>
      <w:r w:rsidRPr="0042750D">
        <w:rPr>
          <w:rStyle w:val="Hyperlink"/>
          <w:sz w:val="24"/>
        </w:rPr>
        <w:t>» Top</w:t>
      </w:r>
      <w:r w:rsidRPr="0042750D">
        <w:rPr>
          <w:rStyle w:val="Hyperlink"/>
          <w:sz w:val="24"/>
        </w:rPr>
        <w:fldChar w:fldCharType="end"/>
      </w:r>
    </w:p>
    <w:p w14:paraId="26E0CF5A" w14:textId="250EB079" w:rsidR="00F0236A" w:rsidRPr="0042750D" w:rsidRDefault="00CE5556" w:rsidP="00D25C4B">
      <w:pPr>
        <w:pStyle w:val="Heading1"/>
        <w:keepNext/>
        <w:keepLines/>
        <w:rPr>
          <w:sz w:val="24"/>
          <w:szCs w:val="24"/>
          <w:lang w:val="en-GB"/>
        </w:rPr>
      </w:pPr>
      <w:bookmarkStart w:id="129" w:name="Resolution_52"/>
      <w:bookmarkStart w:id="130" w:name="_Toc30749163"/>
      <w:bookmarkEnd w:id="129"/>
      <w:r w:rsidRPr="0042750D">
        <w:rPr>
          <w:sz w:val="24"/>
          <w:szCs w:val="24"/>
          <w:lang w:val="en-GB"/>
        </w:rPr>
        <w:t>RESOLUTION 137 (REV. DUBAI, 2018) – Deployment of future networks in developing countries</w:t>
      </w:r>
      <w:bookmarkEnd w:id="130"/>
    </w:p>
    <w:p w14:paraId="72A6254F" w14:textId="77777777" w:rsidR="00CE5556" w:rsidRPr="0042750D" w:rsidRDefault="00CE5556" w:rsidP="00D25C4B">
      <w:pPr>
        <w:pStyle w:val="Call"/>
        <w:rPr>
          <w:szCs w:val="22"/>
          <w:lang w:val="en-GB"/>
        </w:rPr>
      </w:pPr>
      <w:r w:rsidRPr="0042750D">
        <w:rPr>
          <w:szCs w:val="22"/>
          <w:lang w:val="en-GB"/>
        </w:rPr>
        <w:t>resolves to instruct the Directors of the three Bureaux, in line with the mandates of their respective Sectors</w:t>
      </w:r>
    </w:p>
    <w:p w14:paraId="6AF2352B" w14:textId="77777777" w:rsidR="00CE5556" w:rsidRPr="0042750D" w:rsidRDefault="00CE5556" w:rsidP="00D25C4B">
      <w:pPr>
        <w:keepNext/>
        <w:keepLines/>
        <w:rPr>
          <w:szCs w:val="22"/>
        </w:rPr>
      </w:pPr>
      <w:r w:rsidRPr="0042750D">
        <w:rPr>
          <w:szCs w:val="22"/>
        </w:rPr>
        <w:t>1</w:t>
      </w:r>
      <w:r w:rsidRPr="0042750D">
        <w:rPr>
          <w:szCs w:val="22"/>
        </w:rPr>
        <w:tab/>
        <w:t>to continue and consolidate their efforts on future networks</w:t>
      </w:r>
      <w:r w:rsidRPr="0042750D">
        <w:rPr>
          <w:rStyle w:val="FootnoteReference"/>
          <w:sz w:val="22"/>
          <w:szCs w:val="22"/>
        </w:rPr>
        <w:footnoteReference w:customMarkFollows="1" w:id="10"/>
        <w:t>2</w:t>
      </w:r>
      <w:r w:rsidRPr="0042750D">
        <w:rPr>
          <w:szCs w:val="22"/>
        </w:rPr>
        <w:t xml:space="preserve"> deployment studies, standards development, training activities and the sharing of best practices on business model evolution and operational aspects, especially for those networks designed for rural areas and for bridging the digital divide and the development divide;</w:t>
      </w:r>
    </w:p>
    <w:p w14:paraId="2CE16673" w14:textId="7BEF5B21" w:rsidR="00F0236A" w:rsidRPr="0042750D" w:rsidRDefault="00CE5556" w:rsidP="00CE5556">
      <w:pPr>
        <w:spacing w:after="240"/>
        <w:rPr>
          <w:szCs w:val="22"/>
        </w:rPr>
      </w:pPr>
      <w:r w:rsidRPr="0042750D">
        <w:rPr>
          <w:szCs w:val="22"/>
        </w:rPr>
        <w:t>2</w:t>
      </w:r>
      <w:r w:rsidRPr="0042750D">
        <w:rPr>
          <w:szCs w:val="22"/>
        </w:rPr>
        <w:tab/>
        <w:t>to coordinate studies and programmes within ITU</w:t>
      </w:r>
      <w:r w:rsidRPr="0042750D">
        <w:rPr>
          <w:szCs w:val="22"/>
        </w:rPr>
        <w:noBreakHyphen/>
        <w:t>R on IMT-2020 and beyond and ITU</w:t>
      </w:r>
      <w:r w:rsidRPr="0042750D">
        <w:rPr>
          <w:szCs w:val="22"/>
        </w:rPr>
        <w:noBreakHyphen/>
        <w:t>T Study Groups 11 and 13 on 2030 networks, and also within the Global Network Planning initiatives (GNPi) of ITU</w:t>
      </w:r>
      <w:r w:rsidRPr="0042750D">
        <w:rPr>
          <w:szCs w:val="22"/>
        </w:rPr>
        <w:noBreakHyphen/>
        <w:t>D, and to coordinate ongoing work being carried out by study groups and the relevant programmes as defined in the Buenos Aires Action Plan in order to assist the membership in deploying future networks effectively, especially in conducting a smooth migration from existing telecommunication infrastructures to future networks and in seeking appropriate solutions to expedite affordable deployment in rural and remote areas, taking into consideration the successes of several developing countries in migrating to and operating these networks, and benefiting from the experience of these countries</w:t>
      </w:r>
      <w:r w:rsidR="00F0236A" w:rsidRPr="0042750D">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5"/>
        <w:gridCol w:w="1880"/>
        <w:gridCol w:w="1149"/>
        <w:gridCol w:w="1338"/>
      </w:tblGrid>
      <w:tr w:rsidR="00F0236A" w:rsidRPr="0042750D" w14:paraId="2A0A3679" w14:textId="77777777" w:rsidTr="00BA6F21">
        <w:trPr>
          <w:jc w:val="center"/>
        </w:trPr>
        <w:tc>
          <w:tcPr>
            <w:tcW w:w="910" w:type="dxa"/>
            <w:tcBorders>
              <w:top w:val="single" w:sz="12" w:space="0" w:color="auto"/>
              <w:bottom w:val="single" w:sz="12" w:space="0" w:color="auto"/>
            </w:tcBorders>
            <w:shd w:val="clear" w:color="auto" w:fill="auto"/>
            <w:vAlign w:val="center"/>
          </w:tcPr>
          <w:p w14:paraId="5E241A8C" w14:textId="77777777" w:rsidR="00F0236A" w:rsidRPr="0042750D" w:rsidRDefault="00F0236A" w:rsidP="00FC6DC4">
            <w:pPr>
              <w:pStyle w:val="Tablehead"/>
              <w:keepNext w:val="0"/>
              <w:rPr>
                <w:sz w:val="24"/>
                <w:szCs w:val="24"/>
              </w:rPr>
            </w:pPr>
            <w:r w:rsidRPr="0042750D">
              <w:rPr>
                <w:sz w:val="24"/>
                <w:szCs w:val="24"/>
              </w:rPr>
              <w:t>Action Item</w:t>
            </w:r>
          </w:p>
        </w:tc>
        <w:tc>
          <w:tcPr>
            <w:tcW w:w="4555" w:type="dxa"/>
            <w:tcBorders>
              <w:top w:val="single" w:sz="12" w:space="0" w:color="auto"/>
              <w:bottom w:val="single" w:sz="12" w:space="0" w:color="auto"/>
            </w:tcBorders>
            <w:shd w:val="clear" w:color="auto" w:fill="auto"/>
            <w:vAlign w:val="center"/>
            <w:hideMark/>
          </w:tcPr>
          <w:p w14:paraId="2A1B65B8" w14:textId="77777777" w:rsidR="00F0236A" w:rsidRPr="0042750D" w:rsidRDefault="00F0236A" w:rsidP="00DF36E1">
            <w:pPr>
              <w:pStyle w:val="Tablehead"/>
              <w:rPr>
                <w:sz w:val="24"/>
                <w:szCs w:val="24"/>
              </w:rPr>
            </w:pPr>
            <w:r w:rsidRPr="0042750D">
              <w:rPr>
                <w:sz w:val="24"/>
                <w:szCs w:val="24"/>
              </w:rPr>
              <w:t>Action</w:t>
            </w:r>
          </w:p>
        </w:tc>
        <w:tc>
          <w:tcPr>
            <w:tcW w:w="1880" w:type="dxa"/>
            <w:tcBorders>
              <w:top w:val="single" w:sz="12" w:space="0" w:color="auto"/>
              <w:bottom w:val="single" w:sz="12" w:space="0" w:color="auto"/>
            </w:tcBorders>
            <w:shd w:val="clear" w:color="auto" w:fill="auto"/>
            <w:vAlign w:val="center"/>
            <w:hideMark/>
          </w:tcPr>
          <w:p w14:paraId="781A1D28" w14:textId="77777777" w:rsidR="00F0236A" w:rsidRPr="0042750D" w:rsidRDefault="00F0236A" w:rsidP="00DF36E1">
            <w:pPr>
              <w:pStyle w:val="Tablehead"/>
              <w:rPr>
                <w:sz w:val="24"/>
                <w:szCs w:val="24"/>
              </w:rPr>
            </w:pPr>
            <w:r w:rsidRPr="0042750D">
              <w:rPr>
                <w:sz w:val="24"/>
                <w:szCs w:val="24"/>
              </w:rPr>
              <w:t>Milestone</w:t>
            </w:r>
          </w:p>
        </w:tc>
        <w:tc>
          <w:tcPr>
            <w:tcW w:w="1149" w:type="dxa"/>
            <w:tcBorders>
              <w:top w:val="single" w:sz="12" w:space="0" w:color="auto"/>
              <w:bottom w:val="single" w:sz="12" w:space="0" w:color="auto"/>
            </w:tcBorders>
            <w:shd w:val="clear" w:color="auto" w:fill="auto"/>
          </w:tcPr>
          <w:p w14:paraId="1CDD7527"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6E4291D"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361D5689" w14:textId="77777777" w:rsidTr="00BA6F21">
        <w:trPr>
          <w:cantSplit/>
          <w:jc w:val="center"/>
        </w:trPr>
        <w:tc>
          <w:tcPr>
            <w:tcW w:w="910" w:type="dxa"/>
            <w:vMerge w:val="restart"/>
            <w:tcBorders>
              <w:top w:val="single" w:sz="12" w:space="0" w:color="auto"/>
            </w:tcBorders>
            <w:shd w:val="clear" w:color="auto" w:fill="auto"/>
          </w:tcPr>
          <w:p w14:paraId="64D87A06" w14:textId="4969FCF7" w:rsidR="00F0236A" w:rsidRPr="0042750D" w:rsidRDefault="00CE5556" w:rsidP="00DF36E1">
            <w:pPr>
              <w:pStyle w:val="Tabletext"/>
              <w:keepNext/>
              <w:keepLines/>
              <w:rPr>
                <w:b/>
                <w:bCs/>
                <w:sz w:val="24"/>
                <w:szCs w:val="24"/>
              </w:rPr>
            </w:pPr>
            <w:r w:rsidRPr="0042750D">
              <w:rPr>
                <w:b/>
                <w:bCs/>
                <w:sz w:val="24"/>
                <w:szCs w:val="24"/>
              </w:rPr>
              <w:t>137</w:t>
            </w:r>
            <w:r w:rsidR="00F0236A" w:rsidRPr="0042750D">
              <w:rPr>
                <w:b/>
                <w:bCs/>
                <w:sz w:val="24"/>
                <w:szCs w:val="24"/>
              </w:rPr>
              <w:t>-01</w:t>
            </w:r>
          </w:p>
        </w:tc>
        <w:tc>
          <w:tcPr>
            <w:tcW w:w="4555" w:type="dxa"/>
            <w:tcBorders>
              <w:top w:val="single" w:sz="12" w:space="0" w:color="auto"/>
              <w:bottom w:val="single" w:sz="4" w:space="0" w:color="auto"/>
            </w:tcBorders>
            <w:shd w:val="clear" w:color="auto" w:fill="auto"/>
            <w:hideMark/>
          </w:tcPr>
          <w:p w14:paraId="5FCE2F9D" w14:textId="48D5DA64" w:rsidR="00F0236A" w:rsidRPr="0042750D" w:rsidRDefault="00CE5556" w:rsidP="00BA6F21">
            <w:pPr>
              <w:pStyle w:val="Tabletext"/>
              <w:keepNext/>
              <w:keepLines/>
              <w:rPr>
                <w:b/>
                <w:bCs/>
                <w:sz w:val="24"/>
                <w:szCs w:val="24"/>
              </w:rPr>
            </w:pPr>
            <w:r w:rsidRPr="0042750D">
              <w:rPr>
                <w:b/>
                <w:bCs/>
                <w:sz w:val="24"/>
                <w:szCs w:val="24"/>
              </w:rPr>
              <w:t>TSBDir to continue and consolidate their efforts on future networks deployment studies, standards development, training activities and the sharing of best practices on business model evolution and operational aspects, especially for those networks designed for rural areas and for bridging the digital divide and the development divide</w:t>
            </w:r>
            <w:r w:rsidR="0066105E" w:rsidRPr="0042750D">
              <w:rPr>
                <w:b/>
                <w:bCs/>
                <w:sz w:val="24"/>
                <w:szCs w:val="24"/>
              </w:rPr>
              <w:t xml:space="preserve"> (</w:t>
            </w:r>
            <w:r w:rsidR="0066105E" w:rsidRPr="0042750D">
              <w:rPr>
                <w:b/>
                <w:bCs/>
                <w:i/>
                <w:sz w:val="24"/>
                <w:szCs w:val="24"/>
              </w:rPr>
              <w:t>instructs 1</w:t>
            </w:r>
            <w:r w:rsidR="0066105E" w:rsidRPr="0042750D">
              <w:rPr>
                <w:b/>
                <w:bCs/>
                <w:sz w:val="24"/>
                <w:szCs w:val="24"/>
              </w:rPr>
              <w:t>)</w:t>
            </w:r>
            <w:r w:rsidRPr="0042750D">
              <w:rPr>
                <w:b/>
                <w:bCs/>
                <w:sz w:val="24"/>
                <w:szCs w:val="24"/>
              </w:rPr>
              <w:t>.</w:t>
            </w:r>
          </w:p>
        </w:tc>
        <w:tc>
          <w:tcPr>
            <w:tcW w:w="1880" w:type="dxa"/>
            <w:tcBorders>
              <w:top w:val="single" w:sz="12" w:space="0" w:color="auto"/>
              <w:bottom w:val="single" w:sz="4" w:space="0" w:color="auto"/>
            </w:tcBorders>
            <w:shd w:val="clear" w:color="auto" w:fill="auto"/>
            <w:vAlign w:val="center"/>
            <w:hideMark/>
          </w:tcPr>
          <w:p w14:paraId="04058869"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9" w:type="dxa"/>
            <w:tcBorders>
              <w:top w:val="single" w:sz="12" w:space="0" w:color="auto"/>
              <w:bottom w:val="single" w:sz="4" w:space="0" w:color="auto"/>
            </w:tcBorders>
            <w:shd w:val="clear" w:color="auto" w:fill="auto"/>
            <w:vAlign w:val="center"/>
          </w:tcPr>
          <w:p w14:paraId="634EC69C" w14:textId="60FA8509" w:rsidR="00F0236A" w:rsidRPr="0042750D" w:rsidRDefault="00077591"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60263DCA" w14:textId="77777777" w:rsidR="00F0236A" w:rsidRPr="0042750D" w:rsidRDefault="00F0236A" w:rsidP="00DF36E1">
            <w:pPr>
              <w:pStyle w:val="Tabletext"/>
              <w:jc w:val="center"/>
              <w:rPr>
                <w:b/>
                <w:bCs/>
                <w:sz w:val="24"/>
                <w:szCs w:val="24"/>
              </w:rPr>
            </w:pPr>
          </w:p>
        </w:tc>
      </w:tr>
      <w:tr w:rsidR="00F0236A" w:rsidRPr="0042750D" w14:paraId="6E170370" w14:textId="77777777" w:rsidTr="00DE2D0D">
        <w:trPr>
          <w:cantSplit/>
          <w:jc w:val="center"/>
        </w:trPr>
        <w:tc>
          <w:tcPr>
            <w:tcW w:w="910" w:type="dxa"/>
            <w:vMerge/>
            <w:tcBorders>
              <w:bottom w:val="single" w:sz="12" w:space="0" w:color="auto"/>
            </w:tcBorders>
            <w:shd w:val="clear" w:color="auto" w:fill="auto"/>
          </w:tcPr>
          <w:p w14:paraId="1E8D8BAE" w14:textId="77777777" w:rsidR="00F0236A" w:rsidRPr="0042750D"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373457BF" w14:textId="279BDA43" w:rsidR="00F0236A" w:rsidRPr="0042750D" w:rsidRDefault="003F4739" w:rsidP="00456CCC">
            <w:pPr>
              <w:keepNext/>
              <w:keepLines/>
              <w:spacing w:before="40" w:after="40"/>
              <w:rPr>
                <w:szCs w:val="22"/>
              </w:rPr>
            </w:pPr>
            <w:r w:rsidRPr="0042750D">
              <w:rPr>
                <w:szCs w:val="22"/>
              </w:rPr>
              <w:t xml:space="preserve">SG13 has two regional groups (SG13RG-AFR and SG13RG-EECAT) </w:t>
            </w:r>
            <w:r w:rsidR="00077591" w:rsidRPr="0042750D">
              <w:rPr>
                <w:szCs w:val="22"/>
              </w:rPr>
              <w:t xml:space="preserve">where each of them has a </w:t>
            </w:r>
            <w:r w:rsidRPr="0042750D">
              <w:rPr>
                <w:szCs w:val="22"/>
              </w:rPr>
              <w:t>cen</w:t>
            </w:r>
            <w:r w:rsidR="00740C8F" w:rsidRPr="0042750D">
              <w:rPr>
                <w:szCs w:val="22"/>
              </w:rPr>
              <w:t>t</w:t>
            </w:r>
            <w:r w:rsidRPr="0042750D">
              <w:rPr>
                <w:szCs w:val="22"/>
              </w:rPr>
              <w:t xml:space="preserve">ral part </w:t>
            </w:r>
            <w:r w:rsidR="00077591" w:rsidRPr="0042750D">
              <w:rPr>
                <w:szCs w:val="22"/>
              </w:rPr>
              <w:t>in the</w:t>
            </w:r>
            <w:r w:rsidRPr="0042750D">
              <w:rPr>
                <w:szCs w:val="22"/>
              </w:rPr>
              <w:t xml:space="preserve"> mandate </w:t>
            </w:r>
            <w:r w:rsidR="00077591" w:rsidRPr="0042750D">
              <w:rPr>
                <w:szCs w:val="22"/>
              </w:rPr>
              <w:t>on</w:t>
            </w:r>
            <w:r w:rsidRPr="0042750D">
              <w:rPr>
                <w:szCs w:val="22"/>
              </w:rPr>
              <w:t xml:space="preserve"> future networks.</w:t>
            </w:r>
            <w:r w:rsidR="005D61FF" w:rsidRPr="0042750D">
              <w:rPr>
                <w:szCs w:val="22"/>
              </w:rPr>
              <w:t xml:space="preserve"> A workshop, 3 – 4 February 2020 in Abuja, Nigeria, is devoted to sharing knowledge towards employment of new technologies in Africa.</w:t>
            </w:r>
          </w:p>
        </w:tc>
      </w:tr>
      <w:tr w:rsidR="00F0236A" w:rsidRPr="0042750D" w14:paraId="41BEAE0D" w14:textId="77777777" w:rsidTr="00BA6F21">
        <w:trPr>
          <w:cantSplit/>
          <w:jc w:val="center"/>
        </w:trPr>
        <w:tc>
          <w:tcPr>
            <w:tcW w:w="910" w:type="dxa"/>
            <w:vMerge w:val="restart"/>
            <w:tcBorders>
              <w:top w:val="single" w:sz="12" w:space="0" w:color="auto"/>
            </w:tcBorders>
            <w:shd w:val="clear" w:color="auto" w:fill="auto"/>
          </w:tcPr>
          <w:p w14:paraId="03EBE3B7" w14:textId="7A5A04CD" w:rsidR="00F0236A" w:rsidRPr="0042750D" w:rsidRDefault="00CE5556" w:rsidP="004B7A24">
            <w:pPr>
              <w:pStyle w:val="Tabletext"/>
              <w:keepNext/>
              <w:keepLines/>
              <w:rPr>
                <w:b/>
                <w:bCs/>
                <w:sz w:val="24"/>
                <w:szCs w:val="24"/>
              </w:rPr>
            </w:pPr>
            <w:r w:rsidRPr="0042750D">
              <w:rPr>
                <w:b/>
                <w:bCs/>
                <w:sz w:val="24"/>
                <w:szCs w:val="24"/>
              </w:rPr>
              <w:t>137-02</w:t>
            </w:r>
          </w:p>
        </w:tc>
        <w:tc>
          <w:tcPr>
            <w:tcW w:w="4555" w:type="dxa"/>
            <w:tcBorders>
              <w:top w:val="single" w:sz="12" w:space="0" w:color="auto"/>
            </w:tcBorders>
            <w:shd w:val="clear" w:color="auto" w:fill="auto"/>
          </w:tcPr>
          <w:p w14:paraId="0B8B990F" w14:textId="12D347BE" w:rsidR="00F0236A" w:rsidRPr="0042750D" w:rsidRDefault="00CE5556" w:rsidP="0066105E">
            <w:pPr>
              <w:pStyle w:val="Tabletext"/>
              <w:rPr>
                <w:b/>
                <w:bCs/>
                <w:sz w:val="24"/>
                <w:szCs w:val="24"/>
              </w:rPr>
            </w:pPr>
            <w:r w:rsidRPr="0042750D">
              <w:rPr>
                <w:b/>
                <w:bCs/>
                <w:sz w:val="24"/>
                <w:szCs w:val="24"/>
              </w:rPr>
              <w:t>TSBDir to coordinate studies and programmes ITU-T Study Groups 11 and 13 on 2030 networks, and to coordinate ongoing work being carried out by study groups</w:t>
            </w:r>
            <w:r w:rsidR="0066105E" w:rsidRPr="0042750D">
              <w:rPr>
                <w:b/>
                <w:bCs/>
                <w:sz w:val="24"/>
                <w:szCs w:val="24"/>
              </w:rPr>
              <w:t xml:space="preserve"> (</w:t>
            </w:r>
            <w:r w:rsidR="0066105E" w:rsidRPr="0042750D">
              <w:rPr>
                <w:b/>
                <w:bCs/>
                <w:i/>
                <w:sz w:val="24"/>
                <w:szCs w:val="24"/>
              </w:rPr>
              <w:t>instructs 2</w:t>
            </w:r>
            <w:r w:rsidR="0066105E" w:rsidRPr="0042750D">
              <w:rPr>
                <w:b/>
                <w:bCs/>
                <w:sz w:val="24"/>
                <w:szCs w:val="24"/>
              </w:rPr>
              <w:t>)</w:t>
            </w:r>
            <w:r w:rsidRPr="0042750D">
              <w:rPr>
                <w:b/>
                <w:bCs/>
                <w:sz w:val="24"/>
                <w:szCs w:val="24"/>
              </w:rPr>
              <w:t>.</w:t>
            </w:r>
          </w:p>
        </w:tc>
        <w:tc>
          <w:tcPr>
            <w:tcW w:w="1880" w:type="dxa"/>
            <w:tcBorders>
              <w:top w:val="single" w:sz="12" w:space="0" w:color="auto"/>
            </w:tcBorders>
            <w:shd w:val="clear" w:color="auto" w:fill="auto"/>
            <w:vAlign w:val="center"/>
            <w:hideMark/>
          </w:tcPr>
          <w:p w14:paraId="057B830F"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9" w:type="dxa"/>
            <w:tcBorders>
              <w:top w:val="single" w:sz="12" w:space="0" w:color="auto"/>
            </w:tcBorders>
            <w:shd w:val="clear" w:color="auto" w:fill="auto"/>
            <w:vAlign w:val="center"/>
          </w:tcPr>
          <w:p w14:paraId="6E5F892C" w14:textId="342E4C2B" w:rsidR="00F0236A" w:rsidRPr="0042750D" w:rsidRDefault="00077591"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621E5C10" w14:textId="77777777" w:rsidR="00F0236A" w:rsidRPr="0042750D" w:rsidRDefault="00F0236A" w:rsidP="00DF36E1">
            <w:pPr>
              <w:pStyle w:val="Tabletext"/>
              <w:jc w:val="center"/>
              <w:rPr>
                <w:b/>
                <w:bCs/>
                <w:sz w:val="24"/>
                <w:szCs w:val="24"/>
              </w:rPr>
            </w:pPr>
          </w:p>
        </w:tc>
      </w:tr>
      <w:tr w:rsidR="00F0236A" w:rsidRPr="0042750D" w14:paraId="4D30145A" w14:textId="77777777" w:rsidTr="00DE2D0D">
        <w:trPr>
          <w:cantSplit/>
          <w:jc w:val="center"/>
        </w:trPr>
        <w:tc>
          <w:tcPr>
            <w:tcW w:w="910" w:type="dxa"/>
            <w:vMerge/>
            <w:tcBorders>
              <w:bottom w:val="single" w:sz="12" w:space="0" w:color="auto"/>
            </w:tcBorders>
            <w:shd w:val="clear" w:color="auto" w:fill="auto"/>
          </w:tcPr>
          <w:p w14:paraId="4B27F333" w14:textId="77777777" w:rsidR="00F0236A" w:rsidRPr="0042750D" w:rsidRDefault="00F0236A" w:rsidP="00DF36E1">
            <w:pPr>
              <w:pStyle w:val="Tabletext"/>
              <w:rPr>
                <w:sz w:val="24"/>
                <w:szCs w:val="24"/>
              </w:rPr>
            </w:pPr>
          </w:p>
        </w:tc>
        <w:tc>
          <w:tcPr>
            <w:tcW w:w="8922" w:type="dxa"/>
            <w:gridSpan w:val="4"/>
            <w:tcBorders>
              <w:bottom w:val="single" w:sz="12" w:space="0" w:color="auto"/>
            </w:tcBorders>
            <w:shd w:val="clear" w:color="auto" w:fill="auto"/>
          </w:tcPr>
          <w:p w14:paraId="56A9DA7F" w14:textId="17FF1EA3" w:rsidR="00F0236A" w:rsidRPr="0042750D" w:rsidRDefault="00933F10">
            <w:pPr>
              <w:pStyle w:val="Tabletext"/>
              <w:rPr>
                <w:szCs w:val="22"/>
              </w:rPr>
            </w:pPr>
            <w:r w:rsidRPr="0042750D">
              <w:rPr>
                <w:szCs w:val="22"/>
              </w:rPr>
              <w:t>Achieved via JCA-IMT2020 and W</w:t>
            </w:r>
            <w:r w:rsidR="00827372" w:rsidRPr="0042750D">
              <w:rPr>
                <w:szCs w:val="22"/>
              </w:rPr>
              <w:t>orkshop</w:t>
            </w:r>
            <w:r w:rsidR="005D61FF" w:rsidRPr="0042750D">
              <w:rPr>
                <w:szCs w:val="22"/>
              </w:rPr>
              <w:t>s</w:t>
            </w:r>
            <w:r w:rsidR="00827372" w:rsidRPr="0042750D">
              <w:rPr>
                <w:szCs w:val="22"/>
              </w:rPr>
              <w:t xml:space="preserve"> on Network 2030 (October 2019</w:t>
            </w:r>
            <w:r w:rsidR="005D61FF" w:rsidRPr="0042750D">
              <w:rPr>
                <w:szCs w:val="22"/>
              </w:rPr>
              <w:t>, January 2020</w:t>
            </w:r>
            <w:r w:rsidR="00827372" w:rsidRPr="0042750D">
              <w:rPr>
                <w:szCs w:val="22"/>
              </w:rPr>
              <w:t>).</w:t>
            </w:r>
          </w:p>
        </w:tc>
      </w:tr>
    </w:tbl>
    <w:p w14:paraId="4A0D24AC" w14:textId="77777777" w:rsidR="00BA6F21" w:rsidRPr="0042750D" w:rsidRDefault="00DD025B" w:rsidP="00BA6F21">
      <w:pPr>
        <w:rPr>
          <w:rStyle w:val="Hyperlink"/>
          <w:sz w:val="24"/>
        </w:rPr>
      </w:pPr>
      <w:hyperlink w:anchor="Top" w:history="1">
        <w:r w:rsidR="00BA6F21" w:rsidRPr="0042750D">
          <w:rPr>
            <w:rStyle w:val="Hyperlink"/>
            <w:sz w:val="24"/>
          </w:rPr>
          <w:t>» Top</w:t>
        </w:r>
      </w:hyperlink>
    </w:p>
    <w:p w14:paraId="1B393A92" w14:textId="3DC55FA8" w:rsidR="00F0236A" w:rsidRPr="0042750D" w:rsidRDefault="00265A02" w:rsidP="00043514">
      <w:pPr>
        <w:pStyle w:val="Heading1"/>
        <w:keepNext/>
        <w:keepLines/>
        <w:rPr>
          <w:sz w:val="24"/>
          <w:szCs w:val="24"/>
          <w:lang w:val="en-GB"/>
        </w:rPr>
      </w:pPr>
      <w:bookmarkStart w:id="131" w:name="Resolution_54"/>
      <w:bookmarkStart w:id="132" w:name="_Toc30749164"/>
      <w:bookmarkEnd w:id="131"/>
      <w:r w:rsidRPr="0042750D">
        <w:rPr>
          <w:sz w:val="24"/>
          <w:szCs w:val="24"/>
          <w:lang w:val="en-GB"/>
        </w:rPr>
        <w:t>RESOLUTION 139 (REV. DUBAI, 2018) – Use of telecommunications/information and communication technologies to bridge the digital divide and build an inclusive information society</w:t>
      </w:r>
      <w:bookmarkEnd w:id="132"/>
    </w:p>
    <w:p w14:paraId="7E2F6A35" w14:textId="77777777" w:rsidR="00F0236A" w:rsidRPr="0042750D" w:rsidRDefault="00F0236A" w:rsidP="00043514">
      <w:pPr>
        <w:pStyle w:val="Call"/>
        <w:rPr>
          <w:szCs w:val="22"/>
          <w:lang w:val="en-GB"/>
        </w:rPr>
      </w:pPr>
      <w:r w:rsidRPr="0042750D">
        <w:rPr>
          <w:szCs w:val="22"/>
          <w:lang w:val="en-GB"/>
        </w:rPr>
        <w:t>resolves</w:t>
      </w:r>
    </w:p>
    <w:p w14:paraId="48B8CD6B" w14:textId="77777777" w:rsidR="00C76936" w:rsidRPr="0042750D" w:rsidRDefault="00C76936" w:rsidP="00043514">
      <w:pPr>
        <w:keepNext/>
        <w:keepLines/>
        <w:rPr>
          <w:szCs w:val="22"/>
        </w:rPr>
      </w:pPr>
      <w:r w:rsidRPr="0042750D">
        <w:rPr>
          <w:szCs w:val="22"/>
        </w:rPr>
        <w:t>1</w:t>
      </w:r>
      <w:r w:rsidRPr="0042750D">
        <w:rPr>
          <w:szCs w:val="22"/>
        </w:rPr>
        <w:tab/>
        <w:t>that implementation of Resolution 37 (Rev. Buenos Aires, 2017) should continue;</w:t>
      </w:r>
    </w:p>
    <w:p w14:paraId="74AD69DE" w14:textId="44C4827B" w:rsidR="00C76936" w:rsidRPr="0042750D" w:rsidRDefault="00C76936" w:rsidP="00C76936">
      <w:pPr>
        <w:rPr>
          <w:szCs w:val="22"/>
        </w:rPr>
      </w:pPr>
      <w:r w:rsidRPr="0042750D">
        <w:rPr>
          <w:szCs w:val="22"/>
        </w:rPr>
        <w:t>2</w:t>
      </w:r>
      <w:r w:rsidRPr="0042750D">
        <w:rPr>
          <w:szCs w:val="22"/>
        </w:rPr>
        <w:tab/>
        <w:t xml:space="preserve">that the Union should continue to organize, sponsor and conduct necessary studies in order to highlight, in a different and changing context, the contribution of ICTs and ICT applications to </w:t>
      </w:r>
      <w:r w:rsidR="005D14EB" w:rsidRPr="0042750D">
        <w:rPr>
          <w:szCs w:val="22"/>
        </w:rPr>
        <w:t>overall development;</w:t>
      </w:r>
    </w:p>
    <w:p w14:paraId="3BC36E59" w14:textId="451BA29D" w:rsidR="00C76936" w:rsidRPr="0042750D" w:rsidRDefault="00C76936" w:rsidP="00C76936">
      <w:pPr>
        <w:rPr>
          <w:szCs w:val="22"/>
        </w:rPr>
      </w:pPr>
      <w:r w:rsidRPr="0042750D">
        <w:rPr>
          <w:szCs w:val="22"/>
        </w:rPr>
        <w:t>3</w:t>
      </w:r>
      <w:r w:rsidRPr="0042750D">
        <w:rPr>
          <w:szCs w:val="22"/>
        </w:rPr>
        <w:tab/>
        <w:t>that the Union should continue to act as a clearing-house mechanism for the exchange of information and expertise in this regard, within the implementation of the 2017 Buenos Aires Action Plan and in partnership with other appropriate organizations, and implement initiatives, programmes and projects aimed at promoting access to telecommunicat</w:t>
      </w:r>
      <w:r w:rsidR="005D14EB" w:rsidRPr="0042750D">
        <w:rPr>
          <w:szCs w:val="22"/>
        </w:rPr>
        <w:t>ions/ICTs and ICT applications;</w:t>
      </w:r>
    </w:p>
    <w:p w14:paraId="1B924C5A" w14:textId="77777777" w:rsidR="00C76936" w:rsidRPr="0042750D" w:rsidRDefault="00C76936" w:rsidP="00C76936">
      <w:pPr>
        <w:rPr>
          <w:szCs w:val="22"/>
        </w:rPr>
      </w:pPr>
      <w:r w:rsidRPr="0042750D">
        <w:rPr>
          <w:szCs w:val="22"/>
        </w:rPr>
        <w:t>4</w:t>
      </w:r>
      <w:r w:rsidRPr="0042750D">
        <w:rPr>
          <w:szCs w:val="22"/>
        </w:rPr>
        <w:tab/>
        <w:t>that ITU, in cooperation with the relevant organizations, continue its task of preparing adequate ICT reference indicators for measuring the digital divide, collecting statistical data, measuring the impact of ICTs and facilitating a comparative analysis of digital integration, which will continue to be a fundamental need in support of economic growth;</w:t>
      </w:r>
    </w:p>
    <w:p w14:paraId="5687D2EA" w14:textId="20322EAB" w:rsidR="00C76936" w:rsidRPr="0042750D" w:rsidRDefault="00C76936" w:rsidP="00C76936">
      <w:pPr>
        <w:rPr>
          <w:szCs w:val="22"/>
        </w:rPr>
      </w:pPr>
      <w:r w:rsidRPr="0042750D">
        <w:rPr>
          <w:szCs w:val="22"/>
        </w:rPr>
        <w:t>5</w:t>
      </w:r>
      <w:r w:rsidRPr="0042750D">
        <w:rPr>
          <w:szCs w:val="22"/>
        </w:rPr>
        <w:tab/>
        <w:t xml:space="preserve">that ITU continue its work and activities to support Member States, upon request, in strengthening their regulatory and policy frameworks through sharing information on national programmes for unserved and/or underserved </w:t>
      </w:r>
      <w:r w:rsidR="005D14EB" w:rsidRPr="0042750D">
        <w:rPr>
          <w:szCs w:val="22"/>
        </w:rPr>
        <w:t>areas within their territories;</w:t>
      </w:r>
    </w:p>
    <w:p w14:paraId="5080ECA5" w14:textId="1F6ECAB6" w:rsidR="00F0236A" w:rsidRPr="0042750D" w:rsidRDefault="00C76936" w:rsidP="00C76936">
      <w:pPr>
        <w:spacing w:after="240"/>
        <w:rPr>
          <w:szCs w:val="22"/>
        </w:rPr>
      </w:pPr>
      <w:r w:rsidRPr="0042750D">
        <w:rPr>
          <w:szCs w:val="22"/>
        </w:rPr>
        <w:t>6</w:t>
      </w:r>
      <w:r w:rsidRPr="0042750D">
        <w:rPr>
          <w:szCs w:val="22"/>
        </w:rPr>
        <w:tab/>
        <w:t>that ITU facilitate and promote the development of high-speed broadband infrastructure, including relevant programmes to extend access</w:t>
      </w:r>
      <w:r w:rsidR="00F0236A" w:rsidRPr="0042750D">
        <w:rPr>
          <w:szCs w:val="22"/>
        </w:rPr>
        <w:t>.</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F0236A" w:rsidRPr="0042750D" w14:paraId="08DA8FF9" w14:textId="77777777" w:rsidTr="004B7A24">
        <w:trPr>
          <w:jc w:val="center"/>
        </w:trPr>
        <w:tc>
          <w:tcPr>
            <w:tcW w:w="1074" w:type="dxa"/>
            <w:tcBorders>
              <w:top w:val="single" w:sz="12" w:space="0" w:color="auto"/>
              <w:bottom w:val="single" w:sz="12" w:space="0" w:color="auto"/>
            </w:tcBorders>
            <w:shd w:val="clear" w:color="auto" w:fill="auto"/>
            <w:vAlign w:val="center"/>
          </w:tcPr>
          <w:p w14:paraId="7D0347AF" w14:textId="77777777" w:rsidR="00F0236A" w:rsidRPr="0042750D" w:rsidRDefault="00F0236A" w:rsidP="00DF36E1">
            <w:pPr>
              <w:pStyle w:val="Tablehead"/>
              <w:rPr>
                <w:sz w:val="24"/>
                <w:szCs w:val="24"/>
              </w:rPr>
            </w:pPr>
            <w:r w:rsidRPr="0042750D">
              <w:rPr>
                <w:sz w:val="24"/>
                <w:szCs w:val="24"/>
              </w:rPr>
              <w:t>Action Item</w:t>
            </w:r>
          </w:p>
        </w:tc>
        <w:tc>
          <w:tcPr>
            <w:tcW w:w="4528" w:type="dxa"/>
            <w:tcBorders>
              <w:top w:val="single" w:sz="12" w:space="0" w:color="auto"/>
              <w:bottom w:val="single" w:sz="12" w:space="0" w:color="auto"/>
            </w:tcBorders>
            <w:shd w:val="clear" w:color="auto" w:fill="auto"/>
            <w:vAlign w:val="center"/>
            <w:hideMark/>
          </w:tcPr>
          <w:p w14:paraId="01E20B4D" w14:textId="77777777" w:rsidR="00F0236A" w:rsidRPr="0042750D" w:rsidRDefault="00F0236A" w:rsidP="00DF36E1">
            <w:pPr>
              <w:pStyle w:val="Tablehead"/>
              <w:rPr>
                <w:sz w:val="24"/>
                <w:szCs w:val="24"/>
              </w:rPr>
            </w:pPr>
            <w:r w:rsidRPr="0042750D">
              <w:rPr>
                <w:sz w:val="24"/>
                <w:szCs w:val="24"/>
              </w:rPr>
              <w:t>Action</w:t>
            </w:r>
          </w:p>
        </w:tc>
        <w:tc>
          <w:tcPr>
            <w:tcW w:w="1893" w:type="dxa"/>
            <w:tcBorders>
              <w:top w:val="single" w:sz="12" w:space="0" w:color="auto"/>
              <w:bottom w:val="single" w:sz="12" w:space="0" w:color="auto"/>
            </w:tcBorders>
            <w:shd w:val="clear" w:color="auto" w:fill="auto"/>
            <w:vAlign w:val="center"/>
            <w:hideMark/>
          </w:tcPr>
          <w:p w14:paraId="57D82CDD" w14:textId="77777777" w:rsidR="00F0236A" w:rsidRPr="0042750D" w:rsidRDefault="00F0236A" w:rsidP="00DF36E1">
            <w:pPr>
              <w:pStyle w:val="Tablehead"/>
              <w:rPr>
                <w:sz w:val="24"/>
                <w:szCs w:val="24"/>
              </w:rPr>
            </w:pPr>
            <w:r w:rsidRPr="0042750D">
              <w:rPr>
                <w:sz w:val="24"/>
                <w:szCs w:val="24"/>
              </w:rPr>
              <w:t>Milestone</w:t>
            </w:r>
          </w:p>
        </w:tc>
        <w:tc>
          <w:tcPr>
            <w:tcW w:w="1164" w:type="dxa"/>
            <w:tcBorders>
              <w:top w:val="single" w:sz="12" w:space="0" w:color="auto"/>
              <w:bottom w:val="single" w:sz="12" w:space="0" w:color="auto"/>
            </w:tcBorders>
            <w:shd w:val="clear" w:color="auto" w:fill="auto"/>
          </w:tcPr>
          <w:p w14:paraId="1B3DF45B" w14:textId="77777777" w:rsidR="00F0236A" w:rsidRPr="0042750D" w:rsidRDefault="00F0236A" w:rsidP="00DF36E1">
            <w:pPr>
              <w:pStyle w:val="Tablehead"/>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D3F7EA"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62023D34" w14:textId="77777777" w:rsidTr="0085771B">
        <w:trPr>
          <w:jc w:val="center"/>
        </w:trPr>
        <w:tc>
          <w:tcPr>
            <w:tcW w:w="1074" w:type="dxa"/>
            <w:vMerge w:val="restart"/>
            <w:tcBorders>
              <w:top w:val="single" w:sz="12" w:space="0" w:color="auto"/>
            </w:tcBorders>
            <w:shd w:val="clear" w:color="auto" w:fill="auto"/>
          </w:tcPr>
          <w:p w14:paraId="43D1ED44" w14:textId="1853400D" w:rsidR="00F0236A" w:rsidRPr="0042750D" w:rsidRDefault="00C76936" w:rsidP="00C76936">
            <w:pPr>
              <w:pStyle w:val="Tabletext"/>
              <w:rPr>
                <w:b/>
                <w:bCs/>
                <w:sz w:val="24"/>
                <w:szCs w:val="24"/>
              </w:rPr>
            </w:pPr>
            <w:r w:rsidRPr="0042750D">
              <w:rPr>
                <w:b/>
                <w:bCs/>
                <w:sz w:val="24"/>
                <w:szCs w:val="24"/>
              </w:rPr>
              <w:t>139</w:t>
            </w:r>
            <w:r w:rsidR="00F0236A" w:rsidRPr="0042750D">
              <w:rPr>
                <w:b/>
                <w:bCs/>
                <w:sz w:val="24"/>
                <w:szCs w:val="24"/>
              </w:rPr>
              <w:t>-01</w:t>
            </w:r>
          </w:p>
        </w:tc>
        <w:tc>
          <w:tcPr>
            <w:tcW w:w="4528" w:type="dxa"/>
            <w:tcBorders>
              <w:top w:val="single" w:sz="12" w:space="0" w:color="auto"/>
              <w:bottom w:val="single" w:sz="4" w:space="0" w:color="auto"/>
            </w:tcBorders>
            <w:shd w:val="clear" w:color="auto" w:fill="auto"/>
            <w:hideMark/>
          </w:tcPr>
          <w:p w14:paraId="6788312D" w14:textId="0B880238" w:rsidR="00F0236A" w:rsidRPr="0042750D" w:rsidRDefault="00B303E0" w:rsidP="00B303E0">
            <w:pPr>
              <w:pStyle w:val="Tabletext"/>
              <w:keepNext/>
              <w:keepLines/>
              <w:rPr>
                <w:b/>
                <w:bCs/>
                <w:sz w:val="24"/>
                <w:szCs w:val="24"/>
              </w:rPr>
            </w:pPr>
            <w:r w:rsidRPr="0042750D">
              <w:rPr>
                <w:b/>
                <w:bCs/>
                <w:sz w:val="24"/>
                <w:szCs w:val="24"/>
              </w:rPr>
              <w:t>TSBDir to c</w:t>
            </w:r>
            <w:r w:rsidR="00505D83" w:rsidRPr="0042750D">
              <w:rPr>
                <w:b/>
                <w:bCs/>
                <w:sz w:val="24"/>
                <w:szCs w:val="24"/>
              </w:rPr>
              <w:t xml:space="preserve">ontinue to organize, sponsor and conduct studies to highlight contribution </w:t>
            </w:r>
            <w:r w:rsidRPr="0042750D">
              <w:rPr>
                <w:b/>
                <w:bCs/>
                <w:sz w:val="24"/>
                <w:szCs w:val="24"/>
              </w:rPr>
              <w:t>of ICTs to overall development</w:t>
            </w:r>
            <w:r w:rsidR="0066105E" w:rsidRPr="0042750D">
              <w:rPr>
                <w:b/>
                <w:bCs/>
                <w:sz w:val="24"/>
                <w:szCs w:val="24"/>
              </w:rPr>
              <w:t xml:space="preserve"> (</w:t>
            </w:r>
            <w:r w:rsidR="0066105E" w:rsidRPr="0042750D">
              <w:rPr>
                <w:b/>
                <w:bCs/>
                <w:i/>
                <w:sz w:val="24"/>
                <w:szCs w:val="24"/>
              </w:rPr>
              <w:t>resolves 2</w:t>
            </w:r>
            <w:r w:rsidR="0066105E" w:rsidRPr="0042750D">
              <w:rPr>
                <w:b/>
                <w:bCs/>
                <w:sz w:val="24"/>
                <w:szCs w:val="24"/>
              </w:rPr>
              <w:t>)</w:t>
            </w:r>
            <w:r w:rsidRPr="0042750D">
              <w:rPr>
                <w:b/>
                <w:bCs/>
                <w:sz w:val="24"/>
                <w:szCs w:val="24"/>
              </w:rPr>
              <w:t>.</w:t>
            </w:r>
          </w:p>
        </w:tc>
        <w:tc>
          <w:tcPr>
            <w:tcW w:w="1893" w:type="dxa"/>
            <w:tcBorders>
              <w:top w:val="single" w:sz="12" w:space="0" w:color="auto"/>
              <w:bottom w:val="single" w:sz="4" w:space="0" w:color="auto"/>
            </w:tcBorders>
            <w:shd w:val="clear" w:color="auto" w:fill="auto"/>
            <w:vAlign w:val="center"/>
            <w:hideMark/>
          </w:tcPr>
          <w:p w14:paraId="6ED385A1"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64" w:type="dxa"/>
            <w:tcBorders>
              <w:top w:val="single" w:sz="12" w:space="0" w:color="auto"/>
              <w:bottom w:val="single" w:sz="4" w:space="0" w:color="auto"/>
            </w:tcBorders>
            <w:shd w:val="clear" w:color="auto" w:fill="auto"/>
            <w:vAlign w:val="center"/>
          </w:tcPr>
          <w:p w14:paraId="43BA5C1D" w14:textId="16D7B284" w:rsidR="00F0236A" w:rsidRPr="0042750D" w:rsidRDefault="004D4C04" w:rsidP="00DF36E1">
            <w:pPr>
              <w:pStyle w:val="Tabletext"/>
              <w:jc w:val="center"/>
              <w:rPr>
                <w:b/>
                <w:bCs/>
                <w:sz w:val="24"/>
                <w:szCs w:val="24"/>
              </w:rPr>
            </w:pPr>
            <w:r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5F6C8A4B" w14:textId="77777777" w:rsidR="00F0236A" w:rsidRPr="0042750D" w:rsidRDefault="00F0236A" w:rsidP="00DF36E1">
            <w:pPr>
              <w:pStyle w:val="Tabletext"/>
              <w:jc w:val="center"/>
              <w:rPr>
                <w:b/>
                <w:bCs/>
                <w:sz w:val="24"/>
                <w:szCs w:val="24"/>
              </w:rPr>
            </w:pPr>
          </w:p>
        </w:tc>
      </w:tr>
      <w:tr w:rsidR="00F0236A" w:rsidRPr="0042750D" w14:paraId="0F6D9282" w14:textId="77777777" w:rsidTr="0085771B">
        <w:trPr>
          <w:jc w:val="center"/>
        </w:trPr>
        <w:tc>
          <w:tcPr>
            <w:tcW w:w="1074" w:type="dxa"/>
            <w:vMerge/>
            <w:shd w:val="clear" w:color="auto" w:fill="auto"/>
          </w:tcPr>
          <w:p w14:paraId="0AF2EB8E" w14:textId="77777777" w:rsidR="00F0236A" w:rsidRPr="0042750D" w:rsidRDefault="00F0236A" w:rsidP="00DF36E1">
            <w:pPr>
              <w:pStyle w:val="Tabletext"/>
              <w:rPr>
                <w:sz w:val="24"/>
                <w:szCs w:val="24"/>
              </w:rPr>
            </w:pPr>
          </w:p>
        </w:tc>
        <w:tc>
          <w:tcPr>
            <w:tcW w:w="8921" w:type="dxa"/>
            <w:gridSpan w:val="4"/>
            <w:tcBorders>
              <w:top w:val="single" w:sz="4" w:space="0" w:color="auto"/>
            </w:tcBorders>
            <w:shd w:val="clear" w:color="auto" w:fill="auto"/>
          </w:tcPr>
          <w:p w14:paraId="65E14DAB" w14:textId="6105FCCA" w:rsidR="00F12550" w:rsidRPr="0042750D" w:rsidRDefault="004D4C04" w:rsidP="00456CCC">
            <w:pPr>
              <w:pStyle w:val="ListParagraph"/>
              <w:numPr>
                <w:ilvl w:val="0"/>
                <w:numId w:val="5"/>
              </w:numPr>
              <w:spacing w:before="40" w:after="40"/>
              <w:ind w:left="357" w:hanging="357"/>
              <w:contextualSpacing w:val="0"/>
              <w:rPr>
                <w:szCs w:val="22"/>
              </w:rPr>
            </w:pPr>
            <w:r w:rsidRPr="0042750D">
              <w:rPr>
                <w:bCs/>
                <w:szCs w:val="22"/>
              </w:rPr>
              <w:t>SG3 is studying in work item D.DigID Guidelines for digital identity, and in work item STUDY_DTRANS the future of regulation for digital transformation.</w:t>
            </w:r>
          </w:p>
        </w:tc>
      </w:tr>
    </w:tbl>
    <w:bookmarkStart w:id="133" w:name="Item54_01"/>
    <w:bookmarkStart w:id="134" w:name="Item54_02"/>
    <w:bookmarkStart w:id="135" w:name="Item54_03"/>
    <w:bookmarkStart w:id="136" w:name="Item54_04"/>
    <w:bookmarkStart w:id="137" w:name="Item54_05"/>
    <w:bookmarkStart w:id="138" w:name="Item54_06"/>
    <w:bookmarkStart w:id="139" w:name="Item54_07"/>
    <w:bookmarkStart w:id="140" w:name="Item54_08"/>
    <w:bookmarkEnd w:id="133"/>
    <w:bookmarkEnd w:id="134"/>
    <w:bookmarkEnd w:id="135"/>
    <w:bookmarkEnd w:id="136"/>
    <w:bookmarkEnd w:id="137"/>
    <w:bookmarkEnd w:id="138"/>
    <w:bookmarkEnd w:id="139"/>
    <w:bookmarkEnd w:id="140"/>
    <w:p w14:paraId="6B55122E"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65AD6BE5" w14:textId="4BCF0738" w:rsidR="00F0236A" w:rsidRPr="0042750D" w:rsidRDefault="00933C9B" w:rsidP="007F6958">
      <w:pPr>
        <w:pStyle w:val="Heading1"/>
        <w:rPr>
          <w:sz w:val="24"/>
          <w:szCs w:val="24"/>
          <w:lang w:val="en-GB"/>
        </w:rPr>
      </w:pPr>
      <w:bookmarkStart w:id="141" w:name="Resolution_55"/>
      <w:bookmarkStart w:id="142" w:name="_Resolution_55_-"/>
      <w:bookmarkStart w:id="143" w:name="_Toc30749165"/>
      <w:bookmarkEnd w:id="141"/>
      <w:bookmarkEnd w:id="142"/>
      <w:r w:rsidRPr="0042750D">
        <w:rPr>
          <w:sz w:val="24"/>
          <w:szCs w:val="24"/>
          <w:lang w:val="en-GB"/>
        </w:rPr>
        <w:t>RESOLUTION 140 (REV. DUBAI, 2018) – ITU's role in implementing the outcomes of the World Summit on the Information Society and the 2030 Agenda for Sustainable Development, as well as in their follow-up and review processes</w:t>
      </w:r>
      <w:bookmarkEnd w:id="143"/>
    </w:p>
    <w:p w14:paraId="2E1F420E" w14:textId="77777777" w:rsidR="00F0236A" w:rsidRPr="0042750D" w:rsidRDefault="00F0236A" w:rsidP="00F0236A">
      <w:pPr>
        <w:pStyle w:val="Call"/>
        <w:rPr>
          <w:szCs w:val="22"/>
          <w:lang w:val="en-GB"/>
        </w:rPr>
      </w:pPr>
      <w:r w:rsidRPr="0042750D">
        <w:rPr>
          <w:szCs w:val="22"/>
          <w:lang w:val="en-GB"/>
        </w:rPr>
        <w:t>resolves</w:t>
      </w:r>
    </w:p>
    <w:p w14:paraId="6BF18511" w14:textId="77777777" w:rsidR="00933C9B" w:rsidRPr="0042750D" w:rsidRDefault="00933C9B" w:rsidP="00933C9B">
      <w:pPr>
        <w:rPr>
          <w:szCs w:val="22"/>
        </w:rPr>
      </w:pPr>
      <w:r w:rsidRPr="0042750D">
        <w:rPr>
          <w:szCs w:val="22"/>
        </w:rPr>
        <w:t>1</w:t>
      </w:r>
      <w:r w:rsidRPr="0042750D">
        <w:rPr>
          <w:szCs w:val="22"/>
        </w:rPr>
        <w:tab/>
        <w:t>that ITU's role regarding implementation of the WSIS outcomes and the 2030 Agenda for Sustainable Development should focus on telecommunications/ICTs, in accordance with ITU's mandate;</w:t>
      </w:r>
    </w:p>
    <w:p w14:paraId="2B8ACDB8" w14:textId="77777777" w:rsidR="00933C9B" w:rsidRPr="0042750D" w:rsidRDefault="00933C9B" w:rsidP="00933C9B">
      <w:pPr>
        <w:rPr>
          <w:szCs w:val="22"/>
        </w:rPr>
      </w:pPr>
      <w:r w:rsidRPr="0042750D">
        <w:rPr>
          <w:szCs w:val="22"/>
        </w:rPr>
        <w:t>2</w:t>
      </w:r>
      <w:r w:rsidRPr="0042750D">
        <w:rPr>
          <w:szCs w:val="22"/>
        </w:rPr>
        <w:tab/>
        <w:t>that ITU should play a leading facilitating role in the implementation of the WSIS outcomes, along with UNESCO and UNDP;</w:t>
      </w:r>
    </w:p>
    <w:p w14:paraId="0702DF18" w14:textId="77777777" w:rsidR="00933C9B" w:rsidRPr="0042750D" w:rsidRDefault="00933C9B" w:rsidP="00933C9B">
      <w:pPr>
        <w:rPr>
          <w:szCs w:val="22"/>
        </w:rPr>
      </w:pPr>
      <w:r w:rsidRPr="0042750D">
        <w:rPr>
          <w:szCs w:val="22"/>
        </w:rPr>
        <w:t>3</w:t>
      </w:r>
      <w:r w:rsidRPr="0042750D">
        <w:rPr>
          <w:szCs w:val="22"/>
        </w:rPr>
        <w:tab/>
        <w:t>that ITU should continue to coordinate WSIS Forums, World Telecommunication and Information Society Day (WTISD) and WSIS Prizes and maintain the WSIS Stocktaking database, as well as continuing to coordinate and support the activities of the Partnership on Measuring ICT for Development;</w:t>
      </w:r>
    </w:p>
    <w:p w14:paraId="143547A1" w14:textId="77777777" w:rsidR="00933C9B" w:rsidRPr="0042750D" w:rsidRDefault="00933C9B" w:rsidP="00933C9B">
      <w:pPr>
        <w:rPr>
          <w:szCs w:val="22"/>
        </w:rPr>
      </w:pPr>
      <w:r w:rsidRPr="0042750D">
        <w:rPr>
          <w:szCs w:val="22"/>
        </w:rPr>
        <w:t>4</w:t>
      </w:r>
      <w:r w:rsidRPr="0042750D">
        <w:rPr>
          <w:szCs w:val="22"/>
        </w:rPr>
        <w:tab/>
        <w:t>that ITU should continue to play a lead facilitation role in the WSIS implementation process, as a moderator/facilitator for implementing Action Lines C2, C5 and C6;</w:t>
      </w:r>
    </w:p>
    <w:p w14:paraId="5B09AFE6" w14:textId="77777777" w:rsidR="00933C9B" w:rsidRPr="0042750D" w:rsidRDefault="00933C9B" w:rsidP="00933C9B">
      <w:pPr>
        <w:rPr>
          <w:szCs w:val="22"/>
        </w:rPr>
      </w:pPr>
      <w:r w:rsidRPr="0042750D">
        <w:rPr>
          <w:szCs w:val="22"/>
        </w:rPr>
        <w:t>5</w:t>
      </w:r>
      <w:r w:rsidRPr="0042750D">
        <w:rPr>
          <w:szCs w:val="22"/>
        </w:rPr>
        <w:tab/>
        <w:t>that ITU should continue its work on implementation of the WSIS outcomes and realization of the WSIS vision beyond 2015 and carrying out those activities that come within its mandate and participate, together with other stakeholders, as appropriate;</w:t>
      </w:r>
    </w:p>
    <w:p w14:paraId="32313319" w14:textId="77777777" w:rsidR="00933C9B" w:rsidRPr="0042750D" w:rsidRDefault="00933C9B" w:rsidP="00933C9B">
      <w:pPr>
        <w:rPr>
          <w:szCs w:val="22"/>
        </w:rPr>
      </w:pPr>
      <w:r w:rsidRPr="0042750D">
        <w:rPr>
          <w:szCs w:val="22"/>
        </w:rPr>
        <w:t>6</w:t>
      </w:r>
      <w:r w:rsidRPr="0042750D">
        <w:rPr>
          <w:szCs w:val="22"/>
        </w:rPr>
        <w:tab/>
        <w:t xml:space="preserve">that ITU should continue to use the WSIS framework as the foundation through which ITU helps achieve the SDGs, noting the WSIS-SDG Matrix developed by all UN WSIS action line facilitators, working through CWG-WSIS, including by: </w:t>
      </w:r>
    </w:p>
    <w:p w14:paraId="24821C40" w14:textId="77777777" w:rsidR="00933C9B" w:rsidRPr="0042750D" w:rsidRDefault="00933C9B" w:rsidP="00933C9B">
      <w:pPr>
        <w:pStyle w:val="enumlev10"/>
        <w:rPr>
          <w:szCs w:val="22"/>
        </w:rPr>
      </w:pPr>
      <w:r w:rsidRPr="0042750D">
        <w:rPr>
          <w:szCs w:val="22"/>
        </w:rPr>
        <w:t>i)</w:t>
      </w:r>
      <w:r w:rsidRPr="0042750D">
        <w:rPr>
          <w:szCs w:val="22"/>
        </w:rPr>
        <w:tab/>
        <w:t xml:space="preserve">updating its roadmaps WSIS Action Lines C2, C5 and C6 to take into account activities under way to also implement the 2030 Agenda for Sustainable Development; </w:t>
      </w:r>
    </w:p>
    <w:p w14:paraId="2E8298BF" w14:textId="77777777" w:rsidR="00933C9B" w:rsidRPr="0042750D" w:rsidRDefault="00933C9B" w:rsidP="00933C9B">
      <w:pPr>
        <w:pStyle w:val="enumlev10"/>
        <w:rPr>
          <w:szCs w:val="22"/>
        </w:rPr>
      </w:pPr>
      <w:r w:rsidRPr="0042750D">
        <w:rPr>
          <w:szCs w:val="22"/>
        </w:rPr>
        <w:t>ii)</w:t>
      </w:r>
      <w:r w:rsidRPr="0042750D">
        <w:rPr>
          <w:szCs w:val="22"/>
        </w:rPr>
        <w:tab/>
        <w:t>providing input, as appropriate, into the roadmaps/work plans for WSIS Action Lines C1, C3, C4, C7, C8, C9 and C11, also related to the 2030 Agenda for Sustainable Development;</w:t>
      </w:r>
    </w:p>
    <w:p w14:paraId="632A9487" w14:textId="77777777" w:rsidR="00933C9B" w:rsidRPr="0042750D" w:rsidRDefault="00933C9B" w:rsidP="00933C9B">
      <w:pPr>
        <w:rPr>
          <w:szCs w:val="22"/>
        </w:rPr>
      </w:pPr>
      <w:r w:rsidRPr="0042750D">
        <w:rPr>
          <w:szCs w:val="22"/>
        </w:rPr>
        <w:t>7</w:t>
      </w:r>
      <w:r w:rsidRPr="0042750D">
        <w:rPr>
          <w:szCs w:val="22"/>
        </w:rPr>
        <w:tab/>
        <w:t>that ITU should continue to adapt itself, taking into account technological developments and its potential to contribute significantly to building an inclusive information society and to the 2030 Agenda for Sustainable Development;</w:t>
      </w:r>
    </w:p>
    <w:p w14:paraId="7390E145" w14:textId="77777777" w:rsidR="00933C9B" w:rsidRPr="0042750D" w:rsidRDefault="00933C9B" w:rsidP="00933C9B">
      <w:pPr>
        <w:rPr>
          <w:szCs w:val="22"/>
        </w:rPr>
      </w:pPr>
      <w:r w:rsidRPr="0042750D">
        <w:rPr>
          <w:szCs w:val="22"/>
        </w:rPr>
        <w:t>8</w:t>
      </w:r>
      <w:r w:rsidRPr="0042750D">
        <w:rPr>
          <w:szCs w:val="22"/>
        </w:rPr>
        <w:tab/>
        <w:t>that there is a need to integrate the implementation of the Buenos Aires Action Plan, and in particular Resolution 30 (Rev. Buenos Aires, 2017) of WTDC, and relevant resolutions of plenipotentiary conferences, with the multistakeholder implementation of the WSIS outcomes and achievement of the SDGs;</w:t>
      </w:r>
    </w:p>
    <w:p w14:paraId="181F194B" w14:textId="77777777" w:rsidR="00933C9B" w:rsidRPr="0042750D" w:rsidRDefault="00933C9B" w:rsidP="00933C9B">
      <w:pPr>
        <w:rPr>
          <w:szCs w:val="22"/>
        </w:rPr>
      </w:pPr>
      <w:r w:rsidRPr="0042750D">
        <w:rPr>
          <w:szCs w:val="22"/>
        </w:rPr>
        <w:t>9</w:t>
      </w:r>
      <w:r w:rsidRPr="0042750D">
        <w:rPr>
          <w:szCs w:val="22"/>
        </w:rPr>
        <w:tab/>
        <w:t>that the ITU Sectors should carry out those activities that come within their mandates and participate with other stakeholders, as appropriate, in the implementation of all relevant action lines and other WSIS outcomes and in achieving relevant SDGs and considering in their studies the work of CWG-WSIS&amp;SDG and other Council working groups on issues relevant to WSIS and the 2030 Agenda for Sustainable Development;</w:t>
      </w:r>
    </w:p>
    <w:p w14:paraId="7C1A0438" w14:textId="77777777" w:rsidR="00933C9B" w:rsidRPr="0042750D" w:rsidRDefault="00933C9B" w:rsidP="00933C9B">
      <w:pPr>
        <w:rPr>
          <w:szCs w:val="22"/>
        </w:rPr>
      </w:pPr>
      <w:r w:rsidRPr="0042750D">
        <w:rPr>
          <w:szCs w:val="22"/>
        </w:rPr>
        <w:t>10</w:t>
      </w:r>
      <w:r w:rsidRPr="0042750D">
        <w:rPr>
          <w:szCs w:val="22"/>
        </w:rPr>
        <w:tab/>
        <w:t>that the ITU Telecommunication Development Sector (ITU</w:t>
      </w:r>
      <w:r w:rsidRPr="0042750D">
        <w:rPr>
          <w:szCs w:val="22"/>
        </w:rPr>
        <w:noBreakHyphen/>
        <w:t>D) shall give high priority to building information and communication infrastructure (WSIS Action Line C2), this being the physical backbone for all e</w:t>
      </w:r>
      <w:r w:rsidRPr="0042750D">
        <w:rPr>
          <w:szCs w:val="22"/>
        </w:rPr>
        <w:noBreakHyphen/>
        <w:t>applications, having regard to the Buenos Aires Declaration and Objective 3 of the Buenos Aires Action Plan and calling upon the ITU</w:t>
      </w:r>
      <w:r w:rsidRPr="0042750D">
        <w:rPr>
          <w:szCs w:val="22"/>
        </w:rPr>
        <w:noBreakHyphen/>
        <w:t>D study groups to do the same;</w:t>
      </w:r>
    </w:p>
    <w:p w14:paraId="65BD1258" w14:textId="77777777" w:rsidR="00933C9B" w:rsidRPr="0042750D" w:rsidRDefault="00933C9B" w:rsidP="00933C9B">
      <w:pPr>
        <w:spacing w:after="240"/>
        <w:rPr>
          <w:szCs w:val="22"/>
        </w:rPr>
      </w:pPr>
      <w:r w:rsidRPr="0042750D">
        <w:rPr>
          <w:szCs w:val="22"/>
        </w:rPr>
        <w:t>11</w:t>
      </w:r>
      <w:r w:rsidRPr="0042750D">
        <w:rPr>
          <w:szCs w:val="22"/>
        </w:rPr>
        <w:tab/>
        <w:t>that ITU should submit a progress report concerning its implementation of the WSIS outcomes and the 2030 Agenda for Sustainable Development, noting the contribution of telecommunication/ICT to the digital economy, to the plenipotentiary conference in 2022,</w:t>
      </w:r>
    </w:p>
    <w:p w14:paraId="21759E86" w14:textId="77777777" w:rsidR="00933C9B" w:rsidRPr="0042750D" w:rsidRDefault="00933C9B" w:rsidP="00933C9B">
      <w:pPr>
        <w:pStyle w:val="Call"/>
        <w:rPr>
          <w:szCs w:val="22"/>
          <w:lang w:val="en-GB"/>
        </w:rPr>
      </w:pPr>
      <w:r w:rsidRPr="0042750D">
        <w:rPr>
          <w:szCs w:val="22"/>
          <w:lang w:val="en-GB"/>
        </w:rPr>
        <w:t xml:space="preserve">instructs the Secretary-General and the Directors of the Bureaux </w:t>
      </w:r>
    </w:p>
    <w:p w14:paraId="384F4B61" w14:textId="77777777" w:rsidR="00933C9B" w:rsidRPr="0042750D" w:rsidRDefault="00933C9B" w:rsidP="00933C9B">
      <w:pPr>
        <w:rPr>
          <w:szCs w:val="22"/>
        </w:rPr>
      </w:pPr>
      <w:r w:rsidRPr="0042750D">
        <w:rPr>
          <w:szCs w:val="22"/>
        </w:rPr>
        <w:t>1</w:t>
      </w:r>
      <w:r w:rsidRPr="0042750D">
        <w:rPr>
          <w:szCs w:val="22"/>
        </w:rPr>
        <w:tab/>
        <w:t xml:space="preserve">to take all necessary measures for ITU to fulfil its role, as outlined in </w:t>
      </w:r>
      <w:r w:rsidRPr="0042750D">
        <w:rPr>
          <w:i/>
          <w:iCs/>
          <w:szCs w:val="22"/>
        </w:rPr>
        <w:t>resolves</w:t>
      </w:r>
      <w:r w:rsidRPr="0042750D">
        <w:rPr>
          <w:szCs w:val="22"/>
        </w:rPr>
        <w:t xml:space="preserve"> 1, 2, 3, and 4 above, in accordance with the appropriate roadmaps and coordinating through the WSIS/SDG Task Force, with the aim of avoiding duplication of work among the ITU Bureaux and the ITU General Secretariat; </w:t>
      </w:r>
    </w:p>
    <w:p w14:paraId="550B93C4" w14:textId="4CBFC4A7" w:rsidR="00933C9B" w:rsidRPr="0042750D" w:rsidRDefault="00933C9B" w:rsidP="00933C9B">
      <w:pPr>
        <w:rPr>
          <w:szCs w:val="22"/>
        </w:rPr>
      </w:pPr>
      <w:r w:rsidRPr="0042750D">
        <w:rPr>
          <w:szCs w:val="22"/>
        </w:rPr>
        <w:t>2</w:t>
      </w:r>
      <w:r w:rsidRPr="0042750D">
        <w:rPr>
          <w:szCs w:val="22"/>
        </w:rPr>
        <w:tab/>
        <w:t>to regularly update the roadmaps for ITU's activities within its mandate in regard to WSIS implementation taking into account the 2030 Agenda for Sustainable Development, to be presented to the Council via CWG-WSI</w:t>
      </w:r>
      <w:r w:rsidR="00A25AFC" w:rsidRPr="0042750D">
        <w:rPr>
          <w:szCs w:val="22"/>
        </w:rPr>
        <w:t>S</w:t>
      </w:r>
      <w:r w:rsidRPr="0042750D">
        <w:rPr>
          <w:szCs w:val="22"/>
        </w:rPr>
        <w:t>&amp;SDG;</w:t>
      </w:r>
    </w:p>
    <w:p w14:paraId="3830A3A4" w14:textId="77777777" w:rsidR="00933C9B" w:rsidRPr="0042750D" w:rsidRDefault="00933C9B" w:rsidP="005D14EB">
      <w:pPr>
        <w:rPr>
          <w:szCs w:val="22"/>
        </w:rPr>
      </w:pPr>
      <w:r w:rsidRPr="0042750D">
        <w:rPr>
          <w:szCs w:val="22"/>
        </w:rPr>
        <w:t>3</w:t>
      </w:r>
      <w:r w:rsidRPr="0042750D">
        <w:rPr>
          <w:szCs w:val="22"/>
        </w:rPr>
        <w:tab/>
        <w:t>to strengthen, involving, among others, the ITU regional and area offices, coordination and collaboration at the regional level with the UN regional economic commissions and the UN Regional Development Group, as well as all UN agencies (in particular those acting as facilitator for WSIS action lines), other relevant regional organizations, especially in the field of telecommunications/ICT, with the aim of:</w:t>
      </w:r>
    </w:p>
    <w:p w14:paraId="3D029176" w14:textId="77777777" w:rsidR="00933C9B" w:rsidRPr="0042750D" w:rsidRDefault="00933C9B" w:rsidP="005D14EB">
      <w:pPr>
        <w:pStyle w:val="enumlev10"/>
        <w:jc w:val="left"/>
        <w:rPr>
          <w:szCs w:val="22"/>
        </w:rPr>
      </w:pPr>
      <w:r w:rsidRPr="0042750D">
        <w:rPr>
          <w:szCs w:val="22"/>
        </w:rPr>
        <w:t>i)</w:t>
      </w:r>
      <w:r w:rsidRPr="0042750D">
        <w:rPr>
          <w:szCs w:val="22"/>
        </w:rPr>
        <w:tab/>
        <w:t>aligning WSIS and SDG processes and their implementation as requested by UNGA Resolution 70/125;</w:t>
      </w:r>
    </w:p>
    <w:p w14:paraId="7788FD8B" w14:textId="77777777" w:rsidR="00933C9B" w:rsidRPr="0042750D" w:rsidRDefault="00933C9B" w:rsidP="005D14EB">
      <w:pPr>
        <w:pStyle w:val="enumlev10"/>
        <w:jc w:val="left"/>
        <w:rPr>
          <w:szCs w:val="22"/>
        </w:rPr>
      </w:pPr>
      <w:r w:rsidRPr="0042750D">
        <w:rPr>
          <w:szCs w:val="22"/>
        </w:rPr>
        <w:t>ii)</w:t>
      </w:r>
      <w:r w:rsidRPr="0042750D">
        <w:rPr>
          <w:szCs w:val="22"/>
        </w:rPr>
        <w:tab/>
        <w:t>implementing ICT for SDG actions through the UN's "Delivering as One" approach;</w:t>
      </w:r>
    </w:p>
    <w:p w14:paraId="5D73C663" w14:textId="77777777" w:rsidR="00933C9B" w:rsidRPr="0042750D" w:rsidRDefault="00933C9B" w:rsidP="005D14EB">
      <w:pPr>
        <w:pStyle w:val="enumlev10"/>
        <w:jc w:val="left"/>
        <w:rPr>
          <w:szCs w:val="22"/>
        </w:rPr>
      </w:pPr>
      <w:r w:rsidRPr="0042750D">
        <w:rPr>
          <w:szCs w:val="22"/>
        </w:rPr>
        <w:t>iii)</w:t>
      </w:r>
      <w:r w:rsidRPr="0042750D">
        <w:rPr>
          <w:szCs w:val="22"/>
        </w:rPr>
        <w:tab/>
        <w:t>incorporating ICTs in the UN development assistance frameworks;</w:t>
      </w:r>
    </w:p>
    <w:p w14:paraId="3D8EBEC6" w14:textId="77777777" w:rsidR="00933C9B" w:rsidRPr="0042750D" w:rsidRDefault="00933C9B" w:rsidP="00933C9B">
      <w:pPr>
        <w:pStyle w:val="enumlev10"/>
        <w:rPr>
          <w:szCs w:val="22"/>
        </w:rPr>
      </w:pPr>
      <w:r w:rsidRPr="0042750D">
        <w:rPr>
          <w:szCs w:val="22"/>
        </w:rPr>
        <w:t>iv)</w:t>
      </w:r>
      <w:r w:rsidRPr="0042750D">
        <w:rPr>
          <w:szCs w:val="22"/>
        </w:rPr>
        <w:tab/>
        <w:t xml:space="preserve">developing partnerships for implementation of inter-agency and multistakeholder projects, advancing the implementation of WSIS action lines and advancing achievement of the SDGs; </w:t>
      </w:r>
    </w:p>
    <w:p w14:paraId="2839809B" w14:textId="77777777" w:rsidR="00933C9B" w:rsidRPr="0042750D" w:rsidRDefault="00933C9B" w:rsidP="00933C9B">
      <w:pPr>
        <w:pStyle w:val="enumlev10"/>
        <w:rPr>
          <w:szCs w:val="22"/>
        </w:rPr>
      </w:pPr>
      <w:r w:rsidRPr="0042750D">
        <w:rPr>
          <w:szCs w:val="22"/>
        </w:rPr>
        <w:t>v)</w:t>
      </w:r>
      <w:r w:rsidRPr="0042750D">
        <w:rPr>
          <w:szCs w:val="22"/>
        </w:rPr>
        <w:tab/>
        <w:t>highlighting the importance of advocacy for ICTs in national sustainable development plans;</w:t>
      </w:r>
    </w:p>
    <w:p w14:paraId="41078982" w14:textId="77777777" w:rsidR="00933C9B" w:rsidRPr="0042750D" w:rsidRDefault="00933C9B" w:rsidP="00933C9B">
      <w:pPr>
        <w:pStyle w:val="enumlev10"/>
        <w:rPr>
          <w:szCs w:val="22"/>
        </w:rPr>
      </w:pPr>
      <w:r w:rsidRPr="0042750D">
        <w:rPr>
          <w:szCs w:val="22"/>
        </w:rPr>
        <w:t>vi)</w:t>
      </w:r>
      <w:r w:rsidRPr="0042750D">
        <w:rPr>
          <w:szCs w:val="22"/>
        </w:rPr>
        <w:tab/>
        <w:t>strengthening regional input to the WSIS Forum, WSIS Prizes and WSIS Stocktaking;</w:t>
      </w:r>
    </w:p>
    <w:p w14:paraId="593319D7" w14:textId="77777777" w:rsidR="00933C9B" w:rsidRPr="0042750D" w:rsidRDefault="00933C9B" w:rsidP="00933C9B">
      <w:pPr>
        <w:rPr>
          <w:szCs w:val="22"/>
        </w:rPr>
      </w:pPr>
      <w:r w:rsidRPr="0042750D">
        <w:rPr>
          <w:szCs w:val="22"/>
        </w:rPr>
        <w:t>4</w:t>
      </w:r>
      <w:r w:rsidRPr="0042750D">
        <w:rPr>
          <w:szCs w:val="22"/>
        </w:rPr>
        <w:tab/>
        <w:t>to continue to raise public awareness of the Union's mandate, role and activities and provide broader access to the Union's resources for the general public and other actors involved in the emerging information society;</w:t>
      </w:r>
    </w:p>
    <w:p w14:paraId="1873303D" w14:textId="77777777" w:rsidR="00933C9B" w:rsidRPr="0042750D" w:rsidRDefault="00933C9B" w:rsidP="00933C9B">
      <w:pPr>
        <w:rPr>
          <w:szCs w:val="22"/>
        </w:rPr>
      </w:pPr>
      <w:r w:rsidRPr="0042750D">
        <w:rPr>
          <w:szCs w:val="22"/>
        </w:rPr>
        <w:t>5</w:t>
      </w:r>
      <w:r w:rsidRPr="0042750D">
        <w:rPr>
          <w:szCs w:val="22"/>
        </w:rPr>
        <w:tab/>
        <w:t>to prepare and submit a progress report on the ITU activities for WSIS/SDG implementation to the next plenipotentiary conference in 2022,</w:t>
      </w:r>
    </w:p>
    <w:p w14:paraId="160E538D" w14:textId="77777777" w:rsidR="00933C9B" w:rsidRPr="0042750D" w:rsidRDefault="00933C9B" w:rsidP="00933C9B">
      <w:pPr>
        <w:pStyle w:val="Call"/>
        <w:rPr>
          <w:szCs w:val="22"/>
          <w:lang w:val="en-GB"/>
        </w:rPr>
      </w:pPr>
      <w:r w:rsidRPr="0042750D">
        <w:rPr>
          <w:szCs w:val="22"/>
          <w:lang w:val="en-GB"/>
        </w:rPr>
        <w:t>instructs the Directors of the Bureaux</w:t>
      </w:r>
    </w:p>
    <w:p w14:paraId="3EA81553" w14:textId="77777777" w:rsidR="00933C9B" w:rsidRPr="0042750D" w:rsidRDefault="00933C9B" w:rsidP="00933C9B">
      <w:pPr>
        <w:rPr>
          <w:szCs w:val="22"/>
        </w:rPr>
      </w:pPr>
      <w:r w:rsidRPr="0042750D">
        <w:rPr>
          <w:szCs w:val="22"/>
        </w:rPr>
        <w:t>1</w:t>
      </w:r>
      <w:r w:rsidRPr="0042750D">
        <w:rPr>
          <w:szCs w:val="22"/>
        </w:rPr>
        <w:tab/>
        <w:t>to ensure that concrete objectives and deadlines (using results-based management processes) for WSIS and SDG activities are developed and reflected in the operational plans of each Sector;</w:t>
      </w:r>
    </w:p>
    <w:p w14:paraId="19DBD97E" w14:textId="1C73C18E" w:rsidR="00F0236A" w:rsidRPr="0042750D" w:rsidRDefault="00933C9B" w:rsidP="00933C9B">
      <w:pPr>
        <w:spacing w:after="120"/>
        <w:rPr>
          <w:szCs w:val="22"/>
        </w:rPr>
      </w:pPr>
      <w:r w:rsidRPr="0042750D">
        <w:rPr>
          <w:szCs w:val="22"/>
        </w:rPr>
        <w:t>2</w:t>
      </w:r>
      <w:r w:rsidRPr="0042750D">
        <w:rPr>
          <w:szCs w:val="22"/>
        </w:rPr>
        <w:tab/>
        <w:t>to take into account the impact of ITU's work in telecommunications/ICT related to digital transformation on the growth of the digital economy, in line with the WSIS framework, and provide assistance to the membership upon request</w:t>
      </w:r>
      <w:r w:rsidR="00F0236A" w:rsidRPr="0042750D">
        <w:rPr>
          <w:szCs w:val="22"/>
        </w:rPr>
        <w:t>.</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F0236A" w:rsidRPr="0042750D" w14:paraId="1ADF1DD3" w14:textId="77777777" w:rsidTr="00043514">
        <w:trPr>
          <w:tblHeader/>
          <w:jc w:val="center"/>
        </w:trPr>
        <w:tc>
          <w:tcPr>
            <w:tcW w:w="902" w:type="dxa"/>
            <w:tcBorders>
              <w:top w:val="single" w:sz="12" w:space="0" w:color="auto"/>
              <w:bottom w:val="single" w:sz="12" w:space="0" w:color="auto"/>
            </w:tcBorders>
            <w:shd w:val="clear" w:color="auto" w:fill="auto"/>
            <w:vAlign w:val="center"/>
          </w:tcPr>
          <w:p w14:paraId="22336C33" w14:textId="77777777" w:rsidR="00F0236A" w:rsidRPr="0042750D" w:rsidRDefault="00F0236A" w:rsidP="00DF36E1">
            <w:pPr>
              <w:pStyle w:val="Tablehead"/>
              <w:rPr>
                <w:sz w:val="24"/>
                <w:szCs w:val="24"/>
              </w:rPr>
            </w:pPr>
            <w:r w:rsidRPr="0042750D">
              <w:rPr>
                <w:sz w:val="24"/>
                <w:szCs w:val="24"/>
              </w:rPr>
              <w:t>Action Item</w:t>
            </w:r>
          </w:p>
        </w:tc>
        <w:tc>
          <w:tcPr>
            <w:tcW w:w="4437" w:type="dxa"/>
            <w:tcBorders>
              <w:top w:val="single" w:sz="12" w:space="0" w:color="auto"/>
              <w:bottom w:val="single" w:sz="12" w:space="0" w:color="auto"/>
            </w:tcBorders>
            <w:shd w:val="clear" w:color="auto" w:fill="auto"/>
            <w:vAlign w:val="center"/>
            <w:hideMark/>
          </w:tcPr>
          <w:p w14:paraId="29CAA790" w14:textId="77777777" w:rsidR="00F0236A" w:rsidRPr="0042750D" w:rsidRDefault="00F0236A" w:rsidP="00DF36E1">
            <w:pPr>
              <w:pStyle w:val="Tablehead"/>
              <w:rPr>
                <w:sz w:val="24"/>
                <w:szCs w:val="24"/>
              </w:rPr>
            </w:pPr>
            <w:r w:rsidRPr="0042750D">
              <w:rPr>
                <w:sz w:val="24"/>
                <w:szCs w:val="24"/>
              </w:rPr>
              <w:t>Action</w:t>
            </w:r>
          </w:p>
        </w:tc>
        <w:tc>
          <w:tcPr>
            <w:tcW w:w="1626" w:type="dxa"/>
            <w:tcBorders>
              <w:top w:val="single" w:sz="12" w:space="0" w:color="auto"/>
              <w:bottom w:val="single" w:sz="12" w:space="0" w:color="auto"/>
            </w:tcBorders>
            <w:shd w:val="clear" w:color="auto" w:fill="auto"/>
            <w:vAlign w:val="center"/>
            <w:hideMark/>
          </w:tcPr>
          <w:p w14:paraId="5E8AFA48" w14:textId="77777777" w:rsidR="00F0236A" w:rsidRPr="0042750D" w:rsidRDefault="00F0236A" w:rsidP="00DF36E1">
            <w:pPr>
              <w:pStyle w:val="Tablehead"/>
              <w:rPr>
                <w:sz w:val="24"/>
                <w:szCs w:val="24"/>
              </w:rPr>
            </w:pPr>
            <w:r w:rsidRPr="0042750D">
              <w:rPr>
                <w:sz w:val="24"/>
                <w:szCs w:val="24"/>
              </w:rPr>
              <w:t>Milestone</w:t>
            </w:r>
          </w:p>
        </w:tc>
        <w:tc>
          <w:tcPr>
            <w:tcW w:w="1206" w:type="dxa"/>
            <w:tcBorders>
              <w:top w:val="single" w:sz="12" w:space="0" w:color="auto"/>
              <w:bottom w:val="single" w:sz="12" w:space="0" w:color="auto"/>
            </w:tcBorders>
            <w:shd w:val="clear" w:color="auto" w:fill="auto"/>
          </w:tcPr>
          <w:p w14:paraId="14B07420" w14:textId="77777777" w:rsidR="00F0236A" w:rsidRPr="0042750D" w:rsidRDefault="00F0236A" w:rsidP="00DF36E1">
            <w:pPr>
              <w:pStyle w:val="Tablehead"/>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63AC8B"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60C710FF" w14:textId="77777777" w:rsidTr="00657C15">
        <w:trPr>
          <w:jc w:val="center"/>
        </w:trPr>
        <w:tc>
          <w:tcPr>
            <w:tcW w:w="902" w:type="dxa"/>
            <w:vMerge w:val="restart"/>
            <w:shd w:val="clear" w:color="auto" w:fill="auto"/>
          </w:tcPr>
          <w:p w14:paraId="7C87EC82" w14:textId="740439B5" w:rsidR="00F0236A" w:rsidRPr="0042750D" w:rsidRDefault="00933C9B" w:rsidP="00933C9B">
            <w:pPr>
              <w:pStyle w:val="Tabletext"/>
              <w:keepNext/>
              <w:keepLines/>
              <w:rPr>
                <w:b/>
                <w:bCs/>
                <w:sz w:val="24"/>
                <w:szCs w:val="24"/>
              </w:rPr>
            </w:pPr>
            <w:r w:rsidRPr="0042750D">
              <w:rPr>
                <w:b/>
                <w:bCs/>
                <w:sz w:val="24"/>
                <w:szCs w:val="24"/>
              </w:rPr>
              <w:t>140</w:t>
            </w:r>
            <w:r w:rsidR="00F0236A" w:rsidRPr="0042750D">
              <w:rPr>
                <w:b/>
                <w:bCs/>
                <w:sz w:val="24"/>
                <w:szCs w:val="24"/>
              </w:rPr>
              <w:t>-0</w:t>
            </w:r>
            <w:r w:rsidRPr="0042750D">
              <w:rPr>
                <w:b/>
                <w:bCs/>
                <w:sz w:val="24"/>
                <w:szCs w:val="24"/>
              </w:rPr>
              <w:t>1</w:t>
            </w:r>
          </w:p>
        </w:tc>
        <w:tc>
          <w:tcPr>
            <w:tcW w:w="4437" w:type="dxa"/>
            <w:shd w:val="clear" w:color="auto" w:fill="auto"/>
          </w:tcPr>
          <w:p w14:paraId="058934A9" w14:textId="2C759A42" w:rsidR="00F0236A" w:rsidRPr="0042750D" w:rsidRDefault="00933C9B" w:rsidP="00933C9B">
            <w:pPr>
              <w:pStyle w:val="Tabletext"/>
              <w:rPr>
                <w:b/>
                <w:bCs/>
                <w:sz w:val="24"/>
                <w:szCs w:val="24"/>
              </w:rPr>
            </w:pPr>
            <w:r w:rsidRPr="0042750D">
              <w:rPr>
                <w:b/>
                <w:bCs/>
                <w:sz w:val="24"/>
                <w:szCs w:val="24"/>
              </w:rPr>
              <w:t>ITU-T should carry out those activities that come within their mandates and participate with other stakeholders, as appropriate, in the implementation of all relevant action lines and other WSIS outcomes and in achieving relevant SDGs and considering in their studies the work of CWG-WSIS&amp;SDG and other Council working groups on issues relevant to WSIS and the 2030 Agenda for Sustainable Development</w:t>
            </w:r>
            <w:r w:rsidR="0066105E" w:rsidRPr="0042750D">
              <w:rPr>
                <w:b/>
                <w:bCs/>
                <w:sz w:val="24"/>
                <w:szCs w:val="24"/>
              </w:rPr>
              <w:t xml:space="preserve"> (</w:t>
            </w:r>
            <w:r w:rsidR="0066105E" w:rsidRPr="0042750D">
              <w:rPr>
                <w:b/>
                <w:bCs/>
                <w:i/>
                <w:sz w:val="24"/>
                <w:szCs w:val="24"/>
              </w:rPr>
              <w:t>resolves 9</w:t>
            </w:r>
            <w:r w:rsidR="0066105E" w:rsidRPr="0042750D">
              <w:rPr>
                <w:b/>
                <w:bCs/>
                <w:sz w:val="24"/>
                <w:szCs w:val="24"/>
              </w:rPr>
              <w:t>)</w:t>
            </w:r>
            <w:r w:rsidRPr="0042750D">
              <w:rPr>
                <w:b/>
                <w:bCs/>
                <w:sz w:val="24"/>
                <w:szCs w:val="24"/>
              </w:rPr>
              <w:t>.</w:t>
            </w:r>
          </w:p>
        </w:tc>
        <w:tc>
          <w:tcPr>
            <w:tcW w:w="1626" w:type="dxa"/>
            <w:shd w:val="clear" w:color="auto" w:fill="auto"/>
            <w:vAlign w:val="center"/>
          </w:tcPr>
          <w:p w14:paraId="7BB5ED90" w14:textId="77777777" w:rsidR="00F0236A" w:rsidRPr="0042750D" w:rsidRDefault="00F0236A" w:rsidP="00DF36E1">
            <w:pPr>
              <w:pStyle w:val="Tabletext"/>
              <w:jc w:val="center"/>
              <w:rPr>
                <w:b/>
                <w:bCs/>
                <w:sz w:val="24"/>
                <w:szCs w:val="24"/>
              </w:rPr>
            </w:pPr>
            <w:r w:rsidRPr="0042750D">
              <w:rPr>
                <w:b/>
                <w:bCs/>
                <w:sz w:val="24"/>
                <w:szCs w:val="24"/>
              </w:rPr>
              <w:t>Ongoing</w:t>
            </w:r>
          </w:p>
        </w:tc>
        <w:tc>
          <w:tcPr>
            <w:tcW w:w="1206" w:type="dxa"/>
            <w:shd w:val="clear" w:color="auto" w:fill="auto"/>
            <w:vAlign w:val="center"/>
          </w:tcPr>
          <w:p w14:paraId="0D67BA08" w14:textId="3C68BA30" w:rsidR="00F0236A" w:rsidRPr="0042750D" w:rsidRDefault="00F30B5B" w:rsidP="00DF36E1">
            <w:pPr>
              <w:pStyle w:val="Tabletext"/>
              <w:jc w:val="center"/>
              <w:rPr>
                <w:b/>
                <w:bCs/>
                <w:sz w:val="24"/>
                <w:szCs w:val="24"/>
              </w:rPr>
            </w:pPr>
            <w:r w:rsidRPr="0042750D">
              <w:rPr>
                <w:b/>
                <w:bCs/>
                <w:sz w:val="24"/>
                <w:szCs w:val="24"/>
              </w:rPr>
              <w:t>√</w:t>
            </w:r>
          </w:p>
        </w:tc>
        <w:tc>
          <w:tcPr>
            <w:tcW w:w="1336" w:type="dxa"/>
            <w:shd w:val="clear" w:color="auto" w:fill="auto"/>
            <w:vAlign w:val="center"/>
          </w:tcPr>
          <w:p w14:paraId="5F587D2D" w14:textId="77777777" w:rsidR="00F0236A" w:rsidRPr="0042750D" w:rsidRDefault="00F0236A" w:rsidP="00DF36E1">
            <w:pPr>
              <w:pStyle w:val="Tabletext"/>
              <w:jc w:val="center"/>
              <w:rPr>
                <w:b/>
                <w:bCs/>
                <w:sz w:val="24"/>
                <w:szCs w:val="24"/>
              </w:rPr>
            </w:pPr>
          </w:p>
        </w:tc>
      </w:tr>
      <w:tr w:rsidR="00F0236A" w:rsidRPr="0042750D" w14:paraId="68D819D1" w14:textId="77777777" w:rsidTr="0085771B">
        <w:trPr>
          <w:jc w:val="center"/>
        </w:trPr>
        <w:tc>
          <w:tcPr>
            <w:tcW w:w="902" w:type="dxa"/>
            <w:vMerge/>
            <w:tcBorders>
              <w:bottom w:val="single" w:sz="12" w:space="0" w:color="auto"/>
            </w:tcBorders>
            <w:shd w:val="clear" w:color="auto" w:fill="auto"/>
          </w:tcPr>
          <w:p w14:paraId="4FE3E4D2" w14:textId="77777777" w:rsidR="00F0236A" w:rsidRPr="0042750D" w:rsidRDefault="00F0236A" w:rsidP="00DF36E1">
            <w:pPr>
              <w:pStyle w:val="Tabletext"/>
              <w:rPr>
                <w:sz w:val="24"/>
                <w:szCs w:val="24"/>
              </w:rPr>
            </w:pPr>
          </w:p>
        </w:tc>
        <w:tc>
          <w:tcPr>
            <w:tcW w:w="8605" w:type="dxa"/>
            <w:gridSpan w:val="4"/>
            <w:tcBorders>
              <w:bottom w:val="single" w:sz="12" w:space="0" w:color="auto"/>
            </w:tcBorders>
            <w:shd w:val="clear" w:color="auto" w:fill="auto"/>
          </w:tcPr>
          <w:p w14:paraId="79672172" w14:textId="77777777" w:rsidR="00F0236A" w:rsidRPr="0042750D" w:rsidRDefault="00F30B5B" w:rsidP="00DF36E1">
            <w:pPr>
              <w:pStyle w:val="Tabletext"/>
              <w:rPr>
                <w:szCs w:val="22"/>
              </w:rPr>
            </w:pPr>
            <w:r w:rsidRPr="0042750D">
              <w:rPr>
                <w:szCs w:val="22"/>
              </w:rPr>
              <w:t>ITU-T is following this practice.</w:t>
            </w:r>
          </w:p>
          <w:p w14:paraId="2573DC53" w14:textId="00184505" w:rsidR="000B6F89" w:rsidRPr="0042750D" w:rsidRDefault="00DD025B" w:rsidP="00EB7C58">
            <w:pPr>
              <w:pStyle w:val="Tabletext"/>
              <w:rPr>
                <w:szCs w:val="22"/>
              </w:rPr>
            </w:pPr>
            <w:hyperlink r:id="rId60" w:history="1">
              <w:r w:rsidR="000B6F89" w:rsidRPr="0042750D">
                <w:rPr>
                  <w:rStyle w:val="Hyperlink"/>
                  <w:szCs w:val="22"/>
                </w:rPr>
                <w:t>CWG-WSIS&amp;SDG-34/010</w:t>
              </w:r>
            </w:hyperlink>
            <w:r w:rsidR="000B6F89" w:rsidRPr="0042750D">
              <w:rPr>
                <w:szCs w:val="22"/>
              </w:rPr>
              <w:t xml:space="preserve"> Annex 2 provides an initial mapping conducted by the secretariat to map the ITU-T Study Groups with the WSIS Action Lines and SDGs.</w:t>
            </w:r>
          </w:p>
        </w:tc>
      </w:tr>
      <w:tr w:rsidR="00F0236A" w:rsidRPr="0042750D" w14:paraId="434A73F9" w14:textId="77777777" w:rsidTr="00657C15">
        <w:trPr>
          <w:jc w:val="center"/>
        </w:trPr>
        <w:tc>
          <w:tcPr>
            <w:tcW w:w="902" w:type="dxa"/>
            <w:vMerge w:val="restart"/>
            <w:tcBorders>
              <w:top w:val="single" w:sz="12" w:space="0" w:color="auto"/>
            </w:tcBorders>
            <w:shd w:val="clear" w:color="auto" w:fill="auto"/>
          </w:tcPr>
          <w:p w14:paraId="45635392" w14:textId="153BF202" w:rsidR="00F0236A" w:rsidRPr="0042750D" w:rsidRDefault="00C57528" w:rsidP="00366A6E">
            <w:pPr>
              <w:pStyle w:val="Tabletext"/>
              <w:rPr>
                <w:b/>
                <w:bCs/>
                <w:sz w:val="24"/>
                <w:szCs w:val="24"/>
              </w:rPr>
            </w:pPr>
            <w:r w:rsidRPr="0042750D">
              <w:rPr>
                <w:b/>
                <w:bCs/>
                <w:sz w:val="24"/>
                <w:szCs w:val="24"/>
              </w:rPr>
              <w:t>140-02</w:t>
            </w:r>
          </w:p>
        </w:tc>
        <w:tc>
          <w:tcPr>
            <w:tcW w:w="4437" w:type="dxa"/>
            <w:tcBorders>
              <w:top w:val="single" w:sz="12" w:space="0" w:color="auto"/>
            </w:tcBorders>
            <w:shd w:val="clear" w:color="auto" w:fill="auto"/>
            <w:hideMark/>
          </w:tcPr>
          <w:p w14:paraId="0E89F06B" w14:textId="6F166D7F" w:rsidR="00F0236A" w:rsidRPr="0042750D" w:rsidRDefault="00C57528" w:rsidP="00C57528">
            <w:pPr>
              <w:pStyle w:val="Tabletext"/>
              <w:rPr>
                <w:b/>
                <w:bCs/>
                <w:sz w:val="24"/>
                <w:szCs w:val="24"/>
              </w:rPr>
            </w:pPr>
            <w:r w:rsidRPr="0042750D">
              <w:rPr>
                <w:b/>
                <w:bCs/>
                <w:sz w:val="24"/>
                <w:szCs w:val="24"/>
              </w:rPr>
              <w:t>TSBDir to take all necessary measures for ITU</w:t>
            </w:r>
            <w:r w:rsidR="00407213" w:rsidRPr="0042750D">
              <w:rPr>
                <w:b/>
                <w:bCs/>
                <w:sz w:val="24"/>
                <w:szCs w:val="24"/>
              </w:rPr>
              <w:t>-T</w:t>
            </w:r>
            <w:r w:rsidRPr="0042750D">
              <w:rPr>
                <w:b/>
                <w:bCs/>
                <w:sz w:val="24"/>
                <w:szCs w:val="24"/>
              </w:rPr>
              <w:t xml:space="preserve"> to fulfil its role</w:t>
            </w:r>
            <w:r w:rsidR="0066105E" w:rsidRPr="0042750D">
              <w:rPr>
                <w:b/>
                <w:bCs/>
                <w:sz w:val="24"/>
                <w:szCs w:val="24"/>
              </w:rPr>
              <w:t xml:space="preserve"> (</w:t>
            </w:r>
            <w:r w:rsidR="0066105E" w:rsidRPr="0042750D">
              <w:rPr>
                <w:b/>
                <w:bCs/>
                <w:i/>
                <w:sz w:val="24"/>
                <w:szCs w:val="24"/>
              </w:rPr>
              <w:t>instructs 1</w:t>
            </w:r>
            <w:r w:rsidR="0066105E" w:rsidRPr="0042750D">
              <w:rPr>
                <w:b/>
                <w:bCs/>
                <w:sz w:val="24"/>
                <w:szCs w:val="24"/>
              </w:rPr>
              <w:t>)</w:t>
            </w:r>
            <w:r w:rsidRPr="0042750D">
              <w:rPr>
                <w:b/>
                <w:bCs/>
                <w:sz w:val="24"/>
                <w:szCs w:val="24"/>
              </w:rPr>
              <w:t>.</w:t>
            </w:r>
          </w:p>
        </w:tc>
        <w:tc>
          <w:tcPr>
            <w:tcW w:w="1626" w:type="dxa"/>
            <w:tcBorders>
              <w:top w:val="single" w:sz="12" w:space="0" w:color="auto"/>
            </w:tcBorders>
            <w:shd w:val="clear" w:color="auto" w:fill="auto"/>
            <w:vAlign w:val="center"/>
            <w:hideMark/>
          </w:tcPr>
          <w:p w14:paraId="5CD8ED52" w14:textId="77777777" w:rsidR="00F0236A" w:rsidRPr="0042750D" w:rsidRDefault="00F0236A" w:rsidP="00DF36E1">
            <w:pPr>
              <w:pStyle w:val="Tabletext"/>
              <w:jc w:val="center"/>
              <w:rPr>
                <w:b/>
                <w:bCs/>
                <w:sz w:val="24"/>
                <w:szCs w:val="24"/>
              </w:rPr>
            </w:pPr>
            <w:r w:rsidRPr="0042750D">
              <w:rPr>
                <w:b/>
                <w:bCs/>
                <w:sz w:val="24"/>
                <w:szCs w:val="24"/>
              </w:rPr>
              <w:t>Ongoing</w:t>
            </w:r>
          </w:p>
        </w:tc>
        <w:tc>
          <w:tcPr>
            <w:tcW w:w="1206" w:type="dxa"/>
            <w:tcBorders>
              <w:top w:val="single" w:sz="12" w:space="0" w:color="auto"/>
            </w:tcBorders>
            <w:shd w:val="clear" w:color="auto" w:fill="auto"/>
            <w:vAlign w:val="center"/>
          </w:tcPr>
          <w:p w14:paraId="09154254" w14:textId="6B1AA4D0" w:rsidR="00F0236A" w:rsidRPr="0042750D" w:rsidRDefault="00536A4A" w:rsidP="00DF36E1">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0F9E3456" w14:textId="77777777" w:rsidR="00F0236A" w:rsidRPr="0042750D" w:rsidRDefault="00F0236A" w:rsidP="00DF36E1">
            <w:pPr>
              <w:pStyle w:val="Tabletext"/>
              <w:jc w:val="center"/>
              <w:rPr>
                <w:b/>
                <w:bCs/>
                <w:sz w:val="24"/>
                <w:szCs w:val="24"/>
              </w:rPr>
            </w:pPr>
          </w:p>
        </w:tc>
      </w:tr>
      <w:tr w:rsidR="00F0236A" w:rsidRPr="0042750D" w14:paraId="73552EF1" w14:textId="77777777" w:rsidTr="0085771B">
        <w:trPr>
          <w:jc w:val="center"/>
        </w:trPr>
        <w:tc>
          <w:tcPr>
            <w:tcW w:w="902" w:type="dxa"/>
            <w:vMerge/>
            <w:shd w:val="clear" w:color="auto" w:fill="auto"/>
          </w:tcPr>
          <w:p w14:paraId="1A500228" w14:textId="77777777" w:rsidR="00F0236A" w:rsidRPr="0042750D" w:rsidRDefault="00F0236A" w:rsidP="00DF36E1">
            <w:pPr>
              <w:pStyle w:val="Tabletext"/>
              <w:rPr>
                <w:sz w:val="24"/>
                <w:szCs w:val="24"/>
              </w:rPr>
            </w:pPr>
          </w:p>
        </w:tc>
        <w:tc>
          <w:tcPr>
            <w:tcW w:w="8605" w:type="dxa"/>
            <w:gridSpan w:val="4"/>
            <w:shd w:val="clear" w:color="auto" w:fill="auto"/>
          </w:tcPr>
          <w:p w14:paraId="6F2E59DD" w14:textId="5B033F95" w:rsidR="000E0A13" w:rsidRPr="0042750D" w:rsidRDefault="000E0A13" w:rsidP="00B44E00">
            <w:pPr>
              <w:pStyle w:val="Tabletext"/>
              <w:rPr>
                <w:szCs w:val="22"/>
              </w:rPr>
            </w:pPr>
            <w:r w:rsidRPr="0042750D">
              <w:rPr>
                <w:szCs w:val="22"/>
              </w:rPr>
              <w:t xml:space="preserve">TSB is continuously mapping the </w:t>
            </w:r>
            <w:r w:rsidRPr="0042750D">
              <w:rPr>
                <w:rFonts w:eastAsia="MS Mincho"/>
                <w:szCs w:val="22"/>
              </w:rPr>
              <w:t>ITU-T Outcomes and Outputs as per PP-18 Resolution 71 to the 11 WSIS Action Lines and to the 17 sustainable Development Goals (SDGs), and provide statistics to the ITU SDG&amp;WSIS mapping tool.</w:t>
            </w:r>
          </w:p>
          <w:p w14:paraId="4A45FC00" w14:textId="77777777" w:rsidR="00B44E00" w:rsidRPr="0042750D" w:rsidRDefault="00B44E00" w:rsidP="00B44E00">
            <w:pPr>
              <w:pStyle w:val="Tabletext"/>
              <w:rPr>
                <w:rFonts w:eastAsia="MS Mincho"/>
                <w:szCs w:val="22"/>
              </w:rPr>
            </w:pPr>
            <w:r w:rsidRPr="0042750D">
              <w:rPr>
                <w:szCs w:val="22"/>
              </w:rPr>
              <w:t xml:space="preserve">TSB provided TSAG </w:t>
            </w:r>
            <w:hyperlink r:id="rId61" w:history="1">
              <w:r w:rsidRPr="0042750D">
                <w:rPr>
                  <w:rStyle w:val="Hyperlink"/>
                  <w:rFonts w:asciiTheme="majorBidi" w:eastAsiaTheme="majorEastAsia" w:hAnsiTheme="majorBidi"/>
                  <w:szCs w:val="22"/>
                </w:rPr>
                <w:t>TD396</w:t>
              </w:r>
            </w:hyperlink>
            <w:r w:rsidRPr="0042750D">
              <w:rPr>
                <w:szCs w:val="22"/>
              </w:rPr>
              <w:t xml:space="preserve"> which </w:t>
            </w:r>
            <w:r w:rsidRPr="0042750D">
              <w:rPr>
                <w:rFonts w:eastAsia="MS Mincho"/>
                <w:szCs w:val="22"/>
              </w:rPr>
              <w:t>provides a mapping of the ITU-T Outcomes and Outputs as per PP-18 Resolution 71 to the 11 WSIS Action Lines and to the 17 sustainable Development Goals (SDGs).</w:t>
            </w:r>
          </w:p>
          <w:p w14:paraId="0A6F8530" w14:textId="176377F0" w:rsidR="009909F1" w:rsidRPr="0042750D" w:rsidRDefault="009909F1" w:rsidP="00B44E00">
            <w:pPr>
              <w:pStyle w:val="Tabletext"/>
              <w:rPr>
                <w:sz w:val="24"/>
                <w:szCs w:val="24"/>
              </w:rPr>
            </w:pPr>
            <w:r w:rsidRPr="0042750D">
              <w:rPr>
                <w:rFonts w:eastAsia="MS Mincho"/>
                <w:szCs w:val="22"/>
              </w:rPr>
              <w:t xml:space="preserve">TSB contributed to the </w:t>
            </w:r>
            <w:r w:rsidR="003A3A80" w:rsidRPr="0042750D">
              <w:rPr>
                <w:rFonts w:eastAsia="MS Mincho"/>
                <w:szCs w:val="22"/>
              </w:rPr>
              <w:t xml:space="preserve">ITU </w:t>
            </w:r>
            <w:r w:rsidRPr="0042750D">
              <w:rPr>
                <w:rFonts w:eastAsia="MS Mincho"/>
                <w:szCs w:val="22"/>
              </w:rPr>
              <w:t>HLPF2019 paper.</w:t>
            </w:r>
          </w:p>
        </w:tc>
      </w:tr>
      <w:tr w:rsidR="00F0236A" w:rsidRPr="0042750D" w14:paraId="759C7519" w14:textId="77777777" w:rsidTr="00657C15">
        <w:trPr>
          <w:jc w:val="center"/>
        </w:trPr>
        <w:tc>
          <w:tcPr>
            <w:tcW w:w="902" w:type="dxa"/>
            <w:vMerge w:val="restart"/>
            <w:tcBorders>
              <w:top w:val="single" w:sz="12" w:space="0" w:color="auto"/>
            </w:tcBorders>
            <w:shd w:val="clear" w:color="auto" w:fill="auto"/>
          </w:tcPr>
          <w:p w14:paraId="25F6CFB5" w14:textId="122AF2A8" w:rsidR="00F0236A" w:rsidRPr="0042750D" w:rsidRDefault="00C57528" w:rsidP="00775B4B">
            <w:pPr>
              <w:pStyle w:val="Tabletext"/>
              <w:keepNext/>
              <w:keepLines/>
              <w:rPr>
                <w:b/>
                <w:bCs/>
                <w:sz w:val="24"/>
                <w:szCs w:val="24"/>
              </w:rPr>
            </w:pPr>
            <w:r w:rsidRPr="0042750D">
              <w:rPr>
                <w:b/>
                <w:bCs/>
                <w:sz w:val="24"/>
                <w:szCs w:val="24"/>
              </w:rPr>
              <w:t>140-03</w:t>
            </w:r>
          </w:p>
        </w:tc>
        <w:tc>
          <w:tcPr>
            <w:tcW w:w="4437" w:type="dxa"/>
            <w:tcBorders>
              <w:top w:val="single" w:sz="12" w:space="0" w:color="auto"/>
            </w:tcBorders>
            <w:shd w:val="clear" w:color="auto" w:fill="auto"/>
            <w:hideMark/>
          </w:tcPr>
          <w:p w14:paraId="088B2BD9" w14:textId="58B9B875" w:rsidR="00F0236A" w:rsidRPr="0042750D" w:rsidRDefault="00C57528" w:rsidP="00407213">
            <w:pPr>
              <w:pStyle w:val="Tabletext"/>
              <w:rPr>
                <w:b/>
                <w:bCs/>
                <w:sz w:val="24"/>
                <w:szCs w:val="24"/>
              </w:rPr>
            </w:pPr>
            <w:r w:rsidRPr="0042750D">
              <w:rPr>
                <w:b/>
                <w:bCs/>
                <w:sz w:val="24"/>
                <w:szCs w:val="24"/>
              </w:rPr>
              <w:t xml:space="preserve">TSBDir to </w:t>
            </w:r>
            <w:r w:rsidR="00407213" w:rsidRPr="0042750D">
              <w:rPr>
                <w:b/>
                <w:bCs/>
                <w:sz w:val="24"/>
                <w:szCs w:val="24"/>
              </w:rPr>
              <w:t xml:space="preserve">contribute to </w:t>
            </w:r>
            <w:r w:rsidRPr="0042750D">
              <w:rPr>
                <w:b/>
                <w:bCs/>
                <w:sz w:val="24"/>
                <w:szCs w:val="24"/>
              </w:rPr>
              <w:t>regularly updat</w:t>
            </w:r>
            <w:r w:rsidR="0066105E" w:rsidRPr="0042750D">
              <w:rPr>
                <w:b/>
                <w:bCs/>
                <w:sz w:val="24"/>
                <w:szCs w:val="24"/>
              </w:rPr>
              <w:t>e</w:t>
            </w:r>
            <w:r w:rsidR="00407213" w:rsidRPr="0042750D">
              <w:rPr>
                <w:b/>
                <w:bCs/>
                <w:sz w:val="24"/>
                <w:szCs w:val="24"/>
              </w:rPr>
              <w:t>s of</w:t>
            </w:r>
            <w:r w:rsidRPr="0042750D">
              <w:rPr>
                <w:b/>
                <w:bCs/>
                <w:sz w:val="24"/>
                <w:szCs w:val="24"/>
              </w:rPr>
              <w:t xml:space="preserve"> the roadmaps (WSI</w:t>
            </w:r>
            <w:r w:rsidR="00407213" w:rsidRPr="0042750D">
              <w:rPr>
                <w:b/>
                <w:bCs/>
                <w:sz w:val="24"/>
                <w:szCs w:val="24"/>
              </w:rPr>
              <w:t xml:space="preserve">S Action Lines C2, C5 and C6), </w:t>
            </w:r>
            <w:r w:rsidRPr="0042750D">
              <w:rPr>
                <w:b/>
                <w:bCs/>
                <w:sz w:val="24"/>
                <w:szCs w:val="24"/>
              </w:rPr>
              <w:t>and to provide input, as appropriate, into the roadmaps/work plans for WSIS Action Lines C1, C3, C4, C7, C8, C9 and C11,</w:t>
            </w:r>
            <w:r w:rsidR="00407213" w:rsidRPr="0042750D">
              <w:rPr>
                <w:b/>
                <w:bCs/>
                <w:sz w:val="24"/>
                <w:szCs w:val="24"/>
              </w:rPr>
              <w:t xml:space="preserve"> </w:t>
            </w:r>
            <w:r w:rsidRPr="0042750D">
              <w:rPr>
                <w:b/>
                <w:bCs/>
                <w:sz w:val="24"/>
                <w:szCs w:val="24"/>
              </w:rPr>
              <w:t>for ITU</w:t>
            </w:r>
            <w:r w:rsidR="00407213" w:rsidRPr="0042750D">
              <w:rPr>
                <w:b/>
                <w:bCs/>
                <w:sz w:val="24"/>
                <w:szCs w:val="24"/>
              </w:rPr>
              <w:t>-T</w:t>
            </w:r>
            <w:r w:rsidRPr="0042750D">
              <w:rPr>
                <w:b/>
                <w:bCs/>
                <w:sz w:val="24"/>
                <w:szCs w:val="24"/>
              </w:rPr>
              <w:t>'s activities within its mandate in regard to WSIS implementation taking into account the 2030 Agenda for Sustainable Development, to be presented to the Council via CWG-WSI&amp;SDG</w:t>
            </w:r>
            <w:r w:rsidR="0066105E" w:rsidRPr="0042750D">
              <w:rPr>
                <w:b/>
                <w:bCs/>
                <w:sz w:val="24"/>
                <w:szCs w:val="24"/>
              </w:rPr>
              <w:t xml:space="preserve"> (</w:t>
            </w:r>
            <w:r w:rsidR="0066105E" w:rsidRPr="0042750D">
              <w:rPr>
                <w:b/>
                <w:bCs/>
                <w:i/>
                <w:sz w:val="24"/>
                <w:szCs w:val="24"/>
              </w:rPr>
              <w:t>instructs 2</w:t>
            </w:r>
            <w:r w:rsidR="0066105E" w:rsidRPr="0042750D">
              <w:rPr>
                <w:b/>
                <w:bCs/>
                <w:sz w:val="24"/>
                <w:szCs w:val="24"/>
              </w:rPr>
              <w:t>)</w:t>
            </w:r>
            <w:r w:rsidRPr="0042750D">
              <w:rPr>
                <w:b/>
                <w:bCs/>
                <w:sz w:val="24"/>
                <w:szCs w:val="24"/>
              </w:rPr>
              <w:t>.</w:t>
            </w:r>
          </w:p>
        </w:tc>
        <w:tc>
          <w:tcPr>
            <w:tcW w:w="1626" w:type="dxa"/>
            <w:tcBorders>
              <w:top w:val="single" w:sz="12" w:space="0" w:color="auto"/>
            </w:tcBorders>
            <w:shd w:val="clear" w:color="auto" w:fill="auto"/>
            <w:vAlign w:val="center"/>
            <w:hideMark/>
          </w:tcPr>
          <w:p w14:paraId="5E1DD62F" w14:textId="5DD89ABA" w:rsidR="00F0236A" w:rsidRPr="0042750D" w:rsidRDefault="00407213" w:rsidP="00DF36E1">
            <w:pPr>
              <w:pStyle w:val="Tabletext"/>
              <w:jc w:val="center"/>
              <w:rPr>
                <w:b/>
                <w:bCs/>
                <w:sz w:val="24"/>
                <w:szCs w:val="24"/>
              </w:rPr>
            </w:pPr>
            <w:r w:rsidRPr="0042750D">
              <w:rPr>
                <w:b/>
                <w:bCs/>
                <w:sz w:val="24"/>
                <w:szCs w:val="24"/>
              </w:rPr>
              <w:t>Council</w:t>
            </w:r>
          </w:p>
        </w:tc>
        <w:tc>
          <w:tcPr>
            <w:tcW w:w="1206" w:type="dxa"/>
            <w:tcBorders>
              <w:top w:val="single" w:sz="12" w:space="0" w:color="auto"/>
            </w:tcBorders>
            <w:shd w:val="clear" w:color="auto" w:fill="auto"/>
            <w:vAlign w:val="center"/>
          </w:tcPr>
          <w:p w14:paraId="39AEA550" w14:textId="55D3CD3E" w:rsidR="00F0236A" w:rsidRPr="0042750D" w:rsidRDefault="00657C15" w:rsidP="00DF36E1">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7C08B88A" w14:textId="77777777" w:rsidR="00F0236A" w:rsidRPr="0042750D" w:rsidRDefault="00F0236A" w:rsidP="00DF36E1">
            <w:pPr>
              <w:pStyle w:val="Tabletext"/>
              <w:jc w:val="center"/>
              <w:rPr>
                <w:b/>
                <w:bCs/>
                <w:sz w:val="24"/>
                <w:szCs w:val="24"/>
              </w:rPr>
            </w:pPr>
          </w:p>
        </w:tc>
      </w:tr>
      <w:tr w:rsidR="00F0236A" w:rsidRPr="0042750D" w14:paraId="21FBD023" w14:textId="77777777" w:rsidTr="0085771B">
        <w:trPr>
          <w:jc w:val="center"/>
        </w:trPr>
        <w:tc>
          <w:tcPr>
            <w:tcW w:w="902" w:type="dxa"/>
            <w:vMerge/>
            <w:tcBorders>
              <w:bottom w:val="single" w:sz="12" w:space="0" w:color="auto"/>
            </w:tcBorders>
            <w:shd w:val="clear" w:color="auto" w:fill="auto"/>
          </w:tcPr>
          <w:p w14:paraId="0E4540BD" w14:textId="77777777" w:rsidR="00F0236A" w:rsidRPr="0042750D" w:rsidRDefault="00F0236A" w:rsidP="00DF36E1">
            <w:pPr>
              <w:pStyle w:val="Tabletext"/>
              <w:rPr>
                <w:sz w:val="24"/>
                <w:szCs w:val="24"/>
              </w:rPr>
            </w:pPr>
          </w:p>
        </w:tc>
        <w:tc>
          <w:tcPr>
            <w:tcW w:w="8605" w:type="dxa"/>
            <w:gridSpan w:val="4"/>
            <w:tcBorders>
              <w:bottom w:val="single" w:sz="12" w:space="0" w:color="auto"/>
            </w:tcBorders>
            <w:shd w:val="clear" w:color="auto" w:fill="auto"/>
          </w:tcPr>
          <w:p w14:paraId="23CA4668" w14:textId="694FE1DC" w:rsidR="00F0236A" w:rsidRPr="0042750D" w:rsidRDefault="00657C15" w:rsidP="00861DF2">
            <w:pPr>
              <w:pStyle w:val="Tabletext"/>
              <w:rPr>
                <w:szCs w:val="22"/>
              </w:rPr>
            </w:pPr>
            <w:r w:rsidRPr="0042750D">
              <w:rPr>
                <w:szCs w:val="22"/>
              </w:rPr>
              <w:t xml:space="preserve">See </w:t>
            </w:r>
            <w:hyperlink r:id="rId62" w:history="1">
              <w:r w:rsidRPr="0042750D">
                <w:rPr>
                  <w:rStyle w:val="Hyperlink"/>
                  <w:szCs w:val="22"/>
                </w:rPr>
                <w:t>CWG-WSIS&amp;SDG-33/8</w:t>
              </w:r>
            </w:hyperlink>
            <w:r w:rsidRPr="0042750D">
              <w:rPr>
                <w:szCs w:val="22"/>
              </w:rPr>
              <w:t xml:space="preserve"> “Updated Roadmap for ITU’s activities to help achieve the 2030 Agenda for Sustainable Development”.</w:t>
            </w:r>
            <w:r w:rsidR="00B50F73" w:rsidRPr="0042750D">
              <w:rPr>
                <w:szCs w:val="22"/>
              </w:rPr>
              <w:t xml:space="preserve"> TSB provided further updates to the roadmap in 2019</w:t>
            </w:r>
            <w:r w:rsidR="00907378" w:rsidRPr="0042750D">
              <w:rPr>
                <w:szCs w:val="22"/>
              </w:rPr>
              <w:t xml:space="preserve"> (</w:t>
            </w:r>
            <w:hyperlink r:id="rId63" w:history="1">
              <w:r w:rsidR="00907378" w:rsidRPr="0042750D">
                <w:rPr>
                  <w:rStyle w:val="Hyperlink"/>
                  <w:szCs w:val="22"/>
                </w:rPr>
                <w:t>CWG-WSIS&amp;SDG-34/0</w:t>
              </w:r>
              <w:r w:rsidR="00861DF2" w:rsidRPr="0042750D">
                <w:rPr>
                  <w:rStyle w:val="Hyperlink"/>
                  <w:szCs w:val="22"/>
                </w:rPr>
                <w:t>03-R1</w:t>
              </w:r>
            </w:hyperlink>
            <w:r w:rsidR="00907378" w:rsidRPr="0042750D">
              <w:rPr>
                <w:szCs w:val="22"/>
              </w:rPr>
              <w:t>)</w:t>
            </w:r>
            <w:r w:rsidR="00B50F73" w:rsidRPr="0042750D">
              <w:rPr>
                <w:szCs w:val="22"/>
              </w:rPr>
              <w:t>.</w:t>
            </w:r>
          </w:p>
        </w:tc>
      </w:tr>
      <w:tr w:rsidR="00F0236A" w:rsidRPr="0042750D" w14:paraId="5C7D9608" w14:textId="77777777" w:rsidTr="00657C15">
        <w:trPr>
          <w:jc w:val="center"/>
        </w:trPr>
        <w:tc>
          <w:tcPr>
            <w:tcW w:w="902" w:type="dxa"/>
            <w:vMerge w:val="restart"/>
            <w:tcBorders>
              <w:top w:val="single" w:sz="12" w:space="0" w:color="auto"/>
            </w:tcBorders>
            <w:shd w:val="clear" w:color="auto" w:fill="auto"/>
          </w:tcPr>
          <w:p w14:paraId="546C85B6" w14:textId="47579535" w:rsidR="00F0236A" w:rsidRPr="0042750D" w:rsidRDefault="00C57528" w:rsidP="003F7CA2">
            <w:pPr>
              <w:pStyle w:val="Tabletext"/>
              <w:keepNext/>
              <w:keepLines/>
              <w:rPr>
                <w:b/>
                <w:bCs/>
                <w:sz w:val="24"/>
                <w:szCs w:val="24"/>
              </w:rPr>
            </w:pPr>
            <w:r w:rsidRPr="0042750D">
              <w:rPr>
                <w:b/>
                <w:bCs/>
                <w:sz w:val="24"/>
                <w:szCs w:val="24"/>
              </w:rPr>
              <w:t>140-04</w:t>
            </w:r>
          </w:p>
        </w:tc>
        <w:tc>
          <w:tcPr>
            <w:tcW w:w="4437" w:type="dxa"/>
            <w:tcBorders>
              <w:top w:val="single" w:sz="12" w:space="0" w:color="auto"/>
            </w:tcBorders>
            <w:shd w:val="clear" w:color="auto" w:fill="auto"/>
          </w:tcPr>
          <w:p w14:paraId="62527D64" w14:textId="72F74C85" w:rsidR="00F0236A" w:rsidRPr="0042750D" w:rsidRDefault="00C57528" w:rsidP="003F7CA2">
            <w:pPr>
              <w:pStyle w:val="Tabletext"/>
              <w:keepNext/>
              <w:keepLines/>
              <w:rPr>
                <w:b/>
                <w:bCs/>
                <w:sz w:val="24"/>
                <w:szCs w:val="24"/>
              </w:rPr>
            </w:pPr>
            <w:r w:rsidRPr="0042750D">
              <w:rPr>
                <w:b/>
                <w:bCs/>
                <w:sz w:val="24"/>
                <w:szCs w:val="24"/>
              </w:rPr>
              <w:t>TSBDir to strengthen, involving, among others, the ITU regional and area offices, coordination and collaboration at the regional level with the UN regional economic commissions and the UN Regional Development Group, as well as all UN agencies (in particular those acting as facilitator for WSIS action lines), other relevant regional organizations, especially in the field of telecommunications/ICT</w:t>
            </w:r>
            <w:r w:rsidR="002A3D51" w:rsidRPr="0042750D">
              <w:rPr>
                <w:b/>
                <w:bCs/>
                <w:sz w:val="24"/>
                <w:szCs w:val="24"/>
              </w:rPr>
              <w:t xml:space="preserve"> (</w:t>
            </w:r>
            <w:r w:rsidR="002A3D51" w:rsidRPr="0042750D">
              <w:rPr>
                <w:b/>
                <w:bCs/>
                <w:i/>
                <w:sz w:val="24"/>
                <w:szCs w:val="24"/>
              </w:rPr>
              <w:t>instructs 3</w:t>
            </w:r>
            <w:r w:rsidR="002A3D51" w:rsidRPr="0042750D">
              <w:rPr>
                <w:b/>
                <w:bCs/>
                <w:sz w:val="24"/>
                <w:szCs w:val="24"/>
              </w:rPr>
              <w:t>)</w:t>
            </w:r>
            <w:r w:rsidRPr="0042750D">
              <w:rPr>
                <w:b/>
                <w:bCs/>
                <w:sz w:val="24"/>
                <w:szCs w:val="24"/>
              </w:rPr>
              <w:t>.</w:t>
            </w:r>
          </w:p>
        </w:tc>
        <w:tc>
          <w:tcPr>
            <w:tcW w:w="1626" w:type="dxa"/>
            <w:tcBorders>
              <w:top w:val="single" w:sz="12" w:space="0" w:color="auto"/>
            </w:tcBorders>
            <w:shd w:val="clear" w:color="auto" w:fill="auto"/>
            <w:vAlign w:val="center"/>
          </w:tcPr>
          <w:p w14:paraId="7767C816" w14:textId="46F33E92" w:rsidR="00F0236A" w:rsidRPr="0042750D" w:rsidRDefault="00F0236A" w:rsidP="003F7CA2">
            <w:pPr>
              <w:pStyle w:val="Tabletext"/>
              <w:keepNext/>
              <w:keepLines/>
              <w:jc w:val="center"/>
              <w:rPr>
                <w:b/>
                <w:bCs/>
                <w:sz w:val="24"/>
                <w:szCs w:val="24"/>
              </w:rPr>
            </w:pPr>
            <w:r w:rsidRPr="0042750D">
              <w:rPr>
                <w:b/>
                <w:bCs/>
                <w:sz w:val="24"/>
                <w:szCs w:val="24"/>
              </w:rPr>
              <w:t>Ongoing</w:t>
            </w:r>
          </w:p>
        </w:tc>
        <w:tc>
          <w:tcPr>
            <w:tcW w:w="1206" w:type="dxa"/>
            <w:tcBorders>
              <w:top w:val="single" w:sz="12" w:space="0" w:color="auto"/>
            </w:tcBorders>
            <w:shd w:val="clear" w:color="auto" w:fill="auto"/>
            <w:vAlign w:val="center"/>
          </w:tcPr>
          <w:p w14:paraId="6373DA0B" w14:textId="77777777" w:rsidR="00F0236A" w:rsidRPr="0042750D" w:rsidRDefault="00F0236A" w:rsidP="003F7CA2">
            <w:pPr>
              <w:pStyle w:val="Tabletext"/>
              <w:keepNext/>
              <w:keepLines/>
              <w:jc w:val="center"/>
              <w:rPr>
                <w:rFonts w:eastAsia="Malgun Gothic"/>
                <w:b/>
                <w:bCs/>
                <w:sz w:val="24"/>
                <w:szCs w:val="24"/>
              </w:rPr>
            </w:pPr>
          </w:p>
        </w:tc>
        <w:tc>
          <w:tcPr>
            <w:tcW w:w="1336" w:type="dxa"/>
            <w:tcBorders>
              <w:top w:val="single" w:sz="12" w:space="0" w:color="auto"/>
            </w:tcBorders>
            <w:shd w:val="clear" w:color="auto" w:fill="auto"/>
            <w:vAlign w:val="center"/>
          </w:tcPr>
          <w:p w14:paraId="6E80C11E" w14:textId="77777777" w:rsidR="00F0236A" w:rsidRPr="0042750D" w:rsidRDefault="00F0236A" w:rsidP="003F7CA2">
            <w:pPr>
              <w:pStyle w:val="Tabletext"/>
              <w:keepNext/>
              <w:keepLines/>
              <w:jc w:val="center"/>
              <w:rPr>
                <w:rFonts w:eastAsia="Malgun Gothic"/>
                <w:b/>
                <w:bCs/>
                <w:sz w:val="24"/>
                <w:szCs w:val="24"/>
              </w:rPr>
            </w:pPr>
          </w:p>
        </w:tc>
      </w:tr>
      <w:tr w:rsidR="00F0236A" w:rsidRPr="0042750D" w14:paraId="796B0B76" w14:textId="77777777" w:rsidTr="0085771B">
        <w:trPr>
          <w:jc w:val="center"/>
        </w:trPr>
        <w:tc>
          <w:tcPr>
            <w:tcW w:w="902" w:type="dxa"/>
            <w:vMerge/>
            <w:tcBorders>
              <w:bottom w:val="single" w:sz="12" w:space="0" w:color="auto"/>
            </w:tcBorders>
            <w:shd w:val="clear" w:color="auto" w:fill="auto"/>
          </w:tcPr>
          <w:p w14:paraId="58F18DBE" w14:textId="77777777" w:rsidR="00F0236A" w:rsidRPr="0042750D" w:rsidRDefault="00F0236A" w:rsidP="003F7CA2">
            <w:pPr>
              <w:pStyle w:val="Tabletext"/>
              <w:keepNext/>
              <w:keepLines/>
              <w:rPr>
                <w:sz w:val="24"/>
                <w:szCs w:val="24"/>
              </w:rPr>
            </w:pPr>
          </w:p>
        </w:tc>
        <w:tc>
          <w:tcPr>
            <w:tcW w:w="8605" w:type="dxa"/>
            <w:gridSpan w:val="4"/>
            <w:tcBorders>
              <w:bottom w:val="single" w:sz="12" w:space="0" w:color="auto"/>
            </w:tcBorders>
            <w:shd w:val="clear" w:color="auto" w:fill="auto"/>
          </w:tcPr>
          <w:p w14:paraId="45D78DE3" w14:textId="77777777" w:rsidR="00F0236A" w:rsidRPr="0042750D" w:rsidRDefault="00F0236A" w:rsidP="003F7CA2">
            <w:pPr>
              <w:pStyle w:val="Tabletext"/>
              <w:keepNext/>
              <w:keepLines/>
              <w:rPr>
                <w:rFonts w:eastAsia="Malgun Gothic"/>
                <w:szCs w:val="22"/>
              </w:rPr>
            </w:pPr>
          </w:p>
        </w:tc>
      </w:tr>
      <w:tr w:rsidR="00F0236A" w:rsidRPr="0042750D" w14:paraId="56EF1675" w14:textId="77777777" w:rsidTr="00657C15">
        <w:trPr>
          <w:jc w:val="center"/>
        </w:trPr>
        <w:tc>
          <w:tcPr>
            <w:tcW w:w="902" w:type="dxa"/>
            <w:vMerge w:val="restart"/>
            <w:tcBorders>
              <w:top w:val="single" w:sz="12" w:space="0" w:color="auto"/>
            </w:tcBorders>
            <w:shd w:val="clear" w:color="auto" w:fill="auto"/>
          </w:tcPr>
          <w:p w14:paraId="1AA3B172" w14:textId="770DCB25" w:rsidR="00F0236A" w:rsidRPr="0042750D" w:rsidRDefault="00C57528" w:rsidP="00DF36E1">
            <w:pPr>
              <w:pStyle w:val="Tabletext"/>
              <w:rPr>
                <w:b/>
                <w:bCs/>
                <w:sz w:val="24"/>
                <w:szCs w:val="24"/>
              </w:rPr>
            </w:pPr>
            <w:r w:rsidRPr="0042750D">
              <w:rPr>
                <w:b/>
                <w:bCs/>
                <w:sz w:val="24"/>
                <w:szCs w:val="24"/>
              </w:rPr>
              <w:t>140-05</w:t>
            </w:r>
          </w:p>
        </w:tc>
        <w:tc>
          <w:tcPr>
            <w:tcW w:w="4437" w:type="dxa"/>
            <w:tcBorders>
              <w:top w:val="single" w:sz="12" w:space="0" w:color="auto"/>
            </w:tcBorders>
            <w:shd w:val="clear" w:color="auto" w:fill="auto"/>
            <w:hideMark/>
          </w:tcPr>
          <w:p w14:paraId="14DB1465" w14:textId="27D024BE" w:rsidR="00F0236A" w:rsidRPr="0042750D" w:rsidRDefault="00C57528" w:rsidP="00AB0E66">
            <w:pPr>
              <w:pStyle w:val="Tabletext"/>
              <w:rPr>
                <w:b/>
                <w:bCs/>
                <w:sz w:val="24"/>
                <w:szCs w:val="24"/>
              </w:rPr>
            </w:pPr>
            <w:r w:rsidRPr="0042750D">
              <w:rPr>
                <w:b/>
                <w:bCs/>
                <w:sz w:val="24"/>
                <w:szCs w:val="24"/>
              </w:rPr>
              <w:t xml:space="preserve">TSBDir </w:t>
            </w:r>
            <w:r w:rsidR="00AB0E66" w:rsidRPr="0042750D">
              <w:rPr>
                <w:b/>
                <w:bCs/>
                <w:sz w:val="24"/>
                <w:szCs w:val="24"/>
              </w:rPr>
              <w:t xml:space="preserve">contribute to GenGen’s </w:t>
            </w:r>
            <w:r w:rsidRPr="0042750D">
              <w:rPr>
                <w:b/>
                <w:bCs/>
                <w:sz w:val="24"/>
                <w:szCs w:val="24"/>
              </w:rPr>
              <w:t>progress report on the ITU</w:t>
            </w:r>
            <w:r w:rsidR="00AB0E66" w:rsidRPr="0042750D">
              <w:rPr>
                <w:b/>
                <w:bCs/>
                <w:sz w:val="24"/>
                <w:szCs w:val="24"/>
              </w:rPr>
              <w:t>-T</w:t>
            </w:r>
            <w:r w:rsidRPr="0042750D">
              <w:rPr>
                <w:b/>
                <w:bCs/>
                <w:sz w:val="24"/>
                <w:szCs w:val="24"/>
              </w:rPr>
              <w:t xml:space="preserve"> activities for WSIS/SDG implementation to the next plenipotentiary conference in 2022</w:t>
            </w:r>
            <w:r w:rsidR="002A3D51" w:rsidRPr="0042750D">
              <w:rPr>
                <w:b/>
                <w:bCs/>
                <w:sz w:val="24"/>
                <w:szCs w:val="24"/>
              </w:rPr>
              <w:t xml:space="preserve"> (</w:t>
            </w:r>
            <w:r w:rsidR="002A3D51" w:rsidRPr="0042750D">
              <w:rPr>
                <w:b/>
                <w:bCs/>
                <w:i/>
                <w:sz w:val="24"/>
                <w:szCs w:val="24"/>
              </w:rPr>
              <w:t>instructs 5</w:t>
            </w:r>
            <w:r w:rsidR="002A3D51" w:rsidRPr="0042750D">
              <w:rPr>
                <w:b/>
                <w:bCs/>
                <w:sz w:val="24"/>
                <w:szCs w:val="24"/>
              </w:rPr>
              <w:t>)</w:t>
            </w:r>
            <w:r w:rsidRPr="0042750D">
              <w:rPr>
                <w:b/>
                <w:bCs/>
                <w:sz w:val="24"/>
                <w:szCs w:val="24"/>
              </w:rPr>
              <w:t>.</w:t>
            </w:r>
          </w:p>
        </w:tc>
        <w:tc>
          <w:tcPr>
            <w:tcW w:w="1626" w:type="dxa"/>
            <w:tcBorders>
              <w:top w:val="single" w:sz="12" w:space="0" w:color="auto"/>
            </w:tcBorders>
            <w:shd w:val="clear" w:color="auto" w:fill="auto"/>
            <w:vAlign w:val="center"/>
            <w:hideMark/>
          </w:tcPr>
          <w:p w14:paraId="33AA2016" w14:textId="66A7E35A" w:rsidR="00F0236A" w:rsidRPr="0042750D" w:rsidRDefault="00C57528" w:rsidP="00DF36E1">
            <w:pPr>
              <w:pStyle w:val="Tabletext"/>
              <w:jc w:val="center"/>
              <w:rPr>
                <w:b/>
                <w:bCs/>
                <w:sz w:val="24"/>
                <w:szCs w:val="24"/>
              </w:rPr>
            </w:pPr>
            <w:r w:rsidRPr="0042750D">
              <w:rPr>
                <w:b/>
                <w:bCs/>
                <w:sz w:val="24"/>
                <w:szCs w:val="24"/>
              </w:rPr>
              <w:t>PP-22</w:t>
            </w:r>
          </w:p>
        </w:tc>
        <w:tc>
          <w:tcPr>
            <w:tcW w:w="1206" w:type="dxa"/>
            <w:tcBorders>
              <w:top w:val="single" w:sz="12" w:space="0" w:color="auto"/>
            </w:tcBorders>
            <w:shd w:val="clear" w:color="auto" w:fill="auto"/>
            <w:vAlign w:val="center"/>
          </w:tcPr>
          <w:p w14:paraId="209DCB14" w14:textId="68CF6D80" w:rsidR="00F0236A" w:rsidRPr="0042750D" w:rsidRDefault="00C95EE7" w:rsidP="00DF36E1">
            <w:pPr>
              <w:pStyle w:val="Tabletext"/>
              <w:jc w:val="center"/>
              <w:rPr>
                <w:rFonts w:eastAsia="Malgun Gothic"/>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608484FF" w14:textId="77777777" w:rsidR="00F0236A" w:rsidRPr="0042750D" w:rsidRDefault="00F0236A" w:rsidP="00DF36E1">
            <w:pPr>
              <w:pStyle w:val="Tabletext"/>
              <w:jc w:val="center"/>
              <w:rPr>
                <w:rFonts w:eastAsia="Malgun Gothic"/>
                <w:b/>
                <w:bCs/>
                <w:sz w:val="24"/>
                <w:szCs w:val="24"/>
              </w:rPr>
            </w:pPr>
          </w:p>
        </w:tc>
      </w:tr>
      <w:tr w:rsidR="00F0236A" w:rsidRPr="0042750D" w14:paraId="4470D2A6" w14:textId="77777777" w:rsidTr="0085771B">
        <w:trPr>
          <w:jc w:val="center"/>
        </w:trPr>
        <w:tc>
          <w:tcPr>
            <w:tcW w:w="902" w:type="dxa"/>
            <w:vMerge/>
            <w:tcBorders>
              <w:bottom w:val="single" w:sz="12" w:space="0" w:color="auto"/>
            </w:tcBorders>
            <w:shd w:val="clear" w:color="auto" w:fill="auto"/>
          </w:tcPr>
          <w:p w14:paraId="2D3D6EF5" w14:textId="77777777" w:rsidR="00F0236A" w:rsidRPr="0042750D" w:rsidRDefault="00F0236A" w:rsidP="00DF36E1">
            <w:pPr>
              <w:pStyle w:val="Tabletext"/>
              <w:rPr>
                <w:sz w:val="24"/>
                <w:szCs w:val="24"/>
              </w:rPr>
            </w:pPr>
          </w:p>
        </w:tc>
        <w:tc>
          <w:tcPr>
            <w:tcW w:w="8605" w:type="dxa"/>
            <w:gridSpan w:val="4"/>
            <w:tcBorders>
              <w:bottom w:val="single" w:sz="12" w:space="0" w:color="auto"/>
            </w:tcBorders>
            <w:shd w:val="clear" w:color="auto" w:fill="auto"/>
          </w:tcPr>
          <w:p w14:paraId="28D6686C" w14:textId="69F34B61" w:rsidR="00F0236A" w:rsidRPr="0042750D" w:rsidRDefault="0072343B" w:rsidP="00C95EE7">
            <w:pPr>
              <w:pStyle w:val="Tabletext"/>
              <w:rPr>
                <w:rFonts w:eastAsia="Malgun Gothic"/>
                <w:szCs w:val="22"/>
              </w:rPr>
            </w:pPr>
            <w:r w:rsidRPr="0042750D">
              <w:rPr>
                <w:rFonts w:eastAsia="Malgun Gothic"/>
                <w:szCs w:val="22"/>
              </w:rPr>
              <w:t>TSB contributed to the “ITU Contribution to the Implementation of WSIS Outcomes, taking into account the 2030 Agenda for Sustainable Development – 2019 Report”</w:t>
            </w:r>
            <w:r w:rsidR="00C95EE7" w:rsidRPr="0042750D">
              <w:rPr>
                <w:rFonts w:eastAsia="Malgun Gothic"/>
                <w:szCs w:val="22"/>
              </w:rPr>
              <w:t xml:space="preserve"> (see </w:t>
            </w:r>
            <w:hyperlink r:id="rId64" w:history="1">
              <w:r w:rsidR="00C95EE7" w:rsidRPr="0042750D">
                <w:rPr>
                  <w:rStyle w:val="Hyperlink"/>
                  <w:rFonts w:eastAsia="Malgun Gothic"/>
                  <w:szCs w:val="22"/>
                </w:rPr>
                <w:t>CWG-WSIS&amp;SDG-34/002</w:t>
              </w:r>
            </w:hyperlink>
            <w:r w:rsidR="00C95EE7" w:rsidRPr="0042750D">
              <w:rPr>
                <w:rFonts w:eastAsia="Malgun Gothic"/>
                <w:szCs w:val="22"/>
              </w:rPr>
              <w:t>).</w:t>
            </w:r>
          </w:p>
        </w:tc>
      </w:tr>
      <w:tr w:rsidR="00F0236A" w:rsidRPr="0042750D" w14:paraId="6049A658" w14:textId="77777777" w:rsidTr="00657C15">
        <w:trPr>
          <w:jc w:val="center"/>
        </w:trPr>
        <w:tc>
          <w:tcPr>
            <w:tcW w:w="902" w:type="dxa"/>
            <w:vMerge w:val="restart"/>
            <w:tcBorders>
              <w:top w:val="single" w:sz="12" w:space="0" w:color="auto"/>
            </w:tcBorders>
            <w:shd w:val="clear" w:color="auto" w:fill="auto"/>
          </w:tcPr>
          <w:p w14:paraId="374DF4DC" w14:textId="2BB5CF13" w:rsidR="00F0236A" w:rsidRPr="0042750D" w:rsidRDefault="00C57528" w:rsidP="00AC4012">
            <w:pPr>
              <w:pStyle w:val="Tabletext"/>
              <w:keepNext/>
              <w:keepLines/>
              <w:rPr>
                <w:b/>
                <w:bCs/>
                <w:sz w:val="24"/>
                <w:szCs w:val="24"/>
              </w:rPr>
            </w:pPr>
            <w:r w:rsidRPr="0042750D">
              <w:rPr>
                <w:b/>
                <w:bCs/>
                <w:sz w:val="24"/>
                <w:szCs w:val="24"/>
              </w:rPr>
              <w:t>140-06</w:t>
            </w:r>
          </w:p>
        </w:tc>
        <w:tc>
          <w:tcPr>
            <w:tcW w:w="4437" w:type="dxa"/>
            <w:tcBorders>
              <w:top w:val="single" w:sz="12" w:space="0" w:color="auto"/>
            </w:tcBorders>
            <w:shd w:val="clear" w:color="auto" w:fill="auto"/>
          </w:tcPr>
          <w:p w14:paraId="44B76B7F" w14:textId="05D27DA9" w:rsidR="00F0236A" w:rsidRPr="0042750D" w:rsidRDefault="00C57528" w:rsidP="002A3D51">
            <w:pPr>
              <w:pStyle w:val="Tabletext"/>
              <w:rPr>
                <w:b/>
                <w:bCs/>
                <w:sz w:val="24"/>
                <w:szCs w:val="24"/>
              </w:rPr>
            </w:pPr>
            <w:r w:rsidRPr="0042750D">
              <w:rPr>
                <w:b/>
                <w:bCs/>
                <w:sz w:val="24"/>
                <w:szCs w:val="24"/>
              </w:rPr>
              <w:t>TSBDir to ensure that concrete objectives and deadlines (using results-based management processes) for WSIS and SDG activities are developed and reflected in the operational plans of ITU-T</w:t>
            </w:r>
            <w:r w:rsidR="002A3D51" w:rsidRPr="0042750D">
              <w:rPr>
                <w:b/>
                <w:bCs/>
                <w:sz w:val="24"/>
                <w:szCs w:val="24"/>
              </w:rPr>
              <w:t xml:space="preserve"> (</w:t>
            </w:r>
            <w:r w:rsidR="002A3D51" w:rsidRPr="0042750D">
              <w:rPr>
                <w:b/>
                <w:bCs/>
                <w:i/>
                <w:sz w:val="24"/>
                <w:szCs w:val="24"/>
              </w:rPr>
              <w:t>instructs 1</w:t>
            </w:r>
            <w:r w:rsidR="002A3D51" w:rsidRPr="0042750D">
              <w:rPr>
                <w:b/>
                <w:bCs/>
                <w:sz w:val="24"/>
                <w:szCs w:val="24"/>
              </w:rPr>
              <w:t>)</w:t>
            </w:r>
            <w:r w:rsidRPr="0042750D">
              <w:rPr>
                <w:b/>
                <w:bCs/>
                <w:sz w:val="24"/>
                <w:szCs w:val="24"/>
              </w:rPr>
              <w:t>.</w:t>
            </w:r>
          </w:p>
        </w:tc>
        <w:tc>
          <w:tcPr>
            <w:tcW w:w="1626" w:type="dxa"/>
            <w:tcBorders>
              <w:top w:val="single" w:sz="12" w:space="0" w:color="auto"/>
            </w:tcBorders>
            <w:shd w:val="clear" w:color="auto" w:fill="auto"/>
            <w:vAlign w:val="center"/>
          </w:tcPr>
          <w:p w14:paraId="4BA3BD3B" w14:textId="77777777" w:rsidR="00F0236A" w:rsidRPr="0042750D" w:rsidRDefault="00F0236A" w:rsidP="00DF36E1">
            <w:pPr>
              <w:pStyle w:val="Tabletext"/>
              <w:jc w:val="center"/>
              <w:rPr>
                <w:b/>
                <w:bCs/>
                <w:sz w:val="24"/>
                <w:szCs w:val="24"/>
              </w:rPr>
            </w:pPr>
            <w:r w:rsidRPr="0042750D">
              <w:rPr>
                <w:b/>
                <w:bCs/>
                <w:sz w:val="24"/>
                <w:szCs w:val="24"/>
              </w:rPr>
              <w:t>Ongoing</w:t>
            </w:r>
          </w:p>
        </w:tc>
        <w:tc>
          <w:tcPr>
            <w:tcW w:w="1206" w:type="dxa"/>
            <w:tcBorders>
              <w:top w:val="single" w:sz="12" w:space="0" w:color="auto"/>
            </w:tcBorders>
            <w:shd w:val="clear" w:color="auto" w:fill="auto"/>
            <w:vAlign w:val="center"/>
          </w:tcPr>
          <w:p w14:paraId="639F4EF5" w14:textId="69B35C87" w:rsidR="00F0236A" w:rsidRPr="0042750D" w:rsidDel="002E51D5"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1A4F4A1" w14:textId="77777777" w:rsidR="00F0236A" w:rsidRPr="0042750D" w:rsidRDefault="00F0236A" w:rsidP="00DF36E1">
            <w:pPr>
              <w:pStyle w:val="Tabletext"/>
              <w:jc w:val="center"/>
              <w:rPr>
                <w:rFonts w:eastAsia="Malgun Gothic"/>
                <w:b/>
                <w:bCs/>
                <w:sz w:val="24"/>
                <w:szCs w:val="24"/>
              </w:rPr>
            </w:pPr>
          </w:p>
        </w:tc>
      </w:tr>
      <w:tr w:rsidR="00F0236A" w:rsidRPr="0042750D" w14:paraId="67FD4CB7" w14:textId="77777777" w:rsidTr="00DF36E1">
        <w:trPr>
          <w:cantSplit/>
          <w:jc w:val="center"/>
        </w:trPr>
        <w:tc>
          <w:tcPr>
            <w:tcW w:w="902" w:type="dxa"/>
            <w:vMerge/>
            <w:shd w:val="clear" w:color="auto" w:fill="auto"/>
            <w:vAlign w:val="center"/>
          </w:tcPr>
          <w:p w14:paraId="047F6081" w14:textId="77777777" w:rsidR="00F0236A" w:rsidRPr="0042750D" w:rsidRDefault="00F0236A" w:rsidP="00DF36E1">
            <w:pPr>
              <w:pStyle w:val="Tabletext"/>
              <w:rPr>
                <w:sz w:val="24"/>
                <w:szCs w:val="24"/>
              </w:rPr>
            </w:pPr>
          </w:p>
        </w:tc>
        <w:tc>
          <w:tcPr>
            <w:tcW w:w="8605" w:type="dxa"/>
            <w:gridSpan w:val="4"/>
            <w:shd w:val="clear" w:color="auto" w:fill="auto"/>
          </w:tcPr>
          <w:p w14:paraId="25A5E2DF" w14:textId="20F190C5" w:rsidR="00F0236A" w:rsidRPr="0042750D" w:rsidRDefault="00F0236A" w:rsidP="00DF36E1">
            <w:pPr>
              <w:pStyle w:val="Tabletext"/>
              <w:rPr>
                <w:rFonts w:eastAsia="Malgun Gothic"/>
                <w:szCs w:val="22"/>
              </w:rPr>
            </w:pPr>
          </w:p>
        </w:tc>
      </w:tr>
      <w:tr w:rsidR="00A45F39" w:rsidRPr="0042750D" w14:paraId="6A56E925" w14:textId="77777777" w:rsidTr="00657C15">
        <w:trPr>
          <w:jc w:val="center"/>
        </w:trPr>
        <w:tc>
          <w:tcPr>
            <w:tcW w:w="902" w:type="dxa"/>
            <w:vMerge w:val="restart"/>
            <w:tcBorders>
              <w:top w:val="single" w:sz="12" w:space="0" w:color="auto"/>
            </w:tcBorders>
            <w:shd w:val="clear" w:color="auto" w:fill="auto"/>
          </w:tcPr>
          <w:p w14:paraId="125C2489" w14:textId="20F42ABD" w:rsidR="00A45F39" w:rsidRPr="0042750D" w:rsidRDefault="00A45F39" w:rsidP="00A45F39">
            <w:pPr>
              <w:pStyle w:val="Tabletext"/>
              <w:keepNext/>
              <w:keepLines/>
              <w:rPr>
                <w:b/>
                <w:bCs/>
                <w:sz w:val="24"/>
                <w:szCs w:val="24"/>
              </w:rPr>
            </w:pPr>
            <w:bookmarkStart w:id="144" w:name="Item55_01"/>
            <w:bookmarkStart w:id="145" w:name="Item55_02"/>
            <w:bookmarkStart w:id="146" w:name="Item55_03"/>
            <w:bookmarkStart w:id="147" w:name="Item55_04"/>
            <w:bookmarkStart w:id="148" w:name="Item55_05"/>
            <w:bookmarkStart w:id="149" w:name="Item55_06"/>
            <w:bookmarkStart w:id="150" w:name="Item55_07"/>
            <w:bookmarkEnd w:id="144"/>
            <w:bookmarkEnd w:id="145"/>
            <w:bookmarkEnd w:id="146"/>
            <w:bookmarkEnd w:id="147"/>
            <w:bookmarkEnd w:id="148"/>
            <w:bookmarkEnd w:id="149"/>
            <w:bookmarkEnd w:id="150"/>
            <w:r w:rsidRPr="0042750D">
              <w:rPr>
                <w:b/>
                <w:bCs/>
                <w:sz w:val="24"/>
                <w:szCs w:val="24"/>
              </w:rPr>
              <w:t>140-07</w:t>
            </w:r>
          </w:p>
        </w:tc>
        <w:tc>
          <w:tcPr>
            <w:tcW w:w="4437" w:type="dxa"/>
            <w:tcBorders>
              <w:top w:val="single" w:sz="12" w:space="0" w:color="auto"/>
            </w:tcBorders>
            <w:shd w:val="clear" w:color="auto" w:fill="auto"/>
          </w:tcPr>
          <w:p w14:paraId="33160734" w14:textId="5B04B1F0" w:rsidR="00A45F39" w:rsidRPr="0042750D" w:rsidRDefault="00A45F39" w:rsidP="007F6958">
            <w:pPr>
              <w:pStyle w:val="Tabletext"/>
              <w:rPr>
                <w:b/>
                <w:bCs/>
                <w:sz w:val="24"/>
                <w:szCs w:val="24"/>
              </w:rPr>
            </w:pPr>
            <w:r w:rsidRPr="0042750D">
              <w:rPr>
                <w:b/>
                <w:bCs/>
                <w:sz w:val="24"/>
                <w:szCs w:val="24"/>
              </w:rPr>
              <w:t>TSBDir to take into account the impact of ITU's work in telecommunications/ICT related to digital transformation on the growth of the digital economy, in line with the WSIS framework, and provide assistance to the membership upon request</w:t>
            </w:r>
            <w:r w:rsidR="002A3D51" w:rsidRPr="0042750D">
              <w:rPr>
                <w:b/>
                <w:bCs/>
                <w:sz w:val="24"/>
                <w:szCs w:val="24"/>
              </w:rPr>
              <w:t xml:space="preserve"> (</w:t>
            </w:r>
            <w:r w:rsidR="002A3D51" w:rsidRPr="0042750D">
              <w:rPr>
                <w:b/>
                <w:bCs/>
                <w:i/>
                <w:sz w:val="24"/>
                <w:szCs w:val="24"/>
              </w:rPr>
              <w:t>instructs 2</w:t>
            </w:r>
            <w:r w:rsidR="002A3D51" w:rsidRPr="0042750D">
              <w:rPr>
                <w:b/>
                <w:bCs/>
                <w:sz w:val="24"/>
                <w:szCs w:val="24"/>
              </w:rPr>
              <w:t>)</w:t>
            </w:r>
            <w:r w:rsidRPr="0042750D">
              <w:rPr>
                <w:b/>
                <w:bCs/>
                <w:sz w:val="24"/>
                <w:szCs w:val="24"/>
              </w:rPr>
              <w:t>.</w:t>
            </w:r>
          </w:p>
        </w:tc>
        <w:tc>
          <w:tcPr>
            <w:tcW w:w="1626" w:type="dxa"/>
            <w:tcBorders>
              <w:top w:val="single" w:sz="12" w:space="0" w:color="auto"/>
            </w:tcBorders>
            <w:shd w:val="clear" w:color="auto" w:fill="auto"/>
            <w:vAlign w:val="center"/>
          </w:tcPr>
          <w:p w14:paraId="6F1F3246" w14:textId="77777777" w:rsidR="00A45F39" w:rsidRPr="0042750D" w:rsidRDefault="00A45F39" w:rsidP="007F6958">
            <w:pPr>
              <w:pStyle w:val="Tabletext"/>
              <w:jc w:val="center"/>
              <w:rPr>
                <w:b/>
                <w:bCs/>
                <w:sz w:val="24"/>
                <w:szCs w:val="24"/>
              </w:rPr>
            </w:pPr>
            <w:r w:rsidRPr="0042750D">
              <w:rPr>
                <w:b/>
                <w:bCs/>
                <w:sz w:val="24"/>
                <w:szCs w:val="24"/>
              </w:rPr>
              <w:t>Ongoing</w:t>
            </w:r>
          </w:p>
        </w:tc>
        <w:tc>
          <w:tcPr>
            <w:tcW w:w="1206" w:type="dxa"/>
            <w:tcBorders>
              <w:top w:val="single" w:sz="12" w:space="0" w:color="auto"/>
            </w:tcBorders>
            <w:shd w:val="clear" w:color="auto" w:fill="auto"/>
            <w:vAlign w:val="center"/>
          </w:tcPr>
          <w:p w14:paraId="1AD8A636" w14:textId="77777777" w:rsidR="00A45F39" w:rsidRPr="0042750D" w:rsidDel="002E51D5" w:rsidRDefault="00A45F39" w:rsidP="007F6958">
            <w:pPr>
              <w:pStyle w:val="Tabletext"/>
              <w:jc w:val="center"/>
              <w:rPr>
                <w:b/>
                <w:bCs/>
                <w:sz w:val="24"/>
                <w:szCs w:val="24"/>
              </w:rPr>
            </w:pPr>
          </w:p>
        </w:tc>
        <w:tc>
          <w:tcPr>
            <w:tcW w:w="1336" w:type="dxa"/>
            <w:tcBorders>
              <w:top w:val="single" w:sz="12" w:space="0" w:color="auto"/>
            </w:tcBorders>
            <w:shd w:val="clear" w:color="auto" w:fill="auto"/>
            <w:vAlign w:val="center"/>
          </w:tcPr>
          <w:p w14:paraId="046D25FC" w14:textId="77777777" w:rsidR="00A45F39" w:rsidRPr="0042750D" w:rsidRDefault="00A45F39" w:rsidP="007F6958">
            <w:pPr>
              <w:pStyle w:val="Tabletext"/>
              <w:jc w:val="center"/>
              <w:rPr>
                <w:rFonts w:eastAsia="Malgun Gothic"/>
                <w:b/>
                <w:bCs/>
                <w:sz w:val="24"/>
                <w:szCs w:val="24"/>
              </w:rPr>
            </w:pPr>
          </w:p>
        </w:tc>
      </w:tr>
      <w:tr w:rsidR="00A45F39" w:rsidRPr="0042750D" w14:paraId="058F26C3" w14:textId="77777777" w:rsidTr="007F6958">
        <w:trPr>
          <w:cantSplit/>
          <w:jc w:val="center"/>
        </w:trPr>
        <w:tc>
          <w:tcPr>
            <w:tcW w:w="902" w:type="dxa"/>
            <w:vMerge/>
            <w:shd w:val="clear" w:color="auto" w:fill="auto"/>
            <w:vAlign w:val="center"/>
          </w:tcPr>
          <w:p w14:paraId="233B1DEA" w14:textId="77777777" w:rsidR="00A45F39" w:rsidRPr="0042750D" w:rsidRDefault="00A45F39" w:rsidP="007F6958">
            <w:pPr>
              <w:pStyle w:val="Tabletext"/>
              <w:rPr>
                <w:sz w:val="24"/>
                <w:szCs w:val="24"/>
              </w:rPr>
            </w:pPr>
          </w:p>
        </w:tc>
        <w:tc>
          <w:tcPr>
            <w:tcW w:w="8605" w:type="dxa"/>
            <w:gridSpan w:val="4"/>
            <w:shd w:val="clear" w:color="auto" w:fill="auto"/>
          </w:tcPr>
          <w:p w14:paraId="2DF75BF2" w14:textId="77777777" w:rsidR="00A45F39" w:rsidRPr="0042750D" w:rsidRDefault="00A45F39" w:rsidP="007F6958">
            <w:pPr>
              <w:pStyle w:val="Tabletext"/>
              <w:rPr>
                <w:rFonts w:eastAsia="Malgun Gothic"/>
                <w:szCs w:val="22"/>
              </w:rPr>
            </w:pPr>
          </w:p>
        </w:tc>
      </w:tr>
      <w:tr w:rsidR="003C22F3" w:rsidRPr="0042750D" w14:paraId="2E7DCCC4" w14:textId="77777777" w:rsidTr="003C22F3">
        <w:trPr>
          <w:jc w:val="center"/>
        </w:trPr>
        <w:tc>
          <w:tcPr>
            <w:tcW w:w="902" w:type="dxa"/>
            <w:vMerge w:val="restart"/>
            <w:tcBorders>
              <w:top w:val="single" w:sz="12" w:space="0" w:color="auto"/>
            </w:tcBorders>
            <w:shd w:val="clear" w:color="auto" w:fill="auto"/>
          </w:tcPr>
          <w:p w14:paraId="69011E06" w14:textId="03DD5823" w:rsidR="003C22F3" w:rsidRPr="0042750D" w:rsidRDefault="003C22F3" w:rsidP="00FC6DC4">
            <w:pPr>
              <w:pStyle w:val="Tabletext"/>
              <w:rPr>
                <w:b/>
                <w:bCs/>
                <w:sz w:val="24"/>
                <w:szCs w:val="24"/>
              </w:rPr>
            </w:pPr>
            <w:r w:rsidRPr="0042750D">
              <w:rPr>
                <w:b/>
                <w:bCs/>
                <w:sz w:val="24"/>
                <w:szCs w:val="24"/>
              </w:rPr>
              <w:t>140-08</w:t>
            </w:r>
          </w:p>
        </w:tc>
        <w:tc>
          <w:tcPr>
            <w:tcW w:w="4437" w:type="dxa"/>
            <w:tcBorders>
              <w:top w:val="single" w:sz="12" w:space="0" w:color="auto"/>
              <w:bottom w:val="single" w:sz="12" w:space="0" w:color="auto"/>
            </w:tcBorders>
            <w:shd w:val="clear" w:color="auto" w:fill="auto"/>
          </w:tcPr>
          <w:p w14:paraId="6AE9B920" w14:textId="7CD2215C" w:rsidR="003C22F3" w:rsidRPr="0042750D" w:rsidRDefault="003C22F3" w:rsidP="00FC6DC4">
            <w:pPr>
              <w:pStyle w:val="Tabletext"/>
              <w:rPr>
                <w:b/>
                <w:bCs/>
                <w:sz w:val="24"/>
                <w:szCs w:val="24"/>
              </w:rPr>
            </w:pPr>
            <w:r w:rsidRPr="0042750D">
              <w:rPr>
                <w:b/>
                <w:bCs/>
                <w:sz w:val="24"/>
                <w:szCs w:val="24"/>
              </w:rPr>
              <w:t>ITU should continue to coordinate WSIS Forums, World Telecommunication and Information Society Day (WTISD) and WSIS Prizes; (</w:t>
            </w:r>
            <w:r w:rsidRPr="0042750D">
              <w:rPr>
                <w:b/>
                <w:bCs/>
                <w:i/>
                <w:sz w:val="24"/>
                <w:szCs w:val="24"/>
              </w:rPr>
              <w:t>resolves 3</w:t>
            </w:r>
            <w:r w:rsidRPr="0042750D">
              <w:rPr>
                <w:b/>
                <w:bCs/>
                <w:sz w:val="24"/>
                <w:szCs w:val="24"/>
              </w:rPr>
              <w:t>).</w:t>
            </w:r>
          </w:p>
        </w:tc>
        <w:tc>
          <w:tcPr>
            <w:tcW w:w="1626" w:type="dxa"/>
            <w:tcBorders>
              <w:top w:val="single" w:sz="12" w:space="0" w:color="auto"/>
              <w:bottom w:val="single" w:sz="12" w:space="0" w:color="auto"/>
            </w:tcBorders>
            <w:shd w:val="clear" w:color="auto" w:fill="auto"/>
            <w:vAlign w:val="center"/>
          </w:tcPr>
          <w:p w14:paraId="236FDE83" w14:textId="77777777" w:rsidR="003C22F3" w:rsidRPr="0042750D" w:rsidRDefault="003C22F3" w:rsidP="00FC6DC4">
            <w:pPr>
              <w:pStyle w:val="Tabletext"/>
              <w:jc w:val="center"/>
              <w:rPr>
                <w:b/>
                <w:bCs/>
                <w:sz w:val="24"/>
                <w:szCs w:val="24"/>
              </w:rPr>
            </w:pPr>
            <w:r w:rsidRPr="0042750D">
              <w:rPr>
                <w:b/>
                <w:bCs/>
                <w:sz w:val="24"/>
                <w:szCs w:val="24"/>
              </w:rPr>
              <w:t>Ongoing</w:t>
            </w:r>
          </w:p>
        </w:tc>
        <w:tc>
          <w:tcPr>
            <w:tcW w:w="1206" w:type="dxa"/>
            <w:tcBorders>
              <w:top w:val="single" w:sz="12" w:space="0" w:color="auto"/>
              <w:bottom w:val="single" w:sz="12" w:space="0" w:color="auto"/>
            </w:tcBorders>
            <w:shd w:val="clear" w:color="auto" w:fill="auto"/>
            <w:vAlign w:val="center"/>
          </w:tcPr>
          <w:p w14:paraId="15B811FF" w14:textId="34574CAE" w:rsidR="003C22F3" w:rsidRPr="0042750D" w:rsidDel="002E51D5" w:rsidRDefault="003C22F3" w:rsidP="00FC6DC4">
            <w:pPr>
              <w:pStyle w:val="Tabletext"/>
              <w:jc w:val="center"/>
              <w:rPr>
                <w:b/>
                <w:bCs/>
                <w:sz w:val="24"/>
                <w:szCs w:val="24"/>
              </w:rPr>
            </w:pPr>
            <w:r w:rsidRPr="0042750D">
              <w:rPr>
                <w:b/>
                <w:bCs/>
                <w:sz w:val="24"/>
                <w:szCs w:val="24"/>
              </w:rPr>
              <w:t>√</w:t>
            </w:r>
          </w:p>
        </w:tc>
        <w:tc>
          <w:tcPr>
            <w:tcW w:w="1336" w:type="dxa"/>
            <w:tcBorders>
              <w:top w:val="single" w:sz="12" w:space="0" w:color="auto"/>
              <w:bottom w:val="single" w:sz="12" w:space="0" w:color="auto"/>
            </w:tcBorders>
            <w:shd w:val="clear" w:color="auto" w:fill="auto"/>
            <w:vAlign w:val="center"/>
          </w:tcPr>
          <w:p w14:paraId="51972546" w14:textId="77777777" w:rsidR="003C22F3" w:rsidRPr="0042750D" w:rsidRDefault="003C22F3" w:rsidP="00FC6DC4">
            <w:pPr>
              <w:pStyle w:val="Tabletext"/>
              <w:jc w:val="center"/>
              <w:rPr>
                <w:rFonts w:eastAsia="Malgun Gothic"/>
                <w:b/>
                <w:bCs/>
                <w:sz w:val="24"/>
                <w:szCs w:val="24"/>
              </w:rPr>
            </w:pPr>
          </w:p>
        </w:tc>
      </w:tr>
      <w:tr w:rsidR="003C22F3" w:rsidRPr="0042750D" w14:paraId="1B2DC5CC" w14:textId="77777777" w:rsidTr="003C22F3">
        <w:trPr>
          <w:jc w:val="center"/>
        </w:trPr>
        <w:tc>
          <w:tcPr>
            <w:tcW w:w="902" w:type="dxa"/>
            <w:vMerge/>
            <w:shd w:val="clear" w:color="auto" w:fill="auto"/>
          </w:tcPr>
          <w:p w14:paraId="28E7A703" w14:textId="77777777" w:rsidR="003C22F3" w:rsidRPr="0042750D" w:rsidRDefault="003C22F3" w:rsidP="00FC6DC4">
            <w:pPr>
              <w:pStyle w:val="Tabletext"/>
              <w:rPr>
                <w:b/>
                <w:bCs/>
                <w:sz w:val="24"/>
                <w:szCs w:val="24"/>
              </w:rPr>
            </w:pPr>
          </w:p>
        </w:tc>
        <w:tc>
          <w:tcPr>
            <w:tcW w:w="8605" w:type="dxa"/>
            <w:gridSpan w:val="4"/>
            <w:tcBorders>
              <w:top w:val="single" w:sz="12" w:space="0" w:color="auto"/>
            </w:tcBorders>
            <w:shd w:val="clear" w:color="auto" w:fill="auto"/>
          </w:tcPr>
          <w:p w14:paraId="34D56E54" w14:textId="43F6A3B3" w:rsidR="003C22F3" w:rsidRPr="0042750D" w:rsidRDefault="00825A1C" w:rsidP="00FC6DC4">
            <w:pPr>
              <w:pStyle w:val="Tabletext"/>
              <w:rPr>
                <w:rFonts w:eastAsia="Malgun Gothic"/>
                <w:bCs/>
                <w:szCs w:val="22"/>
              </w:rPr>
            </w:pPr>
            <w:r w:rsidRPr="0042750D">
              <w:rPr>
                <w:rFonts w:eastAsia="Malgun Gothic"/>
                <w:bCs/>
                <w:szCs w:val="22"/>
              </w:rPr>
              <w:t xml:space="preserve">ITU-T organized the </w:t>
            </w:r>
            <w:hyperlink r:id="rId65" w:history="1">
              <w:r w:rsidRPr="0042750D">
                <w:rPr>
                  <w:rStyle w:val="Hyperlink"/>
                  <w:rFonts w:eastAsia="Malgun Gothic"/>
                  <w:bCs/>
                  <w:szCs w:val="22"/>
                </w:rPr>
                <w:t>WTISD-</w:t>
              </w:r>
              <w:r w:rsidR="003C22F3" w:rsidRPr="0042750D">
                <w:rPr>
                  <w:rStyle w:val="Hyperlink"/>
                  <w:rFonts w:eastAsia="Malgun Gothic"/>
                  <w:bCs/>
                  <w:szCs w:val="22"/>
                </w:rPr>
                <w:t>19</w:t>
              </w:r>
            </w:hyperlink>
            <w:r w:rsidRPr="0042750D">
              <w:rPr>
                <w:rFonts w:eastAsia="Malgun Gothic"/>
                <w:bCs/>
                <w:szCs w:val="22"/>
              </w:rPr>
              <w:t xml:space="preserve"> on 1</w:t>
            </w:r>
            <w:r w:rsidR="00392BB1" w:rsidRPr="0042750D">
              <w:rPr>
                <w:rFonts w:eastAsia="Malgun Gothic"/>
                <w:bCs/>
                <w:szCs w:val="22"/>
              </w:rPr>
              <w:t>7</w:t>
            </w:r>
            <w:r w:rsidRPr="0042750D">
              <w:rPr>
                <w:rFonts w:eastAsia="Malgun Gothic"/>
                <w:bCs/>
                <w:szCs w:val="22"/>
              </w:rPr>
              <w:t xml:space="preserve"> May 2019</w:t>
            </w:r>
            <w:r w:rsidR="003C22F3" w:rsidRPr="0042750D">
              <w:rPr>
                <w:rFonts w:eastAsia="Malgun Gothic"/>
                <w:bCs/>
                <w:szCs w:val="22"/>
              </w:rPr>
              <w:t xml:space="preserve">, the theme for WTISD-19 was “Bridging the Standardization Gap” (see </w:t>
            </w:r>
            <w:hyperlink r:id="rId66" w:history="1">
              <w:r w:rsidR="003C22F3" w:rsidRPr="0042750D">
                <w:rPr>
                  <w:rStyle w:val="Hyperlink"/>
                  <w:rFonts w:eastAsia="Malgun Gothic"/>
                  <w:bCs/>
                  <w:szCs w:val="22"/>
                </w:rPr>
                <w:t>CWG-WSIS&amp;SDG-34/011</w:t>
              </w:r>
            </w:hyperlink>
            <w:r w:rsidR="003C22F3" w:rsidRPr="0042750D">
              <w:rPr>
                <w:rFonts w:eastAsia="Malgun Gothic"/>
                <w:bCs/>
                <w:szCs w:val="22"/>
              </w:rPr>
              <w:t>).</w:t>
            </w:r>
            <w:r w:rsidRPr="0042750D">
              <w:rPr>
                <w:rFonts w:eastAsia="Malgun Gothic"/>
                <w:bCs/>
                <w:szCs w:val="22"/>
              </w:rPr>
              <w:t xml:space="preserve"> WTISD-19 marked the 50th anniversary of World Telecommunication and Information Society Day which has been celebrated annually since 1969.</w:t>
            </w:r>
            <w:r w:rsidR="009D6101" w:rsidRPr="0042750D">
              <w:rPr>
                <w:rFonts w:eastAsia="Malgun Gothic"/>
                <w:bCs/>
                <w:szCs w:val="22"/>
              </w:rPr>
              <w:t xml:space="preserve"> The theme for WTISD-20 approved by the 2019 Session of Council is “Connect 2030: ICTs for the Sustainable Development Goals (SDGs)”.</w:t>
            </w:r>
          </w:p>
          <w:p w14:paraId="53C1C2BC" w14:textId="1A0CD37D" w:rsidR="00825A1C" w:rsidRPr="0042750D" w:rsidRDefault="001411EC" w:rsidP="00FC6DC4">
            <w:pPr>
              <w:pStyle w:val="Tabletext"/>
              <w:rPr>
                <w:rFonts w:eastAsia="Malgun Gothic"/>
                <w:bCs/>
                <w:szCs w:val="22"/>
              </w:rPr>
            </w:pPr>
            <w:r w:rsidRPr="0042750D">
              <w:rPr>
                <w:rFonts w:eastAsia="Malgun Gothic"/>
                <w:bCs/>
                <w:szCs w:val="22"/>
              </w:rPr>
              <w:t xml:space="preserve">For </w:t>
            </w:r>
            <w:r w:rsidR="00825A1C" w:rsidRPr="0042750D">
              <w:rPr>
                <w:rFonts w:eastAsia="Malgun Gothic"/>
                <w:bCs/>
                <w:szCs w:val="22"/>
              </w:rPr>
              <w:t xml:space="preserve">the </w:t>
            </w:r>
            <w:hyperlink r:id="rId67" w:history="1">
              <w:r w:rsidR="00AF6FDB" w:rsidRPr="0042750D">
                <w:rPr>
                  <w:rStyle w:val="Hyperlink"/>
                </w:rPr>
                <w:t>WSIS Prizes 2019</w:t>
              </w:r>
            </w:hyperlink>
            <w:r w:rsidR="00AF6FDB" w:rsidRPr="0042750D">
              <w:rPr>
                <w:color w:val="1F497D"/>
              </w:rPr>
              <w:t xml:space="preserve"> </w:t>
            </w:r>
            <w:r w:rsidR="00AF6FDB" w:rsidRPr="0042750D">
              <w:rPr>
                <w:rFonts w:eastAsia="Malgun Gothic"/>
                <w:bCs/>
                <w:szCs w:val="22"/>
              </w:rPr>
              <w:t>Call, 8th</w:t>
            </w:r>
            <w:r w:rsidRPr="0042750D">
              <w:rPr>
                <w:rFonts w:eastAsia="Malgun Gothic"/>
                <w:bCs/>
                <w:szCs w:val="22"/>
              </w:rPr>
              <w:t xml:space="preserve"> edition, TSB reviewed </w:t>
            </w:r>
            <w:r w:rsidR="00AF6FDB" w:rsidRPr="0042750D">
              <w:rPr>
                <w:rFonts w:eastAsia="Malgun Gothic"/>
                <w:bCs/>
                <w:szCs w:val="22"/>
              </w:rPr>
              <w:t>47 nominated projects for WSIS Action Lines C8 and C10 of this major global exercise in recognizing best ICT practices that are implementing the WSIS Action Lines and advancing the Sustainable Development Goals.</w:t>
            </w:r>
            <w:r w:rsidR="00CC3101" w:rsidRPr="0042750D">
              <w:rPr>
                <w:rFonts w:eastAsia="Malgun Gothic"/>
                <w:bCs/>
                <w:szCs w:val="22"/>
              </w:rPr>
              <w:t xml:space="preserve"> Preparations are underway for </w:t>
            </w:r>
            <w:r w:rsidRPr="0042750D">
              <w:rPr>
                <w:rFonts w:eastAsia="Malgun Gothic"/>
                <w:bCs/>
                <w:szCs w:val="22"/>
              </w:rPr>
              <w:t xml:space="preserve">the </w:t>
            </w:r>
            <w:r w:rsidR="00CC3101" w:rsidRPr="0042750D">
              <w:rPr>
                <w:rFonts w:eastAsia="Malgun Gothic"/>
                <w:bCs/>
                <w:szCs w:val="22"/>
              </w:rPr>
              <w:t xml:space="preserve">WSIS Prizes 2020 (see </w:t>
            </w:r>
            <w:hyperlink r:id="rId68" w:history="1">
              <w:r w:rsidR="00CC3101" w:rsidRPr="0042750D">
                <w:rPr>
                  <w:rStyle w:val="Hyperlink"/>
                  <w:rFonts w:eastAsia="Malgun Gothic"/>
                  <w:bCs/>
                  <w:szCs w:val="22"/>
                </w:rPr>
                <w:t>CWG-WSIS&amp;SDG-34/007</w:t>
              </w:r>
            </w:hyperlink>
            <w:r w:rsidR="00CC3101" w:rsidRPr="0042750D">
              <w:rPr>
                <w:rFonts w:eastAsia="Malgun Gothic"/>
                <w:bCs/>
                <w:szCs w:val="22"/>
              </w:rPr>
              <w:t>).</w:t>
            </w:r>
          </w:p>
          <w:p w14:paraId="2466EA0D" w14:textId="394FBCBF" w:rsidR="00655FCA" w:rsidRPr="0042750D" w:rsidRDefault="00655FCA" w:rsidP="00FC6DC4">
            <w:pPr>
              <w:pStyle w:val="Tabletext"/>
              <w:rPr>
                <w:rFonts w:eastAsia="Malgun Gothic"/>
                <w:bCs/>
                <w:szCs w:val="22"/>
              </w:rPr>
            </w:pPr>
            <w:r w:rsidRPr="0042750D">
              <w:rPr>
                <w:rFonts w:eastAsia="Malgun Gothic"/>
                <w:bCs/>
                <w:szCs w:val="22"/>
              </w:rPr>
              <w:t>TSB regularily participates in the ITU inter-sectoral WSIS&amp;SDG Task Force meetings</w:t>
            </w:r>
            <w:r w:rsidR="00CA3A32" w:rsidRPr="0042750D">
              <w:rPr>
                <w:rFonts w:eastAsia="Malgun Gothic"/>
                <w:bCs/>
                <w:szCs w:val="22"/>
              </w:rPr>
              <w:t xml:space="preserve"> among the secretariats</w:t>
            </w:r>
            <w:r w:rsidRPr="0042750D">
              <w:rPr>
                <w:rFonts w:eastAsia="Malgun Gothic"/>
                <w:bCs/>
                <w:szCs w:val="22"/>
              </w:rPr>
              <w:t xml:space="preserve"> for coordination on WSIS, WSIS Forums, and SDG matters.</w:t>
            </w:r>
          </w:p>
        </w:tc>
      </w:tr>
    </w:tbl>
    <w:p w14:paraId="4DB08E12" w14:textId="77777777" w:rsidR="003C22F3" w:rsidRPr="0042750D" w:rsidRDefault="003C22F3" w:rsidP="00F0236A"/>
    <w:p w14:paraId="7B750229" w14:textId="4290F269"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17C494DE" w14:textId="04F585E0" w:rsidR="00F0236A" w:rsidRPr="0042750D" w:rsidRDefault="004947EA" w:rsidP="00775B4B">
      <w:pPr>
        <w:pStyle w:val="Heading1"/>
        <w:keepNext/>
        <w:keepLines/>
        <w:rPr>
          <w:sz w:val="24"/>
          <w:szCs w:val="24"/>
          <w:lang w:val="en-GB"/>
        </w:rPr>
      </w:pPr>
      <w:bookmarkStart w:id="151" w:name="Resolution_56"/>
      <w:bookmarkStart w:id="152" w:name="Resolution_57"/>
      <w:bookmarkStart w:id="153" w:name="Item57_01"/>
      <w:bookmarkStart w:id="154" w:name="Item57_02"/>
      <w:bookmarkStart w:id="155" w:name="Item57_03"/>
      <w:bookmarkStart w:id="156" w:name="Resolution_58"/>
      <w:bookmarkStart w:id="157" w:name="_Toc30749166"/>
      <w:bookmarkEnd w:id="151"/>
      <w:bookmarkEnd w:id="152"/>
      <w:bookmarkEnd w:id="153"/>
      <w:bookmarkEnd w:id="154"/>
      <w:bookmarkEnd w:id="155"/>
      <w:bookmarkEnd w:id="156"/>
      <w:r w:rsidRPr="0042750D">
        <w:rPr>
          <w:sz w:val="24"/>
          <w:szCs w:val="24"/>
          <w:lang w:val="en-GB"/>
        </w:rPr>
        <w:t>RESOLUTION 146 (REV. DUBAI, 2018) – Periodic review and revision of the International Telecommunication Regulations</w:t>
      </w:r>
      <w:bookmarkEnd w:id="157"/>
    </w:p>
    <w:p w14:paraId="045C075C" w14:textId="77777777" w:rsidR="00F0236A" w:rsidRPr="0042750D" w:rsidRDefault="00F0236A" w:rsidP="00775B4B">
      <w:pPr>
        <w:pStyle w:val="Call"/>
        <w:rPr>
          <w:szCs w:val="22"/>
          <w:lang w:val="en-GB"/>
        </w:rPr>
      </w:pPr>
      <w:r w:rsidRPr="0042750D">
        <w:rPr>
          <w:szCs w:val="22"/>
          <w:lang w:val="en-GB"/>
        </w:rPr>
        <w:t>resolves</w:t>
      </w:r>
    </w:p>
    <w:p w14:paraId="43681264" w14:textId="77777777" w:rsidR="004947EA" w:rsidRPr="0042750D" w:rsidRDefault="004947EA" w:rsidP="00775B4B">
      <w:pPr>
        <w:keepNext/>
        <w:keepLines/>
        <w:rPr>
          <w:szCs w:val="22"/>
          <w:lang w:eastAsia="zh-CN"/>
        </w:rPr>
      </w:pPr>
      <w:r w:rsidRPr="0042750D">
        <w:rPr>
          <w:szCs w:val="22"/>
          <w:lang w:eastAsia="zh-CN"/>
        </w:rPr>
        <w:t>1</w:t>
      </w:r>
      <w:r w:rsidRPr="0042750D">
        <w:rPr>
          <w:szCs w:val="22"/>
          <w:lang w:eastAsia="zh-CN"/>
        </w:rPr>
        <w:tab/>
      </w:r>
      <w:r w:rsidRPr="0042750D">
        <w:rPr>
          <w:szCs w:val="22"/>
        </w:rPr>
        <w:t>that the ITRs should normally be reviewed periodically;</w:t>
      </w:r>
    </w:p>
    <w:p w14:paraId="0D69F1DA" w14:textId="08D8BC91" w:rsidR="00F0236A" w:rsidRPr="0042750D" w:rsidRDefault="004947EA" w:rsidP="004947EA">
      <w:pPr>
        <w:spacing w:after="120"/>
        <w:rPr>
          <w:szCs w:val="22"/>
        </w:rPr>
      </w:pPr>
      <w:r w:rsidRPr="0042750D">
        <w:rPr>
          <w:szCs w:val="22"/>
          <w:lang w:eastAsia="zh-CN"/>
        </w:rPr>
        <w:t>2</w:t>
      </w:r>
      <w:r w:rsidRPr="0042750D">
        <w:rPr>
          <w:szCs w:val="22"/>
          <w:lang w:eastAsia="zh-CN"/>
        </w:rPr>
        <w:tab/>
        <w:t>to conduct a comprehensive review of the ITRs with a view to achieving consensus on the way forward in respect of the ITRs</w:t>
      </w:r>
      <w:r w:rsidR="00F0236A" w:rsidRPr="0042750D">
        <w:rPr>
          <w:szCs w:val="22"/>
        </w:rPr>
        <w:t>.</w:t>
      </w:r>
    </w:p>
    <w:p w14:paraId="4A7BCBE0" w14:textId="77777777" w:rsidR="00065DBF" w:rsidRPr="0042750D" w:rsidRDefault="00065DBF" w:rsidP="00065DBF">
      <w:pPr>
        <w:pStyle w:val="Call"/>
        <w:rPr>
          <w:lang w:val="en-GB"/>
        </w:rPr>
      </w:pPr>
      <w:r w:rsidRPr="0042750D">
        <w:rPr>
          <w:lang w:val="en-GB"/>
        </w:rPr>
        <w:t>instructs the Directors of the Bureaux</w:t>
      </w:r>
    </w:p>
    <w:p w14:paraId="0A493635" w14:textId="77777777" w:rsidR="00065DBF" w:rsidRPr="0042750D" w:rsidRDefault="00065DBF" w:rsidP="00065DBF">
      <w:r w:rsidRPr="0042750D">
        <w:t>1</w:t>
      </w:r>
      <w:r w:rsidRPr="0042750D">
        <w:tab/>
        <w:t>each within their field of competence, with advice from the relevant advisory group, to contribute to the activities of EG-ITR, recognizing that the ITU Telecommunication Standardization Sector has most of the work relevant to the ITRs;</w:t>
      </w:r>
    </w:p>
    <w:p w14:paraId="35B13CF6" w14:textId="77777777" w:rsidR="00065DBF" w:rsidRPr="0042750D" w:rsidRDefault="00065DBF" w:rsidP="00065DBF">
      <w:r w:rsidRPr="0042750D">
        <w:t>2</w:t>
      </w:r>
      <w:r w:rsidRPr="0042750D">
        <w:tab/>
        <w:t>to submit the results of their work to EG</w:t>
      </w:r>
      <w:r w:rsidRPr="0042750D">
        <w:noBreakHyphen/>
        <w:t>ITR;</w:t>
      </w:r>
    </w:p>
    <w:p w14:paraId="7DC6B0DB" w14:textId="2B8E932A" w:rsidR="00065DBF" w:rsidRPr="0042750D" w:rsidRDefault="00065DBF" w:rsidP="00D45211">
      <w:r w:rsidRPr="0042750D">
        <w:t>3</w:t>
      </w:r>
      <w:r w:rsidRPr="0042750D">
        <w:tab/>
        <w:t>to consider providing fellowships, where resources are available, for developing</w:t>
      </w:r>
      <w:r w:rsidRPr="0042750D">
        <w:footnoteReference w:customMarkFollows="1" w:id="11"/>
        <w:t>1 and least developed countries according to the list established by the United Nations, in order to widen their participation in the expert group,</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F0236A" w:rsidRPr="0042750D" w14:paraId="7CFBC4D9" w14:textId="77777777" w:rsidTr="00043514">
        <w:trPr>
          <w:tblHeader/>
          <w:jc w:val="center"/>
        </w:trPr>
        <w:tc>
          <w:tcPr>
            <w:tcW w:w="916" w:type="dxa"/>
            <w:tcBorders>
              <w:top w:val="single" w:sz="12" w:space="0" w:color="auto"/>
              <w:bottom w:val="single" w:sz="12" w:space="0" w:color="auto"/>
            </w:tcBorders>
            <w:shd w:val="clear" w:color="auto" w:fill="auto"/>
            <w:vAlign w:val="center"/>
          </w:tcPr>
          <w:p w14:paraId="346FE72D" w14:textId="77777777" w:rsidR="00F0236A" w:rsidRPr="0042750D" w:rsidRDefault="00F0236A" w:rsidP="00DF36E1">
            <w:pPr>
              <w:pStyle w:val="Tablehead"/>
              <w:rPr>
                <w:sz w:val="24"/>
                <w:szCs w:val="24"/>
              </w:rPr>
            </w:pPr>
            <w:r w:rsidRPr="0042750D">
              <w:rPr>
                <w:sz w:val="24"/>
                <w:szCs w:val="24"/>
              </w:rPr>
              <w:t>Action Item</w:t>
            </w:r>
          </w:p>
        </w:tc>
        <w:tc>
          <w:tcPr>
            <w:tcW w:w="4548" w:type="dxa"/>
            <w:tcBorders>
              <w:top w:val="single" w:sz="12" w:space="0" w:color="auto"/>
              <w:bottom w:val="single" w:sz="12" w:space="0" w:color="auto"/>
            </w:tcBorders>
            <w:shd w:val="clear" w:color="auto" w:fill="auto"/>
            <w:vAlign w:val="center"/>
            <w:hideMark/>
          </w:tcPr>
          <w:p w14:paraId="44047EEA" w14:textId="77777777" w:rsidR="00F0236A" w:rsidRPr="0042750D" w:rsidRDefault="00F0236A" w:rsidP="00DF36E1">
            <w:pPr>
              <w:pStyle w:val="Tablehead"/>
              <w:rPr>
                <w:sz w:val="24"/>
                <w:szCs w:val="24"/>
              </w:rPr>
            </w:pPr>
            <w:r w:rsidRPr="0042750D">
              <w:rPr>
                <w:sz w:val="24"/>
                <w:szCs w:val="24"/>
              </w:rPr>
              <w:t>Action</w:t>
            </w:r>
          </w:p>
        </w:tc>
        <w:tc>
          <w:tcPr>
            <w:tcW w:w="1226" w:type="dxa"/>
            <w:tcBorders>
              <w:top w:val="single" w:sz="12" w:space="0" w:color="auto"/>
              <w:bottom w:val="single" w:sz="12" w:space="0" w:color="auto"/>
            </w:tcBorders>
            <w:shd w:val="clear" w:color="auto" w:fill="auto"/>
            <w:vAlign w:val="center"/>
            <w:hideMark/>
          </w:tcPr>
          <w:p w14:paraId="7B85C17A" w14:textId="77777777" w:rsidR="00F0236A" w:rsidRPr="0042750D" w:rsidRDefault="00F0236A" w:rsidP="00DF36E1">
            <w:pPr>
              <w:pStyle w:val="Tablehead"/>
              <w:rPr>
                <w:sz w:val="24"/>
                <w:szCs w:val="24"/>
              </w:rPr>
            </w:pPr>
            <w:r w:rsidRPr="0042750D">
              <w:rPr>
                <w:sz w:val="24"/>
                <w:szCs w:val="24"/>
              </w:rPr>
              <w:t>Milestone</w:t>
            </w:r>
          </w:p>
        </w:tc>
        <w:tc>
          <w:tcPr>
            <w:tcW w:w="1339" w:type="dxa"/>
            <w:tcBorders>
              <w:top w:val="single" w:sz="12" w:space="0" w:color="auto"/>
              <w:bottom w:val="single" w:sz="12" w:space="0" w:color="auto"/>
            </w:tcBorders>
            <w:shd w:val="clear" w:color="auto" w:fill="auto"/>
          </w:tcPr>
          <w:p w14:paraId="555C69CB" w14:textId="77777777" w:rsidR="00F0236A" w:rsidRPr="0042750D" w:rsidRDefault="00F0236A" w:rsidP="00DF36E1">
            <w:pPr>
              <w:pStyle w:val="Tablehead"/>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536FFB"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0BB5AFB2" w14:textId="77777777" w:rsidTr="002E05D5">
        <w:trPr>
          <w:cantSplit/>
          <w:jc w:val="center"/>
        </w:trPr>
        <w:tc>
          <w:tcPr>
            <w:tcW w:w="916" w:type="dxa"/>
            <w:vMerge w:val="restart"/>
            <w:tcBorders>
              <w:top w:val="single" w:sz="12" w:space="0" w:color="auto"/>
            </w:tcBorders>
            <w:shd w:val="clear" w:color="auto" w:fill="auto"/>
          </w:tcPr>
          <w:p w14:paraId="61BBC2C6" w14:textId="775E178F" w:rsidR="00F0236A" w:rsidRPr="0042750D" w:rsidRDefault="00831893" w:rsidP="00DF36E1">
            <w:pPr>
              <w:pStyle w:val="Tabletext"/>
              <w:rPr>
                <w:b/>
                <w:bCs/>
                <w:sz w:val="24"/>
                <w:szCs w:val="24"/>
              </w:rPr>
            </w:pPr>
            <w:r w:rsidRPr="0042750D">
              <w:rPr>
                <w:b/>
                <w:bCs/>
                <w:sz w:val="24"/>
                <w:szCs w:val="24"/>
              </w:rPr>
              <w:t>146</w:t>
            </w:r>
            <w:r w:rsidR="00F0236A" w:rsidRPr="0042750D">
              <w:rPr>
                <w:b/>
                <w:bCs/>
                <w:sz w:val="24"/>
                <w:szCs w:val="24"/>
              </w:rPr>
              <w:t>-01</w:t>
            </w:r>
          </w:p>
        </w:tc>
        <w:tc>
          <w:tcPr>
            <w:tcW w:w="4548" w:type="dxa"/>
            <w:tcBorders>
              <w:top w:val="single" w:sz="12" w:space="0" w:color="auto"/>
              <w:bottom w:val="single" w:sz="4" w:space="0" w:color="auto"/>
            </w:tcBorders>
            <w:shd w:val="clear" w:color="auto" w:fill="auto"/>
            <w:hideMark/>
          </w:tcPr>
          <w:p w14:paraId="7B2C0F33" w14:textId="13D756DC" w:rsidR="00F0236A" w:rsidRPr="0042750D" w:rsidRDefault="00831893" w:rsidP="00831893">
            <w:pPr>
              <w:pStyle w:val="Tabletext"/>
              <w:rPr>
                <w:b/>
                <w:bCs/>
                <w:sz w:val="24"/>
                <w:szCs w:val="24"/>
              </w:rPr>
            </w:pPr>
            <w:r w:rsidRPr="0042750D">
              <w:rPr>
                <w:b/>
                <w:bCs/>
                <w:sz w:val="24"/>
                <w:szCs w:val="24"/>
              </w:rPr>
              <w:t>TSBDir with advice from TSAG, to contribute to the activities of EG-ITR, recognizing that ITU-T has most of the work relevant to the ITRs</w:t>
            </w:r>
            <w:r w:rsidR="002E05D5" w:rsidRPr="0042750D">
              <w:rPr>
                <w:b/>
                <w:bCs/>
                <w:sz w:val="24"/>
                <w:szCs w:val="24"/>
              </w:rPr>
              <w:t xml:space="preserve"> (</w:t>
            </w:r>
            <w:r w:rsidR="002E05D5" w:rsidRPr="0042750D">
              <w:rPr>
                <w:b/>
                <w:bCs/>
                <w:i/>
                <w:sz w:val="24"/>
                <w:szCs w:val="24"/>
              </w:rPr>
              <w:t>instructs 1</w:t>
            </w:r>
            <w:r w:rsidR="002E05D5" w:rsidRPr="0042750D">
              <w:rPr>
                <w:b/>
                <w:bCs/>
                <w:sz w:val="24"/>
                <w:szCs w:val="24"/>
              </w:rPr>
              <w:t>)</w:t>
            </w:r>
            <w:r w:rsidRPr="0042750D">
              <w:rPr>
                <w:b/>
                <w:bCs/>
                <w:sz w:val="24"/>
                <w:szCs w:val="24"/>
              </w:rPr>
              <w:t>.</w:t>
            </w:r>
          </w:p>
        </w:tc>
        <w:tc>
          <w:tcPr>
            <w:tcW w:w="1226" w:type="dxa"/>
            <w:tcBorders>
              <w:top w:val="single" w:sz="12" w:space="0" w:color="auto"/>
              <w:bottom w:val="single" w:sz="4" w:space="0" w:color="auto"/>
            </w:tcBorders>
            <w:shd w:val="clear" w:color="auto" w:fill="auto"/>
            <w:vAlign w:val="center"/>
            <w:hideMark/>
          </w:tcPr>
          <w:p w14:paraId="64501F98" w14:textId="725AE532" w:rsidR="00F0236A" w:rsidRPr="0042750D" w:rsidRDefault="00AB0E66" w:rsidP="00DF36E1">
            <w:pPr>
              <w:pStyle w:val="Tabletext"/>
              <w:jc w:val="center"/>
              <w:rPr>
                <w:b/>
                <w:bCs/>
                <w:sz w:val="24"/>
                <w:szCs w:val="24"/>
              </w:rPr>
            </w:pPr>
            <w:r w:rsidRPr="0042750D">
              <w:rPr>
                <w:b/>
                <w:bCs/>
                <w:sz w:val="24"/>
                <w:szCs w:val="24"/>
              </w:rPr>
              <w:t>EG-ITR</w:t>
            </w:r>
          </w:p>
        </w:tc>
        <w:tc>
          <w:tcPr>
            <w:tcW w:w="1339" w:type="dxa"/>
            <w:tcBorders>
              <w:top w:val="single" w:sz="12" w:space="0" w:color="auto"/>
              <w:bottom w:val="single" w:sz="4" w:space="0" w:color="auto"/>
            </w:tcBorders>
            <w:shd w:val="clear" w:color="auto" w:fill="auto"/>
            <w:vAlign w:val="center"/>
          </w:tcPr>
          <w:p w14:paraId="70D90506" w14:textId="5FEB200E" w:rsidR="00F0236A" w:rsidRPr="0042750D"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0A2AC38" w14:textId="77777777" w:rsidR="00F0236A" w:rsidRPr="0042750D" w:rsidRDefault="00F0236A" w:rsidP="00DF36E1">
            <w:pPr>
              <w:pStyle w:val="Tabletext"/>
              <w:jc w:val="center"/>
              <w:rPr>
                <w:b/>
                <w:bCs/>
                <w:sz w:val="24"/>
                <w:szCs w:val="24"/>
              </w:rPr>
            </w:pPr>
          </w:p>
        </w:tc>
      </w:tr>
      <w:tr w:rsidR="00F0236A" w:rsidRPr="0042750D" w14:paraId="652FBA21" w14:textId="77777777" w:rsidTr="0085771B">
        <w:trPr>
          <w:cantSplit/>
          <w:jc w:val="center"/>
        </w:trPr>
        <w:tc>
          <w:tcPr>
            <w:tcW w:w="916" w:type="dxa"/>
            <w:vMerge/>
            <w:tcBorders>
              <w:bottom w:val="single" w:sz="12" w:space="0" w:color="auto"/>
            </w:tcBorders>
            <w:shd w:val="clear" w:color="auto" w:fill="auto"/>
          </w:tcPr>
          <w:p w14:paraId="542200DA" w14:textId="77777777" w:rsidR="00F0236A" w:rsidRPr="0042750D" w:rsidRDefault="00F0236A" w:rsidP="00DF36E1">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37878616" w14:textId="37B6A5DC" w:rsidR="00F0236A" w:rsidRPr="0042750D" w:rsidRDefault="00F0236A" w:rsidP="00DF36E1">
            <w:pPr>
              <w:pStyle w:val="Tabletext"/>
              <w:rPr>
                <w:szCs w:val="22"/>
              </w:rPr>
            </w:pPr>
          </w:p>
        </w:tc>
      </w:tr>
      <w:tr w:rsidR="00F0236A" w:rsidRPr="0042750D" w14:paraId="510FF38C" w14:textId="77777777" w:rsidTr="002E05D5">
        <w:trPr>
          <w:cantSplit/>
          <w:jc w:val="center"/>
        </w:trPr>
        <w:tc>
          <w:tcPr>
            <w:tcW w:w="916" w:type="dxa"/>
            <w:vMerge w:val="restart"/>
            <w:tcBorders>
              <w:top w:val="single" w:sz="12" w:space="0" w:color="auto"/>
            </w:tcBorders>
            <w:shd w:val="clear" w:color="auto" w:fill="auto"/>
          </w:tcPr>
          <w:p w14:paraId="73047068" w14:textId="329B117D" w:rsidR="00F0236A" w:rsidRPr="0042750D" w:rsidRDefault="00831893" w:rsidP="00831893">
            <w:pPr>
              <w:pStyle w:val="Tabletext"/>
              <w:rPr>
                <w:b/>
                <w:bCs/>
                <w:sz w:val="24"/>
                <w:szCs w:val="24"/>
              </w:rPr>
            </w:pPr>
            <w:r w:rsidRPr="0042750D">
              <w:rPr>
                <w:b/>
                <w:bCs/>
                <w:sz w:val="24"/>
                <w:szCs w:val="24"/>
              </w:rPr>
              <w:t>146-02</w:t>
            </w:r>
          </w:p>
        </w:tc>
        <w:tc>
          <w:tcPr>
            <w:tcW w:w="4548" w:type="dxa"/>
            <w:tcBorders>
              <w:top w:val="single" w:sz="12" w:space="0" w:color="auto"/>
            </w:tcBorders>
            <w:shd w:val="clear" w:color="auto" w:fill="auto"/>
            <w:hideMark/>
          </w:tcPr>
          <w:p w14:paraId="0C593F9E" w14:textId="6238DCC6" w:rsidR="00F0236A" w:rsidRPr="0042750D" w:rsidRDefault="00831893" w:rsidP="002E05D5">
            <w:pPr>
              <w:pStyle w:val="Tabletext"/>
              <w:rPr>
                <w:b/>
                <w:bCs/>
                <w:sz w:val="24"/>
                <w:szCs w:val="24"/>
              </w:rPr>
            </w:pPr>
            <w:r w:rsidRPr="0042750D">
              <w:rPr>
                <w:b/>
                <w:bCs/>
                <w:sz w:val="24"/>
                <w:szCs w:val="24"/>
              </w:rPr>
              <w:t xml:space="preserve">TSBDir to submit </w:t>
            </w:r>
            <w:r w:rsidR="00AB0E66" w:rsidRPr="0042750D">
              <w:rPr>
                <w:b/>
                <w:bCs/>
                <w:sz w:val="24"/>
                <w:szCs w:val="24"/>
              </w:rPr>
              <w:t>the results of their work to EG-</w:t>
            </w:r>
            <w:r w:rsidRPr="0042750D">
              <w:rPr>
                <w:b/>
                <w:bCs/>
                <w:sz w:val="24"/>
                <w:szCs w:val="24"/>
              </w:rPr>
              <w:t>ITR</w:t>
            </w:r>
            <w:r w:rsidR="002E05D5" w:rsidRPr="0042750D">
              <w:rPr>
                <w:b/>
                <w:bCs/>
                <w:sz w:val="24"/>
                <w:szCs w:val="24"/>
              </w:rPr>
              <w:t xml:space="preserve"> (</w:t>
            </w:r>
            <w:r w:rsidR="002E05D5" w:rsidRPr="0042750D">
              <w:rPr>
                <w:b/>
                <w:bCs/>
                <w:i/>
                <w:sz w:val="24"/>
                <w:szCs w:val="24"/>
              </w:rPr>
              <w:t>instructs 2</w:t>
            </w:r>
            <w:r w:rsidR="002E05D5" w:rsidRPr="0042750D">
              <w:rPr>
                <w:b/>
                <w:bCs/>
                <w:sz w:val="24"/>
                <w:szCs w:val="24"/>
              </w:rPr>
              <w:t>)</w:t>
            </w:r>
            <w:r w:rsidRPr="0042750D">
              <w:rPr>
                <w:b/>
                <w:bCs/>
                <w:sz w:val="24"/>
                <w:szCs w:val="24"/>
              </w:rPr>
              <w:t>.</w:t>
            </w:r>
          </w:p>
        </w:tc>
        <w:tc>
          <w:tcPr>
            <w:tcW w:w="1226" w:type="dxa"/>
            <w:tcBorders>
              <w:top w:val="single" w:sz="12" w:space="0" w:color="auto"/>
            </w:tcBorders>
            <w:shd w:val="clear" w:color="auto" w:fill="auto"/>
            <w:vAlign w:val="center"/>
            <w:hideMark/>
          </w:tcPr>
          <w:p w14:paraId="56EA515C" w14:textId="7ADC9A26" w:rsidR="00F0236A" w:rsidRPr="0042750D" w:rsidRDefault="00AB0E66" w:rsidP="00DF36E1">
            <w:pPr>
              <w:pStyle w:val="Tabletext"/>
              <w:jc w:val="center"/>
              <w:rPr>
                <w:b/>
                <w:bCs/>
                <w:sz w:val="24"/>
                <w:szCs w:val="24"/>
              </w:rPr>
            </w:pPr>
            <w:r w:rsidRPr="0042750D">
              <w:rPr>
                <w:b/>
                <w:bCs/>
                <w:sz w:val="24"/>
                <w:szCs w:val="24"/>
              </w:rPr>
              <w:t>EG-ITR</w:t>
            </w:r>
          </w:p>
        </w:tc>
        <w:tc>
          <w:tcPr>
            <w:tcW w:w="1339" w:type="dxa"/>
            <w:tcBorders>
              <w:top w:val="single" w:sz="12" w:space="0" w:color="auto"/>
            </w:tcBorders>
            <w:shd w:val="clear" w:color="auto" w:fill="auto"/>
            <w:vAlign w:val="center"/>
          </w:tcPr>
          <w:p w14:paraId="764022C4" w14:textId="7294A86A" w:rsidR="00F0236A" w:rsidRPr="0042750D"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1582AC12" w14:textId="77777777" w:rsidR="00F0236A" w:rsidRPr="0042750D" w:rsidRDefault="00F0236A" w:rsidP="00DF36E1">
            <w:pPr>
              <w:pStyle w:val="Tabletext"/>
              <w:jc w:val="center"/>
              <w:rPr>
                <w:b/>
                <w:bCs/>
                <w:sz w:val="24"/>
                <w:szCs w:val="24"/>
              </w:rPr>
            </w:pPr>
          </w:p>
        </w:tc>
      </w:tr>
      <w:tr w:rsidR="00F0236A" w:rsidRPr="0042750D" w14:paraId="511D1533" w14:textId="77777777" w:rsidTr="0085771B">
        <w:trPr>
          <w:cantSplit/>
          <w:jc w:val="center"/>
        </w:trPr>
        <w:tc>
          <w:tcPr>
            <w:tcW w:w="916" w:type="dxa"/>
            <w:vMerge/>
            <w:tcBorders>
              <w:bottom w:val="single" w:sz="12" w:space="0" w:color="auto"/>
            </w:tcBorders>
            <w:shd w:val="clear" w:color="auto" w:fill="auto"/>
          </w:tcPr>
          <w:p w14:paraId="6BFF26DC" w14:textId="77777777" w:rsidR="00F0236A" w:rsidRPr="0042750D" w:rsidRDefault="00F0236A" w:rsidP="00DF36E1">
            <w:pPr>
              <w:pStyle w:val="Tabletext"/>
              <w:rPr>
                <w:sz w:val="24"/>
                <w:szCs w:val="24"/>
              </w:rPr>
            </w:pPr>
          </w:p>
        </w:tc>
        <w:tc>
          <w:tcPr>
            <w:tcW w:w="8449" w:type="dxa"/>
            <w:gridSpan w:val="4"/>
            <w:tcBorders>
              <w:bottom w:val="single" w:sz="12" w:space="0" w:color="auto"/>
            </w:tcBorders>
            <w:shd w:val="clear" w:color="auto" w:fill="auto"/>
          </w:tcPr>
          <w:p w14:paraId="3682C06E" w14:textId="4D035916" w:rsidR="00F0236A" w:rsidRPr="0042750D" w:rsidRDefault="00F0236A" w:rsidP="00DF36E1">
            <w:pPr>
              <w:pStyle w:val="Tabletext"/>
              <w:rPr>
                <w:szCs w:val="22"/>
              </w:rPr>
            </w:pPr>
          </w:p>
        </w:tc>
      </w:tr>
      <w:tr w:rsidR="00F0236A" w:rsidRPr="0042750D" w14:paraId="103BB808" w14:textId="77777777" w:rsidTr="002E05D5">
        <w:trPr>
          <w:cantSplit/>
          <w:jc w:val="center"/>
        </w:trPr>
        <w:tc>
          <w:tcPr>
            <w:tcW w:w="916" w:type="dxa"/>
            <w:vMerge w:val="restart"/>
            <w:tcBorders>
              <w:top w:val="single" w:sz="12" w:space="0" w:color="auto"/>
            </w:tcBorders>
            <w:shd w:val="clear" w:color="auto" w:fill="auto"/>
          </w:tcPr>
          <w:p w14:paraId="63C32C2D" w14:textId="402CACCB" w:rsidR="00F0236A" w:rsidRPr="0042750D" w:rsidRDefault="00831893" w:rsidP="00DF36E1">
            <w:pPr>
              <w:pStyle w:val="Tabletext"/>
              <w:keepNext/>
              <w:keepLines/>
              <w:rPr>
                <w:b/>
                <w:bCs/>
                <w:sz w:val="24"/>
                <w:szCs w:val="24"/>
              </w:rPr>
            </w:pPr>
            <w:r w:rsidRPr="0042750D">
              <w:rPr>
                <w:b/>
                <w:bCs/>
                <w:sz w:val="24"/>
                <w:szCs w:val="24"/>
              </w:rPr>
              <w:t>146-03</w:t>
            </w:r>
          </w:p>
        </w:tc>
        <w:tc>
          <w:tcPr>
            <w:tcW w:w="4548" w:type="dxa"/>
            <w:tcBorders>
              <w:top w:val="single" w:sz="12" w:space="0" w:color="auto"/>
            </w:tcBorders>
            <w:shd w:val="clear" w:color="auto" w:fill="auto"/>
            <w:hideMark/>
          </w:tcPr>
          <w:p w14:paraId="5182B4B4" w14:textId="4E398D70" w:rsidR="00F0236A" w:rsidRPr="0042750D" w:rsidRDefault="00831893" w:rsidP="00AB0E66">
            <w:pPr>
              <w:pStyle w:val="Tabletext"/>
              <w:keepNext/>
              <w:keepLines/>
              <w:rPr>
                <w:b/>
                <w:bCs/>
                <w:sz w:val="24"/>
                <w:szCs w:val="24"/>
              </w:rPr>
            </w:pPr>
            <w:r w:rsidRPr="0042750D">
              <w:rPr>
                <w:b/>
                <w:bCs/>
                <w:sz w:val="24"/>
                <w:szCs w:val="24"/>
              </w:rPr>
              <w:t>TSBDir to consider providing fellowships, where resources are available, for developing and least developed countries according to the list established by the United Nations, in order to widen their participation in the expert group</w:t>
            </w:r>
            <w:r w:rsidR="002E05D5" w:rsidRPr="0042750D">
              <w:rPr>
                <w:b/>
                <w:bCs/>
                <w:sz w:val="24"/>
                <w:szCs w:val="24"/>
              </w:rPr>
              <w:t xml:space="preserve"> (</w:t>
            </w:r>
            <w:r w:rsidR="002E05D5" w:rsidRPr="0042750D">
              <w:rPr>
                <w:b/>
                <w:bCs/>
                <w:i/>
                <w:sz w:val="24"/>
                <w:szCs w:val="24"/>
              </w:rPr>
              <w:t>instructs 3</w:t>
            </w:r>
            <w:r w:rsidR="002E05D5" w:rsidRPr="0042750D">
              <w:rPr>
                <w:b/>
                <w:bCs/>
                <w:sz w:val="24"/>
                <w:szCs w:val="24"/>
              </w:rPr>
              <w:t>)</w:t>
            </w:r>
            <w:r w:rsidRPr="0042750D">
              <w:rPr>
                <w:b/>
                <w:bCs/>
                <w:sz w:val="24"/>
                <w:szCs w:val="24"/>
              </w:rPr>
              <w:t>.</w:t>
            </w:r>
          </w:p>
        </w:tc>
        <w:tc>
          <w:tcPr>
            <w:tcW w:w="1226" w:type="dxa"/>
            <w:tcBorders>
              <w:top w:val="single" w:sz="12" w:space="0" w:color="auto"/>
            </w:tcBorders>
            <w:shd w:val="clear" w:color="auto" w:fill="auto"/>
            <w:vAlign w:val="center"/>
            <w:hideMark/>
          </w:tcPr>
          <w:p w14:paraId="1E5B4EFC" w14:textId="77777777" w:rsidR="00F0236A" w:rsidRPr="0042750D" w:rsidRDefault="00F0236A" w:rsidP="00DF36E1">
            <w:pPr>
              <w:pStyle w:val="Tabletext"/>
              <w:jc w:val="center"/>
              <w:rPr>
                <w:b/>
                <w:bCs/>
                <w:sz w:val="24"/>
                <w:szCs w:val="24"/>
              </w:rPr>
            </w:pPr>
            <w:r w:rsidRPr="0042750D">
              <w:rPr>
                <w:b/>
                <w:bCs/>
                <w:sz w:val="24"/>
                <w:szCs w:val="24"/>
              </w:rPr>
              <w:t>Ongoing</w:t>
            </w:r>
          </w:p>
        </w:tc>
        <w:tc>
          <w:tcPr>
            <w:tcW w:w="1339" w:type="dxa"/>
            <w:tcBorders>
              <w:top w:val="single" w:sz="12" w:space="0" w:color="auto"/>
            </w:tcBorders>
            <w:shd w:val="clear" w:color="auto" w:fill="auto"/>
            <w:vAlign w:val="center"/>
          </w:tcPr>
          <w:p w14:paraId="2FF1DB1C" w14:textId="77777777" w:rsidR="00F0236A" w:rsidRPr="0042750D"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6C6F9889" w14:textId="77777777" w:rsidR="00F0236A" w:rsidRPr="0042750D" w:rsidRDefault="00F0236A" w:rsidP="00DF36E1">
            <w:pPr>
              <w:pStyle w:val="Tabletext"/>
              <w:jc w:val="center"/>
              <w:rPr>
                <w:b/>
                <w:bCs/>
                <w:sz w:val="24"/>
                <w:szCs w:val="24"/>
              </w:rPr>
            </w:pPr>
          </w:p>
        </w:tc>
      </w:tr>
      <w:tr w:rsidR="00F0236A" w:rsidRPr="0042750D" w14:paraId="4C3AB7DC" w14:textId="77777777" w:rsidTr="00DF36E1">
        <w:trPr>
          <w:cantSplit/>
          <w:jc w:val="center"/>
        </w:trPr>
        <w:tc>
          <w:tcPr>
            <w:tcW w:w="916" w:type="dxa"/>
            <w:vMerge/>
            <w:shd w:val="clear" w:color="auto" w:fill="auto"/>
            <w:vAlign w:val="center"/>
          </w:tcPr>
          <w:p w14:paraId="5E0FD2E9" w14:textId="77777777" w:rsidR="00F0236A" w:rsidRPr="0042750D" w:rsidRDefault="00F0236A" w:rsidP="00DF36E1">
            <w:pPr>
              <w:pStyle w:val="Tabletext"/>
              <w:rPr>
                <w:sz w:val="24"/>
                <w:szCs w:val="24"/>
              </w:rPr>
            </w:pPr>
          </w:p>
        </w:tc>
        <w:tc>
          <w:tcPr>
            <w:tcW w:w="8449" w:type="dxa"/>
            <w:gridSpan w:val="4"/>
            <w:shd w:val="clear" w:color="auto" w:fill="auto"/>
          </w:tcPr>
          <w:p w14:paraId="201B23D7" w14:textId="77777777" w:rsidR="00F0236A" w:rsidRPr="0042750D" w:rsidRDefault="00F0236A" w:rsidP="00DF36E1">
            <w:pPr>
              <w:pStyle w:val="Tabletext"/>
              <w:rPr>
                <w:szCs w:val="22"/>
              </w:rPr>
            </w:pPr>
          </w:p>
        </w:tc>
      </w:tr>
    </w:tbl>
    <w:bookmarkStart w:id="158" w:name="Item58_02"/>
    <w:bookmarkStart w:id="159" w:name="Item58_01"/>
    <w:bookmarkStart w:id="160" w:name="Item58_03"/>
    <w:bookmarkStart w:id="161" w:name="Item58_04"/>
    <w:bookmarkEnd w:id="158"/>
    <w:bookmarkEnd w:id="159"/>
    <w:bookmarkEnd w:id="160"/>
    <w:bookmarkEnd w:id="161"/>
    <w:p w14:paraId="03AC5B14"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47CECA19" w14:textId="1004122E" w:rsidR="00F0236A" w:rsidRPr="0042750D" w:rsidRDefault="00897D26" w:rsidP="007F6958">
      <w:pPr>
        <w:pStyle w:val="Heading1"/>
        <w:rPr>
          <w:sz w:val="24"/>
          <w:szCs w:val="24"/>
          <w:lang w:val="en-GB"/>
        </w:rPr>
      </w:pPr>
      <w:bookmarkStart w:id="162" w:name="Resolution_59"/>
      <w:bookmarkStart w:id="163" w:name="_Toc30749167"/>
      <w:bookmarkEnd w:id="162"/>
      <w:r w:rsidRPr="0042750D">
        <w:rPr>
          <w:sz w:val="24"/>
          <w:szCs w:val="24"/>
          <w:lang w:val="en-GB"/>
        </w:rPr>
        <w:t>RESOLUTION 151 (REV.DUBAI, 2018) – Improvement of results-based management in ITU</w:t>
      </w:r>
      <w:bookmarkEnd w:id="163"/>
    </w:p>
    <w:p w14:paraId="37D632A0" w14:textId="77777777" w:rsidR="00897D26" w:rsidRPr="0042750D" w:rsidRDefault="00897D26" w:rsidP="00897D26">
      <w:pPr>
        <w:pStyle w:val="Call"/>
        <w:rPr>
          <w:lang w:val="en-GB"/>
        </w:rPr>
      </w:pPr>
      <w:r w:rsidRPr="0042750D">
        <w:rPr>
          <w:lang w:val="en-GB"/>
        </w:rPr>
        <w:t>resolves to instruct the Secretary-General and the Directors of the three Bureaux</w:t>
      </w:r>
    </w:p>
    <w:p w14:paraId="2F60FB58" w14:textId="77777777" w:rsidR="00897D26" w:rsidRPr="0042750D" w:rsidRDefault="00897D26" w:rsidP="00897D26">
      <w:r w:rsidRPr="0042750D">
        <w:t>1</w:t>
      </w:r>
      <w:r w:rsidRPr="0042750D">
        <w:tab/>
        <w:t>to continue to improve processes and methodologies associated with the full implementation of RBM and RBB at the levels of processing and implementation, including improvements in the presentation of the biennial budgets on an ongoing basis;</w:t>
      </w:r>
    </w:p>
    <w:p w14:paraId="369722EE" w14:textId="77777777" w:rsidR="00897D26" w:rsidRPr="0042750D" w:rsidRDefault="00897D26" w:rsidP="00897D26">
      <w:r w:rsidRPr="0042750D">
        <w:t>2</w:t>
      </w:r>
      <w:r w:rsidRPr="0042750D">
        <w:tab/>
        <w:t>to continue to develop a comprehensive ITU results framework to support implementation of the strategic, financial and operational plans and budget and increase the capability of the Union's membership to assess progress in the achievement of ITU goals, and for this purpose to:</w:t>
      </w:r>
    </w:p>
    <w:p w14:paraId="5F23D4A2" w14:textId="77777777" w:rsidR="00897D26" w:rsidRPr="0042750D" w:rsidRDefault="00897D26" w:rsidP="00897D26">
      <w:pPr>
        <w:pStyle w:val="enumlev10"/>
      </w:pPr>
      <w:r w:rsidRPr="0042750D">
        <w:t>i)</w:t>
      </w:r>
      <w:r w:rsidRPr="0042750D">
        <w:tab/>
        <w:t>set out the activities of the Union, the objectives of those activities and the associated resources and results;</w:t>
      </w:r>
    </w:p>
    <w:p w14:paraId="7CA13253" w14:textId="77777777" w:rsidR="00897D26" w:rsidRPr="0042750D" w:rsidRDefault="00897D26" w:rsidP="00897D26">
      <w:pPr>
        <w:pStyle w:val="enumlev10"/>
      </w:pPr>
      <w:r w:rsidRPr="0042750D">
        <w:t>ii)</w:t>
      </w:r>
      <w:r w:rsidRPr="0042750D">
        <w:tab/>
        <w:t>monitor implementation of the interlinked plans using a comprehensive performance monitoring framework to enable ITU to evaluate progress;</w:t>
      </w:r>
    </w:p>
    <w:p w14:paraId="4F14946F" w14:textId="77777777" w:rsidR="00897D26" w:rsidRPr="0042750D" w:rsidRDefault="00897D26" w:rsidP="00897D26">
      <w:pPr>
        <w:pStyle w:val="enumlev10"/>
      </w:pPr>
      <w:r w:rsidRPr="0042750D">
        <w:t>iii)</w:t>
      </w:r>
      <w:r w:rsidRPr="0042750D">
        <w:tab/>
        <w:t>to continually improve the efficiency of all activities by eliminating duplication, taking into account complementarity between the activities of ITU and those of other relevant international and regional telecommunication organizations in accordance with the mandate of ITU;</w:t>
      </w:r>
    </w:p>
    <w:p w14:paraId="638F50F2" w14:textId="77777777" w:rsidR="00897D26" w:rsidRPr="0042750D" w:rsidRDefault="00897D26" w:rsidP="00897D26">
      <w:pPr>
        <w:pStyle w:val="enumlev10"/>
      </w:pPr>
      <w:r w:rsidRPr="0042750D">
        <w:t>iv)</w:t>
      </w:r>
      <w:r w:rsidRPr="0042750D">
        <w:tab/>
        <w:t>to ensure transparency of reporting by publishing detailed information, including all costs incurred in the use or deployment of financial and human resources (external or internal);</w:t>
      </w:r>
    </w:p>
    <w:p w14:paraId="0C213FF7" w14:textId="77777777" w:rsidR="00897D26" w:rsidRPr="0042750D" w:rsidRDefault="00897D26" w:rsidP="00897D26">
      <w:pPr>
        <w:pStyle w:val="enumlev10"/>
      </w:pPr>
      <w:r w:rsidRPr="0042750D">
        <w:t>v)</w:t>
      </w:r>
      <w:r w:rsidRPr="0042750D">
        <w:tab/>
        <w:t>to further develop the risk-management system at the ITU level, in the context of RBM, to ensure that contributions from the ITU membership and other financial resources are used to best advantage;</w:t>
      </w:r>
    </w:p>
    <w:p w14:paraId="6F7E79D6" w14:textId="77777777" w:rsidR="00897D26" w:rsidRPr="0042750D" w:rsidRDefault="00897D26" w:rsidP="00897D26">
      <w:r w:rsidRPr="0042750D">
        <w:t>3</w:t>
      </w:r>
      <w:r w:rsidRPr="0042750D">
        <w:tab/>
        <w:t>to prepare their coordinated and consolidated operational plans reflecting their linkages with the strategic and financial plans of the Union as set out, respectively, in Resolution 71 (Rev. Dubai, 2018) and Decision 5 (Rev. Dubai, 2018), for annual review by the Sector advisory groups and approval by the Council;</w:t>
      </w:r>
    </w:p>
    <w:p w14:paraId="621509A4" w14:textId="77777777" w:rsidR="00897D26" w:rsidRPr="0042750D" w:rsidRDefault="00897D26" w:rsidP="00897D26">
      <w:r w:rsidRPr="0042750D">
        <w:t>4</w:t>
      </w:r>
      <w:r w:rsidRPr="0042750D">
        <w:tab/>
        <w:t>to provide to conferences and assemblies the necessary information from the full range of new financial and planning mechanisms available so as to enable them to</w:t>
      </w:r>
      <w:r w:rsidRPr="0042750D" w:rsidDel="0033461C">
        <w:t xml:space="preserve"> </w:t>
      </w:r>
      <w:r w:rsidRPr="0042750D">
        <w:t>estimate the financial implications of their decisions, and to assist Member States in preparing cost "estimates" for any proposals to all conferences and assemblies of the Union, taking into account the provisions of Article 34 of the ITU Convention;</w:t>
      </w:r>
    </w:p>
    <w:p w14:paraId="5C1FBF01" w14:textId="77777777" w:rsidR="00897D26" w:rsidRPr="0042750D" w:rsidRDefault="00897D26" w:rsidP="00897D26">
      <w:r w:rsidRPr="0042750D">
        <w:t>5</w:t>
      </w:r>
      <w:r w:rsidRPr="0042750D">
        <w:tab/>
        <w:t>to make steady progress in increasing the capacity, skill level and participation of ITU staff in RBM in accordance with Resolution 48 (Rev. Dubai, 2018), and reflect the relevant results in the report on staff issues;</w:t>
      </w:r>
    </w:p>
    <w:p w14:paraId="48EF6ED1" w14:textId="77777777" w:rsidR="00897D26" w:rsidRPr="0042750D" w:rsidRDefault="00897D26" w:rsidP="00897D26">
      <w:r w:rsidRPr="0042750D">
        <w:t>6</w:t>
      </w:r>
      <w:r w:rsidRPr="0042750D">
        <w:tab/>
        <w:t>to make appropriate proposals relating to RBM and RBB for consideration by the Council, with a view to introducing changes in the Financial Regulations and Financial Rules of the Union, taking into account the views of Member States and the recommendations of the Sector advisory groups, as well as of the internal and external auditors and the Independent Management Advisory Committee (IMAC);</w:t>
      </w:r>
    </w:p>
    <w:p w14:paraId="247B1F85" w14:textId="77777777" w:rsidR="00897D26" w:rsidRPr="0042750D" w:rsidRDefault="00897D26" w:rsidP="00897D26">
      <w:r w:rsidRPr="0042750D">
        <w:t>7</w:t>
      </w:r>
      <w:r w:rsidRPr="0042750D">
        <w:tab/>
        <w:t>to ensure, as part of the Coordination Committee's standing activities, coherence and avoidance of duplication among the operational plans and biennial budgets, for review by the Council, while identifying particular measures and elements to be included;</w:t>
      </w:r>
    </w:p>
    <w:p w14:paraId="537D4F28" w14:textId="3623A883" w:rsidR="00F0236A" w:rsidRPr="0042750D" w:rsidRDefault="00897D26" w:rsidP="00AB0E66">
      <w:pPr>
        <w:spacing w:after="120"/>
      </w:pPr>
      <w:r w:rsidRPr="0042750D">
        <w:t>8</w:t>
      </w:r>
      <w:r w:rsidRPr="0042750D">
        <w:tab/>
        <w:t>to monitor on a yearly basis implementation of resolutions of the Plenipotentiary Conference following the 2018 plenipotentiary conference and to prepare an annual report to the Council, within the framework of the annual report on implementation of the strategic plan and activities of the Union (ITU Annual Progress Report)</w:t>
      </w:r>
      <w:r w:rsidR="00F0236A" w:rsidRPr="0042750D">
        <w:rPr>
          <w:sz w:val="24"/>
        </w:rPr>
        <w:t>.</w:t>
      </w:r>
    </w:p>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9"/>
        <w:gridCol w:w="4987"/>
        <w:gridCol w:w="1226"/>
        <w:gridCol w:w="1167"/>
        <w:gridCol w:w="1336"/>
      </w:tblGrid>
      <w:tr w:rsidR="00F0236A" w:rsidRPr="0042750D" w14:paraId="47DD370F" w14:textId="77777777" w:rsidTr="00CC7014">
        <w:trPr>
          <w:cantSplit/>
          <w:jc w:val="center"/>
        </w:trPr>
        <w:tc>
          <w:tcPr>
            <w:tcW w:w="919" w:type="dxa"/>
            <w:tcBorders>
              <w:top w:val="single" w:sz="12" w:space="0" w:color="auto"/>
              <w:bottom w:val="single" w:sz="12" w:space="0" w:color="auto"/>
            </w:tcBorders>
            <w:shd w:val="clear" w:color="auto" w:fill="auto"/>
            <w:vAlign w:val="center"/>
          </w:tcPr>
          <w:p w14:paraId="09529018" w14:textId="77777777" w:rsidR="00F0236A" w:rsidRPr="0042750D" w:rsidRDefault="00F0236A" w:rsidP="00DF36E1">
            <w:pPr>
              <w:pStyle w:val="Tablehead"/>
              <w:rPr>
                <w:sz w:val="24"/>
                <w:szCs w:val="24"/>
              </w:rPr>
            </w:pPr>
            <w:r w:rsidRPr="0042750D">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3F6EA509" w14:textId="77777777" w:rsidR="00F0236A" w:rsidRPr="0042750D" w:rsidRDefault="00F0236A" w:rsidP="00DF36E1">
            <w:pPr>
              <w:pStyle w:val="Tablehead"/>
              <w:rPr>
                <w:sz w:val="24"/>
                <w:szCs w:val="24"/>
              </w:rPr>
            </w:pPr>
            <w:r w:rsidRPr="0042750D">
              <w:rPr>
                <w:sz w:val="24"/>
                <w:szCs w:val="24"/>
              </w:rPr>
              <w:t>Action</w:t>
            </w:r>
          </w:p>
        </w:tc>
        <w:tc>
          <w:tcPr>
            <w:tcW w:w="1226" w:type="dxa"/>
            <w:tcBorders>
              <w:top w:val="single" w:sz="12" w:space="0" w:color="auto"/>
              <w:bottom w:val="single" w:sz="12" w:space="0" w:color="auto"/>
            </w:tcBorders>
            <w:shd w:val="clear" w:color="auto" w:fill="auto"/>
            <w:vAlign w:val="center"/>
            <w:hideMark/>
          </w:tcPr>
          <w:p w14:paraId="12BE2C94" w14:textId="77777777" w:rsidR="00F0236A" w:rsidRPr="0042750D" w:rsidRDefault="00F0236A" w:rsidP="00DF36E1">
            <w:pPr>
              <w:pStyle w:val="Tablehead"/>
              <w:rPr>
                <w:sz w:val="24"/>
                <w:szCs w:val="24"/>
              </w:rPr>
            </w:pPr>
            <w:r w:rsidRPr="0042750D">
              <w:rPr>
                <w:sz w:val="24"/>
                <w:szCs w:val="24"/>
              </w:rPr>
              <w:t>Milestone</w:t>
            </w:r>
          </w:p>
        </w:tc>
        <w:tc>
          <w:tcPr>
            <w:tcW w:w="1167" w:type="dxa"/>
            <w:tcBorders>
              <w:top w:val="single" w:sz="12" w:space="0" w:color="auto"/>
              <w:bottom w:val="single" w:sz="12" w:space="0" w:color="auto"/>
            </w:tcBorders>
            <w:shd w:val="clear" w:color="auto" w:fill="auto"/>
          </w:tcPr>
          <w:p w14:paraId="24C0E93B" w14:textId="77777777" w:rsidR="00F0236A" w:rsidRPr="0042750D" w:rsidRDefault="00F0236A" w:rsidP="00DF36E1">
            <w:pPr>
              <w:pStyle w:val="Tablehead"/>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7C05082"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492CABDA" w14:textId="77777777" w:rsidTr="00CC7014">
        <w:trPr>
          <w:cantSplit/>
          <w:jc w:val="center"/>
        </w:trPr>
        <w:tc>
          <w:tcPr>
            <w:tcW w:w="919" w:type="dxa"/>
            <w:vMerge w:val="restart"/>
            <w:tcBorders>
              <w:top w:val="single" w:sz="12" w:space="0" w:color="auto"/>
            </w:tcBorders>
            <w:shd w:val="clear" w:color="auto" w:fill="auto"/>
          </w:tcPr>
          <w:p w14:paraId="0C961E42" w14:textId="61C0C0EE" w:rsidR="00F0236A" w:rsidRPr="0042750D" w:rsidRDefault="00897D26" w:rsidP="00DF36E1">
            <w:pPr>
              <w:pStyle w:val="Tabletext"/>
              <w:keepNext/>
              <w:keepLines/>
              <w:rPr>
                <w:b/>
                <w:bCs/>
                <w:sz w:val="24"/>
                <w:szCs w:val="24"/>
              </w:rPr>
            </w:pPr>
            <w:r w:rsidRPr="0042750D">
              <w:rPr>
                <w:b/>
                <w:bCs/>
                <w:sz w:val="24"/>
                <w:szCs w:val="24"/>
              </w:rPr>
              <w:t>151</w:t>
            </w:r>
            <w:r w:rsidR="00F0236A" w:rsidRPr="0042750D">
              <w:rPr>
                <w:b/>
                <w:bCs/>
                <w:sz w:val="24"/>
                <w:szCs w:val="24"/>
              </w:rPr>
              <w:t>-01</w:t>
            </w:r>
          </w:p>
        </w:tc>
        <w:tc>
          <w:tcPr>
            <w:tcW w:w="4987" w:type="dxa"/>
            <w:tcBorders>
              <w:top w:val="single" w:sz="12" w:space="0" w:color="auto"/>
              <w:bottom w:val="single" w:sz="4" w:space="0" w:color="auto"/>
            </w:tcBorders>
            <w:shd w:val="clear" w:color="auto" w:fill="auto"/>
            <w:hideMark/>
          </w:tcPr>
          <w:p w14:paraId="76137B5A" w14:textId="2B23BDA2" w:rsidR="00F0236A" w:rsidRPr="0042750D" w:rsidRDefault="00897D26" w:rsidP="00DF36E1">
            <w:pPr>
              <w:pStyle w:val="Tabletext"/>
              <w:keepNext/>
              <w:keepLines/>
              <w:rPr>
                <w:b/>
                <w:bCs/>
                <w:sz w:val="24"/>
                <w:szCs w:val="24"/>
              </w:rPr>
            </w:pPr>
            <w:r w:rsidRPr="0042750D">
              <w:rPr>
                <w:b/>
                <w:bCs/>
                <w:sz w:val="24"/>
                <w:szCs w:val="24"/>
              </w:rPr>
              <w:t>TSB to implement RBM and RBB within ITU-T</w:t>
            </w:r>
            <w:r w:rsidR="002E05D5" w:rsidRPr="0042750D">
              <w:rPr>
                <w:b/>
                <w:bCs/>
                <w:sz w:val="24"/>
                <w:szCs w:val="24"/>
              </w:rPr>
              <w:t xml:space="preserve"> (</w:t>
            </w:r>
            <w:r w:rsidR="002E05D5" w:rsidRPr="0042750D">
              <w:rPr>
                <w:b/>
                <w:bCs/>
                <w:i/>
                <w:sz w:val="24"/>
                <w:szCs w:val="24"/>
              </w:rPr>
              <w:t>resolves 1</w:t>
            </w:r>
            <w:r w:rsidR="002E05D5" w:rsidRPr="0042750D">
              <w:rPr>
                <w:b/>
                <w:bCs/>
                <w:sz w:val="24"/>
                <w:szCs w:val="24"/>
              </w:rPr>
              <w:t>)</w:t>
            </w:r>
            <w:r w:rsidRPr="0042750D">
              <w:rPr>
                <w:b/>
                <w:bCs/>
                <w:sz w:val="24"/>
                <w:szCs w:val="24"/>
              </w:rPr>
              <w:t>.</w:t>
            </w:r>
          </w:p>
        </w:tc>
        <w:tc>
          <w:tcPr>
            <w:tcW w:w="1226" w:type="dxa"/>
            <w:tcBorders>
              <w:top w:val="single" w:sz="12" w:space="0" w:color="auto"/>
              <w:bottom w:val="single" w:sz="4" w:space="0" w:color="auto"/>
            </w:tcBorders>
            <w:shd w:val="clear" w:color="auto" w:fill="auto"/>
            <w:vAlign w:val="center"/>
            <w:hideMark/>
          </w:tcPr>
          <w:p w14:paraId="6470206F"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67" w:type="dxa"/>
            <w:tcBorders>
              <w:top w:val="single" w:sz="12" w:space="0" w:color="auto"/>
              <w:bottom w:val="single" w:sz="4" w:space="0" w:color="auto"/>
            </w:tcBorders>
            <w:shd w:val="clear" w:color="auto" w:fill="auto"/>
            <w:vAlign w:val="center"/>
          </w:tcPr>
          <w:p w14:paraId="3C991C2A" w14:textId="1F3618F5" w:rsidR="00F0236A" w:rsidRPr="0042750D"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8DA48EE" w14:textId="77777777" w:rsidR="00F0236A" w:rsidRPr="0042750D" w:rsidRDefault="00F0236A" w:rsidP="00DF36E1">
            <w:pPr>
              <w:pStyle w:val="Tabletext"/>
              <w:jc w:val="center"/>
              <w:rPr>
                <w:b/>
                <w:bCs/>
                <w:sz w:val="24"/>
                <w:szCs w:val="24"/>
              </w:rPr>
            </w:pPr>
          </w:p>
        </w:tc>
      </w:tr>
      <w:tr w:rsidR="00F0236A" w:rsidRPr="0042750D" w14:paraId="3655DFE3" w14:textId="77777777" w:rsidTr="0085771B">
        <w:trPr>
          <w:cantSplit/>
          <w:jc w:val="center"/>
        </w:trPr>
        <w:tc>
          <w:tcPr>
            <w:tcW w:w="919" w:type="dxa"/>
            <w:vMerge/>
            <w:shd w:val="clear" w:color="auto" w:fill="auto"/>
          </w:tcPr>
          <w:p w14:paraId="51C9986B" w14:textId="77777777" w:rsidR="00F0236A" w:rsidRPr="0042750D" w:rsidRDefault="00F0236A" w:rsidP="00DF36E1">
            <w:pPr>
              <w:pStyle w:val="Tabletext"/>
              <w:rPr>
                <w:sz w:val="24"/>
                <w:szCs w:val="24"/>
              </w:rPr>
            </w:pPr>
          </w:p>
        </w:tc>
        <w:tc>
          <w:tcPr>
            <w:tcW w:w="8716" w:type="dxa"/>
            <w:gridSpan w:val="4"/>
            <w:tcBorders>
              <w:top w:val="single" w:sz="4" w:space="0" w:color="auto"/>
            </w:tcBorders>
            <w:shd w:val="clear" w:color="auto" w:fill="auto"/>
          </w:tcPr>
          <w:p w14:paraId="3DE932FD" w14:textId="60909E58" w:rsidR="00F0236A" w:rsidRPr="0042750D" w:rsidRDefault="00F0236A" w:rsidP="00DF36E1">
            <w:pPr>
              <w:pStyle w:val="Tabletext"/>
              <w:rPr>
                <w:szCs w:val="22"/>
              </w:rPr>
            </w:pPr>
          </w:p>
        </w:tc>
      </w:tr>
    </w:tbl>
    <w:bookmarkStart w:id="164" w:name="Item59_01"/>
    <w:bookmarkStart w:id="165" w:name="Item59_02"/>
    <w:bookmarkStart w:id="166" w:name="Item59_03"/>
    <w:bookmarkEnd w:id="164"/>
    <w:bookmarkEnd w:id="165"/>
    <w:bookmarkEnd w:id="166"/>
    <w:p w14:paraId="276AFADB"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351B89EF" w14:textId="44E7D65D" w:rsidR="00F0236A" w:rsidRPr="0042750D" w:rsidRDefault="00EB56BA" w:rsidP="007F6958">
      <w:pPr>
        <w:pStyle w:val="Heading1"/>
        <w:rPr>
          <w:sz w:val="24"/>
          <w:szCs w:val="24"/>
          <w:lang w:val="en-GB"/>
        </w:rPr>
      </w:pPr>
      <w:bookmarkStart w:id="167" w:name="Resolution_60"/>
      <w:bookmarkStart w:id="168" w:name="_Toc30749168"/>
      <w:bookmarkEnd w:id="167"/>
      <w:r w:rsidRPr="0042750D">
        <w:rPr>
          <w:sz w:val="24"/>
          <w:szCs w:val="24"/>
          <w:lang w:val="en-GB"/>
        </w:rPr>
        <w:t>RESOLUTION 154 (REV. DUBAI, 2018) – Use of the six official languages of the Union on an equal footing</w:t>
      </w:r>
      <w:bookmarkEnd w:id="168"/>
    </w:p>
    <w:p w14:paraId="74094A36" w14:textId="77777777" w:rsidR="00EB56BA" w:rsidRPr="0042750D" w:rsidRDefault="00EB56BA" w:rsidP="00EB56BA">
      <w:pPr>
        <w:pStyle w:val="Call"/>
        <w:rPr>
          <w:lang w:val="en-GB"/>
        </w:rPr>
      </w:pPr>
      <w:r w:rsidRPr="0042750D">
        <w:rPr>
          <w:lang w:val="en-GB"/>
        </w:rPr>
        <w:t>resolves</w:t>
      </w:r>
    </w:p>
    <w:p w14:paraId="2370EB6F" w14:textId="77777777" w:rsidR="00EB56BA" w:rsidRPr="0042750D" w:rsidRDefault="00EB56BA" w:rsidP="00EB56BA">
      <w:r w:rsidRPr="0042750D">
        <w:t>to continue to take all necessary measures to ensure use of the six official languages of the Union on an equal footing and to provide interpretation and the translation of ITU documentation, although some work in ITU (for example working parties, regional conferences) might not require the use of all six languages,</w:t>
      </w:r>
    </w:p>
    <w:p w14:paraId="3E04D7DE" w14:textId="77777777" w:rsidR="00EB56BA" w:rsidRPr="0042750D" w:rsidRDefault="00EB56BA" w:rsidP="00EB56BA">
      <w:pPr>
        <w:pStyle w:val="Call"/>
        <w:rPr>
          <w:lang w:val="en-GB"/>
        </w:rPr>
      </w:pPr>
      <w:r w:rsidRPr="0042750D">
        <w:rPr>
          <w:lang w:val="en-GB"/>
        </w:rPr>
        <w:t>instructs the Secretary-General, in close collaboration with the Directors of the Bureaux</w:t>
      </w:r>
    </w:p>
    <w:p w14:paraId="5ADA319E" w14:textId="77777777" w:rsidR="00EB56BA" w:rsidRPr="0042750D" w:rsidRDefault="00EB56BA" w:rsidP="005D14EB">
      <w:r w:rsidRPr="0042750D">
        <w:t>1</w:t>
      </w:r>
      <w:r w:rsidRPr="0042750D">
        <w:tab/>
        <w:t>to present annually to the Council and to CWG-LANG a report containing:</w:t>
      </w:r>
    </w:p>
    <w:p w14:paraId="7FAE6FA8" w14:textId="77777777" w:rsidR="00EB56BA" w:rsidRPr="0042750D" w:rsidRDefault="00EB56BA" w:rsidP="005D14EB">
      <w:pPr>
        <w:pStyle w:val="enumlev10"/>
        <w:jc w:val="left"/>
      </w:pPr>
      <w:r w:rsidRPr="0042750D">
        <w:t>–</w:t>
      </w:r>
      <w:r w:rsidRPr="0042750D">
        <w:tab/>
        <w:t>evolution of the budget for translation of documents to the six official languages of the Union since 2014, taking into consideration variations in the volumes of translation services provided in each year;</w:t>
      </w:r>
    </w:p>
    <w:p w14:paraId="61FE8A7F" w14:textId="77777777" w:rsidR="00EB56BA" w:rsidRPr="0042750D" w:rsidRDefault="00EB56BA" w:rsidP="005D14EB">
      <w:pPr>
        <w:pStyle w:val="enumlev10"/>
        <w:jc w:val="left"/>
      </w:pPr>
      <w:r w:rsidRPr="0042750D">
        <w:t>–</w:t>
      </w:r>
      <w:r w:rsidRPr="0042750D">
        <w:tab/>
        <w:t>procedures adopted by other international organizations inside and outside the United Nations system and benchmark studies on their costs of translation;</w:t>
      </w:r>
    </w:p>
    <w:p w14:paraId="7D141DBF" w14:textId="77777777" w:rsidR="00EB56BA" w:rsidRPr="0042750D" w:rsidRDefault="00EB56BA" w:rsidP="005D14EB">
      <w:pPr>
        <w:pStyle w:val="enumlev10"/>
        <w:jc w:val="left"/>
      </w:pPr>
      <w:r w:rsidRPr="0042750D">
        <w:t>–</w:t>
      </w:r>
      <w:r w:rsidRPr="0042750D">
        <w:tab/>
        <w:t>initiatives undertaken by the General Secretariat and the three Bureaux to increase efficiencies and cost savings in the implementation of this resolution and comparison with the evolution of the budget since 2010;</w:t>
      </w:r>
    </w:p>
    <w:p w14:paraId="599F88B3" w14:textId="77777777" w:rsidR="00EB56BA" w:rsidRPr="0042750D" w:rsidRDefault="00EB56BA" w:rsidP="005D14EB">
      <w:pPr>
        <w:pStyle w:val="enumlev10"/>
        <w:jc w:val="left"/>
      </w:pPr>
      <w:r w:rsidRPr="0042750D">
        <w:t>–</w:t>
      </w:r>
      <w:r w:rsidRPr="0042750D">
        <w:tab/>
        <w:t>alternative translation procedures feasible to be adopted by ITU, in particular the use of innovative technologies and their advantages and disadvantages;</w:t>
      </w:r>
    </w:p>
    <w:p w14:paraId="584C24FA" w14:textId="77777777" w:rsidR="00EB56BA" w:rsidRPr="0042750D" w:rsidRDefault="00EB56BA" w:rsidP="005D14EB">
      <w:pPr>
        <w:pStyle w:val="enumlev10"/>
        <w:jc w:val="left"/>
      </w:pPr>
      <w:r w:rsidRPr="0042750D">
        <w:t>–</w:t>
      </w:r>
      <w:r w:rsidRPr="0042750D">
        <w:tab/>
        <w:t>progress made on the implementation of measures and principles for translation and interpretation adopted by the Council;</w:t>
      </w:r>
    </w:p>
    <w:p w14:paraId="7C335E83" w14:textId="77777777" w:rsidR="00EB56BA" w:rsidRPr="0042750D" w:rsidRDefault="00EB56BA" w:rsidP="005D14EB">
      <w:pPr>
        <w:ind w:right="-138"/>
        <w:contextualSpacing/>
        <w:rPr>
          <w:rFonts w:eastAsia="Calibri"/>
        </w:rPr>
      </w:pPr>
      <w:r w:rsidRPr="0042750D">
        <w:rPr>
          <w:rFonts w:eastAsia="Calibri"/>
        </w:rPr>
        <w:t>2</w:t>
      </w:r>
      <w:r w:rsidRPr="0042750D">
        <w:rPr>
          <w:rFonts w:eastAsia="Calibri"/>
        </w:rPr>
        <w:tab/>
        <w:t>to immediately publish all contributions submitted to the ITU secretariat for any ITU event in their original language on the respective event website even before their translation into the other official languages of the Union;</w:t>
      </w:r>
    </w:p>
    <w:p w14:paraId="59BDC3AB" w14:textId="77777777" w:rsidR="00EB56BA" w:rsidRPr="0042750D" w:rsidRDefault="00EB56BA" w:rsidP="00EB56BA">
      <w:r w:rsidRPr="0042750D">
        <w:t>3</w:t>
      </w:r>
      <w:r w:rsidRPr="0042750D">
        <w:tab/>
        <w:t>to continue work on harmonization of the ITU Sectors' websites to ensure clarity, ease of navigation and an image of One ITU;</w:t>
      </w:r>
    </w:p>
    <w:p w14:paraId="2E601F1B" w14:textId="62AFD105" w:rsidR="00F0236A" w:rsidRPr="0042750D" w:rsidRDefault="00EB56BA" w:rsidP="00AB0E66">
      <w:pPr>
        <w:spacing w:after="120"/>
      </w:pPr>
      <w:r w:rsidRPr="0042750D">
        <w:t>4</w:t>
      </w:r>
      <w:r w:rsidRPr="0042750D">
        <w:tab/>
        <w:t>to provide timely updates of the pages of the ITU website in</w:t>
      </w:r>
      <w:r w:rsidR="00AB0E66" w:rsidRPr="0042750D">
        <w:t xml:space="preserve"> all six languages of the Union</w:t>
      </w:r>
      <w:r w:rsidR="00F0236A" w:rsidRPr="0042750D">
        <w:rPr>
          <w:sz w:val="24"/>
        </w:rPr>
        <w:t>.</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5267"/>
        <w:gridCol w:w="1218"/>
        <w:gridCol w:w="1157"/>
        <w:gridCol w:w="1619"/>
      </w:tblGrid>
      <w:tr w:rsidR="00F0236A" w:rsidRPr="0042750D" w14:paraId="204B6965" w14:textId="77777777" w:rsidTr="002E05D5">
        <w:trPr>
          <w:jc w:val="center"/>
        </w:trPr>
        <w:tc>
          <w:tcPr>
            <w:tcW w:w="930" w:type="dxa"/>
            <w:tcBorders>
              <w:top w:val="single" w:sz="12" w:space="0" w:color="auto"/>
              <w:bottom w:val="single" w:sz="12" w:space="0" w:color="auto"/>
            </w:tcBorders>
            <w:shd w:val="clear" w:color="auto" w:fill="auto"/>
            <w:vAlign w:val="center"/>
          </w:tcPr>
          <w:p w14:paraId="38961192" w14:textId="77777777" w:rsidR="00F0236A" w:rsidRPr="0042750D" w:rsidRDefault="00F0236A" w:rsidP="00DF36E1">
            <w:pPr>
              <w:pStyle w:val="Tablehead"/>
              <w:rPr>
                <w:sz w:val="24"/>
                <w:szCs w:val="24"/>
              </w:rPr>
            </w:pPr>
            <w:r w:rsidRPr="0042750D">
              <w:rPr>
                <w:sz w:val="24"/>
                <w:szCs w:val="24"/>
              </w:rPr>
              <w:t>Action Item</w:t>
            </w:r>
          </w:p>
        </w:tc>
        <w:tc>
          <w:tcPr>
            <w:tcW w:w="5267" w:type="dxa"/>
            <w:tcBorders>
              <w:top w:val="single" w:sz="12" w:space="0" w:color="auto"/>
              <w:bottom w:val="single" w:sz="12" w:space="0" w:color="auto"/>
            </w:tcBorders>
            <w:shd w:val="clear" w:color="auto" w:fill="auto"/>
            <w:vAlign w:val="center"/>
            <w:hideMark/>
          </w:tcPr>
          <w:p w14:paraId="702CE1CE" w14:textId="77777777" w:rsidR="00F0236A" w:rsidRPr="0042750D" w:rsidRDefault="00F0236A" w:rsidP="00DF36E1">
            <w:pPr>
              <w:pStyle w:val="Tablehead"/>
              <w:rPr>
                <w:sz w:val="24"/>
                <w:szCs w:val="24"/>
              </w:rPr>
            </w:pPr>
            <w:r w:rsidRPr="0042750D">
              <w:rPr>
                <w:sz w:val="24"/>
                <w:szCs w:val="24"/>
              </w:rPr>
              <w:t>Action</w:t>
            </w:r>
          </w:p>
        </w:tc>
        <w:tc>
          <w:tcPr>
            <w:tcW w:w="1218" w:type="dxa"/>
            <w:tcBorders>
              <w:top w:val="single" w:sz="12" w:space="0" w:color="auto"/>
              <w:bottom w:val="single" w:sz="12" w:space="0" w:color="auto"/>
            </w:tcBorders>
            <w:shd w:val="clear" w:color="auto" w:fill="auto"/>
            <w:vAlign w:val="center"/>
            <w:hideMark/>
          </w:tcPr>
          <w:p w14:paraId="04DF9EE4" w14:textId="77777777" w:rsidR="00F0236A" w:rsidRPr="0042750D" w:rsidRDefault="00F0236A" w:rsidP="00DF36E1">
            <w:pPr>
              <w:pStyle w:val="Tablehead"/>
              <w:rPr>
                <w:sz w:val="24"/>
                <w:szCs w:val="24"/>
              </w:rPr>
            </w:pPr>
            <w:r w:rsidRPr="0042750D">
              <w:rPr>
                <w:sz w:val="24"/>
                <w:szCs w:val="24"/>
              </w:rPr>
              <w:t>Milestone</w:t>
            </w:r>
          </w:p>
        </w:tc>
        <w:tc>
          <w:tcPr>
            <w:tcW w:w="1157" w:type="dxa"/>
            <w:tcBorders>
              <w:top w:val="single" w:sz="12" w:space="0" w:color="auto"/>
              <w:bottom w:val="single" w:sz="12" w:space="0" w:color="auto"/>
            </w:tcBorders>
            <w:shd w:val="clear" w:color="auto" w:fill="auto"/>
          </w:tcPr>
          <w:p w14:paraId="11DF3878" w14:textId="77777777" w:rsidR="00F0236A" w:rsidRPr="0042750D" w:rsidRDefault="00F0236A" w:rsidP="00DF36E1">
            <w:pPr>
              <w:pStyle w:val="Tablehead"/>
              <w:rPr>
                <w:sz w:val="24"/>
                <w:szCs w:val="24"/>
              </w:rPr>
            </w:pPr>
            <w:r w:rsidRPr="0042750D">
              <w:rPr>
                <w:sz w:val="24"/>
                <w:szCs w:val="24"/>
              </w:rPr>
              <w:t>Periodic goals met</w:t>
            </w:r>
          </w:p>
        </w:tc>
        <w:tc>
          <w:tcPr>
            <w:tcW w:w="1619" w:type="dxa"/>
            <w:tcBorders>
              <w:top w:val="single" w:sz="12" w:space="0" w:color="auto"/>
              <w:bottom w:val="single" w:sz="12" w:space="0" w:color="auto"/>
            </w:tcBorders>
            <w:shd w:val="clear" w:color="auto" w:fill="auto"/>
            <w:vAlign w:val="center"/>
          </w:tcPr>
          <w:p w14:paraId="3B860A71" w14:textId="77777777" w:rsidR="00F0236A" w:rsidRPr="0042750D" w:rsidRDefault="00F0236A" w:rsidP="00DF36E1">
            <w:pPr>
              <w:pStyle w:val="Tablehead"/>
              <w:rPr>
                <w:sz w:val="24"/>
                <w:szCs w:val="24"/>
              </w:rPr>
            </w:pPr>
            <w:r w:rsidRPr="0042750D">
              <w:rPr>
                <w:sz w:val="24"/>
                <w:szCs w:val="24"/>
              </w:rPr>
              <w:t>Completed</w:t>
            </w:r>
          </w:p>
        </w:tc>
      </w:tr>
      <w:tr w:rsidR="00EB56BA" w:rsidRPr="0042750D" w14:paraId="5A83A302" w14:textId="77777777" w:rsidTr="002E05D5">
        <w:trPr>
          <w:cantSplit/>
          <w:jc w:val="center"/>
        </w:trPr>
        <w:tc>
          <w:tcPr>
            <w:tcW w:w="930" w:type="dxa"/>
            <w:vMerge w:val="restart"/>
            <w:tcBorders>
              <w:top w:val="single" w:sz="12" w:space="0" w:color="auto"/>
            </w:tcBorders>
            <w:shd w:val="clear" w:color="auto" w:fill="auto"/>
          </w:tcPr>
          <w:p w14:paraId="278BCA6A" w14:textId="24C20972" w:rsidR="00EB56BA" w:rsidRPr="0042750D" w:rsidRDefault="00EB56BA" w:rsidP="00EB56BA">
            <w:pPr>
              <w:pStyle w:val="Tabletext"/>
              <w:rPr>
                <w:b/>
                <w:bCs/>
                <w:sz w:val="24"/>
                <w:szCs w:val="24"/>
              </w:rPr>
            </w:pPr>
            <w:bookmarkStart w:id="169" w:name="Item60_01"/>
            <w:bookmarkEnd w:id="169"/>
            <w:r w:rsidRPr="0042750D">
              <w:rPr>
                <w:b/>
                <w:bCs/>
                <w:sz w:val="24"/>
                <w:szCs w:val="24"/>
              </w:rPr>
              <w:t>154-02</w:t>
            </w:r>
          </w:p>
        </w:tc>
        <w:tc>
          <w:tcPr>
            <w:tcW w:w="5267" w:type="dxa"/>
            <w:tcBorders>
              <w:top w:val="single" w:sz="12" w:space="0" w:color="auto"/>
              <w:bottom w:val="single" w:sz="2" w:space="0" w:color="auto"/>
            </w:tcBorders>
            <w:shd w:val="clear" w:color="auto" w:fill="auto"/>
            <w:hideMark/>
          </w:tcPr>
          <w:p w14:paraId="4B9DE847" w14:textId="4832560F" w:rsidR="00EB56BA" w:rsidRPr="0042750D" w:rsidRDefault="00EB56BA" w:rsidP="0013630B">
            <w:pPr>
              <w:pStyle w:val="Tabletext"/>
              <w:rPr>
                <w:b/>
                <w:bCs/>
                <w:sz w:val="24"/>
                <w:szCs w:val="24"/>
              </w:rPr>
            </w:pPr>
            <w:r w:rsidRPr="0042750D">
              <w:rPr>
                <w:b/>
                <w:bCs/>
                <w:sz w:val="24"/>
                <w:szCs w:val="24"/>
              </w:rPr>
              <w:t>TSB to immediately publish all contributions submitted to the ITU</w:t>
            </w:r>
            <w:r w:rsidR="00AB0E66" w:rsidRPr="0042750D">
              <w:rPr>
                <w:b/>
                <w:bCs/>
                <w:sz w:val="24"/>
                <w:szCs w:val="24"/>
              </w:rPr>
              <w:t>-</w:t>
            </w:r>
            <w:r w:rsidR="0013630B" w:rsidRPr="0042750D">
              <w:rPr>
                <w:b/>
                <w:bCs/>
                <w:sz w:val="24"/>
                <w:szCs w:val="24"/>
              </w:rPr>
              <w:t>T</w:t>
            </w:r>
            <w:r w:rsidRPr="0042750D">
              <w:rPr>
                <w:b/>
                <w:bCs/>
                <w:sz w:val="24"/>
                <w:szCs w:val="24"/>
              </w:rPr>
              <w:t xml:space="preserve"> secretariat for any ITU</w:t>
            </w:r>
            <w:r w:rsidR="00AB0E66" w:rsidRPr="0042750D">
              <w:rPr>
                <w:b/>
                <w:bCs/>
                <w:sz w:val="24"/>
                <w:szCs w:val="24"/>
              </w:rPr>
              <w:t>-T</w:t>
            </w:r>
            <w:r w:rsidRPr="0042750D">
              <w:rPr>
                <w:b/>
                <w:bCs/>
                <w:sz w:val="24"/>
                <w:szCs w:val="24"/>
              </w:rPr>
              <w:t xml:space="preserve"> event in their original language on the respective event website even before their translation into the other official languages of the Union</w:t>
            </w:r>
            <w:r w:rsidR="002E05D5" w:rsidRPr="0042750D">
              <w:rPr>
                <w:b/>
                <w:bCs/>
                <w:sz w:val="24"/>
                <w:szCs w:val="24"/>
              </w:rPr>
              <w:t xml:space="preserve"> (</w:t>
            </w:r>
            <w:r w:rsidR="002E05D5" w:rsidRPr="0042750D">
              <w:rPr>
                <w:b/>
                <w:bCs/>
                <w:i/>
                <w:sz w:val="24"/>
                <w:szCs w:val="24"/>
              </w:rPr>
              <w:t>instructs 2</w:t>
            </w:r>
            <w:r w:rsidR="002E05D5" w:rsidRPr="0042750D">
              <w:rPr>
                <w:b/>
                <w:bCs/>
                <w:sz w:val="24"/>
                <w:szCs w:val="24"/>
              </w:rPr>
              <w:t>)</w:t>
            </w:r>
            <w:r w:rsidRPr="0042750D">
              <w:rPr>
                <w:b/>
                <w:bCs/>
                <w:sz w:val="24"/>
                <w:szCs w:val="24"/>
              </w:rPr>
              <w:t>.</w:t>
            </w:r>
          </w:p>
        </w:tc>
        <w:tc>
          <w:tcPr>
            <w:tcW w:w="1218" w:type="dxa"/>
            <w:tcBorders>
              <w:top w:val="single" w:sz="12" w:space="0" w:color="auto"/>
              <w:bottom w:val="single" w:sz="2" w:space="0" w:color="auto"/>
            </w:tcBorders>
            <w:shd w:val="clear" w:color="auto" w:fill="auto"/>
            <w:vAlign w:val="center"/>
            <w:hideMark/>
          </w:tcPr>
          <w:p w14:paraId="03E4CFAD" w14:textId="77777777" w:rsidR="00EB56BA" w:rsidRPr="0042750D" w:rsidRDefault="00EB56BA" w:rsidP="007F6958">
            <w:pPr>
              <w:pStyle w:val="Tabletext"/>
              <w:jc w:val="center"/>
              <w:rPr>
                <w:b/>
                <w:bCs/>
                <w:sz w:val="24"/>
                <w:szCs w:val="24"/>
              </w:rPr>
            </w:pPr>
            <w:r w:rsidRPr="0042750D">
              <w:rPr>
                <w:b/>
                <w:bCs/>
                <w:sz w:val="24"/>
                <w:szCs w:val="24"/>
              </w:rPr>
              <w:t>Ongoing</w:t>
            </w:r>
          </w:p>
        </w:tc>
        <w:tc>
          <w:tcPr>
            <w:tcW w:w="1157" w:type="dxa"/>
            <w:tcBorders>
              <w:top w:val="single" w:sz="12" w:space="0" w:color="auto"/>
              <w:bottom w:val="single" w:sz="2" w:space="0" w:color="auto"/>
            </w:tcBorders>
            <w:shd w:val="clear" w:color="auto" w:fill="auto"/>
            <w:vAlign w:val="center"/>
          </w:tcPr>
          <w:p w14:paraId="7BFFD831" w14:textId="4E062E3A" w:rsidR="00EB56BA" w:rsidRPr="0042750D" w:rsidRDefault="003A27C8" w:rsidP="007F6958">
            <w:pPr>
              <w:pStyle w:val="Tabletext"/>
              <w:jc w:val="center"/>
              <w:rPr>
                <w:b/>
                <w:bCs/>
                <w:sz w:val="24"/>
                <w:szCs w:val="24"/>
              </w:rPr>
            </w:pPr>
            <w:r w:rsidRPr="0042750D">
              <w:rPr>
                <w:b/>
                <w:bCs/>
                <w:sz w:val="24"/>
                <w:szCs w:val="24"/>
              </w:rPr>
              <w:t>√</w:t>
            </w:r>
          </w:p>
        </w:tc>
        <w:tc>
          <w:tcPr>
            <w:tcW w:w="1619" w:type="dxa"/>
            <w:tcBorders>
              <w:top w:val="single" w:sz="12" w:space="0" w:color="auto"/>
              <w:bottom w:val="single" w:sz="2" w:space="0" w:color="auto"/>
            </w:tcBorders>
            <w:shd w:val="clear" w:color="auto" w:fill="auto"/>
            <w:vAlign w:val="center"/>
          </w:tcPr>
          <w:p w14:paraId="2115C06C" w14:textId="77777777" w:rsidR="00EB56BA" w:rsidRPr="0042750D" w:rsidRDefault="00EB56BA" w:rsidP="007F6958">
            <w:pPr>
              <w:pStyle w:val="Tabletext"/>
              <w:jc w:val="center"/>
              <w:rPr>
                <w:b/>
                <w:bCs/>
                <w:sz w:val="24"/>
                <w:szCs w:val="24"/>
              </w:rPr>
            </w:pPr>
          </w:p>
        </w:tc>
      </w:tr>
      <w:tr w:rsidR="00EB56BA" w:rsidRPr="0042750D" w14:paraId="2310D9F8" w14:textId="77777777" w:rsidTr="00EB56BA">
        <w:trPr>
          <w:cantSplit/>
          <w:jc w:val="center"/>
        </w:trPr>
        <w:tc>
          <w:tcPr>
            <w:tcW w:w="930" w:type="dxa"/>
            <w:vMerge/>
            <w:shd w:val="clear" w:color="auto" w:fill="auto"/>
            <w:vAlign w:val="center"/>
          </w:tcPr>
          <w:p w14:paraId="07117147" w14:textId="77777777" w:rsidR="00EB56BA" w:rsidRPr="0042750D" w:rsidRDefault="00EB56BA" w:rsidP="007F6958">
            <w:pPr>
              <w:pStyle w:val="Tabletext"/>
              <w:rPr>
                <w:sz w:val="24"/>
                <w:szCs w:val="24"/>
              </w:rPr>
            </w:pPr>
          </w:p>
        </w:tc>
        <w:tc>
          <w:tcPr>
            <w:tcW w:w="9261" w:type="dxa"/>
            <w:gridSpan w:val="4"/>
            <w:tcBorders>
              <w:top w:val="single" w:sz="2" w:space="0" w:color="auto"/>
            </w:tcBorders>
            <w:shd w:val="clear" w:color="auto" w:fill="auto"/>
          </w:tcPr>
          <w:p w14:paraId="43335356" w14:textId="50505531" w:rsidR="00EB56BA" w:rsidRPr="0042750D" w:rsidRDefault="003A27C8" w:rsidP="007F6958">
            <w:pPr>
              <w:pStyle w:val="Tabletext"/>
              <w:rPr>
                <w:szCs w:val="22"/>
              </w:rPr>
            </w:pPr>
            <w:r w:rsidRPr="0042750D">
              <w:rPr>
                <w:szCs w:val="22"/>
              </w:rPr>
              <w:t>TSB is following this practice.</w:t>
            </w:r>
          </w:p>
        </w:tc>
      </w:tr>
      <w:tr w:rsidR="00EB56BA" w:rsidRPr="0042750D" w14:paraId="03915C68" w14:textId="77777777" w:rsidTr="002E05D5">
        <w:trPr>
          <w:cantSplit/>
          <w:jc w:val="center"/>
        </w:trPr>
        <w:tc>
          <w:tcPr>
            <w:tcW w:w="930" w:type="dxa"/>
            <w:vMerge w:val="restart"/>
            <w:tcBorders>
              <w:top w:val="single" w:sz="12" w:space="0" w:color="auto"/>
            </w:tcBorders>
            <w:shd w:val="clear" w:color="auto" w:fill="auto"/>
          </w:tcPr>
          <w:p w14:paraId="7CC4E380" w14:textId="72285DE3" w:rsidR="00EB56BA" w:rsidRPr="0042750D" w:rsidRDefault="00EB56BA" w:rsidP="00EB56BA">
            <w:pPr>
              <w:pStyle w:val="Tabletext"/>
              <w:rPr>
                <w:b/>
                <w:bCs/>
                <w:sz w:val="24"/>
                <w:szCs w:val="24"/>
              </w:rPr>
            </w:pPr>
            <w:r w:rsidRPr="0042750D">
              <w:rPr>
                <w:b/>
                <w:bCs/>
                <w:sz w:val="24"/>
                <w:szCs w:val="24"/>
              </w:rPr>
              <w:t>154-03</w:t>
            </w:r>
          </w:p>
        </w:tc>
        <w:tc>
          <w:tcPr>
            <w:tcW w:w="5267" w:type="dxa"/>
            <w:tcBorders>
              <w:top w:val="single" w:sz="12" w:space="0" w:color="auto"/>
              <w:bottom w:val="single" w:sz="2" w:space="0" w:color="auto"/>
            </w:tcBorders>
            <w:shd w:val="clear" w:color="auto" w:fill="auto"/>
            <w:hideMark/>
          </w:tcPr>
          <w:p w14:paraId="7B51C9BE" w14:textId="606BA40F" w:rsidR="00EB56BA" w:rsidRPr="0042750D" w:rsidRDefault="00EB56BA" w:rsidP="007F6958">
            <w:pPr>
              <w:pStyle w:val="Tabletext"/>
              <w:rPr>
                <w:b/>
                <w:bCs/>
                <w:sz w:val="24"/>
                <w:szCs w:val="24"/>
              </w:rPr>
            </w:pPr>
            <w:r w:rsidRPr="0042750D">
              <w:rPr>
                <w:b/>
                <w:bCs/>
                <w:sz w:val="24"/>
                <w:szCs w:val="24"/>
              </w:rPr>
              <w:t>TSB to continue work on harmonization of the ITU Sectors' websites to ensure clarity, ease of navigation and an image of One ITU</w:t>
            </w:r>
            <w:r w:rsidR="002E05D5" w:rsidRPr="0042750D">
              <w:rPr>
                <w:b/>
                <w:bCs/>
                <w:sz w:val="24"/>
                <w:szCs w:val="24"/>
              </w:rPr>
              <w:t xml:space="preserve"> (</w:t>
            </w:r>
            <w:r w:rsidR="002E05D5" w:rsidRPr="0042750D">
              <w:rPr>
                <w:b/>
                <w:bCs/>
                <w:i/>
                <w:sz w:val="24"/>
                <w:szCs w:val="24"/>
              </w:rPr>
              <w:t>instructs 3</w:t>
            </w:r>
            <w:r w:rsidR="002E05D5" w:rsidRPr="0042750D">
              <w:rPr>
                <w:b/>
                <w:bCs/>
                <w:sz w:val="24"/>
                <w:szCs w:val="24"/>
              </w:rPr>
              <w:t>)</w:t>
            </w:r>
            <w:r w:rsidRPr="0042750D">
              <w:rPr>
                <w:b/>
                <w:bCs/>
                <w:sz w:val="24"/>
                <w:szCs w:val="24"/>
              </w:rPr>
              <w:t>.</w:t>
            </w:r>
          </w:p>
        </w:tc>
        <w:tc>
          <w:tcPr>
            <w:tcW w:w="1218" w:type="dxa"/>
            <w:tcBorders>
              <w:top w:val="single" w:sz="12" w:space="0" w:color="auto"/>
              <w:bottom w:val="single" w:sz="2" w:space="0" w:color="auto"/>
            </w:tcBorders>
            <w:shd w:val="clear" w:color="auto" w:fill="auto"/>
            <w:vAlign w:val="center"/>
            <w:hideMark/>
          </w:tcPr>
          <w:p w14:paraId="0BB5783C" w14:textId="77777777" w:rsidR="00EB56BA" w:rsidRPr="0042750D" w:rsidRDefault="00EB56BA" w:rsidP="007F6958">
            <w:pPr>
              <w:pStyle w:val="Tabletext"/>
              <w:jc w:val="center"/>
              <w:rPr>
                <w:b/>
                <w:bCs/>
                <w:sz w:val="24"/>
                <w:szCs w:val="24"/>
              </w:rPr>
            </w:pPr>
            <w:r w:rsidRPr="0042750D">
              <w:rPr>
                <w:b/>
                <w:bCs/>
                <w:sz w:val="24"/>
                <w:szCs w:val="24"/>
              </w:rPr>
              <w:t>Ongoing</w:t>
            </w:r>
          </w:p>
        </w:tc>
        <w:tc>
          <w:tcPr>
            <w:tcW w:w="1157" w:type="dxa"/>
            <w:tcBorders>
              <w:top w:val="single" w:sz="12" w:space="0" w:color="auto"/>
              <w:bottom w:val="single" w:sz="2" w:space="0" w:color="auto"/>
            </w:tcBorders>
            <w:shd w:val="clear" w:color="auto" w:fill="auto"/>
            <w:vAlign w:val="center"/>
          </w:tcPr>
          <w:p w14:paraId="4BD2532A" w14:textId="77777777" w:rsidR="00EB56BA" w:rsidRPr="0042750D" w:rsidRDefault="00EB56BA" w:rsidP="007F6958">
            <w:pPr>
              <w:pStyle w:val="Tabletext"/>
              <w:jc w:val="center"/>
              <w:rPr>
                <w:b/>
                <w:bCs/>
                <w:sz w:val="24"/>
                <w:szCs w:val="24"/>
              </w:rPr>
            </w:pPr>
          </w:p>
        </w:tc>
        <w:tc>
          <w:tcPr>
            <w:tcW w:w="1619" w:type="dxa"/>
            <w:tcBorders>
              <w:top w:val="single" w:sz="12" w:space="0" w:color="auto"/>
              <w:bottom w:val="single" w:sz="2" w:space="0" w:color="auto"/>
            </w:tcBorders>
            <w:shd w:val="clear" w:color="auto" w:fill="auto"/>
            <w:vAlign w:val="center"/>
          </w:tcPr>
          <w:p w14:paraId="5ECD4307" w14:textId="77777777" w:rsidR="00EB56BA" w:rsidRPr="0042750D" w:rsidRDefault="00EB56BA" w:rsidP="007F6958">
            <w:pPr>
              <w:pStyle w:val="Tabletext"/>
              <w:jc w:val="center"/>
              <w:rPr>
                <w:b/>
                <w:bCs/>
                <w:sz w:val="24"/>
                <w:szCs w:val="24"/>
              </w:rPr>
            </w:pPr>
          </w:p>
        </w:tc>
      </w:tr>
      <w:tr w:rsidR="00EB56BA" w:rsidRPr="0042750D" w14:paraId="6527B288" w14:textId="77777777" w:rsidTr="007F6958">
        <w:trPr>
          <w:cantSplit/>
          <w:jc w:val="center"/>
        </w:trPr>
        <w:tc>
          <w:tcPr>
            <w:tcW w:w="930" w:type="dxa"/>
            <w:vMerge/>
            <w:shd w:val="clear" w:color="auto" w:fill="auto"/>
            <w:vAlign w:val="center"/>
          </w:tcPr>
          <w:p w14:paraId="7A92B4BB" w14:textId="77777777" w:rsidR="00EB56BA" w:rsidRPr="0042750D" w:rsidRDefault="00EB56BA" w:rsidP="007F6958">
            <w:pPr>
              <w:pStyle w:val="Tabletext"/>
              <w:rPr>
                <w:sz w:val="24"/>
                <w:szCs w:val="24"/>
              </w:rPr>
            </w:pPr>
          </w:p>
        </w:tc>
        <w:tc>
          <w:tcPr>
            <w:tcW w:w="9261" w:type="dxa"/>
            <w:gridSpan w:val="4"/>
            <w:tcBorders>
              <w:top w:val="single" w:sz="2" w:space="0" w:color="auto"/>
            </w:tcBorders>
            <w:shd w:val="clear" w:color="auto" w:fill="auto"/>
          </w:tcPr>
          <w:p w14:paraId="692C578D" w14:textId="77777777" w:rsidR="00EB56BA" w:rsidRPr="0042750D" w:rsidRDefault="00EB56BA" w:rsidP="007F6958">
            <w:pPr>
              <w:pStyle w:val="Tabletext"/>
              <w:rPr>
                <w:szCs w:val="22"/>
              </w:rPr>
            </w:pPr>
          </w:p>
        </w:tc>
      </w:tr>
      <w:tr w:rsidR="00EB56BA" w:rsidRPr="0042750D" w14:paraId="72551B6F" w14:textId="77777777" w:rsidTr="002E05D5">
        <w:trPr>
          <w:cantSplit/>
          <w:jc w:val="center"/>
        </w:trPr>
        <w:tc>
          <w:tcPr>
            <w:tcW w:w="930" w:type="dxa"/>
            <w:vMerge w:val="restart"/>
            <w:tcBorders>
              <w:top w:val="single" w:sz="12" w:space="0" w:color="auto"/>
            </w:tcBorders>
            <w:shd w:val="clear" w:color="auto" w:fill="auto"/>
          </w:tcPr>
          <w:p w14:paraId="317B5495" w14:textId="3DF448CE" w:rsidR="00EB56BA" w:rsidRPr="0042750D" w:rsidRDefault="00EB56BA" w:rsidP="00EB56BA">
            <w:pPr>
              <w:pStyle w:val="Tabletext"/>
              <w:rPr>
                <w:b/>
                <w:bCs/>
                <w:sz w:val="24"/>
                <w:szCs w:val="24"/>
              </w:rPr>
            </w:pPr>
            <w:r w:rsidRPr="0042750D">
              <w:rPr>
                <w:b/>
                <w:bCs/>
                <w:sz w:val="24"/>
                <w:szCs w:val="24"/>
              </w:rPr>
              <w:t>154-04</w:t>
            </w:r>
          </w:p>
        </w:tc>
        <w:tc>
          <w:tcPr>
            <w:tcW w:w="5267" w:type="dxa"/>
            <w:tcBorders>
              <w:top w:val="single" w:sz="12" w:space="0" w:color="auto"/>
              <w:bottom w:val="single" w:sz="2" w:space="0" w:color="auto"/>
            </w:tcBorders>
            <w:shd w:val="clear" w:color="auto" w:fill="auto"/>
            <w:hideMark/>
          </w:tcPr>
          <w:p w14:paraId="3E8F5629" w14:textId="10F3286A" w:rsidR="00EB56BA" w:rsidRPr="0042750D" w:rsidRDefault="00EB56BA" w:rsidP="007F6958">
            <w:pPr>
              <w:pStyle w:val="Tabletext"/>
              <w:rPr>
                <w:b/>
                <w:bCs/>
                <w:sz w:val="24"/>
                <w:szCs w:val="24"/>
              </w:rPr>
            </w:pPr>
            <w:r w:rsidRPr="0042750D">
              <w:rPr>
                <w:b/>
                <w:bCs/>
                <w:sz w:val="24"/>
                <w:szCs w:val="24"/>
              </w:rPr>
              <w:t>TSB to provide timely updates of the pages of the ITU</w:t>
            </w:r>
            <w:r w:rsidR="00897DB3" w:rsidRPr="0042750D">
              <w:rPr>
                <w:b/>
                <w:bCs/>
                <w:sz w:val="24"/>
                <w:szCs w:val="24"/>
              </w:rPr>
              <w:t>-T</w:t>
            </w:r>
            <w:r w:rsidRPr="0042750D">
              <w:rPr>
                <w:b/>
                <w:bCs/>
                <w:sz w:val="24"/>
                <w:szCs w:val="24"/>
              </w:rPr>
              <w:t xml:space="preserve"> website in all six languages of the Union</w:t>
            </w:r>
            <w:r w:rsidR="002E05D5" w:rsidRPr="0042750D">
              <w:rPr>
                <w:b/>
                <w:bCs/>
                <w:sz w:val="24"/>
                <w:szCs w:val="24"/>
              </w:rPr>
              <w:t xml:space="preserve"> (</w:t>
            </w:r>
            <w:r w:rsidR="002E05D5" w:rsidRPr="0042750D">
              <w:rPr>
                <w:b/>
                <w:bCs/>
                <w:i/>
                <w:sz w:val="24"/>
                <w:szCs w:val="24"/>
              </w:rPr>
              <w:t>instructs 4</w:t>
            </w:r>
            <w:r w:rsidR="002E05D5" w:rsidRPr="0042750D">
              <w:rPr>
                <w:b/>
                <w:bCs/>
                <w:sz w:val="24"/>
                <w:szCs w:val="24"/>
              </w:rPr>
              <w:t>)</w:t>
            </w:r>
            <w:r w:rsidRPr="0042750D">
              <w:rPr>
                <w:b/>
                <w:bCs/>
                <w:sz w:val="24"/>
                <w:szCs w:val="24"/>
              </w:rPr>
              <w:t>.</w:t>
            </w:r>
          </w:p>
        </w:tc>
        <w:tc>
          <w:tcPr>
            <w:tcW w:w="1218" w:type="dxa"/>
            <w:tcBorders>
              <w:top w:val="single" w:sz="12" w:space="0" w:color="auto"/>
              <w:bottom w:val="single" w:sz="2" w:space="0" w:color="auto"/>
            </w:tcBorders>
            <w:shd w:val="clear" w:color="auto" w:fill="auto"/>
            <w:vAlign w:val="center"/>
            <w:hideMark/>
          </w:tcPr>
          <w:p w14:paraId="1BE930F9" w14:textId="77777777" w:rsidR="00EB56BA" w:rsidRPr="0042750D" w:rsidRDefault="00EB56BA" w:rsidP="007F6958">
            <w:pPr>
              <w:pStyle w:val="Tabletext"/>
              <w:jc w:val="center"/>
              <w:rPr>
                <w:b/>
                <w:bCs/>
                <w:sz w:val="24"/>
                <w:szCs w:val="24"/>
              </w:rPr>
            </w:pPr>
            <w:r w:rsidRPr="0042750D">
              <w:rPr>
                <w:b/>
                <w:bCs/>
                <w:sz w:val="24"/>
                <w:szCs w:val="24"/>
              </w:rPr>
              <w:t>Ongoing</w:t>
            </w:r>
          </w:p>
        </w:tc>
        <w:tc>
          <w:tcPr>
            <w:tcW w:w="1157" w:type="dxa"/>
            <w:tcBorders>
              <w:top w:val="single" w:sz="12" w:space="0" w:color="auto"/>
              <w:bottom w:val="single" w:sz="2" w:space="0" w:color="auto"/>
            </w:tcBorders>
            <w:shd w:val="clear" w:color="auto" w:fill="auto"/>
            <w:vAlign w:val="center"/>
          </w:tcPr>
          <w:p w14:paraId="5C087E46" w14:textId="77777777" w:rsidR="00EB56BA" w:rsidRPr="0042750D" w:rsidRDefault="00EB56BA" w:rsidP="007F6958">
            <w:pPr>
              <w:pStyle w:val="Tabletext"/>
              <w:jc w:val="center"/>
              <w:rPr>
                <w:b/>
                <w:bCs/>
                <w:sz w:val="24"/>
                <w:szCs w:val="24"/>
              </w:rPr>
            </w:pPr>
          </w:p>
        </w:tc>
        <w:tc>
          <w:tcPr>
            <w:tcW w:w="1619" w:type="dxa"/>
            <w:tcBorders>
              <w:top w:val="single" w:sz="12" w:space="0" w:color="auto"/>
              <w:bottom w:val="single" w:sz="2" w:space="0" w:color="auto"/>
            </w:tcBorders>
            <w:shd w:val="clear" w:color="auto" w:fill="auto"/>
            <w:vAlign w:val="center"/>
          </w:tcPr>
          <w:p w14:paraId="4CE117A6" w14:textId="77777777" w:rsidR="00EB56BA" w:rsidRPr="0042750D" w:rsidRDefault="00EB56BA" w:rsidP="007F6958">
            <w:pPr>
              <w:pStyle w:val="Tabletext"/>
              <w:jc w:val="center"/>
              <w:rPr>
                <w:b/>
                <w:bCs/>
                <w:sz w:val="24"/>
                <w:szCs w:val="24"/>
              </w:rPr>
            </w:pPr>
          </w:p>
        </w:tc>
      </w:tr>
      <w:tr w:rsidR="00EB56BA" w:rsidRPr="0042750D" w14:paraId="48EA9E19" w14:textId="77777777" w:rsidTr="007F6958">
        <w:trPr>
          <w:cantSplit/>
          <w:jc w:val="center"/>
        </w:trPr>
        <w:tc>
          <w:tcPr>
            <w:tcW w:w="930" w:type="dxa"/>
            <w:vMerge/>
            <w:shd w:val="clear" w:color="auto" w:fill="auto"/>
            <w:vAlign w:val="center"/>
          </w:tcPr>
          <w:p w14:paraId="460A7340" w14:textId="77777777" w:rsidR="00EB56BA" w:rsidRPr="0042750D" w:rsidRDefault="00EB56BA" w:rsidP="007F6958">
            <w:pPr>
              <w:pStyle w:val="Tabletext"/>
              <w:rPr>
                <w:sz w:val="24"/>
                <w:szCs w:val="24"/>
              </w:rPr>
            </w:pPr>
          </w:p>
        </w:tc>
        <w:tc>
          <w:tcPr>
            <w:tcW w:w="9261" w:type="dxa"/>
            <w:gridSpan w:val="4"/>
            <w:tcBorders>
              <w:top w:val="single" w:sz="2" w:space="0" w:color="auto"/>
            </w:tcBorders>
            <w:shd w:val="clear" w:color="auto" w:fill="auto"/>
          </w:tcPr>
          <w:p w14:paraId="19F436E5" w14:textId="77777777" w:rsidR="00EB56BA" w:rsidRPr="0042750D" w:rsidRDefault="00EB56BA" w:rsidP="007F6958">
            <w:pPr>
              <w:pStyle w:val="Tabletext"/>
              <w:rPr>
                <w:szCs w:val="22"/>
              </w:rPr>
            </w:pPr>
          </w:p>
        </w:tc>
      </w:tr>
    </w:tbl>
    <w:p w14:paraId="646CB481"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5166DD31" w14:textId="73866413" w:rsidR="00F0236A" w:rsidRPr="0042750D" w:rsidRDefault="00614A3C" w:rsidP="003D107E">
      <w:pPr>
        <w:pStyle w:val="Heading1"/>
        <w:keepNext/>
        <w:keepLines/>
        <w:rPr>
          <w:sz w:val="24"/>
          <w:szCs w:val="24"/>
          <w:lang w:val="en-GB"/>
        </w:rPr>
      </w:pPr>
      <w:bookmarkStart w:id="170" w:name="Resolution_61"/>
      <w:bookmarkStart w:id="171" w:name="Resolution_62"/>
      <w:bookmarkStart w:id="172" w:name="_Toc30749169"/>
      <w:bookmarkEnd w:id="170"/>
      <w:bookmarkEnd w:id="171"/>
      <w:r w:rsidRPr="0042750D">
        <w:rPr>
          <w:sz w:val="24"/>
          <w:szCs w:val="24"/>
          <w:lang w:val="en-GB"/>
        </w:rPr>
        <w:t>RESOLUTION 165 (REV. DUBAI, 2018) –</w:t>
      </w:r>
      <w:r w:rsidR="00DF058E" w:rsidRPr="0042750D">
        <w:rPr>
          <w:sz w:val="24"/>
          <w:szCs w:val="24"/>
          <w:lang w:val="en-GB"/>
        </w:rPr>
        <w:t xml:space="preserve"> </w:t>
      </w:r>
      <w:r w:rsidRPr="0042750D">
        <w:rPr>
          <w:sz w:val="24"/>
          <w:szCs w:val="24"/>
          <w:lang w:val="en-GB"/>
        </w:rPr>
        <w:t>Deadlines for the submission of proposals and procedures for the registration of participants for conferences and assemblies of the Union</w:t>
      </w:r>
      <w:bookmarkEnd w:id="172"/>
    </w:p>
    <w:p w14:paraId="7694582A" w14:textId="77777777" w:rsidR="00614A3C" w:rsidRPr="0042750D" w:rsidRDefault="00614A3C" w:rsidP="003D107E">
      <w:pPr>
        <w:pStyle w:val="Call"/>
        <w:rPr>
          <w:szCs w:val="22"/>
          <w:lang w:val="en-GB"/>
        </w:rPr>
      </w:pPr>
      <w:r w:rsidRPr="0042750D">
        <w:rPr>
          <w:szCs w:val="22"/>
          <w:lang w:val="en-GB"/>
        </w:rPr>
        <w:t>resolves</w:t>
      </w:r>
    </w:p>
    <w:p w14:paraId="34073DB1" w14:textId="77777777" w:rsidR="00614A3C" w:rsidRPr="0042750D" w:rsidRDefault="00614A3C" w:rsidP="003D107E">
      <w:pPr>
        <w:keepNext/>
        <w:keepLines/>
        <w:rPr>
          <w:szCs w:val="22"/>
        </w:rPr>
      </w:pPr>
      <w:r w:rsidRPr="0042750D">
        <w:rPr>
          <w:szCs w:val="22"/>
        </w:rPr>
        <w:t>1</w:t>
      </w:r>
      <w:r w:rsidRPr="0042750D">
        <w:rPr>
          <w:szCs w:val="22"/>
        </w:rPr>
        <w:tab/>
        <w:t xml:space="preserve">to establish a firm submission deadline for all contributions, with the exception of the deadlines outlined in </w:t>
      </w:r>
      <w:r w:rsidRPr="0042750D">
        <w:rPr>
          <w:i/>
          <w:iCs/>
          <w:szCs w:val="22"/>
        </w:rPr>
        <w:t>recognizing</w:t>
      </w:r>
      <w:r w:rsidRPr="0042750D">
        <w:rPr>
          <w:szCs w:val="22"/>
        </w:rPr>
        <w:t xml:space="preserve"> </w:t>
      </w:r>
      <w:r w:rsidRPr="0042750D">
        <w:rPr>
          <w:i/>
          <w:iCs/>
          <w:szCs w:val="22"/>
        </w:rPr>
        <w:t>a)</w:t>
      </w:r>
      <w:r w:rsidRPr="0042750D">
        <w:rPr>
          <w:szCs w:val="22"/>
        </w:rPr>
        <w:t xml:space="preserve"> and </w:t>
      </w:r>
      <w:r w:rsidRPr="0042750D">
        <w:rPr>
          <w:i/>
          <w:iCs/>
          <w:szCs w:val="22"/>
        </w:rPr>
        <w:t>b)</w:t>
      </w:r>
      <w:r w:rsidRPr="0042750D">
        <w:rPr>
          <w:szCs w:val="22"/>
        </w:rPr>
        <w:t xml:space="preserve"> above, of no later than 21 calendar days before the opening of conferences and assemblies of the Union, including plenipotentiary conferences, so as to ensure timely translation and their thorough consideration by delegations;</w:t>
      </w:r>
    </w:p>
    <w:p w14:paraId="14D681A6" w14:textId="77777777" w:rsidR="00614A3C" w:rsidRPr="0042750D" w:rsidRDefault="00614A3C" w:rsidP="00614A3C">
      <w:pPr>
        <w:rPr>
          <w:szCs w:val="22"/>
        </w:rPr>
      </w:pPr>
      <w:r w:rsidRPr="0042750D">
        <w:rPr>
          <w:szCs w:val="22"/>
        </w:rPr>
        <w:t>2</w:t>
      </w:r>
      <w:r w:rsidRPr="0042750D">
        <w:rPr>
          <w:szCs w:val="22"/>
        </w:rPr>
        <w:tab/>
        <w:t>to establish a firm submission deadline for ITU secretariat documents of no later than 35 calendar days before the opening of conferences and assemblies of the Union, including plenipotentiary conferences, so as to ensure timely translation and their thorough consideration by delegations,</w:t>
      </w:r>
    </w:p>
    <w:p w14:paraId="043888B0" w14:textId="77777777" w:rsidR="00614A3C" w:rsidRPr="0042750D" w:rsidRDefault="00614A3C" w:rsidP="00614A3C">
      <w:pPr>
        <w:pStyle w:val="Call"/>
        <w:rPr>
          <w:szCs w:val="22"/>
          <w:lang w:val="en-GB"/>
        </w:rPr>
      </w:pPr>
      <w:r w:rsidRPr="0042750D">
        <w:rPr>
          <w:szCs w:val="22"/>
          <w:lang w:val="en-GB"/>
        </w:rPr>
        <w:t>instructs the Secretary-General in consultation with the Directors of the Bureaux</w:t>
      </w:r>
    </w:p>
    <w:p w14:paraId="07E07114" w14:textId="77777777" w:rsidR="00614A3C" w:rsidRPr="0042750D" w:rsidRDefault="00614A3C" w:rsidP="00614A3C">
      <w:pPr>
        <w:rPr>
          <w:szCs w:val="22"/>
        </w:rPr>
      </w:pPr>
      <w:r w:rsidRPr="0042750D">
        <w:rPr>
          <w:szCs w:val="22"/>
        </w:rPr>
        <w:t>1</w:t>
      </w:r>
      <w:r w:rsidRPr="0042750D">
        <w:rPr>
          <w:szCs w:val="22"/>
        </w:rPr>
        <w:tab/>
        <w:t>to prepare a report to the ITU Council on an ongoing basis on the above-mentioned matters, including relevant financial implications;</w:t>
      </w:r>
    </w:p>
    <w:p w14:paraId="68FF7DA0" w14:textId="47C1BCCA" w:rsidR="00F0236A" w:rsidRPr="0042750D" w:rsidRDefault="00614A3C" w:rsidP="00614A3C">
      <w:pPr>
        <w:spacing w:after="120"/>
        <w:rPr>
          <w:szCs w:val="22"/>
        </w:rPr>
      </w:pPr>
      <w:r w:rsidRPr="0042750D">
        <w:rPr>
          <w:szCs w:val="22"/>
        </w:rPr>
        <w:t>2</w:t>
      </w:r>
      <w:r w:rsidRPr="0042750D">
        <w:rPr>
          <w:szCs w:val="22"/>
        </w:rPr>
        <w:tab/>
        <w:t>to explore, together with the Sector advisory groups, as appropriate, the issue of harmonizing the procedures governing registration for conferences, assemblies and meetings of the Union</w:t>
      </w:r>
      <w:r w:rsidR="00F0236A" w:rsidRPr="0042750D">
        <w:rPr>
          <w:szCs w:val="22"/>
        </w:rPr>
        <w:t>.</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F0236A" w:rsidRPr="0042750D" w14:paraId="1E12D238" w14:textId="77777777" w:rsidTr="00043514">
        <w:trPr>
          <w:tblHeader/>
          <w:jc w:val="center"/>
        </w:trPr>
        <w:tc>
          <w:tcPr>
            <w:tcW w:w="927" w:type="dxa"/>
            <w:tcBorders>
              <w:top w:val="single" w:sz="12" w:space="0" w:color="auto"/>
              <w:bottom w:val="single" w:sz="12" w:space="0" w:color="auto"/>
            </w:tcBorders>
            <w:shd w:val="clear" w:color="auto" w:fill="auto"/>
            <w:vAlign w:val="center"/>
          </w:tcPr>
          <w:p w14:paraId="2C834223" w14:textId="77777777" w:rsidR="00F0236A" w:rsidRPr="0042750D" w:rsidRDefault="00F0236A" w:rsidP="00DF36E1">
            <w:pPr>
              <w:pStyle w:val="Tablehead"/>
              <w:rPr>
                <w:sz w:val="24"/>
                <w:szCs w:val="24"/>
              </w:rPr>
            </w:pPr>
            <w:r w:rsidRPr="0042750D">
              <w:rPr>
                <w:sz w:val="24"/>
                <w:szCs w:val="24"/>
              </w:rPr>
              <w:t>Action Item</w:t>
            </w:r>
          </w:p>
        </w:tc>
        <w:tc>
          <w:tcPr>
            <w:tcW w:w="4953" w:type="dxa"/>
            <w:tcBorders>
              <w:top w:val="single" w:sz="12" w:space="0" w:color="auto"/>
              <w:bottom w:val="single" w:sz="12" w:space="0" w:color="auto"/>
            </w:tcBorders>
            <w:shd w:val="clear" w:color="auto" w:fill="auto"/>
            <w:vAlign w:val="center"/>
            <w:hideMark/>
          </w:tcPr>
          <w:p w14:paraId="428CF87B" w14:textId="77777777" w:rsidR="00F0236A" w:rsidRPr="0042750D" w:rsidRDefault="00F0236A" w:rsidP="00DF36E1">
            <w:pPr>
              <w:pStyle w:val="Tablehead"/>
              <w:rPr>
                <w:sz w:val="24"/>
                <w:szCs w:val="24"/>
              </w:rPr>
            </w:pPr>
            <w:r w:rsidRPr="0042750D">
              <w:rPr>
                <w:sz w:val="24"/>
                <w:szCs w:val="24"/>
              </w:rPr>
              <w:t>Action</w:t>
            </w:r>
          </w:p>
        </w:tc>
        <w:tc>
          <w:tcPr>
            <w:tcW w:w="1216" w:type="dxa"/>
            <w:tcBorders>
              <w:top w:val="single" w:sz="12" w:space="0" w:color="auto"/>
              <w:bottom w:val="single" w:sz="12" w:space="0" w:color="auto"/>
            </w:tcBorders>
            <w:shd w:val="clear" w:color="auto" w:fill="auto"/>
            <w:vAlign w:val="center"/>
            <w:hideMark/>
          </w:tcPr>
          <w:p w14:paraId="35255044" w14:textId="77777777" w:rsidR="00F0236A" w:rsidRPr="0042750D" w:rsidRDefault="00F0236A" w:rsidP="00DF36E1">
            <w:pPr>
              <w:pStyle w:val="Tablehead"/>
              <w:rPr>
                <w:sz w:val="24"/>
                <w:szCs w:val="24"/>
              </w:rPr>
            </w:pPr>
            <w:r w:rsidRPr="0042750D">
              <w:rPr>
                <w:sz w:val="24"/>
                <w:szCs w:val="24"/>
              </w:rPr>
              <w:t>Milestone</w:t>
            </w:r>
          </w:p>
        </w:tc>
        <w:tc>
          <w:tcPr>
            <w:tcW w:w="1331" w:type="dxa"/>
            <w:tcBorders>
              <w:top w:val="single" w:sz="12" w:space="0" w:color="auto"/>
              <w:bottom w:val="single" w:sz="12" w:space="0" w:color="auto"/>
            </w:tcBorders>
            <w:shd w:val="clear" w:color="auto" w:fill="auto"/>
          </w:tcPr>
          <w:p w14:paraId="7385026A" w14:textId="77777777" w:rsidR="00F0236A" w:rsidRPr="0042750D" w:rsidRDefault="00F0236A" w:rsidP="00DF36E1">
            <w:pPr>
              <w:pStyle w:val="Tablehead"/>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BA81CF"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4D9FB2F1" w14:textId="77777777" w:rsidTr="0062787D">
        <w:trPr>
          <w:cantSplit/>
          <w:jc w:val="center"/>
        </w:trPr>
        <w:tc>
          <w:tcPr>
            <w:tcW w:w="927" w:type="dxa"/>
            <w:vMerge w:val="restart"/>
            <w:tcBorders>
              <w:top w:val="single" w:sz="12" w:space="0" w:color="auto"/>
            </w:tcBorders>
            <w:shd w:val="clear" w:color="auto" w:fill="auto"/>
          </w:tcPr>
          <w:p w14:paraId="53177706" w14:textId="19AAD140" w:rsidR="00F0236A" w:rsidRPr="0042750D" w:rsidRDefault="00614A3C" w:rsidP="00614A3C">
            <w:pPr>
              <w:pStyle w:val="Tabletext"/>
              <w:rPr>
                <w:b/>
                <w:bCs/>
                <w:sz w:val="24"/>
                <w:szCs w:val="24"/>
              </w:rPr>
            </w:pPr>
            <w:r w:rsidRPr="0042750D">
              <w:rPr>
                <w:b/>
                <w:bCs/>
                <w:sz w:val="24"/>
                <w:szCs w:val="24"/>
              </w:rPr>
              <w:t>165</w:t>
            </w:r>
            <w:r w:rsidR="00F0236A" w:rsidRPr="0042750D">
              <w:rPr>
                <w:b/>
                <w:bCs/>
                <w:sz w:val="24"/>
                <w:szCs w:val="24"/>
              </w:rPr>
              <w:t>-01</w:t>
            </w:r>
          </w:p>
        </w:tc>
        <w:tc>
          <w:tcPr>
            <w:tcW w:w="4953" w:type="dxa"/>
            <w:tcBorders>
              <w:top w:val="single" w:sz="12" w:space="0" w:color="auto"/>
              <w:bottom w:val="single" w:sz="4" w:space="0" w:color="auto"/>
            </w:tcBorders>
            <w:shd w:val="clear" w:color="auto" w:fill="auto"/>
            <w:hideMark/>
          </w:tcPr>
          <w:p w14:paraId="463E025D" w14:textId="04848B97" w:rsidR="00F0236A" w:rsidRPr="0042750D" w:rsidRDefault="00614A3C" w:rsidP="00570D2A">
            <w:pPr>
              <w:pStyle w:val="Tabletext"/>
              <w:rPr>
                <w:b/>
                <w:bCs/>
                <w:sz w:val="24"/>
                <w:szCs w:val="24"/>
              </w:rPr>
            </w:pPr>
            <w:r w:rsidRPr="0042750D">
              <w:rPr>
                <w:b/>
                <w:bCs/>
                <w:sz w:val="24"/>
                <w:szCs w:val="24"/>
              </w:rPr>
              <w:t xml:space="preserve">TSB to follow firm submission deadline for TSB documents of no later than 35 calendar days before the opening of conferences </w:t>
            </w:r>
            <w:r w:rsidR="00570D2A" w:rsidRPr="0042750D">
              <w:rPr>
                <w:b/>
                <w:bCs/>
                <w:sz w:val="24"/>
                <w:szCs w:val="24"/>
              </w:rPr>
              <w:t xml:space="preserve">of the Union </w:t>
            </w:r>
            <w:r w:rsidRPr="0042750D">
              <w:rPr>
                <w:b/>
                <w:bCs/>
                <w:sz w:val="24"/>
                <w:szCs w:val="24"/>
              </w:rPr>
              <w:t xml:space="preserve">and </w:t>
            </w:r>
            <w:r w:rsidR="00570D2A" w:rsidRPr="0042750D">
              <w:rPr>
                <w:b/>
                <w:bCs/>
                <w:sz w:val="24"/>
                <w:szCs w:val="24"/>
              </w:rPr>
              <w:t>WTSAs</w:t>
            </w:r>
            <w:r w:rsidR="0062787D" w:rsidRPr="0042750D">
              <w:rPr>
                <w:b/>
                <w:bCs/>
                <w:sz w:val="24"/>
                <w:szCs w:val="24"/>
              </w:rPr>
              <w:t xml:space="preserve"> (</w:t>
            </w:r>
            <w:r w:rsidR="0062787D" w:rsidRPr="0042750D">
              <w:rPr>
                <w:b/>
                <w:bCs/>
                <w:i/>
                <w:sz w:val="24"/>
                <w:szCs w:val="24"/>
              </w:rPr>
              <w:t>resolves 1</w:t>
            </w:r>
            <w:r w:rsidR="0062787D" w:rsidRPr="0042750D">
              <w:rPr>
                <w:b/>
                <w:bCs/>
                <w:sz w:val="24"/>
                <w:szCs w:val="24"/>
              </w:rPr>
              <w:t>)</w:t>
            </w:r>
            <w:r w:rsidRPr="0042750D">
              <w:rPr>
                <w:b/>
                <w:bCs/>
                <w:sz w:val="24"/>
                <w:szCs w:val="24"/>
              </w:rPr>
              <w:t>.</w:t>
            </w:r>
          </w:p>
        </w:tc>
        <w:tc>
          <w:tcPr>
            <w:tcW w:w="1216" w:type="dxa"/>
            <w:tcBorders>
              <w:top w:val="single" w:sz="12" w:space="0" w:color="auto"/>
              <w:bottom w:val="single" w:sz="4" w:space="0" w:color="auto"/>
            </w:tcBorders>
            <w:shd w:val="clear" w:color="auto" w:fill="auto"/>
            <w:vAlign w:val="center"/>
          </w:tcPr>
          <w:p w14:paraId="53ED73D0" w14:textId="77777777" w:rsidR="00F0236A" w:rsidRPr="0042750D" w:rsidRDefault="00F0236A" w:rsidP="00DF36E1">
            <w:pPr>
              <w:pStyle w:val="Tabletext"/>
              <w:jc w:val="center"/>
              <w:rPr>
                <w:b/>
                <w:bCs/>
                <w:sz w:val="24"/>
                <w:szCs w:val="24"/>
              </w:rPr>
            </w:pPr>
            <w:r w:rsidRPr="0042750D">
              <w:rPr>
                <w:b/>
                <w:bCs/>
                <w:sz w:val="24"/>
                <w:szCs w:val="24"/>
              </w:rPr>
              <w:t>Ongoing</w:t>
            </w:r>
          </w:p>
        </w:tc>
        <w:tc>
          <w:tcPr>
            <w:tcW w:w="1331" w:type="dxa"/>
            <w:tcBorders>
              <w:top w:val="single" w:sz="12" w:space="0" w:color="auto"/>
              <w:bottom w:val="single" w:sz="4" w:space="0" w:color="auto"/>
            </w:tcBorders>
            <w:shd w:val="clear" w:color="auto" w:fill="auto"/>
            <w:vAlign w:val="center"/>
          </w:tcPr>
          <w:p w14:paraId="5780DE15" w14:textId="6010CD8C" w:rsidR="00F0236A" w:rsidRPr="0042750D" w:rsidRDefault="00575372" w:rsidP="00DF36E1">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05D4BE93" w14:textId="77777777" w:rsidR="00F0236A" w:rsidRPr="0042750D" w:rsidRDefault="00F0236A" w:rsidP="00DF36E1">
            <w:pPr>
              <w:pStyle w:val="Tabletext"/>
              <w:jc w:val="center"/>
              <w:rPr>
                <w:b/>
                <w:bCs/>
                <w:sz w:val="24"/>
                <w:szCs w:val="24"/>
              </w:rPr>
            </w:pPr>
          </w:p>
        </w:tc>
      </w:tr>
      <w:tr w:rsidR="00F0236A" w:rsidRPr="0042750D" w14:paraId="1A1EE9C3" w14:textId="77777777" w:rsidTr="0085771B">
        <w:trPr>
          <w:cantSplit/>
          <w:jc w:val="center"/>
        </w:trPr>
        <w:tc>
          <w:tcPr>
            <w:tcW w:w="927" w:type="dxa"/>
            <w:vMerge/>
            <w:shd w:val="clear" w:color="auto" w:fill="auto"/>
          </w:tcPr>
          <w:p w14:paraId="02A0A178" w14:textId="77777777" w:rsidR="00F0236A" w:rsidRPr="0042750D" w:rsidRDefault="00F0236A" w:rsidP="00DF36E1">
            <w:pPr>
              <w:pStyle w:val="Tabletext"/>
              <w:rPr>
                <w:sz w:val="24"/>
                <w:szCs w:val="24"/>
              </w:rPr>
            </w:pPr>
          </w:p>
        </w:tc>
        <w:tc>
          <w:tcPr>
            <w:tcW w:w="8836" w:type="dxa"/>
            <w:gridSpan w:val="4"/>
            <w:tcBorders>
              <w:top w:val="single" w:sz="4" w:space="0" w:color="auto"/>
            </w:tcBorders>
            <w:shd w:val="clear" w:color="auto" w:fill="auto"/>
          </w:tcPr>
          <w:p w14:paraId="48FC8248" w14:textId="3F18CDA3" w:rsidR="00F0236A" w:rsidRPr="0042750D" w:rsidRDefault="00575372" w:rsidP="00FF4331">
            <w:pPr>
              <w:pStyle w:val="Tabletext"/>
              <w:rPr>
                <w:szCs w:val="22"/>
              </w:rPr>
            </w:pPr>
            <w:r w:rsidRPr="0042750D">
              <w:rPr>
                <w:szCs w:val="22"/>
              </w:rPr>
              <w:t>TSB is aware of this deadline.</w:t>
            </w:r>
          </w:p>
        </w:tc>
      </w:tr>
      <w:tr w:rsidR="00F0236A" w:rsidRPr="0042750D" w14:paraId="526ABE66" w14:textId="77777777" w:rsidTr="0062787D">
        <w:trPr>
          <w:cantSplit/>
          <w:jc w:val="center"/>
        </w:trPr>
        <w:tc>
          <w:tcPr>
            <w:tcW w:w="927" w:type="dxa"/>
            <w:vMerge w:val="restart"/>
            <w:tcBorders>
              <w:top w:val="single" w:sz="12" w:space="0" w:color="auto"/>
            </w:tcBorders>
            <w:shd w:val="clear" w:color="auto" w:fill="auto"/>
          </w:tcPr>
          <w:p w14:paraId="2EFA9D01" w14:textId="790A01F5" w:rsidR="00F0236A" w:rsidRPr="0042750D" w:rsidRDefault="00614A3C" w:rsidP="00614A3C">
            <w:pPr>
              <w:pStyle w:val="Tabletext"/>
              <w:keepNext/>
              <w:keepLines/>
              <w:rPr>
                <w:b/>
                <w:bCs/>
                <w:sz w:val="24"/>
                <w:szCs w:val="24"/>
              </w:rPr>
            </w:pPr>
            <w:r w:rsidRPr="0042750D">
              <w:rPr>
                <w:b/>
                <w:bCs/>
                <w:sz w:val="24"/>
                <w:szCs w:val="24"/>
              </w:rPr>
              <w:t>165-02</w:t>
            </w:r>
          </w:p>
        </w:tc>
        <w:tc>
          <w:tcPr>
            <w:tcW w:w="4953" w:type="dxa"/>
            <w:tcBorders>
              <w:top w:val="single" w:sz="12" w:space="0" w:color="auto"/>
            </w:tcBorders>
            <w:shd w:val="clear" w:color="auto" w:fill="auto"/>
            <w:vAlign w:val="center"/>
            <w:hideMark/>
          </w:tcPr>
          <w:p w14:paraId="5F660DEC" w14:textId="4EB2F119" w:rsidR="00F0236A" w:rsidRPr="0042750D" w:rsidRDefault="00614A3C" w:rsidP="00DF36E1">
            <w:pPr>
              <w:pStyle w:val="Tabletext"/>
              <w:rPr>
                <w:b/>
                <w:bCs/>
                <w:sz w:val="24"/>
                <w:szCs w:val="24"/>
              </w:rPr>
            </w:pPr>
            <w:r w:rsidRPr="0042750D">
              <w:rPr>
                <w:b/>
                <w:bCs/>
                <w:sz w:val="24"/>
                <w:szCs w:val="24"/>
              </w:rPr>
              <w:t>TSBDir to explore, together with TSAG, as appropriate, the issue of harmonizing the procedures governing registration for conferences, assemblies and meetings of the Union</w:t>
            </w:r>
            <w:r w:rsidR="0062787D" w:rsidRPr="0042750D">
              <w:rPr>
                <w:b/>
                <w:bCs/>
                <w:sz w:val="24"/>
                <w:szCs w:val="24"/>
              </w:rPr>
              <w:t xml:space="preserve"> (</w:t>
            </w:r>
            <w:r w:rsidR="0062787D" w:rsidRPr="0042750D">
              <w:rPr>
                <w:b/>
                <w:bCs/>
                <w:i/>
                <w:sz w:val="24"/>
                <w:szCs w:val="24"/>
              </w:rPr>
              <w:t>instructs 2</w:t>
            </w:r>
            <w:r w:rsidR="0062787D" w:rsidRPr="0042750D">
              <w:rPr>
                <w:b/>
                <w:bCs/>
                <w:sz w:val="24"/>
                <w:szCs w:val="24"/>
              </w:rPr>
              <w:t>)</w:t>
            </w:r>
            <w:r w:rsidRPr="0042750D">
              <w:rPr>
                <w:b/>
                <w:bCs/>
                <w:sz w:val="24"/>
                <w:szCs w:val="24"/>
              </w:rPr>
              <w:t>.</w:t>
            </w:r>
          </w:p>
        </w:tc>
        <w:tc>
          <w:tcPr>
            <w:tcW w:w="1216" w:type="dxa"/>
            <w:tcBorders>
              <w:top w:val="single" w:sz="12" w:space="0" w:color="auto"/>
            </w:tcBorders>
            <w:shd w:val="clear" w:color="auto" w:fill="auto"/>
            <w:vAlign w:val="center"/>
            <w:hideMark/>
          </w:tcPr>
          <w:p w14:paraId="6930F96A" w14:textId="70956F4D" w:rsidR="00F0236A" w:rsidRPr="0042750D" w:rsidRDefault="00614A3C" w:rsidP="00614A3C">
            <w:pPr>
              <w:pStyle w:val="Tabletext"/>
              <w:jc w:val="center"/>
              <w:rPr>
                <w:b/>
                <w:bCs/>
                <w:sz w:val="24"/>
                <w:szCs w:val="24"/>
              </w:rPr>
            </w:pPr>
            <w:r w:rsidRPr="0042750D">
              <w:rPr>
                <w:b/>
                <w:bCs/>
                <w:sz w:val="24"/>
                <w:szCs w:val="24"/>
              </w:rPr>
              <w:t>Ongoing</w:t>
            </w:r>
          </w:p>
        </w:tc>
        <w:tc>
          <w:tcPr>
            <w:tcW w:w="1331" w:type="dxa"/>
            <w:tcBorders>
              <w:top w:val="single" w:sz="12" w:space="0" w:color="auto"/>
            </w:tcBorders>
            <w:shd w:val="clear" w:color="auto" w:fill="auto"/>
            <w:vAlign w:val="center"/>
          </w:tcPr>
          <w:p w14:paraId="16DD39D1" w14:textId="0BF04D6C" w:rsidR="00F0236A" w:rsidRPr="0042750D"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FFFC664" w14:textId="77777777" w:rsidR="00F0236A" w:rsidRPr="0042750D" w:rsidRDefault="00F0236A" w:rsidP="00DF36E1">
            <w:pPr>
              <w:pStyle w:val="Tabletext"/>
              <w:jc w:val="center"/>
              <w:rPr>
                <w:b/>
                <w:bCs/>
                <w:sz w:val="24"/>
                <w:szCs w:val="24"/>
              </w:rPr>
            </w:pPr>
          </w:p>
        </w:tc>
      </w:tr>
      <w:tr w:rsidR="00F0236A" w:rsidRPr="0042750D" w14:paraId="110188D5" w14:textId="77777777" w:rsidTr="00DF36E1">
        <w:trPr>
          <w:cantSplit/>
          <w:jc w:val="center"/>
        </w:trPr>
        <w:tc>
          <w:tcPr>
            <w:tcW w:w="927" w:type="dxa"/>
            <w:vMerge/>
            <w:shd w:val="clear" w:color="auto" w:fill="auto"/>
            <w:vAlign w:val="center"/>
          </w:tcPr>
          <w:p w14:paraId="64172140" w14:textId="77777777" w:rsidR="00F0236A" w:rsidRPr="0042750D" w:rsidRDefault="00F0236A" w:rsidP="00DF36E1">
            <w:pPr>
              <w:pStyle w:val="Tabletext"/>
              <w:rPr>
                <w:sz w:val="24"/>
                <w:szCs w:val="24"/>
              </w:rPr>
            </w:pPr>
          </w:p>
        </w:tc>
        <w:tc>
          <w:tcPr>
            <w:tcW w:w="8836" w:type="dxa"/>
            <w:gridSpan w:val="4"/>
            <w:shd w:val="clear" w:color="auto" w:fill="auto"/>
          </w:tcPr>
          <w:p w14:paraId="6663780D" w14:textId="1CD6E740" w:rsidR="00F0236A" w:rsidRPr="0042750D" w:rsidRDefault="00F0236A" w:rsidP="002D0FEC">
            <w:pPr>
              <w:pStyle w:val="Tabletext"/>
              <w:rPr>
                <w:szCs w:val="22"/>
              </w:rPr>
            </w:pPr>
          </w:p>
        </w:tc>
      </w:tr>
    </w:tbl>
    <w:bookmarkStart w:id="173" w:name="Item62_01"/>
    <w:bookmarkStart w:id="174" w:name="Item62_02"/>
    <w:bookmarkStart w:id="175" w:name="Item62_03"/>
    <w:bookmarkEnd w:id="173"/>
    <w:bookmarkEnd w:id="174"/>
    <w:bookmarkEnd w:id="175"/>
    <w:p w14:paraId="02EAFB65"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20BC548E" w14:textId="6655915B" w:rsidR="00F0236A" w:rsidRPr="0042750D" w:rsidRDefault="007F6958" w:rsidP="00FC6DC4">
      <w:pPr>
        <w:pStyle w:val="Heading1"/>
        <w:keepNext/>
        <w:keepLines/>
        <w:rPr>
          <w:sz w:val="24"/>
          <w:szCs w:val="24"/>
          <w:lang w:val="en-GB"/>
        </w:rPr>
      </w:pPr>
      <w:bookmarkStart w:id="176" w:name="Resolution_64"/>
      <w:bookmarkStart w:id="177" w:name="_Resolution_64_-"/>
      <w:bookmarkStart w:id="178" w:name="_Toc30749170"/>
      <w:bookmarkEnd w:id="176"/>
      <w:bookmarkEnd w:id="177"/>
      <w:r w:rsidRPr="0042750D">
        <w:rPr>
          <w:sz w:val="24"/>
          <w:szCs w:val="24"/>
          <w:lang w:val="en-GB"/>
        </w:rPr>
        <w:t>RESOLUTION 167 (REV. DUBAI, 2018) – Strengthening and developing ITU capabilities for electronic meetings and means to advance the work of the Union</w:t>
      </w:r>
      <w:bookmarkEnd w:id="178"/>
    </w:p>
    <w:p w14:paraId="0C2D72B6" w14:textId="77777777" w:rsidR="00B51A65" w:rsidRPr="0042750D" w:rsidRDefault="00B51A65" w:rsidP="00FC6DC4">
      <w:pPr>
        <w:pStyle w:val="Call"/>
        <w:rPr>
          <w:szCs w:val="22"/>
          <w:lang w:val="en-GB"/>
        </w:rPr>
      </w:pPr>
      <w:r w:rsidRPr="0042750D">
        <w:rPr>
          <w:szCs w:val="22"/>
          <w:lang w:val="en-GB"/>
        </w:rPr>
        <w:t>resolves</w:t>
      </w:r>
    </w:p>
    <w:p w14:paraId="46966431" w14:textId="77777777" w:rsidR="00B51A65" w:rsidRPr="0042750D" w:rsidRDefault="00B51A65" w:rsidP="00FC6DC4">
      <w:pPr>
        <w:keepNext/>
        <w:keepLines/>
        <w:rPr>
          <w:szCs w:val="22"/>
        </w:rPr>
      </w:pPr>
      <w:r w:rsidRPr="0042750D">
        <w:rPr>
          <w:szCs w:val="22"/>
        </w:rPr>
        <w:t>1</w:t>
      </w:r>
      <w:r w:rsidRPr="0042750D">
        <w:rPr>
          <w:szCs w:val="22"/>
        </w:rPr>
        <w:tab/>
        <w:t>that ITU should continue to develop its facilities and capabilities for remote participation by electronic means in appropriate meetings of the Union, including working groups created by the Council;</w:t>
      </w:r>
    </w:p>
    <w:p w14:paraId="128E8EDC" w14:textId="77777777" w:rsidR="00B51A65" w:rsidRPr="0042750D" w:rsidRDefault="00B51A65" w:rsidP="00B51A65">
      <w:pPr>
        <w:rPr>
          <w:szCs w:val="22"/>
        </w:rPr>
      </w:pPr>
      <w:r w:rsidRPr="0042750D">
        <w:rPr>
          <w:szCs w:val="22"/>
        </w:rPr>
        <w:t>2</w:t>
      </w:r>
      <w:r w:rsidRPr="0042750D">
        <w:rPr>
          <w:szCs w:val="22"/>
        </w:rPr>
        <w:tab/>
        <w:t>that ITU should continue to develop its EWM in relation to the elaboration, distribution and approval of documents and the promotion of paperless meetings;</w:t>
      </w:r>
    </w:p>
    <w:p w14:paraId="020B4659" w14:textId="77777777" w:rsidR="00B51A65" w:rsidRPr="0042750D" w:rsidRDefault="00B51A65" w:rsidP="00B51A65">
      <w:pPr>
        <w:rPr>
          <w:szCs w:val="22"/>
        </w:rPr>
      </w:pPr>
      <w:r w:rsidRPr="0042750D">
        <w:rPr>
          <w:szCs w:val="22"/>
        </w:rPr>
        <w:t>3</w:t>
      </w:r>
      <w:r w:rsidRPr="0042750D">
        <w:rPr>
          <w:szCs w:val="22"/>
        </w:rPr>
        <w:tab/>
        <w:t xml:space="preserve">that the Union continue to develop EWM, within budget availability, for the participation of persons with disabilities and persons with specific needs, which may include, </w:t>
      </w:r>
      <w:r w:rsidRPr="0042750D">
        <w:rPr>
          <w:i/>
          <w:iCs/>
          <w:szCs w:val="22"/>
        </w:rPr>
        <w:t>inter alia</w:t>
      </w:r>
      <w:r w:rsidRPr="0042750D">
        <w:rPr>
          <w:szCs w:val="22"/>
        </w:rPr>
        <w:t>, captioning for the hearing-impaired, audioconferencing for the visually impaired, and webconferencing for persons with restricted mobility, as well as solutions and facilities to address other similar challenges;</w:t>
      </w:r>
    </w:p>
    <w:p w14:paraId="05966F32" w14:textId="77777777" w:rsidR="00B51A65" w:rsidRPr="0042750D" w:rsidRDefault="00B51A65" w:rsidP="00B51A65">
      <w:pPr>
        <w:rPr>
          <w:szCs w:val="22"/>
        </w:rPr>
      </w:pPr>
      <w:r w:rsidRPr="0042750D">
        <w:rPr>
          <w:szCs w:val="22"/>
        </w:rPr>
        <w:t>4</w:t>
      </w:r>
      <w:r w:rsidRPr="0042750D">
        <w:rPr>
          <w:szCs w:val="22"/>
        </w:rPr>
        <w:tab/>
        <w:t>that the Union further study the impact of remote participation on existing rules of procedure;</w:t>
      </w:r>
    </w:p>
    <w:p w14:paraId="773480BE" w14:textId="77777777" w:rsidR="00B51A65" w:rsidRPr="0042750D" w:rsidRDefault="00B51A65" w:rsidP="00B51A65">
      <w:pPr>
        <w:rPr>
          <w:szCs w:val="22"/>
        </w:rPr>
      </w:pPr>
      <w:r w:rsidRPr="0042750D">
        <w:rPr>
          <w:szCs w:val="22"/>
        </w:rPr>
        <w:t>5</w:t>
      </w:r>
      <w:r w:rsidRPr="0042750D">
        <w:rPr>
          <w:szCs w:val="22"/>
        </w:rPr>
        <w:tab/>
        <w:t>that ITU should provide facilities and capabilities for EWM at ITU meetings, workshops and training courses, particularly to assist developing countries that have bandwidth limitations and other constraints;</w:t>
      </w:r>
    </w:p>
    <w:p w14:paraId="343BF6F8" w14:textId="77777777" w:rsidR="00B51A65" w:rsidRPr="0042750D" w:rsidRDefault="00B51A65" w:rsidP="00B51A65">
      <w:pPr>
        <w:rPr>
          <w:szCs w:val="22"/>
        </w:rPr>
      </w:pPr>
      <w:r w:rsidRPr="0042750D">
        <w:rPr>
          <w:szCs w:val="22"/>
        </w:rPr>
        <w:t>6</w:t>
      </w:r>
      <w:r w:rsidRPr="0042750D">
        <w:rPr>
          <w:szCs w:val="22"/>
        </w:rPr>
        <w:tab/>
        <w:t>to encourage e</w:t>
      </w:r>
      <w:r w:rsidRPr="0042750D">
        <w:rPr>
          <w:szCs w:val="22"/>
        </w:rPr>
        <w:noBreakHyphen/>
        <w:t>participation of developing countries in meetings, workshops and training by providing simplified facilities and guidelines, and by waiving, within the appropriations that the Council is empowered to authorize, any expenses for those participants, other than the local call or Internet connectivity charges,</w:t>
      </w:r>
    </w:p>
    <w:p w14:paraId="7B7E5FAE" w14:textId="77777777" w:rsidR="00B51A65" w:rsidRPr="0042750D" w:rsidRDefault="00B51A65" w:rsidP="00B51A65">
      <w:pPr>
        <w:pStyle w:val="Call"/>
        <w:rPr>
          <w:szCs w:val="22"/>
          <w:lang w:val="en-GB"/>
        </w:rPr>
      </w:pPr>
      <w:r w:rsidRPr="0042750D">
        <w:rPr>
          <w:szCs w:val="22"/>
          <w:lang w:val="en-GB"/>
        </w:rPr>
        <w:t>instructs the Secretary-General, in consultation and collaboration with the Directors of the three Bureaux</w:t>
      </w:r>
    </w:p>
    <w:p w14:paraId="3A29A360" w14:textId="77777777" w:rsidR="00B51A65" w:rsidRPr="0042750D" w:rsidRDefault="00B51A65" w:rsidP="00B51A65">
      <w:pPr>
        <w:rPr>
          <w:szCs w:val="22"/>
        </w:rPr>
      </w:pPr>
      <w:r w:rsidRPr="0042750D">
        <w:rPr>
          <w:szCs w:val="22"/>
        </w:rPr>
        <w:t>1</w:t>
      </w:r>
      <w:r w:rsidRPr="0042750D">
        <w:rPr>
          <w:szCs w:val="22"/>
        </w:rPr>
        <w:tab/>
        <w:t>to take action regarding the EWM measures in Annex 1 to this resolution, addressing the legal, technical, security and financial implications of increasing the EWM capability of ITU;</w:t>
      </w:r>
    </w:p>
    <w:p w14:paraId="05337730" w14:textId="77777777" w:rsidR="00B51A65" w:rsidRPr="0042750D" w:rsidRDefault="00B51A65" w:rsidP="00B51A65">
      <w:pPr>
        <w:rPr>
          <w:szCs w:val="22"/>
        </w:rPr>
      </w:pPr>
      <w:r w:rsidRPr="0042750D">
        <w:rPr>
          <w:szCs w:val="22"/>
        </w:rPr>
        <w:t>2</w:t>
      </w:r>
      <w:r w:rsidRPr="0042750D">
        <w:rPr>
          <w:szCs w:val="22"/>
        </w:rPr>
        <w:tab/>
        <w:t>to build upon trials for electronic meetings, in collaboration with the Directors of the Bureaux, such that their subsequent implementation is technologically neutral, to the greatest extent possible, and cost effective, in order to allow as broad participation as possible, satisfying the necessary security requirements;</w:t>
      </w:r>
    </w:p>
    <w:p w14:paraId="22702EC0" w14:textId="77777777" w:rsidR="00B51A65" w:rsidRPr="0042750D" w:rsidRDefault="00B51A65" w:rsidP="00B51A65">
      <w:pPr>
        <w:rPr>
          <w:szCs w:val="22"/>
        </w:rPr>
      </w:pPr>
      <w:r w:rsidRPr="0042750D">
        <w:rPr>
          <w:szCs w:val="22"/>
        </w:rPr>
        <w:t>3</w:t>
      </w:r>
      <w:r w:rsidRPr="0042750D">
        <w:rPr>
          <w:szCs w:val="22"/>
        </w:rPr>
        <w:tab/>
        <w:t>to identify and review the costs and benefits of the items of the Action Plan on a regular basis;</w:t>
      </w:r>
    </w:p>
    <w:p w14:paraId="44BE4C13" w14:textId="77777777" w:rsidR="00B51A65" w:rsidRPr="0042750D" w:rsidRDefault="00B51A65" w:rsidP="00B51A65">
      <w:pPr>
        <w:rPr>
          <w:szCs w:val="22"/>
        </w:rPr>
      </w:pPr>
      <w:r w:rsidRPr="0042750D">
        <w:rPr>
          <w:szCs w:val="22"/>
        </w:rPr>
        <w:t>4</w:t>
      </w:r>
      <w:r w:rsidRPr="0042750D">
        <w:rPr>
          <w:szCs w:val="22"/>
        </w:rPr>
        <w:tab/>
        <w:t>to involve the advisory groups in the evaluation of the use of electronic meetings and to develop further procedures and rules associated with electronic meetings, including the legal aspects;</w:t>
      </w:r>
    </w:p>
    <w:p w14:paraId="537943F3" w14:textId="77777777" w:rsidR="00B51A65" w:rsidRPr="0042750D" w:rsidRDefault="00B51A65" w:rsidP="00B51A65">
      <w:pPr>
        <w:rPr>
          <w:szCs w:val="22"/>
        </w:rPr>
      </w:pPr>
      <w:r w:rsidRPr="0042750D">
        <w:rPr>
          <w:szCs w:val="22"/>
        </w:rPr>
        <w:t>5</w:t>
      </w:r>
      <w:r w:rsidRPr="0042750D">
        <w:rPr>
          <w:szCs w:val="22"/>
        </w:rPr>
        <w:tab/>
        <w:t>to report to the Council on an ongoing basis on the developments made with regard to electronic meetings, in order to assess progress in their use within ITU;</w:t>
      </w:r>
    </w:p>
    <w:p w14:paraId="6E30B351" w14:textId="77777777" w:rsidR="00B51A65" w:rsidRPr="0042750D" w:rsidRDefault="00B51A65" w:rsidP="00B51A65">
      <w:pPr>
        <w:rPr>
          <w:szCs w:val="22"/>
        </w:rPr>
      </w:pPr>
      <w:r w:rsidRPr="0042750D">
        <w:rPr>
          <w:szCs w:val="22"/>
        </w:rPr>
        <w:t>6</w:t>
      </w:r>
      <w:r w:rsidRPr="0042750D">
        <w:rPr>
          <w:szCs w:val="22"/>
        </w:rPr>
        <w:tab/>
        <w:t>to report to the Council on the feasibility of extending the use of languages in electronic meetings,</w:t>
      </w:r>
    </w:p>
    <w:p w14:paraId="32622A44" w14:textId="77777777" w:rsidR="00B51A65" w:rsidRPr="0042750D" w:rsidRDefault="00B51A65" w:rsidP="00B51A65">
      <w:pPr>
        <w:pStyle w:val="Call"/>
        <w:rPr>
          <w:szCs w:val="22"/>
          <w:lang w:val="en-GB"/>
        </w:rPr>
      </w:pPr>
      <w:r w:rsidRPr="0042750D">
        <w:rPr>
          <w:szCs w:val="22"/>
          <w:lang w:val="en-GB"/>
        </w:rPr>
        <w:t>instructs the Directors of the Bureaux</w:t>
      </w:r>
    </w:p>
    <w:p w14:paraId="4F4419D6" w14:textId="7E66F6B1" w:rsidR="00F0236A" w:rsidRPr="0042750D" w:rsidRDefault="00B51A65" w:rsidP="00B51A65">
      <w:pPr>
        <w:spacing w:after="120"/>
        <w:rPr>
          <w:szCs w:val="22"/>
        </w:rPr>
      </w:pPr>
      <w:r w:rsidRPr="0042750D">
        <w:rPr>
          <w:szCs w:val="22"/>
        </w:rPr>
        <w:t>to continue taking action, in consultation with the Sector advisory groups, in order to provide appropriate electronic participation or observation facilities in Sector meetings for delegates unable to attend face</w:t>
      </w:r>
      <w:r w:rsidRPr="0042750D">
        <w:rPr>
          <w:szCs w:val="22"/>
        </w:rPr>
        <w:noBreakHyphen/>
        <w:t>to-face meetings</w:t>
      </w:r>
      <w:r w:rsidR="00F0236A" w:rsidRPr="0042750D">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4"/>
        <w:gridCol w:w="1897"/>
        <w:gridCol w:w="1162"/>
        <w:gridCol w:w="1338"/>
      </w:tblGrid>
      <w:tr w:rsidR="00F0236A" w:rsidRPr="0042750D" w14:paraId="17BA23CB" w14:textId="77777777" w:rsidTr="0039389D">
        <w:trPr>
          <w:tblHeader/>
          <w:jc w:val="center"/>
        </w:trPr>
        <w:tc>
          <w:tcPr>
            <w:tcW w:w="911" w:type="dxa"/>
            <w:tcBorders>
              <w:top w:val="single" w:sz="12" w:space="0" w:color="auto"/>
              <w:bottom w:val="single" w:sz="12" w:space="0" w:color="auto"/>
            </w:tcBorders>
            <w:shd w:val="clear" w:color="auto" w:fill="auto"/>
            <w:vAlign w:val="center"/>
          </w:tcPr>
          <w:p w14:paraId="02A0102C" w14:textId="77777777" w:rsidR="00F0236A" w:rsidRPr="0042750D" w:rsidRDefault="00F0236A" w:rsidP="00FC6DC4">
            <w:pPr>
              <w:pStyle w:val="Tablehead"/>
              <w:keepNext w:val="0"/>
              <w:pageBreakBefore/>
              <w:rPr>
                <w:sz w:val="24"/>
                <w:szCs w:val="24"/>
              </w:rPr>
            </w:pPr>
            <w:r w:rsidRPr="0042750D">
              <w:rPr>
                <w:sz w:val="24"/>
                <w:szCs w:val="24"/>
              </w:rPr>
              <w:t>Action Item</w:t>
            </w:r>
          </w:p>
        </w:tc>
        <w:tc>
          <w:tcPr>
            <w:tcW w:w="4524" w:type="dxa"/>
            <w:tcBorders>
              <w:top w:val="single" w:sz="12" w:space="0" w:color="auto"/>
              <w:bottom w:val="single" w:sz="12" w:space="0" w:color="auto"/>
            </w:tcBorders>
            <w:shd w:val="clear" w:color="auto" w:fill="auto"/>
            <w:vAlign w:val="center"/>
            <w:hideMark/>
          </w:tcPr>
          <w:p w14:paraId="51990AE6" w14:textId="77777777" w:rsidR="00F0236A" w:rsidRPr="0042750D" w:rsidRDefault="00F0236A" w:rsidP="00DF36E1">
            <w:pPr>
              <w:pStyle w:val="Tablehead"/>
              <w:rPr>
                <w:sz w:val="24"/>
                <w:szCs w:val="24"/>
              </w:rPr>
            </w:pPr>
            <w:r w:rsidRPr="0042750D">
              <w:rPr>
                <w:sz w:val="24"/>
                <w:szCs w:val="24"/>
              </w:rPr>
              <w:t>Action</w:t>
            </w:r>
          </w:p>
        </w:tc>
        <w:tc>
          <w:tcPr>
            <w:tcW w:w="1897" w:type="dxa"/>
            <w:tcBorders>
              <w:top w:val="single" w:sz="12" w:space="0" w:color="auto"/>
              <w:bottom w:val="single" w:sz="12" w:space="0" w:color="auto"/>
            </w:tcBorders>
            <w:shd w:val="clear" w:color="auto" w:fill="auto"/>
            <w:vAlign w:val="center"/>
            <w:hideMark/>
          </w:tcPr>
          <w:p w14:paraId="77440C1F" w14:textId="77777777" w:rsidR="00F0236A" w:rsidRPr="0042750D" w:rsidRDefault="00F0236A" w:rsidP="00DF36E1">
            <w:pPr>
              <w:pStyle w:val="Tablehead"/>
              <w:rPr>
                <w:sz w:val="24"/>
                <w:szCs w:val="24"/>
              </w:rPr>
            </w:pPr>
            <w:r w:rsidRPr="0042750D">
              <w:rPr>
                <w:sz w:val="24"/>
                <w:szCs w:val="24"/>
              </w:rPr>
              <w:t>Milestone</w:t>
            </w:r>
          </w:p>
        </w:tc>
        <w:tc>
          <w:tcPr>
            <w:tcW w:w="1162" w:type="dxa"/>
            <w:tcBorders>
              <w:top w:val="single" w:sz="12" w:space="0" w:color="auto"/>
              <w:bottom w:val="single" w:sz="12" w:space="0" w:color="auto"/>
            </w:tcBorders>
            <w:shd w:val="clear" w:color="auto" w:fill="auto"/>
          </w:tcPr>
          <w:p w14:paraId="0891E7B1"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0723077"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7CB9BA79" w14:textId="77777777" w:rsidTr="00424CB0">
        <w:trPr>
          <w:jc w:val="center"/>
        </w:trPr>
        <w:tc>
          <w:tcPr>
            <w:tcW w:w="911" w:type="dxa"/>
            <w:vMerge w:val="restart"/>
            <w:shd w:val="clear" w:color="auto" w:fill="auto"/>
          </w:tcPr>
          <w:p w14:paraId="5AFBDF10" w14:textId="3FF77168" w:rsidR="00F0236A" w:rsidRPr="0042750D" w:rsidRDefault="00B51A65" w:rsidP="00B51A65">
            <w:pPr>
              <w:pStyle w:val="Tabletext"/>
              <w:rPr>
                <w:rStyle w:val="Hyperlink"/>
                <w:b/>
                <w:bCs/>
                <w:sz w:val="24"/>
                <w:szCs w:val="24"/>
              </w:rPr>
            </w:pPr>
            <w:r w:rsidRPr="0042750D">
              <w:rPr>
                <w:b/>
                <w:bCs/>
                <w:sz w:val="24"/>
                <w:szCs w:val="24"/>
              </w:rPr>
              <w:t>167</w:t>
            </w:r>
            <w:r w:rsidR="00F0236A" w:rsidRPr="0042750D">
              <w:rPr>
                <w:b/>
                <w:bCs/>
                <w:sz w:val="24"/>
                <w:szCs w:val="24"/>
              </w:rPr>
              <w:t>-0</w:t>
            </w:r>
            <w:r w:rsidRPr="0042750D">
              <w:rPr>
                <w:b/>
                <w:bCs/>
                <w:sz w:val="24"/>
                <w:szCs w:val="24"/>
              </w:rPr>
              <w:t>1</w:t>
            </w:r>
          </w:p>
        </w:tc>
        <w:tc>
          <w:tcPr>
            <w:tcW w:w="4524" w:type="dxa"/>
            <w:shd w:val="clear" w:color="auto" w:fill="auto"/>
          </w:tcPr>
          <w:p w14:paraId="15290834" w14:textId="1A286E28" w:rsidR="00424CB0" w:rsidRPr="0042750D" w:rsidRDefault="00C4457E" w:rsidP="00C4457E">
            <w:pPr>
              <w:pStyle w:val="Tabletext"/>
              <w:rPr>
                <w:b/>
                <w:bCs/>
                <w:sz w:val="24"/>
                <w:szCs w:val="24"/>
              </w:rPr>
            </w:pPr>
            <w:r w:rsidRPr="0042750D">
              <w:rPr>
                <w:b/>
                <w:bCs/>
                <w:sz w:val="24"/>
                <w:szCs w:val="24"/>
              </w:rPr>
              <w:t>ITU-T should continue to develop its EWM in relation to the elaboration, distribution and approval of documents and the promotion of paperless meetings; including for the participation of persons with disabilities and persons with specific needs</w:t>
            </w:r>
            <w:r w:rsidR="0062787D" w:rsidRPr="0042750D">
              <w:rPr>
                <w:b/>
                <w:bCs/>
                <w:sz w:val="24"/>
                <w:szCs w:val="24"/>
              </w:rPr>
              <w:t xml:space="preserve"> (</w:t>
            </w:r>
            <w:r w:rsidR="0062787D" w:rsidRPr="0042750D">
              <w:rPr>
                <w:b/>
                <w:bCs/>
                <w:i/>
                <w:sz w:val="24"/>
                <w:szCs w:val="24"/>
              </w:rPr>
              <w:t>resolves 1</w:t>
            </w:r>
            <w:r w:rsidR="0062787D" w:rsidRPr="0042750D">
              <w:rPr>
                <w:b/>
                <w:bCs/>
                <w:sz w:val="24"/>
                <w:szCs w:val="24"/>
              </w:rPr>
              <w:t>)</w:t>
            </w:r>
            <w:r w:rsidRPr="0042750D">
              <w:rPr>
                <w:b/>
                <w:bCs/>
                <w:sz w:val="24"/>
                <w:szCs w:val="24"/>
              </w:rPr>
              <w:t>; and provide facilities and capabilities for EWM at ITU</w:t>
            </w:r>
            <w:r w:rsidR="00424CB0" w:rsidRPr="0042750D">
              <w:rPr>
                <w:b/>
                <w:bCs/>
                <w:sz w:val="24"/>
                <w:szCs w:val="24"/>
              </w:rPr>
              <w:t>-T</w:t>
            </w:r>
            <w:r w:rsidRPr="0042750D">
              <w:rPr>
                <w:b/>
                <w:bCs/>
                <w:sz w:val="24"/>
                <w:szCs w:val="24"/>
              </w:rPr>
              <w:t xml:space="preserve"> meetings, workshops and training courses, particularly to assist developing countries that have bandwidth lim</w:t>
            </w:r>
            <w:r w:rsidR="00424CB0" w:rsidRPr="0042750D">
              <w:rPr>
                <w:b/>
                <w:bCs/>
                <w:sz w:val="24"/>
                <w:szCs w:val="24"/>
              </w:rPr>
              <w:t>itations and other constraints</w:t>
            </w:r>
            <w:r w:rsidR="0062787D" w:rsidRPr="0042750D">
              <w:rPr>
                <w:b/>
                <w:bCs/>
                <w:sz w:val="24"/>
                <w:szCs w:val="24"/>
              </w:rPr>
              <w:t xml:space="preserve"> (</w:t>
            </w:r>
            <w:r w:rsidR="0062787D" w:rsidRPr="0042750D">
              <w:rPr>
                <w:b/>
                <w:bCs/>
                <w:i/>
                <w:sz w:val="24"/>
                <w:szCs w:val="24"/>
              </w:rPr>
              <w:t>resolves 3</w:t>
            </w:r>
            <w:r w:rsidR="0062787D" w:rsidRPr="0042750D">
              <w:rPr>
                <w:b/>
                <w:bCs/>
                <w:sz w:val="24"/>
                <w:szCs w:val="24"/>
              </w:rPr>
              <w:t>)</w:t>
            </w:r>
            <w:r w:rsidR="00424CB0" w:rsidRPr="0042750D">
              <w:rPr>
                <w:b/>
                <w:bCs/>
                <w:sz w:val="24"/>
                <w:szCs w:val="24"/>
              </w:rPr>
              <w:t>;</w:t>
            </w:r>
          </w:p>
          <w:p w14:paraId="0BA94B1F" w14:textId="437C5DD8" w:rsidR="00F0236A" w:rsidRPr="0042750D" w:rsidRDefault="00C4457E" w:rsidP="00C4457E">
            <w:pPr>
              <w:pStyle w:val="Tabletext"/>
              <w:rPr>
                <w:b/>
                <w:bCs/>
                <w:sz w:val="24"/>
                <w:szCs w:val="24"/>
              </w:rPr>
            </w:pPr>
            <w:r w:rsidRPr="0042750D">
              <w:rPr>
                <w:b/>
                <w:bCs/>
                <w:sz w:val="24"/>
                <w:szCs w:val="24"/>
              </w:rPr>
              <w:t>Implement EWM action plan contained in Annex 2.</w:t>
            </w:r>
          </w:p>
        </w:tc>
        <w:tc>
          <w:tcPr>
            <w:tcW w:w="1897" w:type="dxa"/>
            <w:shd w:val="clear" w:color="auto" w:fill="auto"/>
            <w:vAlign w:val="center"/>
          </w:tcPr>
          <w:p w14:paraId="78B3A3B9"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62" w:type="dxa"/>
            <w:shd w:val="clear" w:color="auto" w:fill="auto"/>
            <w:vAlign w:val="center"/>
          </w:tcPr>
          <w:p w14:paraId="1E9CEAA4" w14:textId="6051F7D7" w:rsidR="00F0236A" w:rsidRPr="0042750D" w:rsidRDefault="00F0236A" w:rsidP="00DF36E1">
            <w:pPr>
              <w:pStyle w:val="Tabletext"/>
              <w:jc w:val="center"/>
              <w:rPr>
                <w:b/>
                <w:bCs/>
                <w:sz w:val="24"/>
                <w:szCs w:val="24"/>
              </w:rPr>
            </w:pPr>
          </w:p>
        </w:tc>
        <w:tc>
          <w:tcPr>
            <w:tcW w:w="1338" w:type="dxa"/>
            <w:shd w:val="clear" w:color="auto" w:fill="auto"/>
            <w:vAlign w:val="center"/>
          </w:tcPr>
          <w:p w14:paraId="04E267EE" w14:textId="77777777" w:rsidR="00F0236A" w:rsidRPr="0042750D" w:rsidRDefault="00F0236A" w:rsidP="00DF36E1">
            <w:pPr>
              <w:pStyle w:val="Tabletext"/>
              <w:jc w:val="center"/>
              <w:rPr>
                <w:b/>
                <w:bCs/>
                <w:sz w:val="24"/>
                <w:szCs w:val="24"/>
              </w:rPr>
            </w:pPr>
          </w:p>
        </w:tc>
      </w:tr>
      <w:tr w:rsidR="00F0236A" w:rsidRPr="0042750D" w14:paraId="4C141119" w14:textId="77777777" w:rsidTr="00CC7014">
        <w:trPr>
          <w:jc w:val="center"/>
        </w:trPr>
        <w:tc>
          <w:tcPr>
            <w:tcW w:w="911" w:type="dxa"/>
            <w:vMerge/>
            <w:tcBorders>
              <w:bottom w:val="single" w:sz="12" w:space="0" w:color="auto"/>
            </w:tcBorders>
            <w:shd w:val="clear" w:color="auto" w:fill="auto"/>
          </w:tcPr>
          <w:p w14:paraId="7C33A9D1" w14:textId="77777777" w:rsidR="00F0236A" w:rsidRPr="0042750D" w:rsidRDefault="00F0236A" w:rsidP="00DF36E1">
            <w:pPr>
              <w:pStyle w:val="Tabletext"/>
              <w:rPr>
                <w:sz w:val="24"/>
                <w:szCs w:val="24"/>
              </w:rPr>
            </w:pPr>
          </w:p>
        </w:tc>
        <w:tc>
          <w:tcPr>
            <w:tcW w:w="8921" w:type="dxa"/>
            <w:gridSpan w:val="4"/>
            <w:tcBorders>
              <w:bottom w:val="single" w:sz="12" w:space="0" w:color="auto"/>
            </w:tcBorders>
            <w:shd w:val="clear" w:color="auto" w:fill="auto"/>
          </w:tcPr>
          <w:p w14:paraId="6506AC7D" w14:textId="1CEDD67D" w:rsidR="00921C95" w:rsidRPr="0042750D" w:rsidRDefault="00921C95" w:rsidP="006207B2">
            <w:pPr>
              <w:pStyle w:val="Tabletext"/>
              <w:rPr>
                <w:szCs w:val="22"/>
              </w:rPr>
            </w:pPr>
          </w:p>
        </w:tc>
      </w:tr>
      <w:tr w:rsidR="00F0236A" w:rsidRPr="0042750D" w14:paraId="7ACE212E" w14:textId="77777777" w:rsidTr="00424CB0">
        <w:trPr>
          <w:cantSplit/>
          <w:jc w:val="center"/>
        </w:trPr>
        <w:tc>
          <w:tcPr>
            <w:tcW w:w="911" w:type="dxa"/>
            <w:vMerge w:val="restart"/>
            <w:tcBorders>
              <w:top w:val="single" w:sz="12" w:space="0" w:color="auto"/>
            </w:tcBorders>
            <w:shd w:val="clear" w:color="auto" w:fill="auto"/>
          </w:tcPr>
          <w:p w14:paraId="5023BC47" w14:textId="784E8F01" w:rsidR="00F0236A" w:rsidRPr="0042750D" w:rsidRDefault="00C4457E" w:rsidP="00534213">
            <w:pPr>
              <w:pStyle w:val="Tabletext"/>
              <w:keepNext/>
              <w:keepLines/>
              <w:rPr>
                <w:rStyle w:val="Hyperlink"/>
                <w:b/>
                <w:bCs/>
                <w:sz w:val="24"/>
                <w:szCs w:val="24"/>
              </w:rPr>
            </w:pPr>
            <w:r w:rsidRPr="0042750D">
              <w:rPr>
                <w:b/>
                <w:bCs/>
                <w:sz w:val="24"/>
                <w:szCs w:val="24"/>
              </w:rPr>
              <w:t>167-03</w:t>
            </w:r>
          </w:p>
        </w:tc>
        <w:tc>
          <w:tcPr>
            <w:tcW w:w="4524" w:type="dxa"/>
            <w:tcBorders>
              <w:top w:val="single" w:sz="12" w:space="0" w:color="auto"/>
            </w:tcBorders>
            <w:shd w:val="clear" w:color="auto" w:fill="auto"/>
            <w:hideMark/>
          </w:tcPr>
          <w:p w14:paraId="05FAC657" w14:textId="0A4BAC9B" w:rsidR="00F0236A" w:rsidRPr="0042750D" w:rsidRDefault="00424CB0" w:rsidP="00424CB0">
            <w:pPr>
              <w:pStyle w:val="Tabletext"/>
              <w:rPr>
                <w:b/>
                <w:bCs/>
                <w:sz w:val="24"/>
                <w:szCs w:val="24"/>
              </w:rPr>
            </w:pPr>
            <w:r w:rsidRPr="0042750D">
              <w:rPr>
                <w:b/>
                <w:bCs/>
                <w:sz w:val="24"/>
                <w:szCs w:val="24"/>
              </w:rPr>
              <w:t>TSBDir t</w:t>
            </w:r>
            <w:r w:rsidR="00C4457E" w:rsidRPr="0042750D">
              <w:rPr>
                <w:b/>
                <w:bCs/>
                <w:sz w:val="24"/>
                <w:szCs w:val="24"/>
              </w:rPr>
              <w:t>o involve TSAG in the evaluation of the use of electronic meetings and to develop further procedures and rules associated with electronic meetings, including the legal aspects</w:t>
            </w:r>
            <w:r w:rsidR="00BB0B8A" w:rsidRPr="0042750D">
              <w:rPr>
                <w:b/>
                <w:bCs/>
                <w:sz w:val="24"/>
                <w:szCs w:val="24"/>
              </w:rPr>
              <w:t xml:space="preserve"> (</w:t>
            </w:r>
            <w:r w:rsidR="00BB0B8A" w:rsidRPr="0042750D">
              <w:rPr>
                <w:b/>
                <w:bCs/>
                <w:i/>
                <w:sz w:val="24"/>
                <w:szCs w:val="24"/>
              </w:rPr>
              <w:t>instructs</w:t>
            </w:r>
            <w:r w:rsidR="00BB0B8A" w:rsidRPr="0042750D">
              <w:rPr>
                <w:b/>
                <w:bCs/>
                <w:sz w:val="24"/>
                <w:szCs w:val="24"/>
              </w:rPr>
              <w:t>)</w:t>
            </w:r>
            <w:r w:rsidR="00C4457E" w:rsidRPr="0042750D">
              <w:rPr>
                <w:b/>
                <w:bCs/>
                <w:sz w:val="24"/>
                <w:szCs w:val="24"/>
              </w:rPr>
              <w:t>.</w:t>
            </w:r>
          </w:p>
        </w:tc>
        <w:tc>
          <w:tcPr>
            <w:tcW w:w="1897" w:type="dxa"/>
            <w:tcBorders>
              <w:top w:val="single" w:sz="12" w:space="0" w:color="auto"/>
            </w:tcBorders>
            <w:shd w:val="clear" w:color="auto" w:fill="auto"/>
            <w:vAlign w:val="center"/>
            <w:hideMark/>
          </w:tcPr>
          <w:p w14:paraId="0097A338"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62" w:type="dxa"/>
            <w:tcBorders>
              <w:top w:val="single" w:sz="12" w:space="0" w:color="auto"/>
            </w:tcBorders>
            <w:shd w:val="clear" w:color="auto" w:fill="auto"/>
            <w:vAlign w:val="center"/>
          </w:tcPr>
          <w:p w14:paraId="545D43E1" w14:textId="6DFE75F9" w:rsidR="00F0236A" w:rsidRPr="0042750D"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1901F2D9" w14:textId="77777777" w:rsidR="00F0236A" w:rsidRPr="0042750D" w:rsidRDefault="00F0236A" w:rsidP="00DF36E1">
            <w:pPr>
              <w:pStyle w:val="Tabletext"/>
              <w:jc w:val="center"/>
              <w:rPr>
                <w:b/>
                <w:bCs/>
                <w:sz w:val="24"/>
                <w:szCs w:val="24"/>
              </w:rPr>
            </w:pPr>
          </w:p>
        </w:tc>
      </w:tr>
      <w:tr w:rsidR="00F0236A" w:rsidRPr="0042750D" w14:paraId="10A8CBFA" w14:textId="77777777" w:rsidTr="0085771B">
        <w:trPr>
          <w:cantSplit/>
          <w:jc w:val="center"/>
        </w:trPr>
        <w:tc>
          <w:tcPr>
            <w:tcW w:w="911" w:type="dxa"/>
            <w:vMerge/>
            <w:tcBorders>
              <w:bottom w:val="single" w:sz="12" w:space="0" w:color="auto"/>
            </w:tcBorders>
            <w:shd w:val="clear" w:color="auto" w:fill="auto"/>
          </w:tcPr>
          <w:p w14:paraId="50DBE44F" w14:textId="77777777" w:rsidR="00F0236A" w:rsidRPr="0042750D"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D29B9E" w14:textId="74CC1C5A" w:rsidR="00F0236A" w:rsidRPr="0042750D" w:rsidRDefault="00F0236A" w:rsidP="002B77BF">
            <w:pPr>
              <w:pStyle w:val="Tabletext"/>
              <w:rPr>
                <w:szCs w:val="22"/>
              </w:rPr>
            </w:pPr>
          </w:p>
        </w:tc>
      </w:tr>
      <w:tr w:rsidR="00F0236A" w:rsidRPr="0042750D" w14:paraId="05F7AF0C" w14:textId="77777777" w:rsidTr="00424CB0">
        <w:trPr>
          <w:cantSplit/>
          <w:jc w:val="center"/>
        </w:trPr>
        <w:tc>
          <w:tcPr>
            <w:tcW w:w="911" w:type="dxa"/>
            <w:vMerge w:val="restart"/>
            <w:tcBorders>
              <w:top w:val="single" w:sz="12" w:space="0" w:color="auto"/>
            </w:tcBorders>
            <w:shd w:val="clear" w:color="auto" w:fill="auto"/>
          </w:tcPr>
          <w:p w14:paraId="36A5E58D" w14:textId="35F56A65" w:rsidR="00F0236A" w:rsidRPr="0042750D" w:rsidRDefault="00C4457E" w:rsidP="00DF36E1">
            <w:pPr>
              <w:pStyle w:val="Tabletext"/>
              <w:keepNext/>
              <w:keepLines/>
              <w:rPr>
                <w:rStyle w:val="Hyperlink"/>
                <w:b/>
                <w:bCs/>
                <w:sz w:val="24"/>
                <w:szCs w:val="24"/>
              </w:rPr>
            </w:pPr>
            <w:r w:rsidRPr="0042750D">
              <w:rPr>
                <w:b/>
                <w:bCs/>
                <w:sz w:val="24"/>
                <w:szCs w:val="24"/>
              </w:rPr>
              <w:t>167-04</w:t>
            </w:r>
          </w:p>
        </w:tc>
        <w:tc>
          <w:tcPr>
            <w:tcW w:w="4524" w:type="dxa"/>
            <w:tcBorders>
              <w:top w:val="single" w:sz="12" w:space="0" w:color="auto"/>
            </w:tcBorders>
            <w:shd w:val="clear" w:color="auto" w:fill="auto"/>
          </w:tcPr>
          <w:p w14:paraId="32BF6F47" w14:textId="2E5C28BA" w:rsidR="00C4457E" w:rsidRPr="0042750D" w:rsidRDefault="00424CB0" w:rsidP="00C4457E">
            <w:pPr>
              <w:pStyle w:val="Tabletext"/>
              <w:rPr>
                <w:b/>
                <w:bCs/>
                <w:sz w:val="24"/>
                <w:szCs w:val="24"/>
              </w:rPr>
            </w:pPr>
            <w:r w:rsidRPr="0042750D">
              <w:rPr>
                <w:b/>
                <w:bCs/>
                <w:sz w:val="24"/>
                <w:szCs w:val="24"/>
              </w:rPr>
              <w:t xml:space="preserve">TSBDir to contribute to SecGen’s report to Council </w:t>
            </w:r>
            <w:r w:rsidR="00C4457E" w:rsidRPr="0042750D">
              <w:rPr>
                <w:b/>
                <w:bCs/>
                <w:sz w:val="24"/>
                <w:szCs w:val="24"/>
              </w:rPr>
              <w:t>on the developments made with regard to electronic meetings, in order to assess progress in their use within ITU</w:t>
            </w:r>
            <w:r w:rsidRPr="0042750D">
              <w:rPr>
                <w:b/>
                <w:bCs/>
                <w:sz w:val="24"/>
                <w:szCs w:val="24"/>
              </w:rPr>
              <w:t>-T</w:t>
            </w:r>
            <w:r w:rsidR="002E5D4D" w:rsidRPr="0042750D">
              <w:rPr>
                <w:b/>
                <w:bCs/>
                <w:sz w:val="24"/>
                <w:szCs w:val="24"/>
              </w:rPr>
              <w:t xml:space="preserve"> (</w:t>
            </w:r>
            <w:r w:rsidR="002E5D4D" w:rsidRPr="0042750D">
              <w:rPr>
                <w:b/>
                <w:bCs/>
                <w:i/>
                <w:sz w:val="24"/>
                <w:szCs w:val="24"/>
              </w:rPr>
              <w:t>instructs 5</w:t>
            </w:r>
            <w:r w:rsidR="002E5D4D" w:rsidRPr="0042750D">
              <w:rPr>
                <w:b/>
                <w:bCs/>
                <w:sz w:val="24"/>
                <w:szCs w:val="24"/>
              </w:rPr>
              <w:t>)</w:t>
            </w:r>
            <w:r w:rsidR="00C4457E" w:rsidRPr="0042750D">
              <w:rPr>
                <w:b/>
                <w:bCs/>
                <w:sz w:val="24"/>
                <w:szCs w:val="24"/>
              </w:rPr>
              <w:t>;</w:t>
            </w:r>
          </w:p>
          <w:p w14:paraId="156420C0" w14:textId="274F5824" w:rsidR="00F0236A" w:rsidRPr="0042750D" w:rsidRDefault="00C4457E" w:rsidP="00424CB0">
            <w:pPr>
              <w:pStyle w:val="Tabletext"/>
              <w:keepNext/>
              <w:keepLines/>
              <w:rPr>
                <w:b/>
                <w:bCs/>
                <w:sz w:val="24"/>
                <w:szCs w:val="24"/>
              </w:rPr>
            </w:pPr>
            <w:r w:rsidRPr="0042750D">
              <w:rPr>
                <w:b/>
                <w:bCs/>
                <w:sz w:val="24"/>
                <w:szCs w:val="24"/>
              </w:rPr>
              <w:t>and to report on the feasibility of extending the use of languages in electronic meetings</w:t>
            </w:r>
            <w:r w:rsidR="002E5D4D" w:rsidRPr="0042750D">
              <w:rPr>
                <w:b/>
                <w:bCs/>
                <w:sz w:val="24"/>
                <w:szCs w:val="24"/>
              </w:rPr>
              <w:t xml:space="preserve"> (</w:t>
            </w:r>
            <w:r w:rsidR="002E5D4D" w:rsidRPr="0042750D">
              <w:rPr>
                <w:b/>
                <w:bCs/>
                <w:i/>
                <w:sz w:val="24"/>
                <w:szCs w:val="24"/>
              </w:rPr>
              <w:t>instructs 6</w:t>
            </w:r>
            <w:r w:rsidR="002E5D4D" w:rsidRPr="0042750D">
              <w:rPr>
                <w:b/>
                <w:bCs/>
                <w:sz w:val="24"/>
                <w:szCs w:val="24"/>
              </w:rPr>
              <w:t>)</w:t>
            </w:r>
            <w:r w:rsidRPr="0042750D">
              <w:rPr>
                <w:b/>
                <w:bCs/>
                <w:sz w:val="24"/>
                <w:szCs w:val="24"/>
              </w:rPr>
              <w:t>.</w:t>
            </w:r>
          </w:p>
        </w:tc>
        <w:tc>
          <w:tcPr>
            <w:tcW w:w="1897" w:type="dxa"/>
            <w:tcBorders>
              <w:top w:val="single" w:sz="12" w:space="0" w:color="auto"/>
            </w:tcBorders>
            <w:shd w:val="clear" w:color="auto" w:fill="auto"/>
            <w:vAlign w:val="center"/>
          </w:tcPr>
          <w:p w14:paraId="3D492703" w14:textId="2D5E3FC1" w:rsidR="00F0236A" w:rsidRPr="0042750D" w:rsidRDefault="00424CB0" w:rsidP="00DF36E1">
            <w:pPr>
              <w:pStyle w:val="Tabletext"/>
              <w:jc w:val="center"/>
              <w:rPr>
                <w:b/>
                <w:bCs/>
                <w:sz w:val="24"/>
                <w:szCs w:val="24"/>
              </w:rPr>
            </w:pPr>
            <w:r w:rsidRPr="0042750D">
              <w:rPr>
                <w:b/>
                <w:bCs/>
                <w:sz w:val="24"/>
                <w:szCs w:val="24"/>
              </w:rPr>
              <w:t>Council</w:t>
            </w:r>
          </w:p>
        </w:tc>
        <w:tc>
          <w:tcPr>
            <w:tcW w:w="1162" w:type="dxa"/>
            <w:tcBorders>
              <w:top w:val="single" w:sz="12" w:space="0" w:color="auto"/>
            </w:tcBorders>
            <w:shd w:val="clear" w:color="auto" w:fill="auto"/>
            <w:vAlign w:val="center"/>
          </w:tcPr>
          <w:p w14:paraId="3A6A7FF2" w14:textId="3347ABA9" w:rsidR="00F0236A" w:rsidRPr="0042750D" w:rsidRDefault="00487A37"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22BB494C" w14:textId="77777777" w:rsidR="00F0236A" w:rsidRPr="0042750D" w:rsidRDefault="00F0236A" w:rsidP="00DF36E1">
            <w:pPr>
              <w:pStyle w:val="Tabletext"/>
              <w:jc w:val="center"/>
              <w:rPr>
                <w:b/>
                <w:bCs/>
                <w:sz w:val="24"/>
                <w:szCs w:val="24"/>
              </w:rPr>
            </w:pPr>
          </w:p>
        </w:tc>
      </w:tr>
      <w:tr w:rsidR="00F0236A" w:rsidRPr="0042750D" w14:paraId="5681BB54" w14:textId="77777777" w:rsidTr="0085771B">
        <w:trPr>
          <w:cantSplit/>
          <w:jc w:val="center"/>
        </w:trPr>
        <w:tc>
          <w:tcPr>
            <w:tcW w:w="911" w:type="dxa"/>
            <w:vMerge/>
            <w:tcBorders>
              <w:bottom w:val="single" w:sz="12" w:space="0" w:color="auto"/>
            </w:tcBorders>
            <w:shd w:val="clear" w:color="auto" w:fill="auto"/>
          </w:tcPr>
          <w:p w14:paraId="0A0308F3" w14:textId="77777777" w:rsidR="00F0236A" w:rsidRPr="0042750D" w:rsidRDefault="00F0236A" w:rsidP="00DF36E1">
            <w:pPr>
              <w:pStyle w:val="Tabletext"/>
              <w:rPr>
                <w:sz w:val="24"/>
                <w:szCs w:val="24"/>
              </w:rPr>
            </w:pPr>
          </w:p>
        </w:tc>
        <w:tc>
          <w:tcPr>
            <w:tcW w:w="8921" w:type="dxa"/>
            <w:gridSpan w:val="4"/>
            <w:tcBorders>
              <w:bottom w:val="single" w:sz="12" w:space="0" w:color="auto"/>
            </w:tcBorders>
            <w:shd w:val="clear" w:color="auto" w:fill="auto"/>
          </w:tcPr>
          <w:p w14:paraId="317AFE7C" w14:textId="551B1C45" w:rsidR="00F0236A" w:rsidRPr="0042750D" w:rsidRDefault="00487A37" w:rsidP="00DF36E1">
            <w:pPr>
              <w:pStyle w:val="Tabletext"/>
              <w:rPr>
                <w:szCs w:val="22"/>
              </w:rPr>
            </w:pPr>
            <w:r w:rsidRPr="0042750D">
              <w:rPr>
                <w:szCs w:val="22"/>
              </w:rPr>
              <w:t xml:space="preserve">See </w:t>
            </w:r>
            <w:hyperlink r:id="rId69" w:history="1">
              <w:r w:rsidRPr="0042750D">
                <w:rPr>
                  <w:rStyle w:val="Hyperlink"/>
                  <w:szCs w:val="22"/>
                </w:rPr>
                <w:t>C19/29</w:t>
              </w:r>
            </w:hyperlink>
            <w:r w:rsidRPr="0042750D">
              <w:rPr>
                <w:szCs w:val="22"/>
              </w:rPr>
              <w:t>.</w:t>
            </w:r>
          </w:p>
        </w:tc>
      </w:tr>
    </w:tbl>
    <w:bookmarkStart w:id="179" w:name="Item64_01"/>
    <w:bookmarkStart w:id="180" w:name="Item64_02"/>
    <w:bookmarkStart w:id="181" w:name="Item64_03"/>
    <w:bookmarkStart w:id="182" w:name="Item64_04"/>
    <w:bookmarkStart w:id="183" w:name="Item64_05"/>
    <w:bookmarkStart w:id="184" w:name="Item64_06"/>
    <w:bookmarkStart w:id="185" w:name="Item64_07"/>
    <w:bookmarkStart w:id="186" w:name="Item64_08"/>
    <w:bookmarkStart w:id="187" w:name="Item64_09"/>
    <w:bookmarkStart w:id="188" w:name="Item64_10"/>
    <w:bookmarkEnd w:id="179"/>
    <w:bookmarkEnd w:id="180"/>
    <w:bookmarkEnd w:id="181"/>
    <w:bookmarkEnd w:id="182"/>
    <w:bookmarkEnd w:id="183"/>
    <w:bookmarkEnd w:id="184"/>
    <w:bookmarkEnd w:id="185"/>
    <w:bookmarkEnd w:id="186"/>
    <w:bookmarkEnd w:id="187"/>
    <w:bookmarkEnd w:id="188"/>
    <w:p w14:paraId="4CFB407C"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2790E73F" w14:textId="31D53A17" w:rsidR="00F0236A" w:rsidRPr="0042750D" w:rsidRDefault="00710308" w:rsidP="00D45211">
      <w:pPr>
        <w:pStyle w:val="Heading1"/>
        <w:keepNext/>
        <w:keepLines/>
        <w:rPr>
          <w:sz w:val="24"/>
          <w:szCs w:val="24"/>
          <w:lang w:val="en-GB"/>
        </w:rPr>
      </w:pPr>
      <w:bookmarkStart w:id="189" w:name="Resolution_65"/>
      <w:bookmarkStart w:id="190" w:name="Resolution_66"/>
      <w:bookmarkStart w:id="191" w:name="_Toc30749171"/>
      <w:bookmarkEnd w:id="189"/>
      <w:bookmarkEnd w:id="190"/>
      <w:r w:rsidRPr="0042750D">
        <w:rPr>
          <w:sz w:val="24"/>
          <w:szCs w:val="24"/>
          <w:lang w:val="en-GB"/>
        </w:rPr>
        <w:t>RESOLUTION 169 (REV. DUBAI, 2018) –</w:t>
      </w:r>
      <w:r w:rsidR="00DF058E" w:rsidRPr="0042750D">
        <w:rPr>
          <w:sz w:val="24"/>
          <w:szCs w:val="24"/>
          <w:lang w:val="en-GB"/>
        </w:rPr>
        <w:t xml:space="preserve"> </w:t>
      </w:r>
      <w:r w:rsidRPr="0042750D">
        <w:rPr>
          <w:sz w:val="24"/>
          <w:szCs w:val="24"/>
          <w:lang w:val="en-GB"/>
        </w:rPr>
        <w:t>Admission of academia to participate in the work of the Union</w:t>
      </w:r>
      <w:bookmarkEnd w:id="191"/>
    </w:p>
    <w:p w14:paraId="0598C3A5" w14:textId="77777777" w:rsidR="00710308" w:rsidRPr="0042750D" w:rsidRDefault="00710308" w:rsidP="00D45211">
      <w:pPr>
        <w:pStyle w:val="Call"/>
        <w:rPr>
          <w:lang w:val="en-GB"/>
        </w:rPr>
      </w:pPr>
      <w:r w:rsidRPr="0042750D">
        <w:rPr>
          <w:lang w:val="en-GB"/>
        </w:rPr>
        <w:t>resolves</w:t>
      </w:r>
    </w:p>
    <w:p w14:paraId="50965786" w14:textId="77777777" w:rsidR="00710308" w:rsidRPr="0042750D" w:rsidRDefault="00710308" w:rsidP="00D45211">
      <w:pPr>
        <w:keepNext/>
        <w:keepLines/>
      </w:pPr>
      <w:r w:rsidRPr="0042750D">
        <w:t>1</w:t>
      </w:r>
      <w:r w:rsidRPr="0042750D">
        <w:tab/>
        <w:t>to admit academia to participate in the work of the Union, pursuant to the provisions of this resolution, without the need for any amendment to Articles 2 and 3 of the ITU Constitution and Article 19 of the ITU Convention or any other provision of the Convention;</w:t>
      </w:r>
    </w:p>
    <w:p w14:paraId="32A88D91" w14:textId="77777777" w:rsidR="00710308" w:rsidRPr="0042750D" w:rsidRDefault="00710308" w:rsidP="00710308">
      <w:r w:rsidRPr="0042750D">
        <w:t>2</w:t>
      </w:r>
      <w:r w:rsidRPr="0042750D">
        <w:tab/>
        <w:t>to set the level of the financial contribution for participation in the Union at one-sixteenth of the value of a contributory unit for Sector Members in the case of organizations from developed countries, and one-thirty second of the value of the contributory unit for Sector Members in the case of organizations from developing countries</w:t>
      </w:r>
      <w:r w:rsidRPr="0042750D">
        <w:rPr>
          <w:vertAlign w:val="superscript"/>
        </w:rPr>
        <w:footnoteReference w:customMarkFollows="1" w:id="12"/>
        <w:t>2</w:t>
      </w:r>
      <w:r w:rsidRPr="0042750D">
        <w:t xml:space="preserve"> for defraying Union expenses, and to apply this level of financial contribution to academia that are already participating in the Union as well as those which join in the future;</w:t>
      </w:r>
    </w:p>
    <w:p w14:paraId="074BBE02" w14:textId="77777777" w:rsidR="00710308" w:rsidRPr="0042750D" w:rsidRDefault="00710308" w:rsidP="00710308">
      <w:r w:rsidRPr="0042750D">
        <w:t>3</w:t>
      </w:r>
      <w:r w:rsidRPr="0042750D">
        <w:tab/>
        <w:t xml:space="preserve">that payment of the level of financial contribution specified in </w:t>
      </w:r>
      <w:r w:rsidRPr="0042750D">
        <w:rPr>
          <w:i/>
        </w:rPr>
        <w:t>resolves</w:t>
      </w:r>
      <w:r w:rsidRPr="0042750D">
        <w:t> 2 entitles academia to participate in the work of all three Sectors, including their advisory groups;</w:t>
      </w:r>
    </w:p>
    <w:p w14:paraId="7FC50D64" w14:textId="77777777" w:rsidR="00710308" w:rsidRPr="0042750D" w:rsidRDefault="00710308" w:rsidP="00710308">
      <w:r w:rsidRPr="0042750D">
        <w:t>4</w:t>
      </w:r>
      <w:r w:rsidRPr="0042750D">
        <w:tab/>
        <w:t>that academia also be invited to participate in other global and regional conferences, workshops and activities of the Union, with the exception of plenipotentiary conferences, world radiocommunication conferences, world conferences on international telecommunications and the ITU Council, in conformity with the rules of procedure of the respective Sectors, and taking into account the outcome of the review pursuant to Resolution 187 (Busan, 2014);</w:t>
      </w:r>
    </w:p>
    <w:p w14:paraId="459FBE26" w14:textId="77777777" w:rsidR="00710308" w:rsidRPr="0042750D" w:rsidRDefault="00710308" w:rsidP="00710308">
      <w:r w:rsidRPr="0042750D">
        <w:t>5</w:t>
      </w:r>
      <w:r w:rsidRPr="0042750D">
        <w:tab/>
        <w:t>that Academia should not have a role in decision-making, including the adoption of resolutions or recommendations regardless of the approval procedure;</w:t>
      </w:r>
    </w:p>
    <w:p w14:paraId="0B5ECDD4" w14:textId="77777777" w:rsidR="00710308" w:rsidRPr="0042750D" w:rsidRDefault="00710308" w:rsidP="00710308">
      <w:r w:rsidRPr="0042750D">
        <w:t>6</w:t>
      </w:r>
      <w:r w:rsidRPr="0042750D">
        <w:tab/>
        <w:t>that Academia shall be allowed to participate and make their proposals and interventions remotely, as appropriate, in accordance with the provisions of Resolution 167 (Rev. Busan, 2014) of the Plenipotentiary Conference, on strengthening ITU capabilities for electronic meetings and means to advance the work of the Union;</w:t>
      </w:r>
    </w:p>
    <w:p w14:paraId="4F0AE25B" w14:textId="77777777" w:rsidR="00710308" w:rsidRPr="0042750D" w:rsidRDefault="00710308" w:rsidP="00710308">
      <w:r w:rsidRPr="0042750D">
        <w:t>7</w:t>
      </w:r>
      <w:r w:rsidRPr="0042750D">
        <w:tab/>
        <w:t>that a representative of Academia may serve as rapporteur, vice-rapporteur or associate rapporteur in accordance with established rules of procedures of the respective Sectors;</w:t>
      </w:r>
    </w:p>
    <w:p w14:paraId="4361A2AD" w14:textId="77777777" w:rsidR="00710308" w:rsidRPr="0042750D" w:rsidRDefault="00710308" w:rsidP="00710308">
      <w:pPr>
        <w:spacing w:after="240"/>
      </w:pPr>
      <w:r w:rsidRPr="0042750D">
        <w:t>8</w:t>
      </w:r>
      <w:r w:rsidRPr="0042750D">
        <w:tab/>
        <w:t>that acceptance of applications for the participation of academia shall be conditional on the support of the Member States of the Union to which the bodies belong, on the condition that this shall not constitute an alternative for those bodies currently listed with the Union as Sector Members or Associates,</w:t>
      </w:r>
    </w:p>
    <w:p w14:paraId="13AA9FF1" w14:textId="77777777" w:rsidR="00710308" w:rsidRPr="0042750D" w:rsidRDefault="00710308" w:rsidP="00710308">
      <w:pPr>
        <w:pStyle w:val="Call"/>
        <w:rPr>
          <w:lang w:val="en-GB"/>
        </w:rPr>
      </w:pPr>
      <w:r w:rsidRPr="0042750D">
        <w:rPr>
          <w:lang w:val="en-GB"/>
        </w:rPr>
        <w:t>instructs the Director of the Telecommunication Standardization Bureau</w:t>
      </w:r>
    </w:p>
    <w:p w14:paraId="13C692E8" w14:textId="77777777" w:rsidR="00710308" w:rsidRPr="0042750D" w:rsidRDefault="00710308" w:rsidP="00710308">
      <w:r w:rsidRPr="0042750D">
        <w:t>to continue to organize the Kaleidoscope event annually on a rotational basis, to the greatest extent possible,</w:t>
      </w:r>
    </w:p>
    <w:p w14:paraId="43FE8428" w14:textId="77777777" w:rsidR="00710308" w:rsidRPr="0042750D" w:rsidRDefault="00710308" w:rsidP="00710308">
      <w:pPr>
        <w:pStyle w:val="Call"/>
        <w:rPr>
          <w:lang w:val="en-GB"/>
        </w:rPr>
      </w:pPr>
      <w:r w:rsidRPr="0042750D">
        <w:rPr>
          <w:lang w:val="en-GB"/>
        </w:rPr>
        <w:t>instructs the Radiocommunication Assembly, the World Telecommunication Standardization Assembly and the World Telecommunication Development Conference</w:t>
      </w:r>
    </w:p>
    <w:p w14:paraId="1620BD03" w14:textId="77777777" w:rsidR="00710308" w:rsidRPr="0042750D" w:rsidRDefault="00710308" w:rsidP="00710308">
      <w:r w:rsidRPr="0042750D">
        <w:t>to mandate their respective Sector advisory groups to continue to study whether there is a need for any additional measures and/or arrangements to facilitate such participation that are not covered by relevant resolutions or recommendations of the above-mentioned assemblies and conference, and adopt such modalities, if they deem it necessary or required, and report the results through the Directors of the Bureaux to the Council,</w:t>
      </w:r>
    </w:p>
    <w:p w14:paraId="00FFE4B3" w14:textId="60CE5586" w:rsidR="00710308" w:rsidRPr="0042750D" w:rsidRDefault="00710308" w:rsidP="00710308">
      <w:pPr>
        <w:pStyle w:val="Call"/>
        <w:rPr>
          <w:lang w:val="en-GB"/>
        </w:rPr>
      </w:pPr>
      <w:r w:rsidRPr="0042750D">
        <w:rPr>
          <w:lang w:val="en-GB"/>
        </w:rPr>
        <w:t>instructs the Secretary-General and the</w:t>
      </w:r>
      <w:r w:rsidR="005D14EB" w:rsidRPr="0042750D">
        <w:rPr>
          <w:lang w:val="en-GB"/>
        </w:rPr>
        <w:t xml:space="preserve"> Directors of the three Bureaux</w:t>
      </w:r>
    </w:p>
    <w:p w14:paraId="73F55AE0" w14:textId="77777777" w:rsidR="00710308" w:rsidRPr="0042750D" w:rsidRDefault="00710308" w:rsidP="00710308">
      <w:r w:rsidRPr="0042750D">
        <w:t>1</w:t>
      </w:r>
      <w:r w:rsidRPr="0042750D">
        <w:tab/>
        <w:t>to take necessary and appropriate action in order to implement this resolution;</w:t>
      </w:r>
    </w:p>
    <w:p w14:paraId="26AC37E4" w14:textId="77777777" w:rsidR="00710308" w:rsidRPr="0042750D" w:rsidRDefault="00710308" w:rsidP="00710308">
      <w:r w:rsidRPr="0042750D">
        <w:t>2</w:t>
      </w:r>
      <w:r w:rsidRPr="0042750D">
        <w:tab/>
        <w:t>to continue their successful efforts to explore and recommend, taking into account the advice of the Council, various mechanisms such as the use of voluntary financial and in-kind contributions from Member States and other stakeholders to encourage increased participation of academia;</w:t>
      </w:r>
    </w:p>
    <w:p w14:paraId="7F3AE516" w14:textId="77777777" w:rsidR="00710308" w:rsidRPr="0042750D" w:rsidRDefault="00710308" w:rsidP="00710308">
      <w:r w:rsidRPr="0042750D">
        <w:t>3</w:t>
      </w:r>
      <w:r w:rsidRPr="0042750D">
        <w:tab/>
        <w:t>to encourage the participation of academia in various open events and activities organized or co-organized by ITU, such as ITU Telecom World, ITU Kaleidoscope, World Summit on the Information Society forums and other workshops and forums;</w:t>
      </w:r>
    </w:p>
    <w:p w14:paraId="2B267911" w14:textId="0398567B" w:rsidR="00F0236A" w:rsidRPr="0042750D" w:rsidRDefault="00710308" w:rsidP="00895B2E">
      <w:pPr>
        <w:spacing w:after="120"/>
      </w:pPr>
      <w:r w:rsidRPr="0042750D">
        <w:t>4</w:t>
      </w:r>
      <w:r w:rsidRPr="0042750D">
        <w:tab/>
        <w:t>to encourage the participation of academia in the development</w:t>
      </w:r>
      <w:r w:rsidR="00895B2E" w:rsidRPr="0042750D">
        <w:t xml:space="preserve"> of technical work in the Union</w:t>
      </w:r>
      <w:r w:rsidR="00F0236A" w:rsidRPr="0042750D">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16"/>
        <w:gridCol w:w="1226"/>
        <w:gridCol w:w="1144"/>
        <w:gridCol w:w="1336"/>
      </w:tblGrid>
      <w:tr w:rsidR="00F0236A" w:rsidRPr="0042750D" w14:paraId="4CE9A2E7" w14:textId="77777777" w:rsidTr="007941CE">
        <w:trPr>
          <w:tblHeader/>
          <w:jc w:val="center"/>
        </w:trPr>
        <w:tc>
          <w:tcPr>
            <w:tcW w:w="910" w:type="dxa"/>
            <w:tcBorders>
              <w:top w:val="single" w:sz="12" w:space="0" w:color="auto"/>
              <w:bottom w:val="single" w:sz="12" w:space="0" w:color="auto"/>
            </w:tcBorders>
            <w:shd w:val="clear" w:color="auto" w:fill="auto"/>
            <w:vAlign w:val="center"/>
          </w:tcPr>
          <w:p w14:paraId="7DFF407D" w14:textId="77777777" w:rsidR="00F0236A" w:rsidRPr="0042750D" w:rsidRDefault="00F0236A" w:rsidP="00DF36E1">
            <w:pPr>
              <w:pStyle w:val="Tablehead"/>
              <w:rPr>
                <w:sz w:val="24"/>
                <w:szCs w:val="24"/>
              </w:rPr>
            </w:pPr>
            <w:r w:rsidRPr="0042750D">
              <w:rPr>
                <w:sz w:val="24"/>
                <w:szCs w:val="24"/>
              </w:rPr>
              <w:t>Action Item</w:t>
            </w:r>
          </w:p>
        </w:tc>
        <w:tc>
          <w:tcPr>
            <w:tcW w:w="5216" w:type="dxa"/>
            <w:tcBorders>
              <w:top w:val="single" w:sz="12" w:space="0" w:color="auto"/>
              <w:bottom w:val="single" w:sz="12" w:space="0" w:color="auto"/>
            </w:tcBorders>
            <w:shd w:val="clear" w:color="auto" w:fill="auto"/>
            <w:vAlign w:val="center"/>
            <w:hideMark/>
          </w:tcPr>
          <w:p w14:paraId="4459E7E8" w14:textId="77777777" w:rsidR="00F0236A" w:rsidRPr="0042750D" w:rsidRDefault="00F0236A" w:rsidP="00DF36E1">
            <w:pPr>
              <w:pStyle w:val="Tablehead"/>
              <w:rPr>
                <w:sz w:val="24"/>
                <w:szCs w:val="24"/>
              </w:rPr>
            </w:pPr>
            <w:r w:rsidRPr="0042750D">
              <w:rPr>
                <w:sz w:val="24"/>
                <w:szCs w:val="24"/>
              </w:rPr>
              <w:t>Action</w:t>
            </w:r>
          </w:p>
        </w:tc>
        <w:tc>
          <w:tcPr>
            <w:tcW w:w="1226" w:type="dxa"/>
            <w:tcBorders>
              <w:top w:val="single" w:sz="12" w:space="0" w:color="auto"/>
              <w:bottom w:val="single" w:sz="12" w:space="0" w:color="auto"/>
            </w:tcBorders>
            <w:shd w:val="clear" w:color="auto" w:fill="auto"/>
            <w:vAlign w:val="center"/>
            <w:hideMark/>
          </w:tcPr>
          <w:p w14:paraId="482289B8" w14:textId="77777777" w:rsidR="00F0236A" w:rsidRPr="0042750D" w:rsidRDefault="00F0236A" w:rsidP="00DF36E1">
            <w:pPr>
              <w:pStyle w:val="Tablehead"/>
              <w:rPr>
                <w:sz w:val="24"/>
                <w:szCs w:val="24"/>
              </w:rPr>
            </w:pPr>
            <w:r w:rsidRPr="0042750D">
              <w:rPr>
                <w:sz w:val="24"/>
                <w:szCs w:val="24"/>
              </w:rPr>
              <w:t>Milestone</w:t>
            </w:r>
          </w:p>
        </w:tc>
        <w:tc>
          <w:tcPr>
            <w:tcW w:w="1144" w:type="dxa"/>
            <w:tcBorders>
              <w:top w:val="single" w:sz="12" w:space="0" w:color="auto"/>
              <w:bottom w:val="single" w:sz="12" w:space="0" w:color="auto"/>
            </w:tcBorders>
            <w:shd w:val="clear" w:color="auto" w:fill="auto"/>
          </w:tcPr>
          <w:p w14:paraId="700A3AE5" w14:textId="77777777" w:rsidR="00F0236A" w:rsidRPr="0042750D" w:rsidRDefault="00F0236A" w:rsidP="00DF36E1">
            <w:pPr>
              <w:pStyle w:val="Tablehead"/>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3826857"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24EDD4C6" w14:textId="77777777" w:rsidTr="0085771B">
        <w:trPr>
          <w:cantSplit/>
          <w:jc w:val="center"/>
        </w:trPr>
        <w:tc>
          <w:tcPr>
            <w:tcW w:w="910" w:type="dxa"/>
            <w:vMerge w:val="restart"/>
            <w:tcBorders>
              <w:top w:val="single" w:sz="12" w:space="0" w:color="auto"/>
            </w:tcBorders>
            <w:shd w:val="clear" w:color="auto" w:fill="auto"/>
          </w:tcPr>
          <w:p w14:paraId="3A1B54D4" w14:textId="7732AF4B" w:rsidR="00F0236A" w:rsidRPr="0042750D" w:rsidRDefault="00710308" w:rsidP="00DF36E1">
            <w:pPr>
              <w:pStyle w:val="Tabletext"/>
              <w:rPr>
                <w:b/>
                <w:bCs/>
                <w:sz w:val="24"/>
                <w:szCs w:val="24"/>
              </w:rPr>
            </w:pPr>
            <w:r w:rsidRPr="0042750D">
              <w:rPr>
                <w:b/>
                <w:bCs/>
                <w:sz w:val="24"/>
                <w:szCs w:val="24"/>
              </w:rPr>
              <w:t>169</w:t>
            </w:r>
            <w:r w:rsidR="00F0236A" w:rsidRPr="0042750D">
              <w:rPr>
                <w:b/>
                <w:bCs/>
                <w:sz w:val="24"/>
                <w:szCs w:val="24"/>
              </w:rPr>
              <w:t>-01</w:t>
            </w:r>
          </w:p>
        </w:tc>
        <w:tc>
          <w:tcPr>
            <w:tcW w:w="5216" w:type="dxa"/>
            <w:tcBorders>
              <w:top w:val="single" w:sz="12" w:space="0" w:color="auto"/>
              <w:bottom w:val="single" w:sz="4" w:space="0" w:color="auto"/>
            </w:tcBorders>
            <w:shd w:val="clear" w:color="auto" w:fill="auto"/>
            <w:hideMark/>
          </w:tcPr>
          <w:p w14:paraId="5D11B6F2" w14:textId="1B73836B" w:rsidR="00895B2E" w:rsidRPr="0042750D" w:rsidRDefault="00710308" w:rsidP="00710308">
            <w:pPr>
              <w:pStyle w:val="Tabletext"/>
              <w:rPr>
                <w:b/>
                <w:bCs/>
                <w:sz w:val="24"/>
                <w:szCs w:val="24"/>
              </w:rPr>
            </w:pPr>
            <w:r w:rsidRPr="0042750D">
              <w:rPr>
                <w:b/>
                <w:bCs/>
                <w:sz w:val="24"/>
                <w:szCs w:val="24"/>
              </w:rPr>
              <w:t>ITU-T to admit academia to participate in the work of ITU-T including TSAG, pursuant to the</w:t>
            </w:r>
            <w:r w:rsidR="00895B2E" w:rsidRPr="0042750D">
              <w:rPr>
                <w:b/>
                <w:bCs/>
                <w:sz w:val="24"/>
                <w:szCs w:val="24"/>
              </w:rPr>
              <w:t xml:space="preserve"> provisions of this resolution</w:t>
            </w:r>
            <w:r w:rsidR="00B37746" w:rsidRPr="0042750D">
              <w:rPr>
                <w:b/>
                <w:bCs/>
                <w:sz w:val="24"/>
                <w:szCs w:val="24"/>
              </w:rPr>
              <w:t xml:space="preserve"> (</w:t>
            </w:r>
            <w:r w:rsidR="00B37746" w:rsidRPr="0042750D">
              <w:rPr>
                <w:b/>
                <w:bCs/>
                <w:i/>
                <w:sz w:val="24"/>
                <w:szCs w:val="24"/>
              </w:rPr>
              <w:t>resolves 1</w:t>
            </w:r>
            <w:r w:rsidR="00B37746" w:rsidRPr="0042750D">
              <w:rPr>
                <w:b/>
                <w:bCs/>
                <w:sz w:val="24"/>
                <w:szCs w:val="24"/>
              </w:rPr>
              <w:t>)</w:t>
            </w:r>
            <w:r w:rsidR="00895B2E" w:rsidRPr="0042750D">
              <w:rPr>
                <w:b/>
                <w:bCs/>
                <w:sz w:val="24"/>
                <w:szCs w:val="24"/>
              </w:rPr>
              <w:t>;</w:t>
            </w:r>
          </w:p>
          <w:p w14:paraId="1A066573" w14:textId="73434E82" w:rsidR="00895B2E" w:rsidRPr="0042750D" w:rsidRDefault="00710308" w:rsidP="00710308">
            <w:pPr>
              <w:pStyle w:val="Tabletext"/>
              <w:rPr>
                <w:b/>
                <w:bCs/>
                <w:sz w:val="24"/>
                <w:szCs w:val="24"/>
              </w:rPr>
            </w:pPr>
            <w:r w:rsidRPr="0042750D">
              <w:rPr>
                <w:b/>
                <w:bCs/>
                <w:sz w:val="24"/>
                <w:szCs w:val="24"/>
              </w:rPr>
              <w:t>Academia shall be allowed to participate and make their proposals and interven</w:t>
            </w:r>
            <w:r w:rsidR="00895B2E" w:rsidRPr="0042750D">
              <w:rPr>
                <w:b/>
                <w:bCs/>
                <w:sz w:val="24"/>
                <w:szCs w:val="24"/>
              </w:rPr>
              <w:t>tions remotely, as appropriate</w:t>
            </w:r>
            <w:r w:rsidR="00B37746" w:rsidRPr="0042750D">
              <w:rPr>
                <w:b/>
                <w:bCs/>
                <w:sz w:val="24"/>
                <w:szCs w:val="24"/>
              </w:rPr>
              <w:t xml:space="preserve"> (</w:t>
            </w:r>
            <w:r w:rsidR="00B37746" w:rsidRPr="0042750D">
              <w:rPr>
                <w:b/>
                <w:bCs/>
                <w:i/>
                <w:sz w:val="24"/>
                <w:szCs w:val="24"/>
              </w:rPr>
              <w:t>resolves 6</w:t>
            </w:r>
            <w:r w:rsidR="00B37746" w:rsidRPr="0042750D">
              <w:rPr>
                <w:b/>
                <w:bCs/>
                <w:sz w:val="24"/>
                <w:szCs w:val="24"/>
              </w:rPr>
              <w:t>)</w:t>
            </w:r>
            <w:r w:rsidR="00895B2E" w:rsidRPr="0042750D">
              <w:rPr>
                <w:b/>
                <w:bCs/>
                <w:sz w:val="24"/>
                <w:szCs w:val="24"/>
              </w:rPr>
              <w:t>.</w:t>
            </w:r>
          </w:p>
          <w:p w14:paraId="5E780629" w14:textId="382FB970" w:rsidR="00710308" w:rsidRPr="0042750D" w:rsidRDefault="00710308" w:rsidP="00710308">
            <w:pPr>
              <w:pStyle w:val="Tabletext"/>
              <w:rPr>
                <w:b/>
                <w:bCs/>
                <w:sz w:val="24"/>
                <w:szCs w:val="24"/>
              </w:rPr>
            </w:pPr>
            <w:r w:rsidRPr="0042750D">
              <w:rPr>
                <w:b/>
                <w:bCs/>
                <w:sz w:val="24"/>
                <w:szCs w:val="24"/>
              </w:rPr>
              <w:t>A representative of Academia may serve as rapporteur, vice-rapporteur or associate rapporteur in accordance with established rules of procedures of ITU-T</w:t>
            </w:r>
            <w:r w:rsidR="00B37746" w:rsidRPr="0042750D">
              <w:rPr>
                <w:b/>
                <w:bCs/>
                <w:sz w:val="24"/>
                <w:szCs w:val="24"/>
              </w:rPr>
              <w:t xml:space="preserve"> (</w:t>
            </w:r>
            <w:r w:rsidR="00B37746" w:rsidRPr="0042750D">
              <w:rPr>
                <w:b/>
                <w:bCs/>
                <w:i/>
                <w:sz w:val="24"/>
                <w:szCs w:val="24"/>
              </w:rPr>
              <w:t>resolves 7</w:t>
            </w:r>
            <w:r w:rsidR="00B37746" w:rsidRPr="0042750D">
              <w:rPr>
                <w:b/>
                <w:bCs/>
                <w:sz w:val="24"/>
                <w:szCs w:val="24"/>
              </w:rPr>
              <w:t>)</w:t>
            </w:r>
            <w:r w:rsidRPr="0042750D">
              <w:rPr>
                <w:b/>
                <w:bCs/>
                <w:sz w:val="24"/>
                <w:szCs w:val="24"/>
              </w:rPr>
              <w:t>.</w:t>
            </w:r>
          </w:p>
          <w:p w14:paraId="45922BD9" w14:textId="214B2733" w:rsidR="00F0236A" w:rsidRPr="0042750D" w:rsidRDefault="00710308" w:rsidP="00895B2E">
            <w:pPr>
              <w:pStyle w:val="Tabletext"/>
              <w:rPr>
                <w:b/>
                <w:bCs/>
                <w:sz w:val="24"/>
                <w:szCs w:val="24"/>
              </w:rPr>
            </w:pPr>
            <w:r w:rsidRPr="0042750D">
              <w:rPr>
                <w:b/>
                <w:bCs/>
                <w:sz w:val="24"/>
                <w:szCs w:val="24"/>
              </w:rPr>
              <w:t xml:space="preserve">Academia also be invited to participate in other global and regional conferences, workshops and activities of </w:t>
            </w:r>
            <w:r w:rsidR="00895B2E" w:rsidRPr="0042750D">
              <w:rPr>
                <w:b/>
                <w:bCs/>
                <w:sz w:val="24"/>
                <w:szCs w:val="24"/>
              </w:rPr>
              <w:t>ITU-T</w:t>
            </w:r>
            <w:r w:rsidR="00B37746" w:rsidRPr="0042750D">
              <w:rPr>
                <w:b/>
                <w:bCs/>
                <w:sz w:val="24"/>
                <w:szCs w:val="24"/>
              </w:rPr>
              <w:t xml:space="preserve"> (</w:t>
            </w:r>
            <w:r w:rsidR="00B37746" w:rsidRPr="0042750D">
              <w:rPr>
                <w:b/>
                <w:bCs/>
                <w:i/>
                <w:sz w:val="24"/>
                <w:szCs w:val="24"/>
              </w:rPr>
              <w:t>resolves 4</w:t>
            </w:r>
            <w:r w:rsidR="00B37746" w:rsidRPr="0042750D">
              <w:rPr>
                <w:b/>
                <w:bCs/>
                <w:sz w:val="24"/>
                <w:szCs w:val="24"/>
              </w:rPr>
              <w:t>)</w:t>
            </w:r>
            <w:r w:rsidR="00895B2E" w:rsidRPr="0042750D">
              <w:rPr>
                <w:b/>
                <w:bCs/>
                <w:sz w:val="24"/>
                <w:szCs w:val="24"/>
              </w:rPr>
              <w:t>.</w:t>
            </w:r>
          </w:p>
        </w:tc>
        <w:tc>
          <w:tcPr>
            <w:tcW w:w="1226" w:type="dxa"/>
            <w:tcBorders>
              <w:top w:val="single" w:sz="12" w:space="0" w:color="auto"/>
              <w:bottom w:val="single" w:sz="4" w:space="0" w:color="auto"/>
            </w:tcBorders>
            <w:shd w:val="clear" w:color="auto" w:fill="auto"/>
            <w:vAlign w:val="center"/>
          </w:tcPr>
          <w:p w14:paraId="13A8EDB7"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4" w:type="dxa"/>
            <w:tcBorders>
              <w:top w:val="single" w:sz="12" w:space="0" w:color="auto"/>
              <w:bottom w:val="single" w:sz="4" w:space="0" w:color="auto"/>
            </w:tcBorders>
            <w:shd w:val="clear" w:color="auto" w:fill="auto"/>
            <w:vAlign w:val="center"/>
          </w:tcPr>
          <w:p w14:paraId="52B43CB4" w14:textId="2AE8B9AB" w:rsidR="00F0236A" w:rsidRPr="0042750D" w:rsidRDefault="00AB03C7" w:rsidP="00DF36E1">
            <w:pPr>
              <w:pStyle w:val="Tabletext"/>
              <w:jc w:val="center"/>
              <w:rPr>
                <w:b/>
                <w:bCs/>
                <w:sz w:val="24"/>
                <w:szCs w:val="24"/>
              </w:rPr>
            </w:pPr>
            <w:r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67899A35" w14:textId="77777777" w:rsidR="00F0236A" w:rsidRPr="0042750D" w:rsidRDefault="00F0236A" w:rsidP="00DF36E1">
            <w:pPr>
              <w:pStyle w:val="Tabletext"/>
              <w:jc w:val="center"/>
              <w:rPr>
                <w:b/>
                <w:bCs/>
                <w:sz w:val="24"/>
                <w:szCs w:val="24"/>
              </w:rPr>
            </w:pPr>
          </w:p>
        </w:tc>
      </w:tr>
      <w:tr w:rsidR="00F0236A" w:rsidRPr="0042750D" w14:paraId="5787AD24" w14:textId="77777777" w:rsidTr="0085771B">
        <w:trPr>
          <w:cantSplit/>
          <w:jc w:val="center"/>
        </w:trPr>
        <w:tc>
          <w:tcPr>
            <w:tcW w:w="910" w:type="dxa"/>
            <w:vMerge/>
            <w:tcBorders>
              <w:bottom w:val="single" w:sz="12" w:space="0" w:color="auto"/>
            </w:tcBorders>
            <w:shd w:val="clear" w:color="auto" w:fill="auto"/>
          </w:tcPr>
          <w:p w14:paraId="53086A86" w14:textId="77777777" w:rsidR="00F0236A" w:rsidRPr="0042750D"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04EB722C" w14:textId="31471AEC" w:rsidR="00F0236A" w:rsidRPr="0042750D" w:rsidRDefault="00AB03C7" w:rsidP="00BA6717">
            <w:pPr>
              <w:pStyle w:val="Tabletext"/>
              <w:rPr>
                <w:szCs w:val="22"/>
              </w:rPr>
            </w:pPr>
            <w:r w:rsidRPr="0042750D">
              <w:rPr>
                <w:szCs w:val="22"/>
              </w:rPr>
              <w:t>The TSB Secretariat continues to encourage Academia to actively participate in the work of ITU-T including TSAG. Currently 20 rapporteur and vice-rapporteur positions are held by Academia across ITU-T Study Groups. In addition, the TSB Secretariat is engaging Academia in global and regional conferences, workshops and other activities of ITU-T such as Focus Groups</w:t>
            </w:r>
            <w:r w:rsidR="00BA6717" w:rsidRPr="0042750D">
              <w:rPr>
                <w:szCs w:val="22"/>
              </w:rPr>
              <w:t xml:space="preserve"> and submitting research to thte ITU Journal: </w:t>
            </w:r>
            <w:r w:rsidR="00BA6717" w:rsidRPr="0042750D">
              <w:rPr>
                <w:i/>
                <w:szCs w:val="22"/>
              </w:rPr>
              <w:t>ICT Discoveries</w:t>
            </w:r>
            <w:r w:rsidR="00BA6717" w:rsidRPr="0042750D">
              <w:rPr>
                <w:szCs w:val="22"/>
              </w:rPr>
              <w:t xml:space="preserve"> and the Kaleidoscope conferences.</w:t>
            </w:r>
          </w:p>
        </w:tc>
      </w:tr>
      <w:tr w:rsidR="00F0236A" w:rsidRPr="0042750D" w14:paraId="7E457FC4" w14:textId="77777777" w:rsidTr="0085771B">
        <w:trPr>
          <w:cantSplit/>
          <w:jc w:val="center"/>
        </w:trPr>
        <w:tc>
          <w:tcPr>
            <w:tcW w:w="910" w:type="dxa"/>
            <w:vMerge w:val="restart"/>
            <w:tcBorders>
              <w:top w:val="single" w:sz="12" w:space="0" w:color="auto"/>
            </w:tcBorders>
            <w:shd w:val="clear" w:color="auto" w:fill="auto"/>
          </w:tcPr>
          <w:p w14:paraId="0B0A2FE6" w14:textId="1BC0AF81" w:rsidR="00F0236A" w:rsidRPr="0042750D" w:rsidRDefault="00B32E4D" w:rsidP="00DF36E1">
            <w:pPr>
              <w:pStyle w:val="Tabletext"/>
              <w:rPr>
                <w:b/>
                <w:bCs/>
                <w:sz w:val="24"/>
                <w:szCs w:val="24"/>
              </w:rPr>
            </w:pPr>
            <w:r w:rsidRPr="0042750D">
              <w:rPr>
                <w:b/>
                <w:bCs/>
                <w:sz w:val="24"/>
                <w:szCs w:val="24"/>
              </w:rPr>
              <w:t>169-02</w:t>
            </w:r>
          </w:p>
        </w:tc>
        <w:tc>
          <w:tcPr>
            <w:tcW w:w="5216" w:type="dxa"/>
            <w:tcBorders>
              <w:top w:val="single" w:sz="12" w:space="0" w:color="auto"/>
            </w:tcBorders>
            <w:shd w:val="clear" w:color="auto" w:fill="auto"/>
            <w:vAlign w:val="center"/>
            <w:hideMark/>
          </w:tcPr>
          <w:p w14:paraId="20DC3AA9" w14:textId="7808CB6F" w:rsidR="00F0236A" w:rsidRPr="0042750D" w:rsidRDefault="00B32E4D" w:rsidP="00DF36E1">
            <w:pPr>
              <w:pStyle w:val="Tabletext"/>
              <w:rPr>
                <w:b/>
                <w:bCs/>
                <w:sz w:val="24"/>
                <w:szCs w:val="24"/>
              </w:rPr>
            </w:pPr>
            <w:r w:rsidRPr="0042750D">
              <w:rPr>
                <w:b/>
                <w:bCs/>
                <w:sz w:val="24"/>
                <w:szCs w:val="24"/>
              </w:rPr>
              <w:t>TSBDir to continue to organize the Kaleidoscope event annually on a rotational basis, to the greatest extent possible</w:t>
            </w:r>
            <w:r w:rsidR="00B37746" w:rsidRPr="0042750D">
              <w:rPr>
                <w:b/>
                <w:bCs/>
                <w:sz w:val="24"/>
                <w:szCs w:val="24"/>
              </w:rPr>
              <w:t xml:space="preserve"> (</w:t>
            </w:r>
            <w:r w:rsidR="00B37746" w:rsidRPr="0042750D">
              <w:rPr>
                <w:b/>
                <w:bCs/>
                <w:i/>
                <w:sz w:val="24"/>
                <w:szCs w:val="24"/>
              </w:rPr>
              <w:t>instructs</w:t>
            </w:r>
            <w:r w:rsidR="00B37746" w:rsidRPr="0042750D">
              <w:rPr>
                <w:b/>
                <w:bCs/>
                <w:sz w:val="24"/>
                <w:szCs w:val="24"/>
              </w:rPr>
              <w:t>)</w:t>
            </w:r>
            <w:r w:rsidRPr="0042750D">
              <w:rPr>
                <w:b/>
                <w:bCs/>
                <w:sz w:val="24"/>
                <w:szCs w:val="24"/>
              </w:rPr>
              <w:t>.</w:t>
            </w:r>
          </w:p>
        </w:tc>
        <w:tc>
          <w:tcPr>
            <w:tcW w:w="1226" w:type="dxa"/>
            <w:tcBorders>
              <w:top w:val="single" w:sz="12" w:space="0" w:color="auto"/>
            </w:tcBorders>
            <w:shd w:val="clear" w:color="auto" w:fill="auto"/>
            <w:vAlign w:val="center"/>
            <w:hideMark/>
          </w:tcPr>
          <w:p w14:paraId="4A248C13" w14:textId="331BE5D7" w:rsidR="00F0236A" w:rsidRPr="0042750D" w:rsidRDefault="00F0236A" w:rsidP="00710308">
            <w:pPr>
              <w:pStyle w:val="Tabletext"/>
              <w:jc w:val="center"/>
              <w:rPr>
                <w:b/>
                <w:bCs/>
                <w:sz w:val="24"/>
                <w:szCs w:val="24"/>
              </w:rPr>
            </w:pPr>
            <w:r w:rsidRPr="0042750D">
              <w:rPr>
                <w:b/>
                <w:bCs/>
                <w:sz w:val="24"/>
                <w:szCs w:val="24"/>
              </w:rPr>
              <w:t>Ongoing</w:t>
            </w:r>
          </w:p>
        </w:tc>
        <w:tc>
          <w:tcPr>
            <w:tcW w:w="1144" w:type="dxa"/>
            <w:tcBorders>
              <w:top w:val="single" w:sz="12" w:space="0" w:color="auto"/>
            </w:tcBorders>
            <w:shd w:val="clear" w:color="auto" w:fill="auto"/>
            <w:vAlign w:val="center"/>
          </w:tcPr>
          <w:p w14:paraId="771E98A1" w14:textId="2FCC44C5" w:rsidR="00F0236A" w:rsidRPr="0042750D" w:rsidRDefault="0083442F" w:rsidP="00DF36E1">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6BD24F9F" w14:textId="77777777" w:rsidR="00F0236A" w:rsidRPr="0042750D" w:rsidRDefault="00F0236A" w:rsidP="00DF36E1">
            <w:pPr>
              <w:pStyle w:val="Tabletext"/>
              <w:jc w:val="center"/>
              <w:rPr>
                <w:b/>
                <w:bCs/>
                <w:sz w:val="24"/>
                <w:szCs w:val="24"/>
              </w:rPr>
            </w:pPr>
          </w:p>
        </w:tc>
      </w:tr>
      <w:tr w:rsidR="00F0236A" w:rsidRPr="0042750D" w14:paraId="223A0CB9" w14:textId="77777777" w:rsidTr="00DF36E1">
        <w:trPr>
          <w:cantSplit/>
          <w:jc w:val="center"/>
        </w:trPr>
        <w:tc>
          <w:tcPr>
            <w:tcW w:w="910" w:type="dxa"/>
            <w:vMerge/>
            <w:shd w:val="clear" w:color="auto" w:fill="auto"/>
            <w:vAlign w:val="center"/>
          </w:tcPr>
          <w:p w14:paraId="4B438FE4" w14:textId="77777777" w:rsidR="00F0236A" w:rsidRPr="0042750D" w:rsidRDefault="00F0236A" w:rsidP="00DF36E1">
            <w:pPr>
              <w:pStyle w:val="Tabletext"/>
              <w:rPr>
                <w:sz w:val="24"/>
                <w:szCs w:val="24"/>
              </w:rPr>
            </w:pPr>
          </w:p>
        </w:tc>
        <w:tc>
          <w:tcPr>
            <w:tcW w:w="8922" w:type="dxa"/>
            <w:gridSpan w:val="4"/>
            <w:shd w:val="clear" w:color="auto" w:fill="auto"/>
          </w:tcPr>
          <w:p w14:paraId="6E57334F" w14:textId="2D2CBCA3" w:rsidR="0083442F" w:rsidRPr="0042750D" w:rsidRDefault="0083442F" w:rsidP="0083442F">
            <w:pPr>
              <w:pStyle w:val="Tabletext"/>
              <w:rPr>
                <w:rFonts w:eastAsiaTheme="minorHAnsi"/>
                <w:szCs w:val="22"/>
                <w:lang w:eastAsia="en-GB"/>
              </w:rPr>
            </w:pPr>
            <w:r w:rsidRPr="0042750D">
              <w:rPr>
                <w:sz w:val="24"/>
                <w:szCs w:val="24"/>
              </w:rPr>
              <w:t>"</w:t>
            </w:r>
            <w:hyperlink r:id="rId70" w:history="1">
              <w:r w:rsidRPr="0042750D">
                <w:rPr>
                  <w:rStyle w:val="Hyperlink"/>
                </w:rPr>
                <w:t>Kaleidoscope 2018: Machine Learning for a 5G future</w:t>
              </w:r>
            </w:hyperlink>
            <w:r w:rsidRPr="0042750D">
              <w:rPr>
                <w:sz w:val="24"/>
                <w:szCs w:val="24"/>
              </w:rPr>
              <w:t>"</w:t>
            </w:r>
            <w:r w:rsidRPr="0042750D">
              <w:t xml:space="preserve"> was held in Santa Fe, Argentina, on 26-28 November 2018, hosted by Universidad Tecnológica Nacional.</w:t>
            </w:r>
          </w:p>
          <w:p w14:paraId="4DC5EF8A" w14:textId="070A293D" w:rsidR="00F0236A" w:rsidRPr="0042750D" w:rsidRDefault="0083442F" w:rsidP="00BA6717">
            <w:pPr>
              <w:pStyle w:val="Tabletext"/>
            </w:pPr>
            <w:r w:rsidRPr="0042750D">
              <w:t>The 11</w:t>
            </w:r>
            <w:r w:rsidR="00BA6717" w:rsidRPr="0042750D">
              <w:rPr>
                <w:vertAlign w:val="superscript"/>
              </w:rPr>
              <w:t>th</w:t>
            </w:r>
            <w:r w:rsidR="00BA6717" w:rsidRPr="0042750D">
              <w:t xml:space="preserve"> </w:t>
            </w:r>
            <w:r w:rsidRPr="0042750D">
              <w:t xml:space="preserve">edition of Kaleidoscope, </w:t>
            </w:r>
            <w:r w:rsidRPr="0042750D">
              <w:rPr>
                <w:sz w:val="24"/>
                <w:szCs w:val="24"/>
              </w:rPr>
              <w:t>"</w:t>
            </w:r>
            <w:hyperlink r:id="rId71" w:history="1">
              <w:r w:rsidRPr="0042750D">
                <w:rPr>
                  <w:rStyle w:val="Hyperlink"/>
                </w:rPr>
                <w:t>Kaleidoscope 2019: ICT for Health: Networks, standards and innovation</w:t>
              </w:r>
            </w:hyperlink>
            <w:r w:rsidRPr="0042750D">
              <w:rPr>
                <w:sz w:val="24"/>
                <w:szCs w:val="24"/>
              </w:rPr>
              <w:t>"</w:t>
            </w:r>
            <w:r w:rsidRPr="0042750D">
              <w:t xml:space="preserve">, </w:t>
            </w:r>
            <w:r w:rsidR="00220685" w:rsidRPr="0042750D">
              <w:t>took</w:t>
            </w:r>
            <w:r w:rsidRPr="0042750D">
              <w:t xml:space="preserve"> place on 4-6 December 2019 in Atlanta, Georgia, United States, hosted by the Georgia Institute of Technology. Kaleidoscope 2019 </w:t>
            </w:r>
            <w:r w:rsidR="00220685" w:rsidRPr="0042750D">
              <w:t>wa</w:t>
            </w:r>
            <w:r w:rsidRPr="0042750D">
              <w:t xml:space="preserve">s technically co-sponsored by IEEE Communications Society and The Lancet Digital Health, and </w:t>
            </w:r>
            <w:r w:rsidR="00220685" w:rsidRPr="0042750D">
              <w:t>wa</w:t>
            </w:r>
            <w:r w:rsidRPr="0042750D">
              <w:t>s organized in collaboration with the World Health Organization (WHO).</w:t>
            </w:r>
          </w:p>
          <w:p w14:paraId="79F40A3F" w14:textId="59FBED39" w:rsidR="00BA6717" w:rsidRPr="0042750D" w:rsidRDefault="00BA6717" w:rsidP="00BA6717">
            <w:pPr>
              <w:pStyle w:val="Tabletext"/>
              <w:rPr>
                <w:szCs w:val="22"/>
              </w:rPr>
            </w:pPr>
            <w:r w:rsidRPr="0042750D">
              <w:t>The 12</w:t>
            </w:r>
            <w:r w:rsidRPr="0042750D">
              <w:rPr>
                <w:vertAlign w:val="superscript"/>
              </w:rPr>
              <w:t>th</w:t>
            </w:r>
            <w:r w:rsidRPr="0042750D">
              <w:t xml:space="preserve"> edition of the Kaleidoscope conference will be on Industry-driven digital transformation, and will take place in Ha Noi, Viet Nam from 7-9 September 2020, in conjunction with ITU Digital World 2020.</w:t>
            </w:r>
          </w:p>
        </w:tc>
      </w:tr>
    </w:tbl>
    <w:bookmarkStart w:id="192" w:name="Item66_01"/>
    <w:bookmarkStart w:id="193" w:name="Item66_02"/>
    <w:bookmarkEnd w:id="192"/>
    <w:bookmarkEnd w:id="193"/>
    <w:p w14:paraId="2806D62C"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7464C598" w14:textId="22A0AF72" w:rsidR="00F0236A" w:rsidRPr="0042750D" w:rsidRDefault="002F74FA" w:rsidP="00655FC9">
      <w:pPr>
        <w:pStyle w:val="Heading1"/>
        <w:keepNext/>
        <w:keepLines/>
        <w:rPr>
          <w:sz w:val="24"/>
          <w:szCs w:val="24"/>
          <w:lang w:val="en-GB"/>
        </w:rPr>
      </w:pPr>
      <w:bookmarkStart w:id="194" w:name="Resolution_67"/>
      <w:bookmarkStart w:id="195" w:name="_Toc30749172"/>
      <w:bookmarkEnd w:id="194"/>
      <w:r w:rsidRPr="0042750D">
        <w:rPr>
          <w:sz w:val="24"/>
          <w:szCs w:val="24"/>
          <w:lang w:val="en-GB"/>
        </w:rPr>
        <w:t xml:space="preserve">RESOLUTION 170 (REV. BUSAN, 2014) – Admission of Sector Members from </w:t>
      </w:r>
      <w:r w:rsidR="00E8654B" w:rsidRPr="0042750D">
        <w:rPr>
          <w:sz w:val="24"/>
          <w:szCs w:val="24"/>
          <w:lang w:val="en-GB"/>
        </w:rPr>
        <w:t xml:space="preserve">developing countries to </w:t>
      </w:r>
      <w:r w:rsidRPr="0042750D">
        <w:rPr>
          <w:sz w:val="24"/>
          <w:szCs w:val="24"/>
          <w:lang w:val="en-GB"/>
        </w:rPr>
        <w:t>participate in the work of the ITU Radiocommunication Sector and the ITU Telecommunication Standardization Sector</w:t>
      </w:r>
      <w:bookmarkEnd w:id="195"/>
    </w:p>
    <w:p w14:paraId="5D147E17" w14:textId="77777777" w:rsidR="002F74FA" w:rsidRPr="0042750D" w:rsidRDefault="002F74FA" w:rsidP="00655FC9">
      <w:pPr>
        <w:pStyle w:val="Call"/>
        <w:rPr>
          <w:szCs w:val="22"/>
          <w:lang w:val="en-GB"/>
        </w:rPr>
      </w:pPr>
      <w:r w:rsidRPr="0042750D">
        <w:rPr>
          <w:szCs w:val="22"/>
          <w:lang w:val="en-GB"/>
        </w:rPr>
        <w:t>resolves</w:t>
      </w:r>
    </w:p>
    <w:p w14:paraId="76361C28" w14:textId="77777777" w:rsidR="002F74FA" w:rsidRPr="0042750D" w:rsidRDefault="002F74FA" w:rsidP="00655FC9">
      <w:pPr>
        <w:keepNext/>
        <w:keepLines/>
        <w:rPr>
          <w:szCs w:val="22"/>
        </w:rPr>
      </w:pPr>
      <w:r w:rsidRPr="0042750D">
        <w:rPr>
          <w:szCs w:val="22"/>
        </w:rPr>
        <w:t>1</w:t>
      </w:r>
      <w:r w:rsidRPr="0042750D">
        <w:rPr>
          <w:szCs w:val="22"/>
        </w:rPr>
        <w:tab/>
        <w:t>to continue to allow Sector Members from the category of developing countries mentioned above to participate in the work of ITU-R and ITU-T pursuant to the provisions of this resolution;</w:t>
      </w:r>
    </w:p>
    <w:p w14:paraId="14E328A3" w14:textId="77777777" w:rsidR="002F74FA" w:rsidRPr="0042750D" w:rsidRDefault="002F74FA" w:rsidP="002F74FA">
      <w:pPr>
        <w:rPr>
          <w:szCs w:val="22"/>
        </w:rPr>
      </w:pPr>
      <w:r w:rsidRPr="0042750D">
        <w:rPr>
          <w:szCs w:val="22"/>
        </w:rPr>
        <w:t>2</w:t>
      </w:r>
      <w:r w:rsidRPr="0042750D">
        <w:rPr>
          <w:szCs w:val="22"/>
        </w:rPr>
        <w:tab/>
        <w:t>to set the level of financial contribution for such participation at one-sixteenth of the value of a contributory unit for Sector Members for defraying Union expenses;</w:t>
      </w:r>
    </w:p>
    <w:p w14:paraId="09A8FB00" w14:textId="52E1957C" w:rsidR="00F0236A" w:rsidRPr="0042750D" w:rsidRDefault="002F74FA" w:rsidP="002F74FA">
      <w:pPr>
        <w:spacing w:after="240"/>
        <w:rPr>
          <w:szCs w:val="22"/>
        </w:rPr>
      </w:pPr>
      <w:r w:rsidRPr="0042750D">
        <w:rPr>
          <w:szCs w:val="22"/>
        </w:rPr>
        <w:t>3</w:t>
      </w:r>
      <w:r w:rsidRPr="0042750D">
        <w:rPr>
          <w:szCs w:val="22"/>
        </w:rPr>
        <w:tab/>
        <w:t>that acceptance of applications for participation shall be conditional on the support of the Member State to which the Sector Member belongs, on fulfilment of the criterion in the footnote to this resolution by each applicant for membership, and also on the applicant not currently being listed with the Union as a Sector Member contributing the minimum one-half of the value of a contributory unit for Sector Members or as an Associate in the Sector</w:t>
      </w:r>
      <w:r w:rsidR="00F0236A" w:rsidRPr="0042750D">
        <w:rPr>
          <w:szCs w:val="22"/>
        </w:rPr>
        <w:t>.</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288"/>
        <w:gridCol w:w="1226"/>
        <w:gridCol w:w="1164"/>
        <w:gridCol w:w="1336"/>
      </w:tblGrid>
      <w:tr w:rsidR="00F0236A" w:rsidRPr="0042750D" w14:paraId="78998140" w14:textId="77777777" w:rsidTr="008D1AC3">
        <w:trPr>
          <w:jc w:val="center"/>
        </w:trPr>
        <w:tc>
          <w:tcPr>
            <w:tcW w:w="929" w:type="dxa"/>
            <w:tcBorders>
              <w:top w:val="single" w:sz="12" w:space="0" w:color="auto"/>
              <w:bottom w:val="single" w:sz="12" w:space="0" w:color="auto"/>
            </w:tcBorders>
            <w:shd w:val="clear" w:color="auto" w:fill="auto"/>
            <w:vAlign w:val="center"/>
          </w:tcPr>
          <w:p w14:paraId="32B1D238" w14:textId="77777777" w:rsidR="00F0236A" w:rsidRPr="0042750D" w:rsidRDefault="00F0236A" w:rsidP="00DF36E1">
            <w:pPr>
              <w:pStyle w:val="Tablehead"/>
              <w:rPr>
                <w:sz w:val="24"/>
                <w:szCs w:val="24"/>
              </w:rPr>
            </w:pPr>
            <w:r w:rsidRPr="0042750D">
              <w:rPr>
                <w:sz w:val="24"/>
                <w:szCs w:val="24"/>
              </w:rPr>
              <w:t>Action Item</w:t>
            </w:r>
          </w:p>
        </w:tc>
        <w:tc>
          <w:tcPr>
            <w:tcW w:w="5288" w:type="dxa"/>
            <w:tcBorders>
              <w:top w:val="single" w:sz="12" w:space="0" w:color="auto"/>
              <w:bottom w:val="single" w:sz="12" w:space="0" w:color="auto"/>
            </w:tcBorders>
            <w:shd w:val="clear" w:color="auto" w:fill="auto"/>
            <w:vAlign w:val="center"/>
            <w:hideMark/>
          </w:tcPr>
          <w:p w14:paraId="6ADA700E" w14:textId="77777777" w:rsidR="00F0236A" w:rsidRPr="0042750D" w:rsidRDefault="00F0236A" w:rsidP="00DF36E1">
            <w:pPr>
              <w:pStyle w:val="Tablehead"/>
              <w:rPr>
                <w:sz w:val="24"/>
                <w:szCs w:val="24"/>
              </w:rPr>
            </w:pPr>
            <w:r w:rsidRPr="0042750D">
              <w:rPr>
                <w:sz w:val="24"/>
                <w:szCs w:val="24"/>
              </w:rPr>
              <w:t>Action</w:t>
            </w:r>
          </w:p>
        </w:tc>
        <w:tc>
          <w:tcPr>
            <w:tcW w:w="1226" w:type="dxa"/>
            <w:tcBorders>
              <w:top w:val="single" w:sz="12" w:space="0" w:color="auto"/>
              <w:bottom w:val="single" w:sz="12" w:space="0" w:color="auto"/>
            </w:tcBorders>
            <w:shd w:val="clear" w:color="auto" w:fill="auto"/>
            <w:vAlign w:val="center"/>
            <w:hideMark/>
          </w:tcPr>
          <w:p w14:paraId="5909AE63" w14:textId="77777777" w:rsidR="00F0236A" w:rsidRPr="0042750D" w:rsidRDefault="00F0236A" w:rsidP="00DF36E1">
            <w:pPr>
              <w:pStyle w:val="Tablehead"/>
              <w:rPr>
                <w:sz w:val="24"/>
                <w:szCs w:val="24"/>
              </w:rPr>
            </w:pPr>
            <w:r w:rsidRPr="0042750D">
              <w:rPr>
                <w:sz w:val="24"/>
                <w:szCs w:val="24"/>
              </w:rPr>
              <w:t>Milestone</w:t>
            </w:r>
          </w:p>
        </w:tc>
        <w:tc>
          <w:tcPr>
            <w:tcW w:w="1164" w:type="dxa"/>
            <w:tcBorders>
              <w:top w:val="single" w:sz="12" w:space="0" w:color="auto"/>
              <w:bottom w:val="single" w:sz="12" w:space="0" w:color="auto"/>
            </w:tcBorders>
            <w:shd w:val="clear" w:color="auto" w:fill="auto"/>
          </w:tcPr>
          <w:p w14:paraId="6373FBFB" w14:textId="77777777" w:rsidR="00F0236A" w:rsidRPr="0042750D" w:rsidRDefault="00F0236A" w:rsidP="00DF36E1">
            <w:pPr>
              <w:pStyle w:val="Tablehead"/>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396BB39"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14E2E96A" w14:textId="77777777" w:rsidTr="0085771B">
        <w:trPr>
          <w:cantSplit/>
          <w:jc w:val="center"/>
        </w:trPr>
        <w:tc>
          <w:tcPr>
            <w:tcW w:w="929" w:type="dxa"/>
            <w:vMerge w:val="restart"/>
            <w:tcBorders>
              <w:top w:val="single" w:sz="12" w:space="0" w:color="auto"/>
            </w:tcBorders>
            <w:shd w:val="clear" w:color="auto" w:fill="auto"/>
          </w:tcPr>
          <w:p w14:paraId="340064B8" w14:textId="75A8B7FC" w:rsidR="00F0236A" w:rsidRPr="0042750D" w:rsidRDefault="00F718C6" w:rsidP="00DF36E1">
            <w:pPr>
              <w:pStyle w:val="Tabletext"/>
              <w:rPr>
                <w:b/>
                <w:bCs/>
                <w:sz w:val="24"/>
                <w:szCs w:val="24"/>
              </w:rPr>
            </w:pPr>
            <w:r w:rsidRPr="0042750D">
              <w:rPr>
                <w:b/>
                <w:bCs/>
                <w:sz w:val="24"/>
                <w:szCs w:val="24"/>
              </w:rPr>
              <w:t>170</w:t>
            </w:r>
            <w:r w:rsidR="00F0236A" w:rsidRPr="0042750D">
              <w:rPr>
                <w:b/>
                <w:bCs/>
                <w:sz w:val="24"/>
                <w:szCs w:val="24"/>
              </w:rPr>
              <w:t>-01</w:t>
            </w:r>
          </w:p>
        </w:tc>
        <w:tc>
          <w:tcPr>
            <w:tcW w:w="5288" w:type="dxa"/>
            <w:tcBorders>
              <w:top w:val="single" w:sz="12" w:space="0" w:color="auto"/>
              <w:bottom w:val="single" w:sz="2" w:space="0" w:color="auto"/>
            </w:tcBorders>
            <w:shd w:val="clear" w:color="auto" w:fill="auto"/>
          </w:tcPr>
          <w:p w14:paraId="0E24B30D" w14:textId="3C438780" w:rsidR="00F0236A" w:rsidRPr="0042750D" w:rsidRDefault="00895B2E" w:rsidP="004902FD">
            <w:pPr>
              <w:pStyle w:val="Tabletext"/>
              <w:rPr>
                <w:b/>
                <w:bCs/>
                <w:sz w:val="24"/>
                <w:szCs w:val="24"/>
              </w:rPr>
            </w:pPr>
            <w:r w:rsidRPr="0042750D">
              <w:rPr>
                <w:b/>
                <w:bCs/>
                <w:sz w:val="24"/>
                <w:szCs w:val="24"/>
              </w:rPr>
              <w:t>TSB</w:t>
            </w:r>
            <w:r w:rsidR="004902FD" w:rsidRPr="0042750D">
              <w:rPr>
                <w:b/>
                <w:bCs/>
                <w:sz w:val="24"/>
                <w:szCs w:val="24"/>
              </w:rPr>
              <w:t>D</w:t>
            </w:r>
            <w:r w:rsidRPr="0042750D">
              <w:rPr>
                <w:b/>
                <w:bCs/>
                <w:sz w:val="24"/>
                <w:szCs w:val="24"/>
              </w:rPr>
              <w:t>ir to a</w:t>
            </w:r>
            <w:r w:rsidR="00F718C6" w:rsidRPr="0042750D">
              <w:rPr>
                <w:b/>
                <w:bCs/>
                <w:sz w:val="24"/>
                <w:szCs w:val="24"/>
              </w:rPr>
              <w:t>pply new modalities for admission of S</w:t>
            </w:r>
            <w:r w:rsidRPr="0042750D">
              <w:rPr>
                <w:b/>
                <w:bCs/>
                <w:sz w:val="24"/>
                <w:szCs w:val="24"/>
              </w:rPr>
              <w:t>ector Members</w:t>
            </w:r>
            <w:r w:rsidR="00F718C6" w:rsidRPr="0042750D">
              <w:rPr>
                <w:b/>
                <w:bCs/>
                <w:sz w:val="24"/>
                <w:szCs w:val="24"/>
              </w:rPr>
              <w:t xml:space="preserve"> from developing countries</w:t>
            </w:r>
            <w:r w:rsidR="00B37746" w:rsidRPr="0042750D">
              <w:rPr>
                <w:b/>
                <w:bCs/>
                <w:sz w:val="24"/>
                <w:szCs w:val="24"/>
              </w:rPr>
              <w:t xml:space="preserve"> (</w:t>
            </w:r>
            <w:r w:rsidR="00B37746" w:rsidRPr="0042750D">
              <w:rPr>
                <w:b/>
                <w:bCs/>
                <w:i/>
                <w:sz w:val="24"/>
                <w:szCs w:val="24"/>
              </w:rPr>
              <w:t>resolves 1</w:t>
            </w:r>
            <w:r w:rsidR="00B37746" w:rsidRPr="0042750D">
              <w:rPr>
                <w:b/>
                <w:bCs/>
                <w:sz w:val="24"/>
                <w:szCs w:val="24"/>
              </w:rPr>
              <w:t>)</w:t>
            </w:r>
            <w:r w:rsidR="00F718C6" w:rsidRPr="0042750D">
              <w:rPr>
                <w:b/>
                <w:bCs/>
                <w:sz w:val="24"/>
                <w:szCs w:val="24"/>
              </w:rPr>
              <w:t>.</w:t>
            </w:r>
          </w:p>
        </w:tc>
        <w:tc>
          <w:tcPr>
            <w:tcW w:w="1226" w:type="dxa"/>
            <w:tcBorders>
              <w:top w:val="single" w:sz="12" w:space="0" w:color="auto"/>
              <w:bottom w:val="single" w:sz="2" w:space="0" w:color="auto"/>
            </w:tcBorders>
            <w:shd w:val="clear" w:color="auto" w:fill="auto"/>
            <w:vAlign w:val="center"/>
          </w:tcPr>
          <w:p w14:paraId="30F5A2C9"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64" w:type="dxa"/>
            <w:tcBorders>
              <w:top w:val="single" w:sz="12" w:space="0" w:color="auto"/>
              <w:bottom w:val="single" w:sz="2" w:space="0" w:color="auto"/>
            </w:tcBorders>
            <w:shd w:val="clear" w:color="auto" w:fill="auto"/>
            <w:vAlign w:val="center"/>
          </w:tcPr>
          <w:p w14:paraId="5A72C12D" w14:textId="20D5190F" w:rsidR="00F0236A" w:rsidRPr="0042750D"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7F69B21C" w14:textId="77777777" w:rsidR="00F0236A" w:rsidRPr="0042750D" w:rsidRDefault="00F0236A" w:rsidP="00DF36E1">
            <w:pPr>
              <w:pStyle w:val="Tabletext"/>
              <w:jc w:val="center"/>
              <w:rPr>
                <w:b/>
                <w:bCs/>
                <w:sz w:val="24"/>
                <w:szCs w:val="24"/>
              </w:rPr>
            </w:pPr>
          </w:p>
        </w:tc>
      </w:tr>
      <w:tr w:rsidR="00F0236A" w:rsidRPr="0042750D" w14:paraId="4A0B76A6" w14:textId="77777777" w:rsidTr="0085771B">
        <w:trPr>
          <w:cantSplit/>
          <w:jc w:val="center"/>
        </w:trPr>
        <w:tc>
          <w:tcPr>
            <w:tcW w:w="929" w:type="dxa"/>
            <w:vMerge/>
            <w:tcBorders>
              <w:bottom w:val="single" w:sz="12" w:space="0" w:color="auto"/>
            </w:tcBorders>
            <w:shd w:val="clear" w:color="auto" w:fill="auto"/>
          </w:tcPr>
          <w:p w14:paraId="60214A1E" w14:textId="77777777" w:rsidR="00F0236A" w:rsidRPr="0042750D" w:rsidRDefault="00F0236A" w:rsidP="00DF36E1">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78254D17" w14:textId="2A2F2034" w:rsidR="00F0236A" w:rsidRPr="0042750D" w:rsidRDefault="00F0236A">
            <w:pPr>
              <w:pStyle w:val="Tabletext"/>
              <w:rPr>
                <w:szCs w:val="22"/>
              </w:rPr>
            </w:pPr>
          </w:p>
        </w:tc>
      </w:tr>
    </w:tbl>
    <w:bookmarkStart w:id="196" w:name="Item67_01"/>
    <w:bookmarkStart w:id="197" w:name="Item67_02"/>
    <w:bookmarkStart w:id="198" w:name="Item67_03"/>
    <w:bookmarkStart w:id="199" w:name="Item67_04"/>
    <w:bookmarkStart w:id="200" w:name="Item67_05"/>
    <w:bookmarkStart w:id="201" w:name="Item67_06"/>
    <w:bookmarkStart w:id="202" w:name="Item67_07"/>
    <w:bookmarkStart w:id="203" w:name="Item67_08"/>
    <w:bookmarkEnd w:id="196"/>
    <w:bookmarkEnd w:id="197"/>
    <w:bookmarkEnd w:id="198"/>
    <w:bookmarkEnd w:id="199"/>
    <w:bookmarkEnd w:id="200"/>
    <w:bookmarkEnd w:id="201"/>
    <w:bookmarkEnd w:id="202"/>
    <w:bookmarkEnd w:id="203"/>
    <w:p w14:paraId="5F2DA8F2"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1001D9D6" w14:textId="03BA7B70" w:rsidR="00F0236A" w:rsidRPr="0042750D" w:rsidRDefault="00F21C5F" w:rsidP="00AB1E12">
      <w:pPr>
        <w:pStyle w:val="Heading1"/>
        <w:rPr>
          <w:sz w:val="24"/>
          <w:szCs w:val="24"/>
          <w:lang w:val="en-GB"/>
        </w:rPr>
      </w:pPr>
      <w:bookmarkStart w:id="204" w:name="Resolution_68"/>
      <w:bookmarkStart w:id="205" w:name="_Toc30749173"/>
      <w:bookmarkEnd w:id="204"/>
      <w:r w:rsidRPr="0042750D">
        <w:rPr>
          <w:sz w:val="24"/>
          <w:szCs w:val="24"/>
          <w:lang w:val="en-GB"/>
        </w:rPr>
        <w:t>RESOLUTION 174 (REV. BUSAN, 2014) – ITU's role with regard to international public policy issues relating to the risk of illicit use of information and communication technologies</w:t>
      </w:r>
      <w:bookmarkEnd w:id="205"/>
    </w:p>
    <w:p w14:paraId="67C3AC01" w14:textId="77777777" w:rsidR="00F21C5F" w:rsidRPr="0042750D" w:rsidRDefault="00F21C5F" w:rsidP="00F21C5F">
      <w:pPr>
        <w:pStyle w:val="Call"/>
        <w:rPr>
          <w:szCs w:val="22"/>
          <w:lang w:val="en-GB"/>
        </w:rPr>
      </w:pPr>
      <w:r w:rsidRPr="0042750D">
        <w:rPr>
          <w:szCs w:val="22"/>
          <w:lang w:val="en-GB"/>
        </w:rPr>
        <w:t>resolves to instruct the Secretary-General</w:t>
      </w:r>
    </w:p>
    <w:p w14:paraId="58AA89C3" w14:textId="77777777" w:rsidR="00F21C5F" w:rsidRPr="0042750D" w:rsidRDefault="00F21C5F" w:rsidP="00F21C5F">
      <w:pPr>
        <w:rPr>
          <w:szCs w:val="22"/>
        </w:rPr>
      </w:pPr>
      <w:r w:rsidRPr="0042750D">
        <w:rPr>
          <w:szCs w:val="22"/>
        </w:rPr>
        <w:t>to take the necessary measures in order to:</w:t>
      </w:r>
    </w:p>
    <w:p w14:paraId="2173F128" w14:textId="77777777" w:rsidR="00F21C5F" w:rsidRPr="0042750D" w:rsidRDefault="00F21C5F" w:rsidP="00F21C5F">
      <w:pPr>
        <w:pStyle w:val="enumlev10"/>
        <w:rPr>
          <w:szCs w:val="22"/>
        </w:rPr>
      </w:pPr>
      <w:r w:rsidRPr="0042750D">
        <w:rPr>
          <w:szCs w:val="22"/>
        </w:rPr>
        <w:t>i)</w:t>
      </w:r>
      <w:r w:rsidRPr="0042750D">
        <w:rPr>
          <w:szCs w:val="22"/>
        </w:rPr>
        <w:tab/>
        <w:t>raise the awareness of Member States regarding the adverse impact that may result from the illicit use of information and communication resources;</w:t>
      </w:r>
    </w:p>
    <w:p w14:paraId="77F753E9" w14:textId="77777777" w:rsidR="00F21C5F" w:rsidRPr="0042750D" w:rsidRDefault="00F21C5F" w:rsidP="00F21C5F">
      <w:pPr>
        <w:pStyle w:val="enumlev10"/>
        <w:rPr>
          <w:szCs w:val="22"/>
        </w:rPr>
      </w:pPr>
      <w:r w:rsidRPr="0042750D">
        <w:rPr>
          <w:szCs w:val="22"/>
        </w:rPr>
        <w:t>ii)</w:t>
      </w:r>
      <w:r w:rsidRPr="0042750D">
        <w:rPr>
          <w:szCs w:val="22"/>
        </w:rPr>
        <w:tab/>
        <w:t>maintain the role of ITU to cooperate within its mandate with other United Nations bodies in combating the illicit use of ICTs;</w:t>
      </w:r>
    </w:p>
    <w:p w14:paraId="665AFD51" w14:textId="77777777" w:rsidR="00F21C5F" w:rsidRPr="0042750D" w:rsidRDefault="00F21C5F" w:rsidP="00F21C5F">
      <w:pPr>
        <w:pStyle w:val="enumlev10"/>
        <w:rPr>
          <w:szCs w:val="22"/>
        </w:rPr>
      </w:pPr>
      <w:r w:rsidRPr="0042750D">
        <w:rPr>
          <w:szCs w:val="22"/>
        </w:rPr>
        <w:t>iii)</w:t>
      </w:r>
      <w:r w:rsidRPr="0042750D">
        <w:rPr>
          <w:szCs w:val="22"/>
        </w:rPr>
        <w:tab/>
        <w:t>inform the Secretary-General of the United Nations about the activities undertaken by ITU in implementing this resolution and relevant ITU recommendations in this regard;</w:t>
      </w:r>
    </w:p>
    <w:p w14:paraId="760F4F14" w14:textId="77777777" w:rsidR="00F21C5F" w:rsidRPr="0042750D" w:rsidRDefault="00F21C5F" w:rsidP="00F21C5F">
      <w:pPr>
        <w:pStyle w:val="enumlev10"/>
        <w:rPr>
          <w:szCs w:val="22"/>
        </w:rPr>
      </w:pPr>
      <w:r w:rsidRPr="0042750D">
        <w:rPr>
          <w:szCs w:val="22"/>
        </w:rPr>
        <w:t>iv)</w:t>
      </w:r>
      <w:r w:rsidRPr="0042750D">
        <w:rPr>
          <w:szCs w:val="22"/>
        </w:rPr>
        <w:tab/>
        <w:t>continue to raise awareness, within the mandate of ITU, of the need to mitigate the risks and related threats posed by illicit use of ICTs, and continue to promote cooperation among appropriate international and regional organizations,</w:t>
      </w:r>
    </w:p>
    <w:p w14:paraId="4459AF2C" w14:textId="77777777" w:rsidR="00F21C5F" w:rsidRPr="0042750D" w:rsidRDefault="00F21C5F" w:rsidP="00F21C5F">
      <w:pPr>
        <w:pStyle w:val="Call"/>
        <w:rPr>
          <w:szCs w:val="22"/>
          <w:lang w:val="en-GB"/>
        </w:rPr>
      </w:pPr>
      <w:r w:rsidRPr="0042750D">
        <w:rPr>
          <w:szCs w:val="22"/>
          <w:lang w:val="en-GB"/>
        </w:rPr>
        <w:t xml:space="preserve">requests the Secretary-General </w:t>
      </w:r>
    </w:p>
    <w:p w14:paraId="61A546A0" w14:textId="2F0496A3" w:rsidR="00F0236A" w:rsidRPr="0042750D" w:rsidRDefault="00F21C5F" w:rsidP="00F21C5F">
      <w:pPr>
        <w:spacing w:after="240"/>
        <w:rPr>
          <w:szCs w:val="22"/>
        </w:rPr>
      </w:pPr>
      <w:r w:rsidRPr="0042750D">
        <w:rPr>
          <w:szCs w:val="22"/>
        </w:rPr>
        <w:t>in his capacity as facilitator for Action Line C5 on building confidence and security in the use of ICTs, to organize international and regional meetings and dialogue of Member States and relevant ICT stakeholders, including geospatial and information service providers, for discussing alternative approaches to solutions and opportunities for regional and global cooperation to address and prevent the illicit application of ICTs, while taking into consideration the overall interests of the ICT industry</w:t>
      </w:r>
      <w:r w:rsidR="00F0236A" w:rsidRPr="0042750D">
        <w:rPr>
          <w:szCs w:val="22"/>
        </w:rPr>
        <w:t>.</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4968"/>
        <w:gridCol w:w="1347"/>
        <w:gridCol w:w="1168"/>
        <w:gridCol w:w="1338"/>
      </w:tblGrid>
      <w:tr w:rsidR="00F0236A" w:rsidRPr="0042750D" w14:paraId="4EF9B61F" w14:textId="77777777" w:rsidTr="00895B2E">
        <w:trPr>
          <w:jc w:val="center"/>
        </w:trPr>
        <w:tc>
          <w:tcPr>
            <w:tcW w:w="930" w:type="dxa"/>
            <w:tcBorders>
              <w:top w:val="single" w:sz="12" w:space="0" w:color="auto"/>
              <w:bottom w:val="single" w:sz="12" w:space="0" w:color="auto"/>
            </w:tcBorders>
            <w:shd w:val="clear" w:color="auto" w:fill="auto"/>
            <w:vAlign w:val="center"/>
          </w:tcPr>
          <w:p w14:paraId="1C934736" w14:textId="77777777" w:rsidR="00F0236A" w:rsidRPr="0042750D" w:rsidRDefault="00F0236A" w:rsidP="00043514">
            <w:pPr>
              <w:pStyle w:val="Tablehead"/>
              <w:keepNext w:val="0"/>
              <w:rPr>
                <w:sz w:val="24"/>
                <w:szCs w:val="24"/>
              </w:rPr>
            </w:pPr>
            <w:r w:rsidRPr="0042750D">
              <w:rPr>
                <w:sz w:val="24"/>
                <w:szCs w:val="24"/>
              </w:rPr>
              <w:t>Action Item</w:t>
            </w:r>
          </w:p>
        </w:tc>
        <w:tc>
          <w:tcPr>
            <w:tcW w:w="4968" w:type="dxa"/>
            <w:tcBorders>
              <w:top w:val="single" w:sz="12" w:space="0" w:color="auto"/>
              <w:bottom w:val="single" w:sz="12" w:space="0" w:color="auto"/>
            </w:tcBorders>
            <w:shd w:val="clear" w:color="auto" w:fill="auto"/>
            <w:vAlign w:val="center"/>
            <w:hideMark/>
          </w:tcPr>
          <w:p w14:paraId="591FA959" w14:textId="77777777" w:rsidR="00F0236A" w:rsidRPr="0042750D" w:rsidRDefault="00F0236A" w:rsidP="00DF36E1">
            <w:pPr>
              <w:pStyle w:val="Tablehead"/>
              <w:rPr>
                <w:sz w:val="24"/>
                <w:szCs w:val="24"/>
              </w:rPr>
            </w:pPr>
            <w:r w:rsidRPr="0042750D">
              <w:rPr>
                <w:sz w:val="24"/>
                <w:szCs w:val="24"/>
              </w:rPr>
              <w:t>Action</w:t>
            </w:r>
          </w:p>
        </w:tc>
        <w:tc>
          <w:tcPr>
            <w:tcW w:w="1347" w:type="dxa"/>
            <w:tcBorders>
              <w:top w:val="single" w:sz="12" w:space="0" w:color="auto"/>
              <w:bottom w:val="single" w:sz="12" w:space="0" w:color="auto"/>
            </w:tcBorders>
            <w:shd w:val="clear" w:color="auto" w:fill="auto"/>
            <w:vAlign w:val="center"/>
            <w:hideMark/>
          </w:tcPr>
          <w:p w14:paraId="2EB0A728" w14:textId="77777777" w:rsidR="00F0236A" w:rsidRPr="0042750D" w:rsidRDefault="00F0236A" w:rsidP="00DF36E1">
            <w:pPr>
              <w:pStyle w:val="Tablehead"/>
              <w:rPr>
                <w:sz w:val="24"/>
                <w:szCs w:val="24"/>
              </w:rPr>
            </w:pPr>
            <w:r w:rsidRPr="0042750D">
              <w:rPr>
                <w:sz w:val="24"/>
                <w:szCs w:val="24"/>
              </w:rPr>
              <w:t>Milestone</w:t>
            </w:r>
          </w:p>
        </w:tc>
        <w:tc>
          <w:tcPr>
            <w:tcW w:w="1168" w:type="dxa"/>
            <w:tcBorders>
              <w:top w:val="single" w:sz="12" w:space="0" w:color="auto"/>
              <w:bottom w:val="single" w:sz="12" w:space="0" w:color="auto"/>
            </w:tcBorders>
            <w:shd w:val="clear" w:color="auto" w:fill="auto"/>
          </w:tcPr>
          <w:p w14:paraId="4A096B9E"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6726E2E"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06DCFD43" w14:textId="77777777" w:rsidTr="00895B2E">
        <w:trPr>
          <w:jc w:val="center"/>
        </w:trPr>
        <w:tc>
          <w:tcPr>
            <w:tcW w:w="930" w:type="dxa"/>
            <w:vMerge w:val="restart"/>
            <w:tcBorders>
              <w:top w:val="single" w:sz="12" w:space="0" w:color="auto"/>
            </w:tcBorders>
            <w:shd w:val="clear" w:color="auto" w:fill="auto"/>
          </w:tcPr>
          <w:p w14:paraId="5CCCB42D" w14:textId="5EBF52EC" w:rsidR="00F0236A" w:rsidRPr="0042750D" w:rsidRDefault="00F21C5F" w:rsidP="00DF36E1">
            <w:pPr>
              <w:pStyle w:val="Tabletext"/>
              <w:rPr>
                <w:b/>
                <w:bCs/>
                <w:sz w:val="24"/>
                <w:szCs w:val="24"/>
              </w:rPr>
            </w:pPr>
            <w:r w:rsidRPr="0042750D">
              <w:rPr>
                <w:b/>
                <w:bCs/>
                <w:sz w:val="24"/>
                <w:szCs w:val="24"/>
              </w:rPr>
              <w:t>174</w:t>
            </w:r>
            <w:r w:rsidR="00F0236A" w:rsidRPr="0042750D">
              <w:rPr>
                <w:b/>
                <w:bCs/>
                <w:sz w:val="24"/>
                <w:szCs w:val="24"/>
              </w:rPr>
              <w:t>-01</w:t>
            </w:r>
          </w:p>
        </w:tc>
        <w:tc>
          <w:tcPr>
            <w:tcW w:w="4968" w:type="dxa"/>
            <w:tcBorders>
              <w:top w:val="single" w:sz="12" w:space="0" w:color="auto"/>
              <w:bottom w:val="single" w:sz="2" w:space="0" w:color="auto"/>
            </w:tcBorders>
            <w:shd w:val="clear" w:color="auto" w:fill="auto"/>
            <w:hideMark/>
          </w:tcPr>
          <w:p w14:paraId="34291849" w14:textId="37276EEB" w:rsidR="00F0236A" w:rsidRPr="0042750D" w:rsidRDefault="00895B2E" w:rsidP="00B37746">
            <w:pPr>
              <w:pStyle w:val="Tabletext"/>
              <w:rPr>
                <w:b/>
                <w:bCs/>
                <w:sz w:val="24"/>
                <w:szCs w:val="24"/>
              </w:rPr>
            </w:pPr>
            <w:r w:rsidRPr="0042750D">
              <w:rPr>
                <w:b/>
                <w:bCs/>
                <w:sz w:val="24"/>
                <w:szCs w:val="24"/>
              </w:rPr>
              <w:t>TSBDir to r</w:t>
            </w:r>
            <w:r w:rsidR="00F21C5F" w:rsidRPr="0042750D">
              <w:rPr>
                <w:b/>
                <w:bCs/>
                <w:sz w:val="24"/>
                <w:szCs w:val="24"/>
              </w:rPr>
              <w:t>aise awareness of M</w:t>
            </w:r>
            <w:r w:rsidRPr="0042750D">
              <w:rPr>
                <w:b/>
                <w:bCs/>
                <w:sz w:val="24"/>
                <w:szCs w:val="24"/>
              </w:rPr>
              <w:t>ember States</w:t>
            </w:r>
            <w:r w:rsidR="00F21C5F" w:rsidRPr="0042750D">
              <w:rPr>
                <w:b/>
                <w:bCs/>
                <w:sz w:val="24"/>
                <w:szCs w:val="24"/>
              </w:rPr>
              <w:t xml:space="preserve"> regarding adverse impact that may result from the illicit use of info and communication resources</w:t>
            </w:r>
            <w:r w:rsidR="00B37746" w:rsidRPr="0042750D">
              <w:rPr>
                <w:b/>
                <w:bCs/>
                <w:sz w:val="24"/>
                <w:szCs w:val="24"/>
              </w:rPr>
              <w:t xml:space="preserve"> (</w:t>
            </w:r>
            <w:r w:rsidR="00B37746" w:rsidRPr="0042750D">
              <w:rPr>
                <w:b/>
                <w:bCs/>
                <w:i/>
                <w:sz w:val="24"/>
                <w:szCs w:val="24"/>
              </w:rPr>
              <w:t>resolves i</w:t>
            </w:r>
            <w:r w:rsidR="00B37746" w:rsidRPr="0042750D">
              <w:rPr>
                <w:b/>
                <w:bCs/>
                <w:sz w:val="24"/>
                <w:szCs w:val="24"/>
              </w:rPr>
              <w:t>)</w:t>
            </w:r>
            <w:r w:rsidR="00F21C5F" w:rsidRPr="0042750D">
              <w:rPr>
                <w:b/>
                <w:bCs/>
                <w:sz w:val="24"/>
                <w:szCs w:val="24"/>
              </w:rPr>
              <w:t>.</w:t>
            </w:r>
          </w:p>
        </w:tc>
        <w:tc>
          <w:tcPr>
            <w:tcW w:w="1347" w:type="dxa"/>
            <w:tcBorders>
              <w:top w:val="single" w:sz="12" w:space="0" w:color="auto"/>
              <w:bottom w:val="single" w:sz="2" w:space="0" w:color="auto"/>
            </w:tcBorders>
            <w:shd w:val="clear" w:color="auto" w:fill="auto"/>
            <w:vAlign w:val="center"/>
            <w:hideMark/>
          </w:tcPr>
          <w:p w14:paraId="27957E9D" w14:textId="77777777" w:rsidR="00F0236A" w:rsidRPr="0042750D" w:rsidRDefault="00F0236A" w:rsidP="00DF36E1">
            <w:pPr>
              <w:pStyle w:val="Tabletext"/>
              <w:keepNext/>
              <w:keepLines/>
              <w:jc w:val="center"/>
              <w:rPr>
                <w:b/>
                <w:bCs/>
                <w:sz w:val="24"/>
                <w:szCs w:val="24"/>
              </w:rPr>
            </w:pPr>
            <w:r w:rsidRPr="0042750D">
              <w:rPr>
                <w:b/>
                <w:bCs/>
                <w:sz w:val="24"/>
                <w:szCs w:val="24"/>
              </w:rPr>
              <w:t>Ongoing</w:t>
            </w:r>
          </w:p>
        </w:tc>
        <w:tc>
          <w:tcPr>
            <w:tcW w:w="1168" w:type="dxa"/>
            <w:tcBorders>
              <w:top w:val="single" w:sz="12" w:space="0" w:color="auto"/>
              <w:bottom w:val="single" w:sz="2" w:space="0" w:color="auto"/>
            </w:tcBorders>
            <w:shd w:val="clear" w:color="auto" w:fill="auto"/>
            <w:vAlign w:val="center"/>
          </w:tcPr>
          <w:p w14:paraId="2D271B90" w14:textId="2BC1E0CA" w:rsidR="00F0236A" w:rsidRPr="0042750D" w:rsidRDefault="00F0236A" w:rsidP="00DF36E1">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50592493" w14:textId="77777777" w:rsidR="00F0236A" w:rsidRPr="0042750D" w:rsidRDefault="00F0236A" w:rsidP="00DF36E1">
            <w:pPr>
              <w:pStyle w:val="Tabletext"/>
              <w:keepNext/>
              <w:keepLines/>
              <w:jc w:val="center"/>
              <w:rPr>
                <w:b/>
                <w:bCs/>
                <w:sz w:val="24"/>
                <w:szCs w:val="24"/>
              </w:rPr>
            </w:pPr>
          </w:p>
        </w:tc>
      </w:tr>
      <w:tr w:rsidR="00F0236A" w:rsidRPr="0042750D" w14:paraId="0751EE23" w14:textId="77777777" w:rsidTr="00DC797E">
        <w:trPr>
          <w:jc w:val="center"/>
        </w:trPr>
        <w:tc>
          <w:tcPr>
            <w:tcW w:w="930" w:type="dxa"/>
            <w:vMerge/>
            <w:tcBorders>
              <w:top w:val="single" w:sz="12" w:space="0" w:color="auto"/>
            </w:tcBorders>
            <w:shd w:val="clear" w:color="auto" w:fill="auto"/>
          </w:tcPr>
          <w:p w14:paraId="66ECAF5B" w14:textId="77777777" w:rsidR="00F0236A" w:rsidRPr="0042750D" w:rsidDel="005B0E69" w:rsidRDefault="00F0236A" w:rsidP="00DF36E1">
            <w:pPr>
              <w:pStyle w:val="Tabletext"/>
              <w:rPr>
                <w:b/>
                <w:bCs/>
                <w:sz w:val="24"/>
                <w:szCs w:val="24"/>
              </w:rPr>
            </w:pPr>
          </w:p>
        </w:tc>
        <w:tc>
          <w:tcPr>
            <w:tcW w:w="8821" w:type="dxa"/>
            <w:gridSpan w:val="4"/>
            <w:tcBorders>
              <w:top w:val="single" w:sz="2" w:space="0" w:color="auto"/>
              <w:bottom w:val="single" w:sz="12" w:space="0" w:color="auto"/>
            </w:tcBorders>
            <w:shd w:val="clear" w:color="auto" w:fill="auto"/>
          </w:tcPr>
          <w:p w14:paraId="71208317" w14:textId="6CDD053E" w:rsidR="00F0236A" w:rsidRPr="0042750D" w:rsidRDefault="00F0236A" w:rsidP="00A77FF1">
            <w:pPr>
              <w:spacing w:before="40" w:after="40"/>
              <w:rPr>
                <w:rFonts w:asciiTheme="majorBidi" w:hAnsiTheme="majorBidi" w:cstheme="majorBidi"/>
                <w:color w:val="000000"/>
              </w:rPr>
            </w:pPr>
          </w:p>
        </w:tc>
      </w:tr>
      <w:tr w:rsidR="00895B2E" w:rsidRPr="0042750D" w14:paraId="59BE6948" w14:textId="77777777" w:rsidTr="00895B2E">
        <w:trPr>
          <w:jc w:val="center"/>
        </w:trPr>
        <w:tc>
          <w:tcPr>
            <w:tcW w:w="930" w:type="dxa"/>
            <w:vMerge w:val="restart"/>
            <w:tcBorders>
              <w:top w:val="single" w:sz="12" w:space="0" w:color="auto"/>
            </w:tcBorders>
            <w:shd w:val="clear" w:color="auto" w:fill="auto"/>
          </w:tcPr>
          <w:p w14:paraId="0D4CCCDD" w14:textId="3B7A9F0A" w:rsidR="00895B2E" w:rsidRPr="0042750D" w:rsidRDefault="00895B2E" w:rsidP="002D123F">
            <w:pPr>
              <w:pStyle w:val="Tabletext"/>
              <w:keepNext/>
              <w:keepLines/>
              <w:rPr>
                <w:b/>
                <w:bCs/>
                <w:sz w:val="24"/>
                <w:szCs w:val="24"/>
              </w:rPr>
            </w:pPr>
            <w:bookmarkStart w:id="206" w:name="Item68_01"/>
            <w:bookmarkStart w:id="207" w:name="Item68_03"/>
            <w:bookmarkStart w:id="208" w:name="Item68_04"/>
            <w:bookmarkStart w:id="209" w:name="Item68_05"/>
            <w:bookmarkEnd w:id="206"/>
            <w:bookmarkEnd w:id="207"/>
            <w:bookmarkEnd w:id="208"/>
            <w:bookmarkEnd w:id="209"/>
            <w:r w:rsidRPr="0042750D">
              <w:rPr>
                <w:b/>
                <w:bCs/>
                <w:sz w:val="24"/>
                <w:szCs w:val="24"/>
              </w:rPr>
              <w:t>174-02</w:t>
            </w:r>
          </w:p>
        </w:tc>
        <w:tc>
          <w:tcPr>
            <w:tcW w:w="4968" w:type="dxa"/>
            <w:tcBorders>
              <w:top w:val="single" w:sz="12" w:space="0" w:color="auto"/>
              <w:bottom w:val="single" w:sz="2" w:space="0" w:color="auto"/>
            </w:tcBorders>
            <w:shd w:val="clear" w:color="auto" w:fill="auto"/>
            <w:hideMark/>
          </w:tcPr>
          <w:p w14:paraId="565BF4BB" w14:textId="5AC19451" w:rsidR="00895B2E" w:rsidRPr="0042750D" w:rsidRDefault="00895B2E" w:rsidP="002D123F">
            <w:pPr>
              <w:pStyle w:val="Tabletext"/>
              <w:keepNext/>
              <w:keepLines/>
              <w:rPr>
                <w:b/>
                <w:bCs/>
                <w:sz w:val="24"/>
                <w:szCs w:val="24"/>
              </w:rPr>
            </w:pPr>
            <w:r w:rsidRPr="0042750D">
              <w:rPr>
                <w:b/>
                <w:bCs/>
                <w:sz w:val="24"/>
                <w:szCs w:val="24"/>
              </w:rPr>
              <w:t>TSBDir to maintain role of ITU-T to cooperate with other UN bodies in combating the illicit use of ICTs</w:t>
            </w:r>
            <w:r w:rsidR="00B37746" w:rsidRPr="0042750D">
              <w:rPr>
                <w:b/>
                <w:bCs/>
                <w:sz w:val="24"/>
                <w:szCs w:val="24"/>
              </w:rPr>
              <w:t xml:space="preserve"> (</w:t>
            </w:r>
            <w:r w:rsidR="00B37746" w:rsidRPr="0042750D">
              <w:rPr>
                <w:b/>
                <w:bCs/>
                <w:i/>
                <w:sz w:val="24"/>
                <w:szCs w:val="24"/>
              </w:rPr>
              <w:t>resolves ii</w:t>
            </w:r>
            <w:r w:rsidR="00B37746" w:rsidRPr="0042750D">
              <w:rPr>
                <w:b/>
                <w:bCs/>
                <w:sz w:val="24"/>
                <w:szCs w:val="24"/>
              </w:rPr>
              <w:t>)</w:t>
            </w:r>
            <w:r w:rsidRPr="0042750D">
              <w:rPr>
                <w:b/>
                <w:bCs/>
                <w:sz w:val="24"/>
                <w:szCs w:val="24"/>
              </w:rPr>
              <w:t>.</w:t>
            </w:r>
          </w:p>
        </w:tc>
        <w:tc>
          <w:tcPr>
            <w:tcW w:w="1347" w:type="dxa"/>
            <w:tcBorders>
              <w:top w:val="single" w:sz="12" w:space="0" w:color="auto"/>
              <w:bottom w:val="single" w:sz="2" w:space="0" w:color="auto"/>
            </w:tcBorders>
            <w:shd w:val="clear" w:color="auto" w:fill="auto"/>
            <w:vAlign w:val="center"/>
            <w:hideMark/>
          </w:tcPr>
          <w:p w14:paraId="20C882FD" w14:textId="77777777" w:rsidR="00895B2E" w:rsidRPr="0042750D" w:rsidRDefault="00895B2E" w:rsidP="002D123F">
            <w:pPr>
              <w:pStyle w:val="Tabletext"/>
              <w:keepNext/>
              <w:keepLines/>
              <w:jc w:val="center"/>
              <w:rPr>
                <w:b/>
                <w:bCs/>
                <w:sz w:val="24"/>
                <w:szCs w:val="24"/>
              </w:rPr>
            </w:pPr>
            <w:r w:rsidRPr="0042750D">
              <w:rPr>
                <w:b/>
                <w:bCs/>
                <w:sz w:val="24"/>
                <w:szCs w:val="24"/>
              </w:rPr>
              <w:t>Ongoing</w:t>
            </w:r>
          </w:p>
        </w:tc>
        <w:tc>
          <w:tcPr>
            <w:tcW w:w="1168" w:type="dxa"/>
            <w:tcBorders>
              <w:top w:val="single" w:sz="12" w:space="0" w:color="auto"/>
              <w:bottom w:val="single" w:sz="2" w:space="0" w:color="auto"/>
            </w:tcBorders>
            <w:shd w:val="clear" w:color="auto" w:fill="auto"/>
            <w:vAlign w:val="center"/>
          </w:tcPr>
          <w:p w14:paraId="4755E5FF" w14:textId="77777777" w:rsidR="00895B2E" w:rsidRPr="0042750D" w:rsidRDefault="00895B2E" w:rsidP="002D123F">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4565496B" w14:textId="77777777" w:rsidR="00895B2E" w:rsidRPr="0042750D" w:rsidRDefault="00895B2E" w:rsidP="002D123F">
            <w:pPr>
              <w:pStyle w:val="Tabletext"/>
              <w:keepNext/>
              <w:keepLines/>
              <w:jc w:val="center"/>
              <w:rPr>
                <w:b/>
                <w:bCs/>
                <w:sz w:val="24"/>
                <w:szCs w:val="24"/>
              </w:rPr>
            </w:pPr>
          </w:p>
        </w:tc>
      </w:tr>
      <w:tr w:rsidR="00895B2E" w:rsidRPr="0042750D" w14:paraId="20300691" w14:textId="77777777" w:rsidTr="00D50A4E">
        <w:trPr>
          <w:jc w:val="center"/>
        </w:trPr>
        <w:tc>
          <w:tcPr>
            <w:tcW w:w="930" w:type="dxa"/>
            <w:vMerge/>
            <w:tcBorders>
              <w:top w:val="single" w:sz="12" w:space="0" w:color="auto"/>
            </w:tcBorders>
            <w:shd w:val="clear" w:color="auto" w:fill="auto"/>
          </w:tcPr>
          <w:p w14:paraId="78D9E012" w14:textId="77777777" w:rsidR="00895B2E" w:rsidRPr="0042750D" w:rsidDel="005B0E69" w:rsidRDefault="00895B2E" w:rsidP="002D123F">
            <w:pPr>
              <w:pStyle w:val="Tabletext"/>
              <w:keepNext/>
              <w:keepLines/>
              <w:rPr>
                <w:b/>
                <w:bCs/>
                <w:sz w:val="24"/>
                <w:szCs w:val="24"/>
              </w:rPr>
            </w:pPr>
          </w:p>
        </w:tc>
        <w:tc>
          <w:tcPr>
            <w:tcW w:w="8821" w:type="dxa"/>
            <w:gridSpan w:val="4"/>
            <w:tcBorders>
              <w:top w:val="single" w:sz="2" w:space="0" w:color="auto"/>
              <w:bottom w:val="single" w:sz="12" w:space="0" w:color="auto"/>
            </w:tcBorders>
            <w:shd w:val="clear" w:color="auto" w:fill="auto"/>
          </w:tcPr>
          <w:p w14:paraId="5976087A" w14:textId="77777777" w:rsidR="00895B2E" w:rsidRPr="0042750D" w:rsidRDefault="00895B2E" w:rsidP="00A77FF1">
            <w:pPr>
              <w:keepNext/>
              <w:keepLines/>
              <w:spacing w:before="40" w:after="40"/>
              <w:rPr>
                <w:rFonts w:asciiTheme="majorBidi" w:hAnsiTheme="majorBidi" w:cstheme="majorBidi"/>
                <w:color w:val="000000"/>
              </w:rPr>
            </w:pPr>
          </w:p>
        </w:tc>
      </w:tr>
    </w:tbl>
    <w:p w14:paraId="21AA34EC"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038D6DF8" w14:textId="1BCE2D0E" w:rsidR="00F0236A" w:rsidRPr="0042750D" w:rsidRDefault="001D74CE" w:rsidP="00AB1E12">
      <w:pPr>
        <w:pStyle w:val="Heading1"/>
        <w:rPr>
          <w:sz w:val="24"/>
          <w:szCs w:val="24"/>
          <w:lang w:val="en-GB"/>
        </w:rPr>
      </w:pPr>
      <w:bookmarkStart w:id="210" w:name="Resolution_69"/>
      <w:bookmarkStart w:id="211" w:name="_Resolution_69_-"/>
      <w:bookmarkStart w:id="212" w:name="_Toc30749174"/>
      <w:bookmarkEnd w:id="210"/>
      <w:bookmarkEnd w:id="211"/>
      <w:r w:rsidRPr="0042750D">
        <w:rPr>
          <w:sz w:val="24"/>
          <w:szCs w:val="24"/>
          <w:lang w:val="en-GB"/>
        </w:rPr>
        <w:t>RESOLUTION 175 (REV. DUBAI, 2018) – Telecommunication/information and communication technology accessibility for persons with disabilities and persons with specific needs</w:t>
      </w:r>
      <w:bookmarkEnd w:id="212"/>
    </w:p>
    <w:p w14:paraId="4D9B89C5" w14:textId="77777777" w:rsidR="001D74CE" w:rsidRPr="0042750D" w:rsidRDefault="001D74CE" w:rsidP="001D74CE">
      <w:pPr>
        <w:pStyle w:val="Call"/>
        <w:rPr>
          <w:szCs w:val="22"/>
          <w:lang w:val="en-GB"/>
        </w:rPr>
      </w:pPr>
      <w:r w:rsidRPr="0042750D">
        <w:rPr>
          <w:szCs w:val="22"/>
          <w:lang w:val="en-GB"/>
        </w:rPr>
        <w:t>resolves</w:t>
      </w:r>
    </w:p>
    <w:p w14:paraId="630119B0" w14:textId="77777777" w:rsidR="001D74CE" w:rsidRPr="0042750D" w:rsidRDefault="001D74CE" w:rsidP="001D74CE">
      <w:pPr>
        <w:rPr>
          <w:szCs w:val="22"/>
        </w:rPr>
      </w:pPr>
      <w:r w:rsidRPr="0042750D">
        <w:rPr>
          <w:szCs w:val="22"/>
        </w:rPr>
        <w:t>1</w:t>
      </w:r>
      <w:r w:rsidRPr="0042750D">
        <w:rPr>
          <w:szCs w:val="22"/>
        </w:rPr>
        <w:tab/>
        <w:t>to involve persons with disabilities and persons with specific needs in the work of ITU, taking into account their experiences and expertise, so that they may collaborate in the adoption of a comprehensive action plan in order to extend access to telecommunications/ICTs, in collaboration with external entities and bodies concerned with this topic;</w:t>
      </w:r>
    </w:p>
    <w:p w14:paraId="3C436DF2" w14:textId="02AA5596" w:rsidR="001D74CE" w:rsidRPr="0042750D" w:rsidRDefault="001D74CE" w:rsidP="001D74CE">
      <w:pPr>
        <w:rPr>
          <w:szCs w:val="22"/>
        </w:rPr>
      </w:pPr>
      <w:r w:rsidRPr="0042750D">
        <w:rPr>
          <w:szCs w:val="22"/>
        </w:rPr>
        <w:t>2</w:t>
      </w:r>
      <w:r w:rsidRPr="0042750D">
        <w:rPr>
          <w:szCs w:val="22"/>
        </w:rPr>
        <w:tab/>
        <w:t>to foster dialogue and communication between persons with disabilities and persons with specific needs (with means of interpretation when necessary) and those who prepare public policies and statistics on telecommunication/ICT users, in order to obtain better information and knowledge about which data to collect and analyse at the national level using inter</w:t>
      </w:r>
      <w:r w:rsidR="005D14EB" w:rsidRPr="0042750D">
        <w:rPr>
          <w:szCs w:val="22"/>
        </w:rPr>
        <w:t>national standards and methods;</w:t>
      </w:r>
    </w:p>
    <w:p w14:paraId="01DDC42B" w14:textId="0622F38A" w:rsidR="001D74CE" w:rsidRPr="0042750D" w:rsidRDefault="001D74CE" w:rsidP="001D74CE">
      <w:pPr>
        <w:rPr>
          <w:szCs w:val="22"/>
        </w:rPr>
      </w:pPr>
      <w:r w:rsidRPr="0042750D">
        <w:rPr>
          <w:szCs w:val="22"/>
        </w:rPr>
        <w:t>3</w:t>
      </w:r>
      <w:r w:rsidRPr="0042750D">
        <w:rPr>
          <w:szCs w:val="22"/>
        </w:rPr>
        <w:tab/>
        <w:t>to promote cooperation with regional and global organizations and institutions that deal with accessibility for persons with disabilities and persons with specific needs, in order to include accessibility to telecommunications/ICTs in their agendas and take into account its cross-cu</w:t>
      </w:r>
      <w:r w:rsidR="005D14EB" w:rsidRPr="0042750D">
        <w:rPr>
          <w:szCs w:val="22"/>
        </w:rPr>
        <w:t>tting nature with other topics;</w:t>
      </w:r>
    </w:p>
    <w:p w14:paraId="33BB64A3" w14:textId="0275F036" w:rsidR="001D74CE" w:rsidRPr="0042750D" w:rsidRDefault="001D74CE" w:rsidP="001D74CE">
      <w:pPr>
        <w:rPr>
          <w:szCs w:val="22"/>
        </w:rPr>
      </w:pPr>
      <w:r w:rsidRPr="0042750D">
        <w:rPr>
          <w:szCs w:val="22"/>
        </w:rPr>
        <w:t>4</w:t>
      </w:r>
      <w:r w:rsidRPr="0042750D">
        <w:rPr>
          <w:szCs w:val="22"/>
        </w:rPr>
        <w:tab/>
        <w:t>to maximize use of accessible webcasting facilities, captioning (including transcripts of the captioning) and sign language and, if possible, within the financial and technical limitations of the Union, provide these services in all six official languages of the Union both during and after the conclusion of any session when convening conferences, assemblies and meetings of the Union as articulated in Chapter II, Section 12 "Setting up of committees" of the General Rules of conferences, assemb</w:t>
      </w:r>
      <w:r w:rsidR="005D14EB" w:rsidRPr="0042750D">
        <w:rPr>
          <w:szCs w:val="22"/>
        </w:rPr>
        <w:t>lies and meetings of the Union;</w:t>
      </w:r>
    </w:p>
    <w:p w14:paraId="371091D7" w14:textId="77777777" w:rsidR="001D74CE" w:rsidRPr="0042750D" w:rsidRDefault="001D74CE" w:rsidP="001D74CE">
      <w:pPr>
        <w:rPr>
          <w:szCs w:val="22"/>
        </w:rPr>
      </w:pPr>
      <w:r w:rsidRPr="0042750D">
        <w:rPr>
          <w:szCs w:val="22"/>
        </w:rPr>
        <w:t>5</w:t>
      </w:r>
      <w:r w:rsidRPr="0042750D">
        <w:rPr>
          <w:szCs w:val="22"/>
        </w:rPr>
        <w:tab/>
        <w:t>to build on and consolidate past accomplishments by providing the necessary financial and human resources for the effective and sustained integration of ICT accessibility for persons with disabilities and persons with specific needs into development activities, within budgetary constraints,</w:t>
      </w:r>
    </w:p>
    <w:p w14:paraId="41423AFE" w14:textId="77777777" w:rsidR="001D74CE" w:rsidRPr="0042750D" w:rsidRDefault="001D74CE" w:rsidP="001D74CE">
      <w:pPr>
        <w:pStyle w:val="Call"/>
        <w:rPr>
          <w:szCs w:val="22"/>
          <w:lang w:val="en-GB"/>
        </w:rPr>
      </w:pPr>
      <w:r w:rsidRPr="0042750D">
        <w:rPr>
          <w:szCs w:val="22"/>
          <w:lang w:val="en-GB"/>
        </w:rPr>
        <w:t>instructs</w:t>
      </w:r>
      <w:r w:rsidRPr="0042750D">
        <w:rPr>
          <w:szCs w:val="22"/>
          <w:lang w:val="en-GB" w:eastAsia="en-AU"/>
        </w:rPr>
        <w:t xml:space="preserve"> the Secretary-General, in consultation with the Directors of the Bureaux</w:t>
      </w:r>
    </w:p>
    <w:p w14:paraId="24DDE9D5" w14:textId="730632FA" w:rsidR="001D74CE" w:rsidRPr="0042750D" w:rsidRDefault="001D74CE" w:rsidP="001D74CE">
      <w:pPr>
        <w:rPr>
          <w:szCs w:val="22"/>
        </w:rPr>
      </w:pPr>
      <w:r w:rsidRPr="0042750D">
        <w:rPr>
          <w:szCs w:val="22"/>
        </w:rPr>
        <w:t>1</w:t>
      </w:r>
      <w:r w:rsidRPr="0042750D">
        <w:rPr>
          <w:szCs w:val="22"/>
        </w:rPr>
        <w:tab/>
        <w:t>to coordinate accessibility-related activities between ITU</w:t>
      </w:r>
      <w:r w:rsidRPr="0042750D">
        <w:rPr>
          <w:szCs w:val="22"/>
        </w:rPr>
        <w:noBreakHyphen/>
        <w:t>R, ITU</w:t>
      </w:r>
      <w:r w:rsidRPr="0042750D">
        <w:rPr>
          <w:szCs w:val="22"/>
        </w:rPr>
        <w:noBreakHyphen/>
        <w:t>T and ITU</w:t>
      </w:r>
      <w:r w:rsidRPr="0042750D">
        <w:rPr>
          <w:szCs w:val="22"/>
        </w:rPr>
        <w:noBreakHyphen/>
        <w:t>D, taking into account JCA-AHF and in collaboration with other relevant organizations and entities where appropriate, in order to avoid duplication and to ensure that the needs of persons with disabilities and persons with specifi</w:t>
      </w:r>
      <w:r w:rsidR="0040420B" w:rsidRPr="0042750D">
        <w:rPr>
          <w:szCs w:val="22"/>
        </w:rPr>
        <w:t>c needs are taken into account;</w:t>
      </w:r>
    </w:p>
    <w:p w14:paraId="706055C3" w14:textId="11C74A0E" w:rsidR="001D74CE" w:rsidRPr="0042750D" w:rsidRDefault="001D74CE" w:rsidP="001D74CE">
      <w:pPr>
        <w:rPr>
          <w:szCs w:val="22"/>
        </w:rPr>
      </w:pPr>
      <w:r w:rsidRPr="0042750D">
        <w:rPr>
          <w:szCs w:val="22"/>
        </w:rPr>
        <w:t>2</w:t>
      </w:r>
      <w:r w:rsidRPr="0042750D">
        <w:rPr>
          <w:szCs w:val="22"/>
        </w:rPr>
        <w:tab/>
        <w:t>to consider the financial implications for ITU of providing, within the available resources, information in accessible formats and through ICTs, as well as access to ITU facilities, services and programmes for participants with visual, hearing or motor disabilities and persons with specific needs, mainly through the inclusion of captioning at meetings, sign language interpretation, access to information through the ITU website in print and adapted formats, physical access to ITU buildings and meeting facilities, and to facilitate the adoption of accessible ITU recrui</w:t>
      </w:r>
      <w:r w:rsidR="0040420B" w:rsidRPr="0042750D">
        <w:rPr>
          <w:szCs w:val="22"/>
        </w:rPr>
        <w:t>tment practices and employment;</w:t>
      </w:r>
    </w:p>
    <w:p w14:paraId="3AC6FB52" w14:textId="77777777" w:rsidR="001D74CE" w:rsidRPr="0042750D" w:rsidRDefault="001D74CE" w:rsidP="001D74CE">
      <w:pPr>
        <w:rPr>
          <w:szCs w:val="22"/>
        </w:rPr>
      </w:pPr>
      <w:r w:rsidRPr="0042750D">
        <w:rPr>
          <w:szCs w:val="22"/>
        </w:rPr>
        <w:t>3</w:t>
      </w:r>
      <w:r w:rsidRPr="0042750D">
        <w:rPr>
          <w:szCs w:val="22"/>
        </w:rPr>
        <w:tab/>
        <w:t>pursuant to UNGA Resolution 61/106, to consider accessibility standards and guidelines whenever undertaking renovations or changing the use of space at a facility, so that accessibility features are maintained and additional barriers are not inadvertently implemented;</w:t>
      </w:r>
    </w:p>
    <w:p w14:paraId="7EA45EC3" w14:textId="404C5C3F" w:rsidR="001D74CE" w:rsidRPr="0042750D" w:rsidRDefault="001D74CE" w:rsidP="001D74CE">
      <w:pPr>
        <w:rPr>
          <w:szCs w:val="22"/>
        </w:rPr>
      </w:pPr>
      <w:r w:rsidRPr="0042750D">
        <w:rPr>
          <w:szCs w:val="22"/>
        </w:rPr>
        <w:t>4</w:t>
      </w:r>
      <w:r w:rsidRPr="0042750D">
        <w:rPr>
          <w:szCs w:val="22"/>
        </w:rPr>
        <w:tab/>
        <w:t>to encourage and promote representation by persons with disabilities and persons with specific needs so as to ensure that their experiences and opinions are taken into account when devel</w:t>
      </w:r>
      <w:r w:rsidR="0040420B" w:rsidRPr="0042750D">
        <w:rPr>
          <w:szCs w:val="22"/>
        </w:rPr>
        <w:t>oping and progressing ITU work;</w:t>
      </w:r>
    </w:p>
    <w:p w14:paraId="02D46737" w14:textId="77777777" w:rsidR="001D74CE" w:rsidRPr="0042750D" w:rsidRDefault="001D74CE" w:rsidP="001D74CE">
      <w:pPr>
        <w:rPr>
          <w:szCs w:val="22"/>
        </w:rPr>
      </w:pPr>
      <w:r w:rsidRPr="0042750D">
        <w:rPr>
          <w:szCs w:val="22"/>
        </w:rPr>
        <w:t>5</w:t>
      </w:r>
      <w:r w:rsidRPr="0042750D">
        <w:rPr>
          <w:szCs w:val="22"/>
        </w:rPr>
        <w:tab/>
        <w:t>to consider expanding the fellowship programme in order to enable delegates with disabilities and delegates with specific needs, within existing budgetary constraints, to participate in the work of ITU;</w:t>
      </w:r>
    </w:p>
    <w:p w14:paraId="29884C93" w14:textId="77777777" w:rsidR="001D74CE" w:rsidRPr="0042750D" w:rsidRDefault="001D74CE" w:rsidP="001D74CE">
      <w:pPr>
        <w:rPr>
          <w:szCs w:val="22"/>
        </w:rPr>
      </w:pPr>
      <w:r w:rsidRPr="0042750D">
        <w:rPr>
          <w:szCs w:val="22"/>
        </w:rPr>
        <w:t>6</w:t>
      </w:r>
      <w:r w:rsidRPr="0042750D">
        <w:rPr>
          <w:szCs w:val="22"/>
        </w:rPr>
        <w:tab/>
        <w:t>to identify, document and disseminate examples of best practices for accessibility in the field of telecommunications/ICTs among ITU Member States and Sector Members;</w:t>
      </w:r>
    </w:p>
    <w:p w14:paraId="6CEE6198" w14:textId="77777777" w:rsidR="001D74CE" w:rsidRPr="0042750D" w:rsidRDefault="001D74CE" w:rsidP="001D74CE">
      <w:pPr>
        <w:rPr>
          <w:szCs w:val="22"/>
        </w:rPr>
      </w:pPr>
      <w:r w:rsidRPr="0042750D">
        <w:rPr>
          <w:szCs w:val="22"/>
        </w:rPr>
        <w:t>7</w:t>
      </w:r>
      <w:r w:rsidRPr="0042750D">
        <w:rPr>
          <w:szCs w:val="22"/>
        </w:rPr>
        <w:tab/>
        <w:t>to work collaboratively on accessibility-related activities with ITU</w:t>
      </w:r>
      <w:r w:rsidRPr="0042750D">
        <w:rPr>
          <w:szCs w:val="22"/>
        </w:rPr>
        <w:noBreakHyphen/>
        <w:t>R, ITU</w:t>
      </w:r>
      <w:r w:rsidRPr="0042750D">
        <w:rPr>
          <w:szCs w:val="22"/>
        </w:rPr>
        <w:noBreakHyphen/>
        <w:t>T and ITU</w:t>
      </w:r>
      <w:r w:rsidRPr="0042750D">
        <w:rPr>
          <w:szCs w:val="22"/>
        </w:rPr>
        <w:noBreakHyphen/>
        <w:t>D, taking into account JCA-AHF, in particular concerning awareness and mainstreaming of telecommunication/ICT accessibility standards, and in developing programmes that enable developing countries to introduce services that allow persons with disabilities and persons with specific needs to utilize telecommunication/ICT services effectively;</w:t>
      </w:r>
    </w:p>
    <w:p w14:paraId="26C17F33" w14:textId="77777777" w:rsidR="001D74CE" w:rsidRPr="0042750D" w:rsidRDefault="001D74CE" w:rsidP="001D74CE">
      <w:pPr>
        <w:rPr>
          <w:szCs w:val="22"/>
        </w:rPr>
      </w:pPr>
      <w:r w:rsidRPr="0042750D">
        <w:rPr>
          <w:szCs w:val="22"/>
        </w:rPr>
        <w:t>8</w:t>
      </w:r>
      <w:r w:rsidRPr="0042750D">
        <w:rPr>
          <w:szCs w:val="22"/>
        </w:rPr>
        <w:tab/>
        <w:t>to work collaboratively and cooperatively with other relevant regional and global organizations and entities, in particular in the interest of ensuring that ongoing work in the field of accessibility is taken into account;</w:t>
      </w:r>
    </w:p>
    <w:p w14:paraId="68397F6C" w14:textId="77777777" w:rsidR="001D74CE" w:rsidRPr="0042750D" w:rsidRDefault="001D74CE" w:rsidP="001D74CE">
      <w:pPr>
        <w:rPr>
          <w:szCs w:val="22"/>
        </w:rPr>
      </w:pPr>
      <w:r w:rsidRPr="0042750D">
        <w:rPr>
          <w:szCs w:val="22"/>
        </w:rPr>
        <w:t>9</w:t>
      </w:r>
      <w:r w:rsidRPr="0042750D">
        <w:rPr>
          <w:szCs w:val="22"/>
        </w:rPr>
        <w:tab/>
        <w:t>to work collaboratively and cooperatively with disability organizations in all regions to ensure that the needs of persons with disabilities and persons with specific needs are taken into account;</w:t>
      </w:r>
    </w:p>
    <w:p w14:paraId="00DA3F69" w14:textId="77777777" w:rsidR="001D74CE" w:rsidRPr="0042750D" w:rsidRDefault="001D74CE" w:rsidP="001D74CE">
      <w:pPr>
        <w:rPr>
          <w:szCs w:val="22"/>
        </w:rPr>
      </w:pPr>
      <w:r w:rsidRPr="0042750D">
        <w:rPr>
          <w:szCs w:val="22"/>
        </w:rPr>
        <w:t>10</w:t>
      </w:r>
      <w:r w:rsidRPr="0042750D">
        <w:rPr>
          <w:szCs w:val="22"/>
        </w:rPr>
        <w:tab/>
        <w:t>to direct the regional offices, within their available resources, to organize regional competitions for the development of assistive technologies to enable persons with disabilities and specific needs, having due regard to differences in culture and languages and taking into account the presence of developers with disabilities;</w:t>
      </w:r>
    </w:p>
    <w:p w14:paraId="4FBF4535" w14:textId="77777777" w:rsidR="001D74CE" w:rsidRPr="0042750D" w:rsidRDefault="001D74CE" w:rsidP="001D74CE">
      <w:pPr>
        <w:rPr>
          <w:szCs w:val="22"/>
        </w:rPr>
      </w:pPr>
      <w:r w:rsidRPr="0042750D">
        <w:rPr>
          <w:szCs w:val="22"/>
        </w:rPr>
        <w:t>11</w:t>
      </w:r>
      <w:r w:rsidRPr="0042750D">
        <w:rPr>
          <w:szCs w:val="22"/>
        </w:rPr>
        <w:tab/>
        <w:t>to make use of and share information regarding the ways in which ICTs can empower persons with disabilities and persons with specific needs, for example guidelines, tools and information sources prepared by ITU and other relevant organizations such as G3ict which are of benefit to the work of ITU and the membership;</w:t>
      </w:r>
    </w:p>
    <w:p w14:paraId="77CEE695" w14:textId="77777777" w:rsidR="001D74CE" w:rsidRPr="0042750D" w:rsidRDefault="001D74CE" w:rsidP="001D74CE">
      <w:pPr>
        <w:rPr>
          <w:szCs w:val="22"/>
        </w:rPr>
      </w:pPr>
      <w:r w:rsidRPr="0042750D">
        <w:rPr>
          <w:szCs w:val="22"/>
        </w:rPr>
        <w:t>12</w:t>
      </w:r>
      <w:r w:rsidRPr="0042750D">
        <w:rPr>
          <w:szCs w:val="22"/>
        </w:rPr>
        <w:tab/>
        <w:t>to encourage the regional offices, within their available resources, to cooperate with stakeholders concerned to promote the development of new technologies that enable persons with disabilities and specific needs;</w:t>
      </w:r>
    </w:p>
    <w:p w14:paraId="5770CFBF" w14:textId="77777777" w:rsidR="001D74CE" w:rsidRPr="0042750D" w:rsidRDefault="001D74CE" w:rsidP="001D74CE">
      <w:pPr>
        <w:rPr>
          <w:szCs w:val="22"/>
        </w:rPr>
      </w:pPr>
      <w:r w:rsidRPr="0042750D">
        <w:rPr>
          <w:szCs w:val="22"/>
        </w:rPr>
        <w:t>13</w:t>
      </w:r>
      <w:r w:rsidRPr="0042750D">
        <w:rPr>
          <w:szCs w:val="22"/>
        </w:rPr>
        <w:tab/>
        <w:t>to submit a report annually to the Council and to the next plenipotentiary conference on measures taken to implement this resolution;</w:t>
      </w:r>
    </w:p>
    <w:p w14:paraId="26CB6D1B" w14:textId="7328F5C8" w:rsidR="00F0236A" w:rsidRPr="0042750D" w:rsidRDefault="001D74CE" w:rsidP="001D74CE">
      <w:pPr>
        <w:spacing w:after="240"/>
        <w:rPr>
          <w:i/>
          <w:iCs/>
          <w:szCs w:val="22"/>
        </w:rPr>
      </w:pPr>
      <w:r w:rsidRPr="0042750D">
        <w:rPr>
          <w:szCs w:val="22"/>
        </w:rPr>
        <w:t>14</w:t>
      </w:r>
      <w:r w:rsidRPr="0042750D">
        <w:rPr>
          <w:szCs w:val="22"/>
        </w:rPr>
        <w:tab/>
        <w:t>to promote the collection and analysis of statistical data on disabilities and accessibility to telecommunications/ICTs that Member States can consider when preparing and designing their own public policies to promote accessibility</w:t>
      </w:r>
      <w:r w:rsidR="00F0236A" w:rsidRPr="0042750D">
        <w:rPr>
          <w:szCs w:val="22"/>
        </w:rPr>
        <w:t>.</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4999"/>
        <w:gridCol w:w="1274"/>
        <w:gridCol w:w="1169"/>
        <w:gridCol w:w="1338"/>
      </w:tblGrid>
      <w:tr w:rsidR="00F0236A" w:rsidRPr="0042750D" w14:paraId="136ACBC6" w14:textId="77777777" w:rsidTr="00043514">
        <w:trPr>
          <w:tblHeader/>
          <w:jc w:val="center"/>
        </w:trPr>
        <w:tc>
          <w:tcPr>
            <w:tcW w:w="913" w:type="dxa"/>
            <w:tcBorders>
              <w:top w:val="single" w:sz="12" w:space="0" w:color="auto"/>
              <w:bottom w:val="single" w:sz="12" w:space="0" w:color="auto"/>
            </w:tcBorders>
            <w:shd w:val="clear" w:color="auto" w:fill="auto"/>
            <w:vAlign w:val="center"/>
          </w:tcPr>
          <w:p w14:paraId="65256F5C" w14:textId="77777777" w:rsidR="00F0236A" w:rsidRPr="0042750D" w:rsidRDefault="00F0236A" w:rsidP="00084A32">
            <w:pPr>
              <w:pStyle w:val="Tablehead"/>
              <w:keepNext w:val="0"/>
              <w:rPr>
                <w:sz w:val="24"/>
                <w:szCs w:val="24"/>
              </w:rPr>
            </w:pPr>
            <w:r w:rsidRPr="0042750D">
              <w:rPr>
                <w:sz w:val="24"/>
                <w:szCs w:val="24"/>
              </w:rPr>
              <w:t>Action Item</w:t>
            </w:r>
          </w:p>
        </w:tc>
        <w:tc>
          <w:tcPr>
            <w:tcW w:w="4999" w:type="dxa"/>
            <w:tcBorders>
              <w:top w:val="single" w:sz="12" w:space="0" w:color="auto"/>
              <w:bottom w:val="single" w:sz="12" w:space="0" w:color="auto"/>
            </w:tcBorders>
            <w:shd w:val="clear" w:color="auto" w:fill="auto"/>
            <w:vAlign w:val="center"/>
            <w:hideMark/>
          </w:tcPr>
          <w:p w14:paraId="682E125B" w14:textId="77777777" w:rsidR="00F0236A" w:rsidRPr="0042750D" w:rsidRDefault="00F0236A" w:rsidP="00DF36E1">
            <w:pPr>
              <w:pStyle w:val="Tablehead"/>
              <w:rPr>
                <w:sz w:val="24"/>
                <w:szCs w:val="24"/>
              </w:rPr>
            </w:pPr>
            <w:r w:rsidRPr="0042750D">
              <w:rPr>
                <w:sz w:val="24"/>
                <w:szCs w:val="24"/>
              </w:rPr>
              <w:t>Action</w:t>
            </w:r>
          </w:p>
        </w:tc>
        <w:tc>
          <w:tcPr>
            <w:tcW w:w="1274" w:type="dxa"/>
            <w:tcBorders>
              <w:top w:val="single" w:sz="12" w:space="0" w:color="auto"/>
              <w:bottom w:val="single" w:sz="12" w:space="0" w:color="auto"/>
            </w:tcBorders>
            <w:shd w:val="clear" w:color="auto" w:fill="auto"/>
            <w:vAlign w:val="center"/>
            <w:hideMark/>
          </w:tcPr>
          <w:p w14:paraId="4A832984" w14:textId="77777777" w:rsidR="00F0236A" w:rsidRPr="0042750D" w:rsidRDefault="00F0236A" w:rsidP="00DF36E1">
            <w:pPr>
              <w:pStyle w:val="Tablehead"/>
              <w:rPr>
                <w:sz w:val="24"/>
                <w:szCs w:val="24"/>
              </w:rPr>
            </w:pPr>
            <w:r w:rsidRPr="0042750D">
              <w:rPr>
                <w:sz w:val="24"/>
                <w:szCs w:val="24"/>
              </w:rPr>
              <w:t>Milestone</w:t>
            </w:r>
          </w:p>
        </w:tc>
        <w:tc>
          <w:tcPr>
            <w:tcW w:w="1169" w:type="dxa"/>
            <w:tcBorders>
              <w:top w:val="single" w:sz="12" w:space="0" w:color="auto"/>
              <w:bottom w:val="single" w:sz="12" w:space="0" w:color="auto"/>
            </w:tcBorders>
            <w:shd w:val="clear" w:color="auto" w:fill="auto"/>
          </w:tcPr>
          <w:p w14:paraId="24DC7B7B"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979DEF2"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7FAF430D" w14:textId="77777777" w:rsidTr="00B37746">
        <w:trPr>
          <w:cantSplit/>
          <w:jc w:val="center"/>
        </w:trPr>
        <w:tc>
          <w:tcPr>
            <w:tcW w:w="913" w:type="dxa"/>
            <w:vMerge w:val="restart"/>
            <w:tcBorders>
              <w:top w:val="single" w:sz="12" w:space="0" w:color="auto"/>
            </w:tcBorders>
            <w:shd w:val="clear" w:color="auto" w:fill="auto"/>
          </w:tcPr>
          <w:p w14:paraId="031826F4" w14:textId="35FFBF7D" w:rsidR="00F0236A" w:rsidRPr="0042750D" w:rsidRDefault="001D74CE" w:rsidP="00775B4B">
            <w:pPr>
              <w:pStyle w:val="Tabletext"/>
              <w:keepNext/>
              <w:keepLines/>
              <w:rPr>
                <w:b/>
                <w:bCs/>
                <w:sz w:val="24"/>
                <w:szCs w:val="24"/>
              </w:rPr>
            </w:pPr>
            <w:r w:rsidRPr="0042750D">
              <w:rPr>
                <w:b/>
                <w:bCs/>
                <w:sz w:val="24"/>
                <w:szCs w:val="24"/>
              </w:rPr>
              <w:t>175</w:t>
            </w:r>
            <w:r w:rsidR="00F0236A" w:rsidRPr="0042750D">
              <w:rPr>
                <w:b/>
                <w:bCs/>
                <w:sz w:val="24"/>
                <w:szCs w:val="24"/>
              </w:rPr>
              <w:t>-01</w:t>
            </w:r>
          </w:p>
        </w:tc>
        <w:tc>
          <w:tcPr>
            <w:tcW w:w="4999" w:type="dxa"/>
            <w:tcBorders>
              <w:top w:val="single" w:sz="12" w:space="0" w:color="auto"/>
              <w:bottom w:val="single" w:sz="2" w:space="0" w:color="auto"/>
            </w:tcBorders>
            <w:shd w:val="clear" w:color="auto" w:fill="auto"/>
            <w:hideMark/>
          </w:tcPr>
          <w:p w14:paraId="509AFEB6" w14:textId="23F62B88" w:rsidR="00F0236A" w:rsidRPr="0042750D" w:rsidRDefault="001D74CE" w:rsidP="001D74CE">
            <w:pPr>
              <w:pStyle w:val="Tabletext"/>
              <w:rPr>
                <w:b/>
                <w:bCs/>
                <w:sz w:val="24"/>
                <w:szCs w:val="24"/>
              </w:rPr>
            </w:pPr>
            <w:r w:rsidRPr="0042750D">
              <w:rPr>
                <w:b/>
                <w:bCs/>
                <w:sz w:val="24"/>
                <w:szCs w:val="24"/>
              </w:rPr>
              <w:t>ITU-T to involve and foster dialogue and communication between persons with disabilities and persons with specific needs in the work of ITU, taking into account their experiences and expertise</w:t>
            </w:r>
            <w:r w:rsidR="00B37746" w:rsidRPr="0042750D">
              <w:rPr>
                <w:b/>
                <w:bCs/>
                <w:sz w:val="24"/>
                <w:szCs w:val="24"/>
              </w:rPr>
              <w:t xml:space="preserve"> (</w:t>
            </w:r>
            <w:r w:rsidR="00B37746" w:rsidRPr="0042750D">
              <w:rPr>
                <w:b/>
                <w:bCs/>
                <w:i/>
                <w:sz w:val="24"/>
                <w:szCs w:val="24"/>
              </w:rPr>
              <w:t>resolves 1</w:t>
            </w:r>
            <w:r w:rsidR="00B37746" w:rsidRPr="0042750D">
              <w:rPr>
                <w:b/>
                <w:bCs/>
                <w:sz w:val="24"/>
                <w:szCs w:val="24"/>
              </w:rPr>
              <w:t>)</w:t>
            </w:r>
            <w:r w:rsidRPr="0042750D">
              <w:rPr>
                <w:b/>
                <w:bCs/>
                <w:sz w:val="24"/>
                <w:szCs w:val="24"/>
              </w:rPr>
              <w:t>.</w:t>
            </w:r>
          </w:p>
        </w:tc>
        <w:tc>
          <w:tcPr>
            <w:tcW w:w="1274" w:type="dxa"/>
            <w:tcBorders>
              <w:top w:val="single" w:sz="12" w:space="0" w:color="auto"/>
              <w:bottom w:val="single" w:sz="2" w:space="0" w:color="auto"/>
            </w:tcBorders>
            <w:shd w:val="clear" w:color="auto" w:fill="auto"/>
            <w:vAlign w:val="center"/>
            <w:hideMark/>
          </w:tcPr>
          <w:p w14:paraId="652A5C11"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69" w:type="dxa"/>
            <w:tcBorders>
              <w:top w:val="single" w:sz="12" w:space="0" w:color="auto"/>
              <w:bottom w:val="single" w:sz="2" w:space="0" w:color="auto"/>
            </w:tcBorders>
            <w:shd w:val="clear" w:color="auto" w:fill="auto"/>
            <w:vAlign w:val="center"/>
          </w:tcPr>
          <w:p w14:paraId="251AE1C0" w14:textId="29992C89" w:rsidR="00F0236A" w:rsidRPr="0042750D" w:rsidRDefault="001612B0"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135359F8" w14:textId="77777777" w:rsidR="00F0236A" w:rsidRPr="0042750D" w:rsidRDefault="00F0236A" w:rsidP="00DF36E1">
            <w:pPr>
              <w:pStyle w:val="Tabletext"/>
              <w:jc w:val="center"/>
              <w:rPr>
                <w:b/>
                <w:bCs/>
                <w:sz w:val="24"/>
                <w:szCs w:val="24"/>
              </w:rPr>
            </w:pPr>
          </w:p>
        </w:tc>
      </w:tr>
      <w:tr w:rsidR="00F0236A" w:rsidRPr="0042750D" w14:paraId="100BF4CF" w14:textId="77777777" w:rsidTr="0085771B">
        <w:trPr>
          <w:cantSplit/>
          <w:jc w:val="center"/>
        </w:trPr>
        <w:tc>
          <w:tcPr>
            <w:tcW w:w="913" w:type="dxa"/>
            <w:vMerge/>
            <w:shd w:val="clear" w:color="auto" w:fill="auto"/>
          </w:tcPr>
          <w:p w14:paraId="01AC4043" w14:textId="77777777" w:rsidR="00F0236A" w:rsidRPr="0042750D" w:rsidRDefault="00F0236A" w:rsidP="00DF36E1">
            <w:pPr>
              <w:pStyle w:val="Tabletext"/>
              <w:rPr>
                <w:sz w:val="24"/>
                <w:szCs w:val="24"/>
              </w:rPr>
            </w:pPr>
          </w:p>
        </w:tc>
        <w:tc>
          <w:tcPr>
            <w:tcW w:w="8780" w:type="dxa"/>
            <w:gridSpan w:val="4"/>
            <w:tcBorders>
              <w:top w:val="single" w:sz="2" w:space="0" w:color="auto"/>
            </w:tcBorders>
            <w:shd w:val="clear" w:color="auto" w:fill="auto"/>
          </w:tcPr>
          <w:p w14:paraId="482A0B9A" w14:textId="2D4A8619" w:rsidR="00F0236A" w:rsidRPr="0042750D" w:rsidDel="008C35A8" w:rsidRDefault="001612B0" w:rsidP="00557083">
            <w:pPr>
              <w:spacing w:before="40" w:after="40"/>
              <w:rPr>
                <w:szCs w:val="22"/>
              </w:rPr>
            </w:pPr>
            <w:r w:rsidRPr="0042750D">
              <w:rPr>
                <w:szCs w:val="22"/>
              </w:rPr>
              <w:t xml:space="preserve">The </w:t>
            </w:r>
            <w:r w:rsidR="003927D0" w:rsidRPr="0042750D">
              <w:rPr>
                <w:szCs w:val="22"/>
              </w:rPr>
              <w:t xml:space="preserve">ITU-T </w:t>
            </w:r>
            <w:r w:rsidRPr="0042750D">
              <w:rPr>
                <w:szCs w:val="22"/>
              </w:rPr>
              <w:t>Joint Coordination Activity on Accessibility and Human Factors (</w:t>
            </w:r>
            <w:hyperlink r:id="rId72" w:history="1">
              <w:r w:rsidRPr="0042750D">
                <w:rPr>
                  <w:rStyle w:val="Hyperlink"/>
                  <w:szCs w:val="22"/>
                </w:rPr>
                <w:t>JCA-AHF</w:t>
              </w:r>
            </w:hyperlink>
            <w:r w:rsidRPr="0042750D">
              <w:rPr>
                <w:szCs w:val="22"/>
              </w:rPr>
              <w:t xml:space="preserve">) serves as a useful coordination mechanism across ITU </w:t>
            </w:r>
            <w:r w:rsidR="003927D0" w:rsidRPr="0042750D">
              <w:rPr>
                <w:szCs w:val="22"/>
              </w:rPr>
              <w:t>S</w:t>
            </w:r>
            <w:r w:rsidRPr="0042750D">
              <w:rPr>
                <w:szCs w:val="22"/>
              </w:rPr>
              <w:t>ectors and external SDOs and disability groups.</w:t>
            </w:r>
            <w:r w:rsidR="00651A9D" w:rsidRPr="0042750D">
              <w:rPr>
                <w:szCs w:val="22"/>
              </w:rPr>
              <w:t xml:space="preserve"> In addition to real time captioning at selected meetings, sign language interpretation has been provided for delegates that requested these accessibility accommodations.</w:t>
            </w:r>
          </w:p>
        </w:tc>
      </w:tr>
      <w:tr w:rsidR="00F0236A" w:rsidRPr="0042750D" w14:paraId="3EA8D876" w14:textId="77777777" w:rsidTr="005A429E">
        <w:trPr>
          <w:jc w:val="center"/>
        </w:trPr>
        <w:tc>
          <w:tcPr>
            <w:tcW w:w="913" w:type="dxa"/>
            <w:vMerge w:val="restart"/>
            <w:tcBorders>
              <w:top w:val="single" w:sz="12" w:space="0" w:color="auto"/>
            </w:tcBorders>
            <w:shd w:val="clear" w:color="auto" w:fill="auto"/>
          </w:tcPr>
          <w:p w14:paraId="35BB55DC" w14:textId="390F663F" w:rsidR="00F0236A" w:rsidRPr="0042750D" w:rsidRDefault="003C361D" w:rsidP="00DF36E1">
            <w:pPr>
              <w:pStyle w:val="Tabletext"/>
              <w:rPr>
                <w:b/>
                <w:bCs/>
                <w:sz w:val="24"/>
                <w:szCs w:val="24"/>
              </w:rPr>
            </w:pPr>
            <w:r w:rsidRPr="0042750D">
              <w:rPr>
                <w:b/>
                <w:bCs/>
                <w:sz w:val="24"/>
                <w:szCs w:val="24"/>
              </w:rPr>
              <w:t>175-02</w:t>
            </w:r>
          </w:p>
        </w:tc>
        <w:tc>
          <w:tcPr>
            <w:tcW w:w="4999" w:type="dxa"/>
            <w:tcBorders>
              <w:top w:val="single" w:sz="12" w:space="0" w:color="auto"/>
            </w:tcBorders>
            <w:shd w:val="clear" w:color="auto" w:fill="auto"/>
          </w:tcPr>
          <w:p w14:paraId="6ED99649" w14:textId="53B05CE2" w:rsidR="00F0236A" w:rsidRPr="0042750D" w:rsidRDefault="001D74CE" w:rsidP="001D74CE">
            <w:pPr>
              <w:pStyle w:val="Tabletext"/>
              <w:rPr>
                <w:b/>
                <w:bCs/>
                <w:sz w:val="24"/>
                <w:szCs w:val="24"/>
              </w:rPr>
            </w:pPr>
            <w:r w:rsidRPr="0042750D">
              <w:rPr>
                <w:b/>
                <w:bCs/>
                <w:sz w:val="24"/>
                <w:szCs w:val="24"/>
              </w:rPr>
              <w:t>ITU-T to promote cooperation with regional and global organizations and institutions that deal with accessibility for persons with disabilities and persons with specific needs</w:t>
            </w:r>
            <w:r w:rsidR="00B37746" w:rsidRPr="0042750D">
              <w:rPr>
                <w:b/>
                <w:bCs/>
                <w:sz w:val="24"/>
                <w:szCs w:val="24"/>
              </w:rPr>
              <w:t xml:space="preserve"> (</w:t>
            </w:r>
            <w:r w:rsidR="00B37746" w:rsidRPr="0042750D">
              <w:rPr>
                <w:b/>
                <w:bCs/>
                <w:i/>
                <w:sz w:val="24"/>
                <w:szCs w:val="24"/>
              </w:rPr>
              <w:t>resolves 3</w:t>
            </w:r>
            <w:r w:rsidR="00B37746" w:rsidRPr="0042750D">
              <w:rPr>
                <w:b/>
                <w:bCs/>
                <w:sz w:val="24"/>
                <w:szCs w:val="24"/>
              </w:rPr>
              <w:t>)</w:t>
            </w:r>
            <w:r w:rsidRPr="0042750D">
              <w:rPr>
                <w:b/>
                <w:bCs/>
                <w:sz w:val="24"/>
                <w:szCs w:val="24"/>
              </w:rPr>
              <w:t>.</w:t>
            </w:r>
          </w:p>
        </w:tc>
        <w:tc>
          <w:tcPr>
            <w:tcW w:w="1274" w:type="dxa"/>
            <w:tcBorders>
              <w:top w:val="single" w:sz="12" w:space="0" w:color="auto"/>
            </w:tcBorders>
            <w:shd w:val="clear" w:color="auto" w:fill="auto"/>
            <w:vAlign w:val="center"/>
            <w:hideMark/>
          </w:tcPr>
          <w:p w14:paraId="2C6765A8" w14:textId="0C87D8CC" w:rsidR="00F0236A" w:rsidRPr="0042750D" w:rsidRDefault="001D74CE" w:rsidP="00DF36E1">
            <w:pPr>
              <w:pStyle w:val="Tabletext"/>
              <w:jc w:val="center"/>
              <w:rPr>
                <w:b/>
                <w:bCs/>
                <w:sz w:val="24"/>
                <w:szCs w:val="24"/>
              </w:rPr>
            </w:pPr>
            <w:r w:rsidRPr="0042750D">
              <w:rPr>
                <w:b/>
                <w:bCs/>
                <w:sz w:val="24"/>
                <w:szCs w:val="24"/>
              </w:rPr>
              <w:t>Ongoing</w:t>
            </w:r>
          </w:p>
        </w:tc>
        <w:tc>
          <w:tcPr>
            <w:tcW w:w="1169" w:type="dxa"/>
            <w:tcBorders>
              <w:top w:val="single" w:sz="12" w:space="0" w:color="auto"/>
            </w:tcBorders>
            <w:shd w:val="clear" w:color="auto" w:fill="auto"/>
            <w:vAlign w:val="center"/>
          </w:tcPr>
          <w:p w14:paraId="15B3B0AE" w14:textId="190ACB04" w:rsidR="00F0236A" w:rsidRPr="0042750D" w:rsidRDefault="003927D0"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298DC41A" w14:textId="77777777" w:rsidR="00F0236A" w:rsidRPr="0042750D" w:rsidRDefault="00F0236A" w:rsidP="00DF36E1">
            <w:pPr>
              <w:pStyle w:val="Tabletext"/>
              <w:jc w:val="center"/>
              <w:rPr>
                <w:b/>
                <w:bCs/>
                <w:sz w:val="24"/>
                <w:szCs w:val="24"/>
              </w:rPr>
            </w:pPr>
          </w:p>
        </w:tc>
      </w:tr>
      <w:tr w:rsidR="00F0236A" w:rsidRPr="0042750D" w14:paraId="61FDDB82" w14:textId="77777777" w:rsidTr="005A429E">
        <w:trPr>
          <w:jc w:val="center"/>
        </w:trPr>
        <w:tc>
          <w:tcPr>
            <w:tcW w:w="913" w:type="dxa"/>
            <w:vMerge/>
            <w:tcBorders>
              <w:bottom w:val="single" w:sz="12" w:space="0" w:color="auto"/>
            </w:tcBorders>
            <w:shd w:val="clear" w:color="auto" w:fill="auto"/>
          </w:tcPr>
          <w:p w14:paraId="6E84F77D" w14:textId="77777777" w:rsidR="00F0236A" w:rsidRPr="0042750D" w:rsidRDefault="00F0236A" w:rsidP="00DF36E1">
            <w:pPr>
              <w:pStyle w:val="Tabletext"/>
              <w:rPr>
                <w:sz w:val="24"/>
                <w:szCs w:val="24"/>
              </w:rPr>
            </w:pPr>
          </w:p>
        </w:tc>
        <w:tc>
          <w:tcPr>
            <w:tcW w:w="8780" w:type="dxa"/>
            <w:gridSpan w:val="4"/>
            <w:tcBorders>
              <w:bottom w:val="single" w:sz="12" w:space="0" w:color="auto"/>
            </w:tcBorders>
            <w:shd w:val="clear" w:color="auto" w:fill="auto"/>
          </w:tcPr>
          <w:p w14:paraId="1BD4E62B" w14:textId="77777777" w:rsidR="00F0236A" w:rsidRPr="0042750D" w:rsidRDefault="003927D0" w:rsidP="00557083">
            <w:pPr>
              <w:spacing w:before="40" w:after="40"/>
              <w:rPr>
                <w:szCs w:val="22"/>
              </w:rPr>
            </w:pPr>
            <w:r w:rsidRPr="0042750D">
              <w:rPr>
                <w:szCs w:val="22"/>
              </w:rPr>
              <w:t>The ITU-T Joint Coordination Activity on Accessibility and Human Factors (</w:t>
            </w:r>
            <w:hyperlink r:id="rId73" w:history="1">
              <w:r w:rsidRPr="0042750D">
                <w:rPr>
                  <w:rStyle w:val="Hyperlink"/>
                  <w:szCs w:val="22"/>
                </w:rPr>
                <w:t>JCA-AHF</w:t>
              </w:r>
            </w:hyperlink>
            <w:r w:rsidRPr="0042750D">
              <w:rPr>
                <w:szCs w:val="22"/>
              </w:rPr>
              <w:t>) serves as a useful coordination mechanism across ITU Sectors and external SDOs and disability groups.</w:t>
            </w:r>
          </w:p>
          <w:p w14:paraId="071CDA63" w14:textId="77777777" w:rsidR="000739B4" w:rsidRPr="0042750D" w:rsidRDefault="000739B4" w:rsidP="00BF6206">
            <w:pPr>
              <w:spacing w:after="40"/>
              <w:rPr>
                <w:szCs w:val="22"/>
              </w:rPr>
            </w:pPr>
            <w:r w:rsidRPr="0042750D">
              <w:rPr>
                <w:szCs w:val="22"/>
              </w:rPr>
              <w:t xml:space="preserve">The </w:t>
            </w:r>
            <w:hyperlink r:id="rId74" w:history="1">
              <w:r w:rsidRPr="0042750D">
                <w:rPr>
                  <w:rStyle w:val="Hyperlink"/>
                  <w:szCs w:val="22"/>
                </w:rPr>
                <w:t>Memorandum of Understanding on electronic business</w:t>
              </w:r>
            </w:hyperlink>
            <w:r w:rsidRPr="0042750D">
              <w:rPr>
                <w:szCs w:val="22"/>
                <w:u w:val="single"/>
              </w:rPr>
              <w:t xml:space="preserve"> </w:t>
            </w:r>
            <w:r w:rsidRPr="0042750D">
              <w:rPr>
                <w:szCs w:val="22"/>
              </w:rPr>
              <w:t>(MoU) between IEC, ISO, ITU, and UN/ECE, and its Management Group (MG) organized on 21 October 2019 an MoU/MG webinar on eAccessibility for e-business.</w:t>
            </w:r>
          </w:p>
          <w:p w14:paraId="7E176154" w14:textId="7810336E" w:rsidR="00A15BBD" w:rsidRPr="0042750D" w:rsidRDefault="00A15BBD" w:rsidP="00BF6206">
            <w:pPr>
              <w:spacing w:after="40"/>
              <w:rPr>
                <w:szCs w:val="22"/>
              </w:rPr>
            </w:pPr>
            <w:r w:rsidRPr="0042750D">
              <w:rPr>
                <w:szCs w:val="22"/>
              </w:rPr>
              <w:t xml:space="preserve">SG16 continues strong collaboration with </w:t>
            </w:r>
            <w:r w:rsidRPr="0042750D">
              <w:t>ISO/IEC JTC1 SC35 "User Interfaces" in developing draft twin textes with ISO/IEC DIS 20071 series on audio descriptions; audio presentation of text; visual presentation of audio information.</w:t>
            </w:r>
          </w:p>
        </w:tc>
      </w:tr>
      <w:tr w:rsidR="00F0236A" w:rsidRPr="0042750D" w14:paraId="610E882F" w14:textId="77777777" w:rsidTr="00B37746">
        <w:trPr>
          <w:cantSplit/>
          <w:jc w:val="center"/>
        </w:trPr>
        <w:tc>
          <w:tcPr>
            <w:tcW w:w="913" w:type="dxa"/>
            <w:vMerge w:val="restart"/>
            <w:tcBorders>
              <w:top w:val="single" w:sz="12" w:space="0" w:color="auto"/>
            </w:tcBorders>
            <w:shd w:val="clear" w:color="auto" w:fill="auto"/>
          </w:tcPr>
          <w:p w14:paraId="62DAFE24" w14:textId="43FB2A09" w:rsidR="00F0236A" w:rsidRPr="0042750D" w:rsidRDefault="003C361D" w:rsidP="00DF36E1">
            <w:pPr>
              <w:pStyle w:val="Tabletext"/>
              <w:rPr>
                <w:b/>
                <w:bCs/>
                <w:sz w:val="24"/>
                <w:szCs w:val="24"/>
              </w:rPr>
            </w:pPr>
            <w:r w:rsidRPr="0042750D">
              <w:rPr>
                <w:b/>
                <w:bCs/>
                <w:sz w:val="24"/>
                <w:szCs w:val="24"/>
              </w:rPr>
              <w:t>175-03</w:t>
            </w:r>
          </w:p>
        </w:tc>
        <w:tc>
          <w:tcPr>
            <w:tcW w:w="4999" w:type="dxa"/>
            <w:tcBorders>
              <w:top w:val="single" w:sz="12" w:space="0" w:color="auto"/>
            </w:tcBorders>
            <w:shd w:val="clear" w:color="auto" w:fill="auto"/>
          </w:tcPr>
          <w:p w14:paraId="065484D9" w14:textId="30B1628D" w:rsidR="00F0236A" w:rsidRPr="0042750D" w:rsidRDefault="001D74CE" w:rsidP="001D74CE">
            <w:pPr>
              <w:pStyle w:val="Tabletext"/>
              <w:rPr>
                <w:b/>
                <w:bCs/>
                <w:sz w:val="24"/>
                <w:szCs w:val="24"/>
              </w:rPr>
            </w:pPr>
            <w:r w:rsidRPr="0042750D">
              <w:rPr>
                <w:b/>
                <w:bCs/>
                <w:sz w:val="24"/>
                <w:szCs w:val="24"/>
              </w:rPr>
              <w:t>TSBDir to coordinate accessibility-related activities between ITU-R, ITU-T and ITU-D, taking into account JCA-AHF and in collaboration with other relevant organizations and entities where appropriate</w:t>
            </w:r>
            <w:r w:rsidR="00B37746" w:rsidRPr="0042750D">
              <w:rPr>
                <w:b/>
                <w:bCs/>
                <w:sz w:val="24"/>
                <w:szCs w:val="24"/>
              </w:rPr>
              <w:t xml:space="preserve"> (</w:t>
            </w:r>
            <w:r w:rsidR="00B37746" w:rsidRPr="0042750D">
              <w:rPr>
                <w:b/>
                <w:bCs/>
                <w:i/>
                <w:sz w:val="24"/>
                <w:szCs w:val="24"/>
              </w:rPr>
              <w:t>instructs 1</w:t>
            </w:r>
            <w:r w:rsidR="00B37746" w:rsidRPr="0042750D">
              <w:rPr>
                <w:b/>
                <w:bCs/>
                <w:sz w:val="24"/>
                <w:szCs w:val="24"/>
              </w:rPr>
              <w:t>)</w:t>
            </w:r>
            <w:r w:rsidRPr="0042750D">
              <w:rPr>
                <w:b/>
                <w:bCs/>
                <w:sz w:val="24"/>
                <w:szCs w:val="24"/>
              </w:rPr>
              <w:t>.</w:t>
            </w:r>
          </w:p>
        </w:tc>
        <w:tc>
          <w:tcPr>
            <w:tcW w:w="1274" w:type="dxa"/>
            <w:tcBorders>
              <w:top w:val="single" w:sz="12" w:space="0" w:color="auto"/>
            </w:tcBorders>
            <w:shd w:val="clear" w:color="auto" w:fill="auto"/>
            <w:vAlign w:val="center"/>
            <w:hideMark/>
          </w:tcPr>
          <w:p w14:paraId="73791D2B" w14:textId="2F0077C0" w:rsidR="00F0236A" w:rsidRPr="0042750D" w:rsidRDefault="001D74CE" w:rsidP="00DF36E1">
            <w:pPr>
              <w:pStyle w:val="Tabletext"/>
              <w:jc w:val="center"/>
              <w:rPr>
                <w:b/>
                <w:bCs/>
                <w:sz w:val="24"/>
                <w:szCs w:val="24"/>
              </w:rPr>
            </w:pPr>
            <w:r w:rsidRPr="0042750D">
              <w:rPr>
                <w:b/>
                <w:bCs/>
                <w:sz w:val="24"/>
                <w:szCs w:val="24"/>
              </w:rPr>
              <w:t>Ongoing</w:t>
            </w:r>
          </w:p>
        </w:tc>
        <w:tc>
          <w:tcPr>
            <w:tcW w:w="1169" w:type="dxa"/>
            <w:tcBorders>
              <w:top w:val="single" w:sz="12" w:space="0" w:color="auto"/>
            </w:tcBorders>
            <w:shd w:val="clear" w:color="auto" w:fill="auto"/>
            <w:vAlign w:val="center"/>
          </w:tcPr>
          <w:p w14:paraId="0860FE80" w14:textId="564066BE" w:rsidR="00F0236A" w:rsidRPr="0042750D"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0C101BFE" w14:textId="77777777" w:rsidR="00F0236A" w:rsidRPr="0042750D" w:rsidRDefault="00F0236A" w:rsidP="00DF36E1">
            <w:pPr>
              <w:pStyle w:val="Tabletext"/>
              <w:jc w:val="center"/>
              <w:rPr>
                <w:b/>
                <w:bCs/>
                <w:sz w:val="24"/>
                <w:szCs w:val="24"/>
              </w:rPr>
            </w:pPr>
          </w:p>
        </w:tc>
      </w:tr>
      <w:tr w:rsidR="00CF35C2" w:rsidRPr="0042750D" w14:paraId="4153ECC3" w14:textId="77777777" w:rsidTr="00CF35C2">
        <w:trPr>
          <w:cantSplit/>
          <w:trHeight w:val="293"/>
          <w:jc w:val="center"/>
        </w:trPr>
        <w:tc>
          <w:tcPr>
            <w:tcW w:w="913" w:type="dxa"/>
            <w:vMerge/>
            <w:tcBorders>
              <w:bottom w:val="single" w:sz="12" w:space="0" w:color="auto"/>
            </w:tcBorders>
            <w:shd w:val="clear" w:color="auto" w:fill="auto"/>
          </w:tcPr>
          <w:p w14:paraId="058B53A9" w14:textId="77777777" w:rsidR="00CF35C2" w:rsidRPr="0042750D" w:rsidRDefault="00CF35C2" w:rsidP="00DF36E1">
            <w:pPr>
              <w:pStyle w:val="Tabletext"/>
              <w:rPr>
                <w:sz w:val="24"/>
                <w:szCs w:val="24"/>
              </w:rPr>
            </w:pPr>
          </w:p>
        </w:tc>
        <w:tc>
          <w:tcPr>
            <w:tcW w:w="8780" w:type="dxa"/>
            <w:gridSpan w:val="4"/>
            <w:shd w:val="clear" w:color="auto" w:fill="auto"/>
          </w:tcPr>
          <w:p w14:paraId="61E20D8A" w14:textId="77777777" w:rsidR="00651A9D" w:rsidRPr="0042750D" w:rsidRDefault="00651A9D" w:rsidP="00651A9D">
            <w:pPr>
              <w:rPr>
                <w:szCs w:val="22"/>
              </w:rPr>
            </w:pPr>
            <w:r w:rsidRPr="0042750D">
              <w:rPr>
                <w:szCs w:val="22"/>
              </w:rPr>
              <w:t>TSB contributes to the activity of the Union in the field of Accessibility to ICTs, working in close cooperation with the ITU focal points on accessibility.</w:t>
            </w:r>
          </w:p>
          <w:p w14:paraId="4D15330A" w14:textId="07DB31CC" w:rsidR="00CF35C2" w:rsidRPr="0042750D" w:rsidDel="00961F75" w:rsidRDefault="00CF35C2" w:rsidP="0074302C">
            <w:pPr>
              <w:spacing w:before="40" w:after="40"/>
            </w:pPr>
          </w:p>
        </w:tc>
      </w:tr>
      <w:tr w:rsidR="00775B4B" w:rsidRPr="0042750D" w14:paraId="188D183B" w14:textId="77777777" w:rsidTr="00084A32">
        <w:trPr>
          <w:jc w:val="center"/>
        </w:trPr>
        <w:tc>
          <w:tcPr>
            <w:tcW w:w="913" w:type="dxa"/>
            <w:vMerge w:val="restart"/>
            <w:tcBorders>
              <w:top w:val="single" w:sz="12" w:space="0" w:color="auto"/>
            </w:tcBorders>
            <w:shd w:val="clear" w:color="auto" w:fill="auto"/>
          </w:tcPr>
          <w:p w14:paraId="1693C7E4" w14:textId="7BA3D649" w:rsidR="00775B4B" w:rsidRPr="0042750D" w:rsidRDefault="00775B4B" w:rsidP="00084A32">
            <w:pPr>
              <w:pStyle w:val="Tabletext"/>
              <w:rPr>
                <w:b/>
                <w:bCs/>
                <w:sz w:val="24"/>
                <w:szCs w:val="24"/>
              </w:rPr>
            </w:pPr>
            <w:bookmarkStart w:id="213" w:name="Item69_01"/>
            <w:bookmarkStart w:id="214" w:name="Item69_02"/>
            <w:bookmarkEnd w:id="213"/>
            <w:bookmarkEnd w:id="214"/>
            <w:r w:rsidRPr="0042750D">
              <w:rPr>
                <w:b/>
                <w:bCs/>
                <w:sz w:val="24"/>
                <w:szCs w:val="24"/>
              </w:rPr>
              <w:t>175-05</w:t>
            </w:r>
          </w:p>
        </w:tc>
        <w:tc>
          <w:tcPr>
            <w:tcW w:w="4999" w:type="dxa"/>
            <w:tcBorders>
              <w:top w:val="single" w:sz="12" w:space="0" w:color="auto"/>
            </w:tcBorders>
            <w:shd w:val="clear" w:color="auto" w:fill="auto"/>
            <w:hideMark/>
          </w:tcPr>
          <w:p w14:paraId="448E671D" w14:textId="23BC74AF" w:rsidR="00775B4B" w:rsidRPr="0042750D" w:rsidRDefault="00775B4B" w:rsidP="00084A32">
            <w:pPr>
              <w:pStyle w:val="Tabletext"/>
              <w:rPr>
                <w:b/>
                <w:bCs/>
                <w:sz w:val="24"/>
                <w:szCs w:val="24"/>
              </w:rPr>
            </w:pPr>
            <w:r w:rsidRPr="0042750D">
              <w:rPr>
                <w:b/>
                <w:bCs/>
                <w:sz w:val="24"/>
                <w:szCs w:val="24"/>
              </w:rPr>
              <w:t>TSBDir to consider accessibility standards and guidelines whenever undertaking renovations or changing the use of space at a facility</w:t>
            </w:r>
            <w:r w:rsidR="00B37746" w:rsidRPr="0042750D">
              <w:rPr>
                <w:b/>
                <w:bCs/>
                <w:sz w:val="24"/>
                <w:szCs w:val="24"/>
              </w:rPr>
              <w:t xml:space="preserve"> (</w:t>
            </w:r>
            <w:r w:rsidR="00B37746" w:rsidRPr="0042750D">
              <w:rPr>
                <w:b/>
                <w:bCs/>
                <w:i/>
                <w:sz w:val="24"/>
                <w:szCs w:val="24"/>
              </w:rPr>
              <w:t>instructs 3</w:t>
            </w:r>
            <w:r w:rsidR="00B37746" w:rsidRPr="0042750D">
              <w:rPr>
                <w:b/>
                <w:bCs/>
                <w:sz w:val="24"/>
                <w:szCs w:val="24"/>
              </w:rPr>
              <w:t>)</w:t>
            </w:r>
            <w:r w:rsidRPr="0042750D">
              <w:rPr>
                <w:b/>
                <w:bCs/>
                <w:sz w:val="24"/>
                <w:szCs w:val="24"/>
              </w:rPr>
              <w:t>.</w:t>
            </w:r>
          </w:p>
        </w:tc>
        <w:tc>
          <w:tcPr>
            <w:tcW w:w="1274" w:type="dxa"/>
            <w:tcBorders>
              <w:top w:val="single" w:sz="12" w:space="0" w:color="auto"/>
            </w:tcBorders>
            <w:shd w:val="clear" w:color="auto" w:fill="auto"/>
            <w:vAlign w:val="center"/>
            <w:hideMark/>
          </w:tcPr>
          <w:p w14:paraId="2616A6E4" w14:textId="77777777" w:rsidR="00775B4B" w:rsidRPr="0042750D" w:rsidRDefault="00775B4B" w:rsidP="00084A32">
            <w:pPr>
              <w:pStyle w:val="Tabletext"/>
              <w:jc w:val="center"/>
              <w:rPr>
                <w:b/>
                <w:bCs/>
                <w:sz w:val="24"/>
                <w:szCs w:val="24"/>
              </w:rPr>
            </w:pPr>
            <w:r w:rsidRPr="0042750D">
              <w:rPr>
                <w:b/>
                <w:bCs/>
                <w:sz w:val="24"/>
                <w:szCs w:val="24"/>
              </w:rPr>
              <w:t>Ongoing</w:t>
            </w:r>
          </w:p>
        </w:tc>
        <w:tc>
          <w:tcPr>
            <w:tcW w:w="1169" w:type="dxa"/>
            <w:tcBorders>
              <w:top w:val="single" w:sz="12" w:space="0" w:color="auto"/>
            </w:tcBorders>
            <w:shd w:val="clear" w:color="auto" w:fill="auto"/>
            <w:vAlign w:val="center"/>
          </w:tcPr>
          <w:p w14:paraId="4E0D4D1F" w14:textId="6F0B2D3B" w:rsidR="00775B4B" w:rsidRPr="0042750D" w:rsidRDefault="00416C28" w:rsidP="00084A32">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6F54855C" w14:textId="77777777" w:rsidR="00775B4B" w:rsidRPr="0042750D" w:rsidRDefault="00775B4B" w:rsidP="00084A32">
            <w:pPr>
              <w:pStyle w:val="Tabletext"/>
              <w:jc w:val="center"/>
              <w:rPr>
                <w:b/>
                <w:bCs/>
                <w:sz w:val="24"/>
                <w:szCs w:val="24"/>
              </w:rPr>
            </w:pPr>
          </w:p>
        </w:tc>
      </w:tr>
      <w:tr w:rsidR="00775B4B" w:rsidRPr="0042750D" w14:paraId="650BA255" w14:textId="77777777" w:rsidTr="00084A32">
        <w:trPr>
          <w:jc w:val="center"/>
        </w:trPr>
        <w:tc>
          <w:tcPr>
            <w:tcW w:w="913" w:type="dxa"/>
            <w:vMerge/>
            <w:shd w:val="clear" w:color="auto" w:fill="auto"/>
          </w:tcPr>
          <w:p w14:paraId="2B0D1F9B" w14:textId="77777777" w:rsidR="00775B4B" w:rsidRPr="0042750D" w:rsidRDefault="00775B4B" w:rsidP="00084A32">
            <w:pPr>
              <w:pStyle w:val="Tabletext"/>
              <w:rPr>
                <w:b/>
                <w:bCs/>
                <w:sz w:val="24"/>
                <w:szCs w:val="24"/>
              </w:rPr>
            </w:pPr>
          </w:p>
        </w:tc>
        <w:tc>
          <w:tcPr>
            <w:tcW w:w="8780" w:type="dxa"/>
            <w:gridSpan w:val="4"/>
            <w:tcBorders>
              <w:top w:val="single" w:sz="12" w:space="0" w:color="auto"/>
            </w:tcBorders>
            <w:shd w:val="clear" w:color="auto" w:fill="auto"/>
          </w:tcPr>
          <w:p w14:paraId="2FAEEECB" w14:textId="3247F2A7" w:rsidR="00775B4B" w:rsidRPr="0042750D" w:rsidRDefault="00DD025B" w:rsidP="00084A32">
            <w:pPr>
              <w:pStyle w:val="Tabletext"/>
              <w:rPr>
                <w:bCs/>
                <w:sz w:val="24"/>
                <w:szCs w:val="24"/>
              </w:rPr>
            </w:pPr>
            <w:hyperlink r:id="rId75" w:history="1">
              <w:r w:rsidR="00416C28" w:rsidRPr="0042750D">
                <w:rPr>
                  <w:rStyle w:val="Hyperlink"/>
                </w:rPr>
                <w:t>Recommendation ITU-T F.921 (08/2018)</w:t>
              </w:r>
            </w:hyperlink>
            <w:r w:rsidR="00416C28" w:rsidRPr="0042750D">
              <w:t xml:space="preserve"> “Audio-based indoor and outdoor network navigation system for persons with vision impairment” is considered for ITU’s pilot project on audio-based navigation system at ITU headquarters.</w:t>
            </w:r>
          </w:p>
        </w:tc>
      </w:tr>
      <w:tr w:rsidR="00775B4B" w:rsidRPr="0042750D" w14:paraId="0D8E15C8" w14:textId="77777777" w:rsidTr="00B37746">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3210B039" w14:textId="3856DFFD" w:rsidR="00775B4B" w:rsidRPr="0042750D" w:rsidRDefault="00775B4B" w:rsidP="005A429E">
            <w:pPr>
              <w:pStyle w:val="Tabletext"/>
              <w:rPr>
                <w:b/>
                <w:bCs/>
                <w:sz w:val="24"/>
                <w:szCs w:val="24"/>
              </w:rPr>
            </w:pPr>
            <w:r w:rsidRPr="0042750D">
              <w:rPr>
                <w:b/>
                <w:bCs/>
                <w:sz w:val="24"/>
                <w:szCs w:val="24"/>
              </w:rPr>
              <w:t>175-06</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5B5AAA89" w14:textId="18723EE6" w:rsidR="00775B4B" w:rsidRPr="0042750D" w:rsidRDefault="00775B4B" w:rsidP="00084A32">
            <w:pPr>
              <w:pStyle w:val="Tabletext"/>
              <w:keepNext/>
              <w:keepLines/>
              <w:rPr>
                <w:b/>
                <w:bCs/>
                <w:sz w:val="24"/>
                <w:szCs w:val="24"/>
              </w:rPr>
            </w:pPr>
            <w:r w:rsidRPr="0042750D">
              <w:rPr>
                <w:b/>
                <w:bCs/>
                <w:sz w:val="24"/>
                <w:szCs w:val="24"/>
              </w:rPr>
              <w:t>TSBDir to consider expanding the fellowship programme</w:t>
            </w:r>
            <w:r w:rsidR="00B37746" w:rsidRPr="0042750D">
              <w:rPr>
                <w:b/>
                <w:bCs/>
                <w:sz w:val="24"/>
                <w:szCs w:val="24"/>
              </w:rPr>
              <w:t xml:space="preserve"> (</w:t>
            </w:r>
            <w:r w:rsidR="00B37746" w:rsidRPr="0042750D">
              <w:rPr>
                <w:b/>
                <w:bCs/>
                <w:i/>
                <w:sz w:val="24"/>
                <w:szCs w:val="24"/>
              </w:rPr>
              <w:t>instructs 5</w:t>
            </w:r>
            <w:r w:rsidR="00B37746" w:rsidRPr="0042750D">
              <w:rPr>
                <w:b/>
                <w:bCs/>
                <w:sz w:val="24"/>
                <w:szCs w:val="24"/>
              </w:rPr>
              <w:t>)</w:t>
            </w:r>
            <w:r w:rsidRPr="0042750D">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404D2C86" w14:textId="77777777" w:rsidR="00775B4B" w:rsidRPr="0042750D" w:rsidRDefault="00775B4B" w:rsidP="00084A32">
            <w:pPr>
              <w:pStyle w:val="Tabletext"/>
              <w:keepNext/>
              <w:keepLines/>
              <w:jc w:val="center"/>
              <w:rPr>
                <w:b/>
                <w:bCs/>
                <w:sz w:val="24"/>
                <w:szCs w:val="24"/>
              </w:rPr>
            </w:pPr>
            <w:r w:rsidRPr="0042750D">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6BB1F9F4" w14:textId="1630037B" w:rsidR="00775B4B" w:rsidRPr="0042750D" w:rsidRDefault="00084A32" w:rsidP="00084A32">
            <w:pPr>
              <w:pStyle w:val="Tabletext"/>
              <w:keepNext/>
              <w:keepLines/>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25CEE759" w14:textId="77777777" w:rsidR="00775B4B" w:rsidRPr="0042750D" w:rsidRDefault="00775B4B" w:rsidP="00084A32">
            <w:pPr>
              <w:pStyle w:val="Tabletext"/>
              <w:keepNext/>
              <w:keepLines/>
              <w:jc w:val="center"/>
              <w:rPr>
                <w:b/>
                <w:bCs/>
                <w:sz w:val="24"/>
                <w:szCs w:val="24"/>
              </w:rPr>
            </w:pPr>
          </w:p>
        </w:tc>
      </w:tr>
      <w:tr w:rsidR="00775B4B" w:rsidRPr="0042750D" w14:paraId="58787BE6" w14:textId="77777777" w:rsidTr="00775B4B">
        <w:trPr>
          <w:cantSplit/>
          <w:jc w:val="center"/>
        </w:trPr>
        <w:tc>
          <w:tcPr>
            <w:tcW w:w="913" w:type="dxa"/>
            <w:vMerge/>
            <w:tcBorders>
              <w:left w:val="single" w:sz="12" w:space="0" w:color="auto"/>
              <w:bottom w:val="single" w:sz="12" w:space="0" w:color="auto"/>
              <w:right w:val="single" w:sz="4" w:space="0" w:color="auto"/>
            </w:tcBorders>
            <w:shd w:val="clear" w:color="auto" w:fill="auto"/>
          </w:tcPr>
          <w:p w14:paraId="35699EF9" w14:textId="77777777" w:rsidR="00775B4B" w:rsidRPr="0042750D" w:rsidRDefault="00775B4B" w:rsidP="00084A32">
            <w:pPr>
              <w:pStyle w:val="Tabletext"/>
              <w:keepNext/>
              <w:keepLines/>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4525DC12" w14:textId="325A4823" w:rsidR="00775B4B" w:rsidRPr="0042750D" w:rsidRDefault="00084A32" w:rsidP="00084A32">
            <w:pPr>
              <w:pStyle w:val="Tabletext"/>
              <w:keepNext/>
              <w:keepLines/>
              <w:rPr>
                <w:bCs/>
                <w:sz w:val="24"/>
                <w:szCs w:val="24"/>
              </w:rPr>
            </w:pPr>
            <w:r w:rsidRPr="0042750D">
              <w:rPr>
                <w:szCs w:val="22"/>
              </w:rPr>
              <w:t>Some experts had participation facilitated by TSB to participate in discussions of accessibility and human factor studies.</w:t>
            </w:r>
          </w:p>
        </w:tc>
      </w:tr>
      <w:tr w:rsidR="00775B4B" w:rsidRPr="0042750D" w14:paraId="598DD50E" w14:textId="77777777" w:rsidTr="00B37746">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65802E17" w14:textId="6666385F" w:rsidR="00775B4B" w:rsidRPr="0042750D" w:rsidRDefault="00775B4B" w:rsidP="007510CD">
            <w:pPr>
              <w:pStyle w:val="Tabletext"/>
              <w:rPr>
                <w:b/>
                <w:bCs/>
                <w:sz w:val="24"/>
                <w:szCs w:val="24"/>
              </w:rPr>
            </w:pPr>
            <w:r w:rsidRPr="0042750D">
              <w:rPr>
                <w:b/>
                <w:bCs/>
                <w:sz w:val="24"/>
                <w:szCs w:val="24"/>
              </w:rPr>
              <w:t>175-07</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3A298706" w14:textId="4754BC61" w:rsidR="00775B4B" w:rsidRPr="0042750D" w:rsidRDefault="00775B4B" w:rsidP="007510CD">
            <w:pPr>
              <w:pStyle w:val="Tabletext"/>
              <w:rPr>
                <w:b/>
                <w:bCs/>
                <w:sz w:val="24"/>
                <w:szCs w:val="24"/>
              </w:rPr>
            </w:pPr>
            <w:r w:rsidRPr="0042750D">
              <w:rPr>
                <w:b/>
                <w:bCs/>
                <w:sz w:val="24"/>
                <w:szCs w:val="24"/>
              </w:rPr>
              <w:t>TSBDir to identify, document and disseminate examples of best practices for accessibility in the field of telecommunications/ICTs among ITU Member States and Sector Members</w:t>
            </w:r>
            <w:r w:rsidR="00B37746" w:rsidRPr="0042750D">
              <w:rPr>
                <w:b/>
                <w:bCs/>
                <w:sz w:val="24"/>
                <w:szCs w:val="24"/>
              </w:rPr>
              <w:t xml:space="preserve"> (</w:t>
            </w:r>
            <w:r w:rsidR="00B37746" w:rsidRPr="0042750D">
              <w:rPr>
                <w:b/>
                <w:bCs/>
                <w:i/>
                <w:sz w:val="24"/>
                <w:szCs w:val="24"/>
              </w:rPr>
              <w:t>instructs 6</w:t>
            </w:r>
            <w:r w:rsidR="00B37746" w:rsidRPr="0042750D">
              <w:rPr>
                <w:b/>
                <w:bCs/>
                <w:sz w:val="24"/>
                <w:szCs w:val="24"/>
              </w:rPr>
              <w:t>)</w:t>
            </w:r>
            <w:r w:rsidRPr="0042750D">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662DD4C2" w14:textId="77777777" w:rsidR="00775B4B" w:rsidRPr="0042750D" w:rsidRDefault="00775B4B" w:rsidP="007510CD">
            <w:pPr>
              <w:pStyle w:val="Tabletext"/>
              <w:jc w:val="center"/>
              <w:rPr>
                <w:b/>
                <w:bCs/>
                <w:sz w:val="24"/>
                <w:szCs w:val="24"/>
              </w:rPr>
            </w:pPr>
            <w:r w:rsidRPr="0042750D">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0747FFAE" w14:textId="77777777" w:rsidR="00775B4B" w:rsidRPr="0042750D" w:rsidRDefault="00775B4B" w:rsidP="007510CD">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70286A95" w14:textId="77777777" w:rsidR="00775B4B" w:rsidRPr="0042750D" w:rsidRDefault="00775B4B" w:rsidP="007510CD">
            <w:pPr>
              <w:pStyle w:val="Tabletext"/>
              <w:jc w:val="center"/>
              <w:rPr>
                <w:b/>
                <w:bCs/>
                <w:sz w:val="24"/>
                <w:szCs w:val="24"/>
              </w:rPr>
            </w:pPr>
          </w:p>
        </w:tc>
      </w:tr>
      <w:tr w:rsidR="00775B4B" w:rsidRPr="0042750D" w14:paraId="205790E2" w14:textId="77777777" w:rsidTr="00775B4B">
        <w:trPr>
          <w:cantSplit/>
          <w:jc w:val="center"/>
        </w:trPr>
        <w:tc>
          <w:tcPr>
            <w:tcW w:w="913" w:type="dxa"/>
            <w:vMerge/>
            <w:tcBorders>
              <w:left w:val="single" w:sz="12" w:space="0" w:color="auto"/>
              <w:bottom w:val="single" w:sz="12" w:space="0" w:color="auto"/>
              <w:right w:val="single" w:sz="4" w:space="0" w:color="auto"/>
            </w:tcBorders>
            <w:shd w:val="clear" w:color="auto" w:fill="auto"/>
          </w:tcPr>
          <w:p w14:paraId="3F3F97DA" w14:textId="77777777" w:rsidR="00775B4B" w:rsidRPr="0042750D" w:rsidRDefault="00775B4B" w:rsidP="007510CD">
            <w:pPr>
              <w:pStyle w:val="Tabletext"/>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6D20D9FC" w14:textId="1B86A1A5" w:rsidR="00775B4B" w:rsidRPr="0042750D" w:rsidRDefault="00651A9D" w:rsidP="0074302C">
            <w:pPr>
              <w:spacing w:before="40" w:after="40"/>
              <w:rPr>
                <w:bCs/>
                <w:szCs w:val="22"/>
              </w:rPr>
            </w:pPr>
            <w:r w:rsidRPr="0042750D">
              <w:rPr>
                <w:bCs/>
                <w:szCs w:val="22"/>
              </w:rPr>
              <w:t xml:space="preserve">To disseminate examples of good practices on telecom relay services (TRS), and to promote </w:t>
            </w:r>
            <w:hyperlink r:id="rId76" w:history="1">
              <w:r w:rsidRPr="0042750D">
                <w:rPr>
                  <w:rStyle w:val="Hyperlink"/>
                </w:rPr>
                <w:t>ITU-T F.930</w:t>
              </w:r>
            </w:hyperlink>
            <w:r w:rsidRPr="0042750D">
              <w:t> (03/2018) - Multimedia telecommunication relay services, a workshop session on TRS was organized at WSIS Forum 2019.</w:t>
            </w:r>
            <w:r w:rsidRPr="0042750D">
              <w:rPr>
                <w:bCs/>
                <w:szCs w:val="22"/>
              </w:rPr>
              <w:t xml:space="preserve"> </w:t>
            </w:r>
          </w:p>
        </w:tc>
      </w:tr>
      <w:tr w:rsidR="00775B4B" w:rsidRPr="0042750D" w14:paraId="40AF1E7E" w14:textId="77777777" w:rsidTr="005A429E">
        <w:trPr>
          <w:jc w:val="center"/>
        </w:trPr>
        <w:tc>
          <w:tcPr>
            <w:tcW w:w="913" w:type="dxa"/>
            <w:vMerge w:val="restart"/>
            <w:tcBorders>
              <w:top w:val="single" w:sz="12" w:space="0" w:color="auto"/>
              <w:left w:val="single" w:sz="12" w:space="0" w:color="auto"/>
              <w:right w:val="single" w:sz="4" w:space="0" w:color="auto"/>
            </w:tcBorders>
            <w:shd w:val="clear" w:color="auto" w:fill="auto"/>
          </w:tcPr>
          <w:p w14:paraId="4A78E5E6" w14:textId="0A16E494" w:rsidR="00775B4B" w:rsidRPr="0042750D" w:rsidRDefault="00775B4B" w:rsidP="005A429E">
            <w:pPr>
              <w:pStyle w:val="Tabletext"/>
              <w:rPr>
                <w:b/>
                <w:bCs/>
                <w:sz w:val="24"/>
                <w:szCs w:val="24"/>
              </w:rPr>
            </w:pPr>
            <w:r w:rsidRPr="0042750D">
              <w:rPr>
                <w:b/>
                <w:bCs/>
                <w:sz w:val="24"/>
                <w:szCs w:val="24"/>
              </w:rPr>
              <w:t>175-08</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13CEFCF6" w14:textId="374482AD" w:rsidR="00775B4B" w:rsidRPr="0042750D" w:rsidRDefault="00775B4B" w:rsidP="005A429E">
            <w:pPr>
              <w:pStyle w:val="Tabletext"/>
              <w:rPr>
                <w:b/>
                <w:bCs/>
                <w:sz w:val="24"/>
                <w:szCs w:val="24"/>
              </w:rPr>
            </w:pPr>
            <w:r w:rsidRPr="0042750D">
              <w:rPr>
                <w:b/>
                <w:bCs/>
                <w:sz w:val="24"/>
                <w:szCs w:val="24"/>
              </w:rPr>
              <w:t>TSBDir to work collaboratively and cooperatively with other relevant regional and global organizations and entities, in particular in the interest of ensuring that ongoing work in the field of accessibility is taken into account</w:t>
            </w:r>
            <w:r w:rsidR="00CB57F6" w:rsidRPr="0042750D">
              <w:rPr>
                <w:b/>
                <w:bCs/>
                <w:sz w:val="24"/>
                <w:szCs w:val="24"/>
              </w:rPr>
              <w:t xml:space="preserve"> (</w:t>
            </w:r>
            <w:r w:rsidR="00CB57F6" w:rsidRPr="0042750D">
              <w:rPr>
                <w:b/>
                <w:bCs/>
                <w:i/>
                <w:sz w:val="24"/>
                <w:szCs w:val="24"/>
              </w:rPr>
              <w:t>instructs 8</w:t>
            </w:r>
            <w:r w:rsidR="00CB57F6" w:rsidRPr="0042750D">
              <w:rPr>
                <w:b/>
                <w:bCs/>
                <w:sz w:val="24"/>
                <w:szCs w:val="24"/>
              </w:rPr>
              <w:t>)</w:t>
            </w:r>
            <w:r w:rsidRPr="0042750D">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06CB29A9" w14:textId="77777777" w:rsidR="00775B4B" w:rsidRPr="0042750D" w:rsidRDefault="00775B4B" w:rsidP="005A429E">
            <w:pPr>
              <w:pStyle w:val="Tabletext"/>
              <w:jc w:val="center"/>
              <w:rPr>
                <w:b/>
                <w:bCs/>
                <w:sz w:val="24"/>
                <w:szCs w:val="24"/>
              </w:rPr>
            </w:pPr>
            <w:r w:rsidRPr="0042750D">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3B09E607" w14:textId="46A96D93" w:rsidR="00775B4B" w:rsidRPr="0042750D" w:rsidRDefault="00560963" w:rsidP="005A429E">
            <w:pPr>
              <w:pStyle w:val="Tabletext"/>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05CA65C6" w14:textId="77777777" w:rsidR="00775B4B" w:rsidRPr="0042750D" w:rsidRDefault="00775B4B" w:rsidP="005A429E">
            <w:pPr>
              <w:pStyle w:val="Tabletext"/>
              <w:jc w:val="center"/>
              <w:rPr>
                <w:b/>
                <w:bCs/>
                <w:sz w:val="24"/>
                <w:szCs w:val="24"/>
              </w:rPr>
            </w:pPr>
          </w:p>
        </w:tc>
      </w:tr>
      <w:tr w:rsidR="00775B4B" w:rsidRPr="0042750D" w14:paraId="3F9E2C46" w14:textId="77777777" w:rsidTr="005A429E">
        <w:trPr>
          <w:jc w:val="center"/>
        </w:trPr>
        <w:tc>
          <w:tcPr>
            <w:tcW w:w="913" w:type="dxa"/>
            <w:vMerge/>
            <w:tcBorders>
              <w:left w:val="single" w:sz="12" w:space="0" w:color="auto"/>
              <w:bottom w:val="single" w:sz="12" w:space="0" w:color="auto"/>
              <w:right w:val="single" w:sz="4" w:space="0" w:color="auto"/>
            </w:tcBorders>
            <w:shd w:val="clear" w:color="auto" w:fill="auto"/>
          </w:tcPr>
          <w:p w14:paraId="42C96AD5" w14:textId="77777777" w:rsidR="00775B4B" w:rsidRPr="0042750D" w:rsidRDefault="00775B4B" w:rsidP="005A429E">
            <w:pPr>
              <w:pStyle w:val="Tabletext"/>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2485E490" w14:textId="7F39A5F9" w:rsidR="00775B4B" w:rsidRPr="0042750D" w:rsidRDefault="00560963" w:rsidP="005A429E">
            <w:pPr>
              <w:pStyle w:val="Tabletext"/>
              <w:rPr>
                <w:bCs/>
                <w:szCs w:val="22"/>
              </w:rPr>
            </w:pPr>
            <w:r w:rsidRPr="0042750D">
              <w:rPr>
                <w:bCs/>
                <w:szCs w:val="22"/>
              </w:rPr>
              <w:t>TSB contribute</w:t>
            </w:r>
            <w:r w:rsidR="001F2E16" w:rsidRPr="0042750D">
              <w:rPr>
                <w:bCs/>
                <w:szCs w:val="22"/>
              </w:rPr>
              <w:t>s</w:t>
            </w:r>
            <w:r w:rsidRPr="0042750D">
              <w:rPr>
                <w:bCs/>
                <w:szCs w:val="22"/>
              </w:rPr>
              <w:t xml:space="preserve"> to and participate</w:t>
            </w:r>
            <w:r w:rsidR="001F2E16" w:rsidRPr="0042750D">
              <w:rPr>
                <w:bCs/>
                <w:szCs w:val="22"/>
              </w:rPr>
              <w:t>s</w:t>
            </w:r>
            <w:r w:rsidRPr="0042750D">
              <w:rPr>
                <w:bCs/>
                <w:szCs w:val="22"/>
              </w:rPr>
              <w:t xml:space="preserve"> i</w:t>
            </w:r>
            <w:r w:rsidR="002E691E" w:rsidRPr="0042750D">
              <w:rPr>
                <w:bCs/>
                <w:szCs w:val="22"/>
              </w:rPr>
              <w:t xml:space="preserve">n the Accessible Americas event: ICT for All, </w:t>
            </w:r>
            <w:r w:rsidR="00651A9D" w:rsidRPr="0042750D">
              <w:rPr>
                <w:bCs/>
                <w:szCs w:val="22"/>
              </w:rPr>
              <w:t>as</w:t>
            </w:r>
            <w:r w:rsidR="002E691E" w:rsidRPr="0042750D">
              <w:rPr>
                <w:bCs/>
                <w:szCs w:val="22"/>
              </w:rPr>
              <w:t xml:space="preserve"> well</w:t>
            </w:r>
            <w:r w:rsidR="00651A9D" w:rsidRPr="0042750D">
              <w:rPr>
                <w:bCs/>
                <w:szCs w:val="22"/>
              </w:rPr>
              <w:t xml:space="preserve"> as</w:t>
            </w:r>
            <w:r w:rsidR="002E691E" w:rsidRPr="0042750D">
              <w:rPr>
                <w:bCs/>
                <w:szCs w:val="22"/>
              </w:rPr>
              <w:t xml:space="preserve"> the Accessible Europe 2019</w:t>
            </w:r>
            <w:r w:rsidRPr="0042750D">
              <w:rPr>
                <w:bCs/>
                <w:szCs w:val="22"/>
              </w:rPr>
              <w:t>.</w:t>
            </w:r>
          </w:p>
        </w:tc>
      </w:tr>
      <w:tr w:rsidR="00775B4B" w:rsidRPr="0042750D" w14:paraId="05E085C1" w14:textId="77777777" w:rsidTr="00B37746">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71B92CF5" w14:textId="3F5557D7" w:rsidR="00775B4B" w:rsidRPr="0042750D" w:rsidRDefault="00775B4B" w:rsidP="005A429E">
            <w:pPr>
              <w:pStyle w:val="Tabletext"/>
              <w:keepNext/>
              <w:keepLines/>
              <w:rPr>
                <w:b/>
                <w:bCs/>
                <w:sz w:val="24"/>
                <w:szCs w:val="24"/>
              </w:rPr>
            </w:pPr>
            <w:r w:rsidRPr="0042750D">
              <w:rPr>
                <w:b/>
                <w:bCs/>
                <w:sz w:val="24"/>
                <w:szCs w:val="24"/>
              </w:rPr>
              <w:t>175-09</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52F57392" w14:textId="236A70B3" w:rsidR="00775B4B" w:rsidRPr="0042750D" w:rsidRDefault="00775B4B" w:rsidP="005A429E">
            <w:pPr>
              <w:pStyle w:val="Tabletext"/>
              <w:keepNext/>
              <w:keepLines/>
              <w:rPr>
                <w:b/>
                <w:bCs/>
                <w:sz w:val="24"/>
                <w:szCs w:val="24"/>
              </w:rPr>
            </w:pPr>
            <w:r w:rsidRPr="0042750D">
              <w:rPr>
                <w:b/>
                <w:bCs/>
                <w:sz w:val="24"/>
                <w:szCs w:val="24"/>
              </w:rPr>
              <w:t>TSBDir to direct the regional offices, within their available resources, to organize regional competitions for the development of assistive technologies to enable persons with disabilities and specific needs</w:t>
            </w:r>
            <w:r w:rsidR="00CB57F6" w:rsidRPr="0042750D">
              <w:rPr>
                <w:b/>
                <w:bCs/>
                <w:sz w:val="24"/>
                <w:szCs w:val="24"/>
              </w:rPr>
              <w:t xml:space="preserve"> (</w:t>
            </w:r>
            <w:r w:rsidR="00CB57F6" w:rsidRPr="0042750D">
              <w:rPr>
                <w:b/>
                <w:bCs/>
                <w:i/>
                <w:sz w:val="24"/>
                <w:szCs w:val="24"/>
              </w:rPr>
              <w:t>instructs 10</w:t>
            </w:r>
            <w:r w:rsidR="00CB57F6" w:rsidRPr="0042750D">
              <w:rPr>
                <w:b/>
                <w:bCs/>
                <w:sz w:val="24"/>
                <w:szCs w:val="24"/>
              </w:rPr>
              <w:t>)</w:t>
            </w:r>
            <w:r w:rsidRPr="0042750D">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2D5F90F1" w14:textId="77777777" w:rsidR="00775B4B" w:rsidRPr="0042750D" w:rsidRDefault="00775B4B" w:rsidP="005A429E">
            <w:pPr>
              <w:pStyle w:val="Tabletext"/>
              <w:keepNext/>
              <w:keepLines/>
              <w:jc w:val="center"/>
              <w:rPr>
                <w:b/>
                <w:bCs/>
                <w:sz w:val="24"/>
                <w:szCs w:val="24"/>
              </w:rPr>
            </w:pPr>
            <w:r w:rsidRPr="0042750D">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46482C6A" w14:textId="59AE3BAF" w:rsidR="00775B4B" w:rsidRPr="0042750D" w:rsidRDefault="001F2E16" w:rsidP="005A429E">
            <w:pPr>
              <w:pStyle w:val="Tabletext"/>
              <w:keepNext/>
              <w:keepLines/>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59DCC78E" w14:textId="77777777" w:rsidR="00775B4B" w:rsidRPr="0042750D" w:rsidRDefault="00775B4B" w:rsidP="005A429E">
            <w:pPr>
              <w:pStyle w:val="Tabletext"/>
              <w:keepNext/>
              <w:keepLines/>
              <w:jc w:val="center"/>
              <w:rPr>
                <w:b/>
                <w:bCs/>
                <w:sz w:val="24"/>
                <w:szCs w:val="24"/>
              </w:rPr>
            </w:pPr>
          </w:p>
        </w:tc>
      </w:tr>
      <w:tr w:rsidR="00775B4B" w:rsidRPr="0042750D" w14:paraId="375CE09F" w14:textId="77777777" w:rsidTr="00775B4B">
        <w:trPr>
          <w:cantSplit/>
          <w:jc w:val="center"/>
        </w:trPr>
        <w:tc>
          <w:tcPr>
            <w:tcW w:w="913" w:type="dxa"/>
            <w:vMerge/>
            <w:tcBorders>
              <w:left w:val="single" w:sz="12" w:space="0" w:color="auto"/>
              <w:bottom w:val="single" w:sz="12" w:space="0" w:color="auto"/>
              <w:right w:val="single" w:sz="4" w:space="0" w:color="auto"/>
            </w:tcBorders>
            <w:shd w:val="clear" w:color="auto" w:fill="auto"/>
          </w:tcPr>
          <w:p w14:paraId="2A8F7B41" w14:textId="77777777" w:rsidR="00775B4B" w:rsidRPr="0042750D" w:rsidRDefault="00775B4B" w:rsidP="005A429E">
            <w:pPr>
              <w:pStyle w:val="Tabletext"/>
              <w:keepNext/>
              <w:keepLines/>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20ECCC0D" w14:textId="6E0DF00B" w:rsidR="002D4D90" w:rsidRPr="0042750D" w:rsidRDefault="001F2E16" w:rsidP="005A429E">
            <w:pPr>
              <w:pStyle w:val="Tabletext"/>
              <w:keepNext/>
              <w:keepLines/>
              <w:rPr>
                <w:bCs/>
                <w:szCs w:val="22"/>
              </w:rPr>
            </w:pPr>
            <w:r w:rsidRPr="0042750D">
              <w:rPr>
                <w:bCs/>
                <w:szCs w:val="22"/>
              </w:rPr>
              <w:t>TSB contributes to and participates in the Accessible Americas events</w:t>
            </w:r>
            <w:r w:rsidR="00651A9D" w:rsidRPr="0042750D">
              <w:rPr>
                <w:bCs/>
                <w:szCs w:val="22"/>
              </w:rPr>
              <w:t xml:space="preserve"> and in Accessible Europe</w:t>
            </w:r>
            <w:r w:rsidRPr="0042750D">
              <w:rPr>
                <w:bCs/>
                <w:szCs w:val="22"/>
              </w:rPr>
              <w:t>, led by the Regional Office for the Americas</w:t>
            </w:r>
            <w:r w:rsidR="00651A9D" w:rsidRPr="0042750D">
              <w:rPr>
                <w:bCs/>
                <w:szCs w:val="22"/>
              </w:rPr>
              <w:t xml:space="preserve"> and the Regional Office for Europe respectively</w:t>
            </w:r>
            <w:r w:rsidRPr="0042750D">
              <w:rPr>
                <w:bCs/>
                <w:szCs w:val="22"/>
              </w:rPr>
              <w:t>, where competitions for the development of assistive technologies are organized on a yearly basis.</w:t>
            </w:r>
          </w:p>
        </w:tc>
      </w:tr>
      <w:tr w:rsidR="00775B4B" w:rsidRPr="0042750D" w14:paraId="774F2023" w14:textId="77777777" w:rsidTr="00B37746">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290B8084" w14:textId="68B575A2" w:rsidR="00775B4B" w:rsidRPr="0042750D" w:rsidRDefault="00775B4B" w:rsidP="005A429E">
            <w:pPr>
              <w:pStyle w:val="Tabletext"/>
              <w:rPr>
                <w:b/>
                <w:bCs/>
                <w:sz w:val="24"/>
                <w:szCs w:val="24"/>
              </w:rPr>
            </w:pPr>
            <w:r w:rsidRPr="0042750D">
              <w:rPr>
                <w:b/>
                <w:bCs/>
                <w:sz w:val="24"/>
                <w:szCs w:val="24"/>
              </w:rPr>
              <w:t>175-10</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252B9BE1" w14:textId="3D84759D" w:rsidR="00775B4B" w:rsidRPr="0042750D" w:rsidRDefault="00775B4B" w:rsidP="00AB1E12">
            <w:pPr>
              <w:pStyle w:val="Tabletext"/>
              <w:rPr>
                <w:b/>
                <w:bCs/>
                <w:sz w:val="24"/>
                <w:szCs w:val="24"/>
              </w:rPr>
            </w:pPr>
            <w:r w:rsidRPr="0042750D">
              <w:rPr>
                <w:b/>
                <w:bCs/>
                <w:sz w:val="24"/>
                <w:szCs w:val="24"/>
              </w:rPr>
              <w:t>TSBDir to make use of and share information regarding the ways in which ICTs can empower persons with disabilities and persons with specific needs, for example guidelines, tools and information sources prepared by ITU and other relevant organizations such as G3ict</w:t>
            </w:r>
            <w:r w:rsidR="00CB57F6" w:rsidRPr="0042750D">
              <w:rPr>
                <w:b/>
                <w:bCs/>
                <w:sz w:val="24"/>
                <w:szCs w:val="24"/>
              </w:rPr>
              <w:t xml:space="preserve"> (</w:t>
            </w:r>
            <w:r w:rsidR="00CB57F6" w:rsidRPr="0042750D">
              <w:rPr>
                <w:b/>
                <w:bCs/>
                <w:i/>
                <w:sz w:val="24"/>
                <w:szCs w:val="24"/>
              </w:rPr>
              <w:t>instructs 11</w:t>
            </w:r>
            <w:r w:rsidR="00CB57F6" w:rsidRPr="0042750D">
              <w:rPr>
                <w:b/>
                <w:bCs/>
                <w:sz w:val="24"/>
                <w:szCs w:val="24"/>
              </w:rPr>
              <w:t>)</w:t>
            </w:r>
            <w:r w:rsidRPr="0042750D">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1507D0C6" w14:textId="77777777" w:rsidR="00775B4B" w:rsidRPr="0042750D" w:rsidRDefault="00775B4B" w:rsidP="00AB1E12">
            <w:pPr>
              <w:pStyle w:val="Tabletext"/>
              <w:jc w:val="center"/>
              <w:rPr>
                <w:b/>
                <w:bCs/>
                <w:sz w:val="24"/>
                <w:szCs w:val="24"/>
              </w:rPr>
            </w:pPr>
            <w:r w:rsidRPr="0042750D">
              <w:rPr>
                <w:b/>
                <w:bCs/>
                <w:sz w:val="24"/>
                <w:szCs w:val="24"/>
              </w:rPr>
              <w:t>Ongoing</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67E0F1BA" w14:textId="77777777" w:rsidR="00775B4B" w:rsidRPr="0042750D" w:rsidRDefault="00775B4B" w:rsidP="00AB1E12">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3BA65672" w14:textId="77777777" w:rsidR="00775B4B" w:rsidRPr="0042750D" w:rsidRDefault="00775B4B" w:rsidP="00AB1E12">
            <w:pPr>
              <w:pStyle w:val="Tabletext"/>
              <w:jc w:val="center"/>
              <w:rPr>
                <w:b/>
                <w:bCs/>
                <w:sz w:val="24"/>
                <w:szCs w:val="24"/>
              </w:rPr>
            </w:pPr>
          </w:p>
        </w:tc>
      </w:tr>
      <w:tr w:rsidR="00775B4B" w:rsidRPr="0042750D" w14:paraId="47445DB4" w14:textId="77777777" w:rsidTr="00775B4B">
        <w:trPr>
          <w:cantSplit/>
          <w:jc w:val="center"/>
        </w:trPr>
        <w:tc>
          <w:tcPr>
            <w:tcW w:w="913" w:type="dxa"/>
            <w:vMerge/>
            <w:tcBorders>
              <w:left w:val="single" w:sz="12" w:space="0" w:color="auto"/>
              <w:bottom w:val="single" w:sz="12" w:space="0" w:color="auto"/>
              <w:right w:val="single" w:sz="4" w:space="0" w:color="auto"/>
            </w:tcBorders>
            <w:shd w:val="clear" w:color="auto" w:fill="auto"/>
          </w:tcPr>
          <w:p w14:paraId="075ED5A4" w14:textId="77777777" w:rsidR="00775B4B" w:rsidRPr="0042750D" w:rsidRDefault="00775B4B" w:rsidP="00AB1E12">
            <w:pPr>
              <w:pStyle w:val="Tabletext"/>
              <w:keepNext/>
              <w:keepLines/>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433E475C" w14:textId="77777777" w:rsidR="00775B4B" w:rsidRPr="0042750D" w:rsidRDefault="00775B4B" w:rsidP="00775B4B">
            <w:pPr>
              <w:pStyle w:val="Tabletext"/>
              <w:rPr>
                <w:bCs/>
                <w:szCs w:val="22"/>
              </w:rPr>
            </w:pPr>
          </w:p>
        </w:tc>
      </w:tr>
      <w:tr w:rsidR="00334D55" w:rsidRPr="0042750D" w14:paraId="4BBB0C7F" w14:textId="77777777" w:rsidTr="00B37746">
        <w:trPr>
          <w:cantSplit/>
          <w:jc w:val="center"/>
        </w:trPr>
        <w:tc>
          <w:tcPr>
            <w:tcW w:w="913" w:type="dxa"/>
            <w:vMerge w:val="restart"/>
            <w:tcBorders>
              <w:top w:val="single" w:sz="12" w:space="0" w:color="auto"/>
              <w:left w:val="single" w:sz="12" w:space="0" w:color="auto"/>
              <w:right w:val="single" w:sz="4" w:space="0" w:color="auto"/>
            </w:tcBorders>
            <w:shd w:val="clear" w:color="auto" w:fill="auto"/>
          </w:tcPr>
          <w:p w14:paraId="24A12553" w14:textId="4663A4AC" w:rsidR="00334D55" w:rsidRPr="0042750D" w:rsidRDefault="00334D55" w:rsidP="00AB1E12">
            <w:pPr>
              <w:pStyle w:val="Tabletext"/>
              <w:keepNext/>
              <w:keepLines/>
              <w:rPr>
                <w:b/>
                <w:bCs/>
                <w:sz w:val="24"/>
                <w:szCs w:val="24"/>
              </w:rPr>
            </w:pPr>
            <w:r w:rsidRPr="0042750D">
              <w:rPr>
                <w:b/>
                <w:bCs/>
                <w:sz w:val="24"/>
                <w:szCs w:val="24"/>
              </w:rPr>
              <w:t>175-11</w:t>
            </w:r>
          </w:p>
        </w:tc>
        <w:tc>
          <w:tcPr>
            <w:tcW w:w="4999" w:type="dxa"/>
            <w:tcBorders>
              <w:top w:val="single" w:sz="12" w:space="0" w:color="auto"/>
              <w:left w:val="single" w:sz="4" w:space="0" w:color="auto"/>
              <w:bottom w:val="single" w:sz="12" w:space="0" w:color="auto"/>
              <w:right w:val="single" w:sz="4" w:space="0" w:color="auto"/>
            </w:tcBorders>
            <w:shd w:val="clear" w:color="auto" w:fill="auto"/>
            <w:hideMark/>
          </w:tcPr>
          <w:p w14:paraId="064C7F46" w14:textId="7BCAB009" w:rsidR="00334D55" w:rsidRPr="0042750D" w:rsidRDefault="00334D55" w:rsidP="003F19DD">
            <w:pPr>
              <w:pStyle w:val="Tabletext"/>
              <w:rPr>
                <w:b/>
                <w:bCs/>
                <w:sz w:val="24"/>
                <w:szCs w:val="24"/>
              </w:rPr>
            </w:pPr>
            <w:r w:rsidRPr="0042750D">
              <w:rPr>
                <w:b/>
                <w:bCs/>
                <w:sz w:val="24"/>
                <w:szCs w:val="24"/>
              </w:rPr>
              <w:t>TSBDir to contribute to SecGen’s annual report to the Council and to the next plenipotentiary conference on measures taken to implement this resolution</w:t>
            </w:r>
            <w:r w:rsidR="00CB57F6" w:rsidRPr="0042750D">
              <w:rPr>
                <w:b/>
                <w:bCs/>
                <w:sz w:val="24"/>
                <w:szCs w:val="24"/>
              </w:rPr>
              <w:t xml:space="preserve"> (</w:t>
            </w:r>
            <w:r w:rsidR="00CB57F6" w:rsidRPr="0042750D">
              <w:rPr>
                <w:b/>
                <w:bCs/>
                <w:i/>
                <w:sz w:val="24"/>
                <w:szCs w:val="24"/>
              </w:rPr>
              <w:t>instructs 13</w:t>
            </w:r>
            <w:r w:rsidR="00CB57F6" w:rsidRPr="0042750D">
              <w:rPr>
                <w:b/>
                <w:bCs/>
                <w:sz w:val="24"/>
                <w:szCs w:val="24"/>
              </w:rPr>
              <w:t>)</w:t>
            </w:r>
            <w:r w:rsidRPr="0042750D">
              <w:rPr>
                <w:b/>
                <w:bCs/>
                <w:sz w:val="24"/>
                <w:szCs w:val="24"/>
              </w:rPr>
              <w:t>.</w:t>
            </w:r>
          </w:p>
        </w:tc>
        <w:tc>
          <w:tcPr>
            <w:tcW w:w="1274"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3FBB52EF" w14:textId="25BCD001" w:rsidR="00334D55" w:rsidRPr="0042750D" w:rsidRDefault="00334D55" w:rsidP="00AB1E12">
            <w:pPr>
              <w:pStyle w:val="Tabletext"/>
              <w:jc w:val="center"/>
              <w:rPr>
                <w:b/>
                <w:bCs/>
                <w:sz w:val="24"/>
                <w:szCs w:val="24"/>
              </w:rPr>
            </w:pPr>
            <w:r w:rsidRPr="0042750D">
              <w:rPr>
                <w:b/>
                <w:bCs/>
                <w:sz w:val="24"/>
                <w:szCs w:val="24"/>
              </w:rPr>
              <w:t>Council, PP-22</w:t>
            </w:r>
          </w:p>
        </w:tc>
        <w:tc>
          <w:tcPr>
            <w:tcW w:w="1169" w:type="dxa"/>
            <w:tcBorders>
              <w:top w:val="single" w:sz="12" w:space="0" w:color="auto"/>
              <w:left w:val="single" w:sz="4" w:space="0" w:color="auto"/>
              <w:bottom w:val="single" w:sz="12" w:space="0" w:color="auto"/>
              <w:right w:val="single" w:sz="4" w:space="0" w:color="auto"/>
            </w:tcBorders>
            <w:shd w:val="clear" w:color="auto" w:fill="auto"/>
            <w:vAlign w:val="center"/>
          </w:tcPr>
          <w:p w14:paraId="10695EA3" w14:textId="77777777" w:rsidR="00334D55" w:rsidRPr="0042750D" w:rsidRDefault="00334D55" w:rsidP="00AB1E12">
            <w:pPr>
              <w:pStyle w:val="Tabletext"/>
              <w:jc w:val="center"/>
              <w:rPr>
                <w:b/>
                <w:bCs/>
                <w:sz w:val="24"/>
                <w:szCs w:val="24"/>
              </w:rPr>
            </w:pP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35605574" w14:textId="77777777" w:rsidR="00334D55" w:rsidRPr="0042750D" w:rsidRDefault="00334D55" w:rsidP="00AB1E12">
            <w:pPr>
              <w:pStyle w:val="Tabletext"/>
              <w:jc w:val="center"/>
              <w:rPr>
                <w:b/>
                <w:bCs/>
                <w:sz w:val="24"/>
                <w:szCs w:val="24"/>
              </w:rPr>
            </w:pPr>
          </w:p>
        </w:tc>
      </w:tr>
      <w:tr w:rsidR="00334D55" w:rsidRPr="0042750D" w14:paraId="4B43C2D8" w14:textId="77777777" w:rsidTr="00B37746">
        <w:trPr>
          <w:cantSplit/>
          <w:jc w:val="center"/>
        </w:trPr>
        <w:tc>
          <w:tcPr>
            <w:tcW w:w="913" w:type="dxa"/>
            <w:vMerge/>
            <w:tcBorders>
              <w:left w:val="single" w:sz="12" w:space="0" w:color="auto"/>
              <w:bottom w:val="single" w:sz="12" w:space="0" w:color="auto"/>
              <w:right w:val="single" w:sz="4" w:space="0" w:color="auto"/>
            </w:tcBorders>
            <w:shd w:val="clear" w:color="auto" w:fill="auto"/>
          </w:tcPr>
          <w:p w14:paraId="76167F74" w14:textId="77777777" w:rsidR="00334D55" w:rsidRPr="0042750D" w:rsidRDefault="00334D55" w:rsidP="00AB1E12">
            <w:pPr>
              <w:pStyle w:val="Tabletext"/>
              <w:keepNext/>
              <w:keepLines/>
              <w:rPr>
                <w:b/>
                <w:bCs/>
                <w:sz w:val="24"/>
                <w:szCs w:val="24"/>
              </w:rPr>
            </w:pPr>
          </w:p>
        </w:tc>
        <w:tc>
          <w:tcPr>
            <w:tcW w:w="8780" w:type="dxa"/>
            <w:gridSpan w:val="4"/>
            <w:tcBorders>
              <w:top w:val="single" w:sz="12" w:space="0" w:color="auto"/>
              <w:left w:val="single" w:sz="4" w:space="0" w:color="auto"/>
              <w:bottom w:val="single" w:sz="12" w:space="0" w:color="auto"/>
              <w:right w:val="single" w:sz="12" w:space="0" w:color="auto"/>
            </w:tcBorders>
            <w:shd w:val="clear" w:color="auto" w:fill="auto"/>
          </w:tcPr>
          <w:p w14:paraId="430FABEF" w14:textId="77777777" w:rsidR="00334D55" w:rsidRPr="0042750D" w:rsidRDefault="00334D55" w:rsidP="00334D55">
            <w:pPr>
              <w:pStyle w:val="Tabletext"/>
              <w:rPr>
                <w:bCs/>
                <w:szCs w:val="22"/>
              </w:rPr>
            </w:pPr>
          </w:p>
        </w:tc>
      </w:tr>
    </w:tbl>
    <w:p w14:paraId="72407F60"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18663BA7" w14:textId="635631D4" w:rsidR="00F0236A" w:rsidRPr="0042750D" w:rsidRDefault="00646960" w:rsidP="00AB1E12">
      <w:pPr>
        <w:pStyle w:val="Heading1"/>
        <w:rPr>
          <w:sz w:val="24"/>
          <w:szCs w:val="24"/>
          <w:lang w:val="en-GB"/>
        </w:rPr>
      </w:pPr>
      <w:bookmarkStart w:id="215" w:name="Resolution_70"/>
      <w:bookmarkStart w:id="216" w:name="_Toc30749175"/>
      <w:bookmarkEnd w:id="215"/>
      <w:r w:rsidRPr="0042750D">
        <w:rPr>
          <w:sz w:val="24"/>
          <w:szCs w:val="24"/>
          <w:lang w:val="en-GB"/>
        </w:rPr>
        <w:t>RESOLUTION 176 (REV. DUBAI, 2018) – Measurement and assessment concerns related to human exposure to electromagnetic fields</w:t>
      </w:r>
      <w:bookmarkEnd w:id="216"/>
    </w:p>
    <w:p w14:paraId="6C5F80D8" w14:textId="77777777" w:rsidR="00646960" w:rsidRPr="0042750D" w:rsidRDefault="00646960" w:rsidP="00646960">
      <w:pPr>
        <w:pStyle w:val="Call"/>
        <w:rPr>
          <w:szCs w:val="22"/>
          <w:lang w:val="en-GB"/>
        </w:rPr>
      </w:pPr>
      <w:r w:rsidRPr="0042750D">
        <w:rPr>
          <w:szCs w:val="22"/>
          <w:lang w:val="en-GB"/>
        </w:rPr>
        <w:t>resolves to instruct the Directors of the three Bureaux</w:t>
      </w:r>
    </w:p>
    <w:p w14:paraId="26DED53B" w14:textId="77777777" w:rsidR="00646960" w:rsidRPr="0042750D" w:rsidRDefault="00646960" w:rsidP="00646960">
      <w:pPr>
        <w:rPr>
          <w:szCs w:val="22"/>
        </w:rPr>
      </w:pPr>
      <w:r w:rsidRPr="0042750D">
        <w:rPr>
          <w:szCs w:val="22"/>
        </w:rPr>
        <w:t>1</w:t>
      </w:r>
      <w:r w:rsidRPr="0042750D">
        <w:rPr>
          <w:szCs w:val="22"/>
        </w:rPr>
        <w:tab/>
        <w:t>to collect and disseminate information concerning exposure to EMF, including on EMF measurement methodologies, in order to assist national administrations, particularly in developing countries, to develop appropriate national regulations;</w:t>
      </w:r>
    </w:p>
    <w:p w14:paraId="504A4BBE" w14:textId="3009A9C1" w:rsidR="00F0236A" w:rsidRPr="0042750D" w:rsidRDefault="00646960" w:rsidP="00646960">
      <w:pPr>
        <w:spacing w:after="120"/>
        <w:rPr>
          <w:szCs w:val="22"/>
        </w:rPr>
      </w:pPr>
      <w:r w:rsidRPr="0042750D">
        <w:rPr>
          <w:szCs w:val="22"/>
        </w:rPr>
        <w:t>2</w:t>
      </w:r>
      <w:r w:rsidRPr="0042750D">
        <w:rPr>
          <w:szCs w:val="22"/>
        </w:rPr>
        <w:tab/>
        <w:t>to work closely with all relevant organizations in the implementation of this resolution, as well as Resolution 72 (Rev. Hammamet, 2016) and Resolution 62 (Rev. Buenos Aires, 2017), in order to continue and enhance the technical assistance provided to Member States</w:t>
      </w:r>
      <w:r w:rsidR="00F142BC" w:rsidRPr="0042750D">
        <w:rPr>
          <w:szCs w:val="22"/>
        </w:rPr>
        <w:t>,</w:t>
      </w:r>
    </w:p>
    <w:p w14:paraId="188FD703" w14:textId="77777777" w:rsidR="00F142BC" w:rsidRPr="0042750D" w:rsidRDefault="00F142BC" w:rsidP="00F142BC">
      <w:pPr>
        <w:pStyle w:val="Call"/>
        <w:rPr>
          <w:szCs w:val="22"/>
          <w:lang w:val="en-GB"/>
        </w:rPr>
      </w:pPr>
      <w:r w:rsidRPr="0042750D">
        <w:rPr>
          <w:szCs w:val="22"/>
          <w:lang w:val="en-GB"/>
        </w:rPr>
        <w:t>instructs the Secretary-General, in consultation with the Directors of the three Bureaux</w:t>
      </w:r>
    </w:p>
    <w:p w14:paraId="61384576" w14:textId="77777777" w:rsidR="00F142BC" w:rsidRPr="0042750D" w:rsidRDefault="00F142BC" w:rsidP="00F142BC">
      <w:pPr>
        <w:rPr>
          <w:szCs w:val="22"/>
        </w:rPr>
      </w:pPr>
      <w:r w:rsidRPr="0042750D">
        <w:rPr>
          <w:szCs w:val="22"/>
        </w:rPr>
        <w:t>1</w:t>
      </w:r>
      <w:r w:rsidRPr="0042750D">
        <w:rPr>
          <w:szCs w:val="22"/>
        </w:rPr>
        <w:tab/>
        <w:t>to prepare a report on the implementation of this resolution for submission to the ITU Council at each annual session for evaluation;</w:t>
      </w:r>
    </w:p>
    <w:p w14:paraId="7DC20D94" w14:textId="5EB29D6C" w:rsidR="00F142BC" w:rsidRPr="0042750D" w:rsidRDefault="00F142BC" w:rsidP="003F19DD">
      <w:pPr>
        <w:spacing w:after="120"/>
        <w:rPr>
          <w:szCs w:val="22"/>
        </w:rPr>
      </w:pPr>
      <w:r w:rsidRPr="0042750D">
        <w:rPr>
          <w:szCs w:val="22"/>
        </w:rPr>
        <w:t>2</w:t>
      </w:r>
      <w:r w:rsidRPr="0042750D">
        <w:rPr>
          <w:szCs w:val="22"/>
        </w:rPr>
        <w:tab/>
        <w:t>to provide a report to the next plenipotentiary conference on measures tak</w:t>
      </w:r>
      <w:r w:rsidR="003F19DD" w:rsidRPr="0042750D">
        <w:rPr>
          <w:szCs w:val="22"/>
        </w:rPr>
        <w:t>en to implement this resolution.</w:t>
      </w:r>
    </w:p>
    <w:p w14:paraId="2093A381" w14:textId="77777777" w:rsidR="00C64111" w:rsidRPr="0042750D" w:rsidRDefault="00C64111" w:rsidP="00C64111">
      <w:pPr>
        <w:pStyle w:val="Call"/>
        <w:rPr>
          <w:lang w:val="en-GB"/>
        </w:rPr>
      </w:pPr>
      <w:r w:rsidRPr="0042750D">
        <w:rPr>
          <w:lang w:val="en-GB"/>
        </w:rPr>
        <w:t>instructs the Director of the Telecommunication Development Bureau, in collaboration with the Director of the Radiocommunication Bureau and the Director of the Telecommunication Standardization Bureau</w:t>
      </w:r>
    </w:p>
    <w:p w14:paraId="5AF45E5C" w14:textId="77777777" w:rsidR="00C64111" w:rsidRPr="0042750D" w:rsidRDefault="00C64111" w:rsidP="00C64111">
      <w:r w:rsidRPr="0042750D">
        <w:t>1</w:t>
      </w:r>
      <w:r w:rsidRPr="0042750D">
        <w:tab/>
        <w:t>to conduct regional or international seminars and workshops in order to identify the needs of developing countries and build human capacity in regard to measurement of EMF related to human exposure to these fields;</w:t>
      </w:r>
    </w:p>
    <w:p w14:paraId="5D25C1EA" w14:textId="77777777" w:rsidR="00C64111" w:rsidRPr="0042750D" w:rsidRDefault="00C64111" w:rsidP="00C64111">
      <w:r w:rsidRPr="0042750D">
        <w:t>2</w:t>
      </w:r>
      <w:r w:rsidRPr="0042750D">
        <w:tab/>
        <w:t>to encourage Member States in the various regions to cooperate in sharing expertise and resources and identify a focal point or regional cooperation mechanism, including if required a regional centre, so as to assist all Member States in the region in measurement and training;</w:t>
      </w:r>
    </w:p>
    <w:p w14:paraId="0C8D2453" w14:textId="77777777" w:rsidR="00C64111" w:rsidRPr="0042750D" w:rsidRDefault="00C64111" w:rsidP="00C64111">
      <w:r w:rsidRPr="0042750D">
        <w:t>3</w:t>
      </w:r>
      <w:r w:rsidRPr="0042750D">
        <w:tab/>
        <w:t>to encourage relevant organizations to continue undertaking necessary scientific studies to investigate possible health effects of EMF radiation on the human body;</w:t>
      </w:r>
    </w:p>
    <w:p w14:paraId="1DB7305D" w14:textId="77777777" w:rsidR="00C64111" w:rsidRPr="0042750D" w:rsidRDefault="00C64111" w:rsidP="00C64111">
      <w:r w:rsidRPr="0042750D">
        <w:t>4</w:t>
      </w:r>
      <w:r w:rsidRPr="0042750D">
        <w:tab/>
        <w:t>to formulate necessary measures and guidelines in order to help mitigate possible health effects of EMF radiation on the human body;</w:t>
      </w:r>
    </w:p>
    <w:p w14:paraId="17C719B5" w14:textId="77777777" w:rsidR="00C64111" w:rsidRPr="0042750D" w:rsidRDefault="00C64111" w:rsidP="00C64111">
      <w:r w:rsidRPr="0042750D">
        <w:t>5</w:t>
      </w:r>
      <w:r w:rsidRPr="0042750D">
        <w:tab/>
        <w:t>to encourage Member States to conduct periodic reviews to ensure that ITU recommendations and other relevant international standards related to the exposure to EMF are followed,</w:t>
      </w:r>
    </w:p>
    <w:p w14:paraId="4C31F7E4" w14:textId="77777777" w:rsidR="00C64111" w:rsidRPr="0042750D" w:rsidRDefault="00C64111" w:rsidP="00C64111">
      <w:pPr>
        <w:pStyle w:val="Call"/>
        <w:rPr>
          <w:lang w:val="en-GB"/>
        </w:rPr>
      </w:pPr>
      <w:r w:rsidRPr="0042750D">
        <w:rPr>
          <w:lang w:val="en-GB"/>
        </w:rPr>
        <w:t>instructs the Director of the Telecommunication Standardization Bureau, in collaboration with the Director of the Radiocommunication Bureau and the Director of the Telecommunication Development Bureau</w:t>
      </w:r>
    </w:p>
    <w:p w14:paraId="33FFB614" w14:textId="77777777" w:rsidR="00C64111" w:rsidRPr="0042750D" w:rsidRDefault="00C64111" w:rsidP="00C64111">
      <w:pPr>
        <w:spacing w:after="120"/>
      </w:pPr>
      <w:r w:rsidRPr="0042750D">
        <w:t>to participate in the Electromagnetic Field Project, conducted by WHO, as part of collaborative efforts with other international organizations to encourage the development of international standards for EMF exposure,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7"/>
        <w:gridCol w:w="1556"/>
        <w:gridCol w:w="1131"/>
        <w:gridCol w:w="1338"/>
      </w:tblGrid>
      <w:tr w:rsidR="00F0236A" w:rsidRPr="0042750D" w14:paraId="0AC1BE11" w14:textId="77777777" w:rsidTr="00043514">
        <w:trPr>
          <w:tblHeader/>
          <w:jc w:val="center"/>
        </w:trPr>
        <w:tc>
          <w:tcPr>
            <w:tcW w:w="900" w:type="dxa"/>
            <w:tcBorders>
              <w:top w:val="single" w:sz="12" w:space="0" w:color="auto"/>
              <w:bottom w:val="single" w:sz="12" w:space="0" w:color="auto"/>
            </w:tcBorders>
            <w:shd w:val="clear" w:color="auto" w:fill="auto"/>
            <w:vAlign w:val="center"/>
          </w:tcPr>
          <w:p w14:paraId="4D489AEE" w14:textId="77777777" w:rsidR="00F0236A" w:rsidRPr="0042750D" w:rsidRDefault="00F0236A" w:rsidP="00DC13A0">
            <w:pPr>
              <w:pStyle w:val="Tablehead"/>
              <w:keepNext w:val="0"/>
              <w:rPr>
                <w:sz w:val="24"/>
                <w:szCs w:val="24"/>
              </w:rPr>
            </w:pPr>
            <w:bookmarkStart w:id="217" w:name="OLE_LINK1"/>
            <w:bookmarkStart w:id="218" w:name="OLE_LINK2"/>
            <w:r w:rsidRPr="0042750D">
              <w:rPr>
                <w:sz w:val="24"/>
                <w:szCs w:val="24"/>
              </w:rPr>
              <w:t>Action Item</w:t>
            </w:r>
          </w:p>
        </w:tc>
        <w:tc>
          <w:tcPr>
            <w:tcW w:w="4907" w:type="dxa"/>
            <w:tcBorders>
              <w:top w:val="single" w:sz="12" w:space="0" w:color="auto"/>
              <w:bottom w:val="single" w:sz="12" w:space="0" w:color="auto"/>
            </w:tcBorders>
            <w:shd w:val="clear" w:color="auto" w:fill="auto"/>
            <w:vAlign w:val="center"/>
            <w:hideMark/>
          </w:tcPr>
          <w:p w14:paraId="756C6D4E" w14:textId="77777777" w:rsidR="00F0236A" w:rsidRPr="0042750D" w:rsidRDefault="00F0236A" w:rsidP="00DF36E1">
            <w:pPr>
              <w:pStyle w:val="Tablehead"/>
              <w:rPr>
                <w:sz w:val="24"/>
                <w:szCs w:val="24"/>
              </w:rPr>
            </w:pPr>
            <w:r w:rsidRPr="0042750D">
              <w:rPr>
                <w:sz w:val="24"/>
                <w:szCs w:val="24"/>
              </w:rPr>
              <w:t>Action</w:t>
            </w:r>
          </w:p>
        </w:tc>
        <w:tc>
          <w:tcPr>
            <w:tcW w:w="1556" w:type="dxa"/>
            <w:tcBorders>
              <w:top w:val="single" w:sz="12" w:space="0" w:color="auto"/>
              <w:bottom w:val="single" w:sz="12" w:space="0" w:color="auto"/>
            </w:tcBorders>
            <w:shd w:val="clear" w:color="auto" w:fill="auto"/>
            <w:vAlign w:val="center"/>
            <w:hideMark/>
          </w:tcPr>
          <w:p w14:paraId="5BAA492A" w14:textId="77777777" w:rsidR="00F0236A" w:rsidRPr="0042750D" w:rsidRDefault="00F0236A" w:rsidP="00DF36E1">
            <w:pPr>
              <w:pStyle w:val="Tablehead"/>
              <w:rPr>
                <w:sz w:val="24"/>
                <w:szCs w:val="24"/>
              </w:rPr>
            </w:pPr>
            <w:r w:rsidRPr="0042750D">
              <w:rPr>
                <w:sz w:val="24"/>
                <w:szCs w:val="24"/>
              </w:rPr>
              <w:t>Milestone</w:t>
            </w:r>
          </w:p>
        </w:tc>
        <w:tc>
          <w:tcPr>
            <w:tcW w:w="1131" w:type="dxa"/>
            <w:tcBorders>
              <w:top w:val="single" w:sz="12" w:space="0" w:color="auto"/>
              <w:bottom w:val="single" w:sz="12" w:space="0" w:color="auto"/>
            </w:tcBorders>
            <w:shd w:val="clear" w:color="auto" w:fill="auto"/>
          </w:tcPr>
          <w:p w14:paraId="2EC5A59A"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F6EDA83"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4A77A713" w14:textId="77777777" w:rsidTr="00332DFE">
        <w:trPr>
          <w:jc w:val="center"/>
        </w:trPr>
        <w:tc>
          <w:tcPr>
            <w:tcW w:w="900" w:type="dxa"/>
            <w:vMerge w:val="restart"/>
            <w:tcBorders>
              <w:top w:val="single" w:sz="12" w:space="0" w:color="auto"/>
            </w:tcBorders>
            <w:shd w:val="clear" w:color="auto" w:fill="auto"/>
          </w:tcPr>
          <w:p w14:paraId="45A549FF" w14:textId="4DCAFD38" w:rsidR="00F0236A" w:rsidRPr="0042750D" w:rsidRDefault="00646960" w:rsidP="00646960">
            <w:pPr>
              <w:pStyle w:val="Tabletext"/>
              <w:rPr>
                <w:b/>
                <w:bCs/>
                <w:sz w:val="24"/>
                <w:szCs w:val="24"/>
              </w:rPr>
            </w:pPr>
            <w:r w:rsidRPr="0042750D">
              <w:rPr>
                <w:b/>
                <w:bCs/>
                <w:sz w:val="24"/>
                <w:szCs w:val="24"/>
              </w:rPr>
              <w:t>176</w:t>
            </w:r>
            <w:r w:rsidR="00F0236A" w:rsidRPr="0042750D">
              <w:rPr>
                <w:b/>
                <w:bCs/>
                <w:sz w:val="24"/>
                <w:szCs w:val="24"/>
              </w:rPr>
              <w:t>-01</w:t>
            </w:r>
          </w:p>
        </w:tc>
        <w:tc>
          <w:tcPr>
            <w:tcW w:w="4907" w:type="dxa"/>
            <w:tcBorders>
              <w:top w:val="single" w:sz="12" w:space="0" w:color="auto"/>
              <w:bottom w:val="single" w:sz="2" w:space="0" w:color="auto"/>
            </w:tcBorders>
            <w:shd w:val="clear" w:color="auto" w:fill="auto"/>
          </w:tcPr>
          <w:p w14:paraId="7114A1D6" w14:textId="4B1FCE3B" w:rsidR="00F0236A" w:rsidRPr="0042750D" w:rsidRDefault="00CB43D1" w:rsidP="00CB43D1">
            <w:pPr>
              <w:pStyle w:val="Tabletext"/>
              <w:keepNext/>
              <w:keepLines/>
              <w:rPr>
                <w:b/>
                <w:bCs/>
                <w:sz w:val="24"/>
                <w:szCs w:val="24"/>
              </w:rPr>
            </w:pPr>
            <w:r w:rsidRPr="0042750D">
              <w:rPr>
                <w:b/>
                <w:bCs/>
                <w:sz w:val="24"/>
                <w:szCs w:val="24"/>
              </w:rPr>
              <w:t>TSBDir to collect and disseminate information concerning exposure to EMF, including on EMF measurement methodologies</w:t>
            </w:r>
            <w:r w:rsidR="002C21D7" w:rsidRPr="0042750D">
              <w:rPr>
                <w:b/>
                <w:bCs/>
                <w:sz w:val="24"/>
                <w:szCs w:val="24"/>
              </w:rPr>
              <w:t xml:space="preserve"> (</w:t>
            </w:r>
            <w:r w:rsidR="002C21D7" w:rsidRPr="0042750D">
              <w:rPr>
                <w:b/>
                <w:bCs/>
                <w:i/>
                <w:sz w:val="24"/>
                <w:szCs w:val="24"/>
              </w:rPr>
              <w:t>resolves 1</w:t>
            </w:r>
            <w:r w:rsidR="002C21D7" w:rsidRPr="0042750D">
              <w:rPr>
                <w:b/>
                <w:bCs/>
                <w:sz w:val="24"/>
                <w:szCs w:val="24"/>
              </w:rPr>
              <w:t>)</w:t>
            </w:r>
            <w:r w:rsidRPr="0042750D">
              <w:rPr>
                <w:b/>
                <w:bCs/>
                <w:sz w:val="24"/>
                <w:szCs w:val="24"/>
              </w:rPr>
              <w:t>.</w:t>
            </w:r>
          </w:p>
        </w:tc>
        <w:tc>
          <w:tcPr>
            <w:tcW w:w="1556" w:type="dxa"/>
            <w:tcBorders>
              <w:top w:val="single" w:sz="12" w:space="0" w:color="auto"/>
              <w:bottom w:val="single" w:sz="2" w:space="0" w:color="auto"/>
            </w:tcBorders>
            <w:shd w:val="clear" w:color="auto" w:fill="auto"/>
            <w:vAlign w:val="center"/>
          </w:tcPr>
          <w:p w14:paraId="3F9185A7"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31" w:type="dxa"/>
            <w:tcBorders>
              <w:top w:val="single" w:sz="12" w:space="0" w:color="auto"/>
              <w:bottom w:val="single" w:sz="2" w:space="0" w:color="auto"/>
            </w:tcBorders>
            <w:shd w:val="clear" w:color="auto" w:fill="auto"/>
            <w:vAlign w:val="center"/>
          </w:tcPr>
          <w:p w14:paraId="4CC13BB2" w14:textId="6DCD9F8D" w:rsidR="00F0236A" w:rsidRPr="0042750D" w:rsidRDefault="003F7063"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2C1C0850" w14:textId="77777777" w:rsidR="00F0236A" w:rsidRPr="0042750D" w:rsidRDefault="00F0236A" w:rsidP="00DF36E1">
            <w:pPr>
              <w:pStyle w:val="Tabletext"/>
              <w:jc w:val="center"/>
              <w:rPr>
                <w:b/>
                <w:bCs/>
                <w:sz w:val="24"/>
                <w:szCs w:val="24"/>
              </w:rPr>
            </w:pPr>
          </w:p>
        </w:tc>
      </w:tr>
      <w:tr w:rsidR="00F0236A" w:rsidRPr="0042750D" w14:paraId="567D72D1" w14:textId="77777777" w:rsidTr="00DC13A0">
        <w:trPr>
          <w:jc w:val="center"/>
        </w:trPr>
        <w:tc>
          <w:tcPr>
            <w:tcW w:w="900" w:type="dxa"/>
            <w:vMerge/>
            <w:tcBorders>
              <w:bottom w:val="single" w:sz="12" w:space="0" w:color="auto"/>
            </w:tcBorders>
            <w:shd w:val="clear" w:color="auto" w:fill="auto"/>
          </w:tcPr>
          <w:p w14:paraId="6B515EB7" w14:textId="77777777" w:rsidR="00F0236A" w:rsidRPr="0042750D" w:rsidRDefault="00F0236A" w:rsidP="00DF36E1">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6B41CDB4" w14:textId="4CE7FA15" w:rsidR="00F0236A" w:rsidRPr="0042750D" w:rsidRDefault="00AD1708" w:rsidP="00557083">
            <w:pPr>
              <w:keepNext/>
              <w:keepLines/>
              <w:spacing w:before="40" w:after="40"/>
              <w:rPr>
                <w:szCs w:val="22"/>
              </w:rPr>
            </w:pPr>
            <w:r w:rsidRPr="0042750D">
              <w:rPr>
                <w:szCs w:val="22"/>
              </w:rPr>
              <w:t>ITU-T SG5 is working on a Technical Report on KSTR.EMF_assess “Case studies of RF-EMF assessments”. This Technical Report will present results of case studies of RF-EMF exposure levels taken in different conditions and areas.</w:t>
            </w:r>
          </w:p>
        </w:tc>
      </w:tr>
      <w:tr w:rsidR="00F0236A" w:rsidRPr="0042750D" w14:paraId="3631965F" w14:textId="77777777" w:rsidTr="00332DFE">
        <w:trPr>
          <w:cantSplit/>
          <w:jc w:val="center"/>
        </w:trPr>
        <w:tc>
          <w:tcPr>
            <w:tcW w:w="900" w:type="dxa"/>
            <w:vMerge w:val="restart"/>
            <w:tcBorders>
              <w:top w:val="single" w:sz="12" w:space="0" w:color="auto"/>
            </w:tcBorders>
            <w:shd w:val="clear" w:color="auto" w:fill="auto"/>
          </w:tcPr>
          <w:p w14:paraId="25AAA2A8" w14:textId="3BA70C99" w:rsidR="00F0236A" w:rsidRPr="0042750D" w:rsidRDefault="00CB43D1" w:rsidP="00AA02CB">
            <w:pPr>
              <w:pStyle w:val="Tabletext"/>
              <w:keepNext/>
              <w:keepLines/>
              <w:rPr>
                <w:b/>
                <w:bCs/>
                <w:sz w:val="24"/>
                <w:szCs w:val="24"/>
              </w:rPr>
            </w:pPr>
            <w:r w:rsidRPr="0042750D">
              <w:rPr>
                <w:b/>
                <w:bCs/>
                <w:sz w:val="24"/>
                <w:szCs w:val="24"/>
              </w:rPr>
              <w:t>176-02</w:t>
            </w:r>
          </w:p>
        </w:tc>
        <w:tc>
          <w:tcPr>
            <w:tcW w:w="4907" w:type="dxa"/>
            <w:tcBorders>
              <w:top w:val="single" w:sz="12" w:space="0" w:color="auto"/>
            </w:tcBorders>
            <w:shd w:val="clear" w:color="auto" w:fill="auto"/>
          </w:tcPr>
          <w:p w14:paraId="1E2EBBA2" w14:textId="0205A0B5" w:rsidR="00F0236A" w:rsidRPr="0042750D" w:rsidRDefault="00CB43D1" w:rsidP="00CB43D1">
            <w:pPr>
              <w:pStyle w:val="Tabletext"/>
              <w:keepNext/>
              <w:keepLines/>
              <w:rPr>
                <w:b/>
                <w:bCs/>
                <w:sz w:val="24"/>
                <w:szCs w:val="24"/>
              </w:rPr>
            </w:pPr>
            <w:r w:rsidRPr="0042750D">
              <w:rPr>
                <w:b/>
                <w:bCs/>
                <w:sz w:val="24"/>
                <w:szCs w:val="24"/>
              </w:rPr>
              <w:t>TSBDir to work closely with all relevant organizations in the implementation of this resolution, as well as WTSA Resolution 72</w:t>
            </w:r>
            <w:r w:rsidR="002C21D7" w:rsidRPr="0042750D">
              <w:rPr>
                <w:b/>
                <w:bCs/>
                <w:sz w:val="24"/>
                <w:szCs w:val="24"/>
              </w:rPr>
              <w:t xml:space="preserve"> (</w:t>
            </w:r>
            <w:r w:rsidR="002C21D7" w:rsidRPr="0042750D">
              <w:rPr>
                <w:b/>
                <w:bCs/>
                <w:i/>
                <w:sz w:val="24"/>
                <w:szCs w:val="24"/>
              </w:rPr>
              <w:t>resolves 2</w:t>
            </w:r>
            <w:r w:rsidR="002C21D7" w:rsidRPr="0042750D">
              <w:rPr>
                <w:b/>
                <w:bCs/>
                <w:sz w:val="24"/>
                <w:szCs w:val="24"/>
              </w:rPr>
              <w:t>)</w:t>
            </w:r>
            <w:r w:rsidRPr="0042750D">
              <w:rPr>
                <w:b/>
                <w:bCs/>
                <w:sz w:val="24"/>
                <w:szCs w:val="24"/>
              </w:rPr>
              <w:t>.</w:t>
            </w:r>
          </w:p>
        </w:tc>
        <w:tc>
          <w:tcPr>
            <w:tcW w:w="1556" w:type="dxa"/>
            <w:tcBorders>
              <w:top w:val="single" w:sz="12" w:space="0" w:color="auto"/>
            </w:tcBorders>
            <w:shd w:val="clear" w:color="auto" w:fill="auto"/>
            <w:vAlign w:val="center"/>
          </w:tcPr>
          <w:p w14:paraId="01E0FCF6" w14:textId="3D8494F3" w:rsidR="00F0236A" w:rsidRPr="0042750D" w:rsidRDefault="00646960" w:rsidP="00AA02CB">
            <w:pPr>
              <w:pStyle w:val="Tabletext"/>
              <w:keepNext/>
              <w:keepLines/>
              <w:jc w:val="center"/>
              <w:rPr>
                <w:b/>
                <w:bCs/>
                <w:sz w:val="24"/>
                <w:szCs w:val="24"/>
              </w:rPr>
            </w:pPr>
            <w:r w:rsidRPr="0042750D">
              <w:rPr>
                <w:b/>
                <w:bCs/>
                <w:sz w:val="24"/>
                <w:szCs w:val="24"/>
              </w:rPr>
              <w:t>Ongoing</w:t>
            </w:r>
          </w:p>
        </w:tc>
        <w:tc>
          <w:tcPr>
            <w:tcW w:w="1131" w:type="dxa"/>
            <w:tcBorders>
              <w:top w:val="single" w:sz="12" w:space="0" w:color="auto"/>
            </w:tcBorders>
            <w:shd w:val="clear" w:color="auto" w:fill="auto"/>
            <w:vAlign w:val="center"/>
          </w:tcPr>
          <w:p w14:paraId="2F552B4E" w14:textId="3E728BB4" w:rsidR="00F0236A" w:rsidRPr="0042750D" w:rsidRDefault="00AE3D41" w:rsidP="00AA02CB">
            <w:pPr>
              <w:pStyle w:val="Tabletext"/>
              <w:keepNext/>
              <w:keepLines/>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716B232E" w14:textId="77777777" w:rsidR="00F0236A" w:rsidRPr="0042750D" w:rsidRDefault="00F0236A" w:rsidP="00AA02CB">
            <w:pPr>
              <w:pStyle w:val="Tabletext"/>
              <w:keepNext/>
              <w:keepLines/>
              <w:jc w:val="center"/>
              <w:rPr>
                <w:b/>
                <w:bCs/>
                <w:sz w:val="24"/>
                <w:szCs w:val="24"/>
              </w:rPr>
            </w:pPr>
          </w:p>
        </w:tc>
      </w:tr>
      <w:tr w:rsidR="00F0236A" w:rsidRPr="0042750D" w14:paraId="1B09520F" w14:textId="77777777" w:rsidTr="0085771B">
        <w:trPr>
          <w:cantSplit/>
          <w:jc w:val="center"/>
        </w:trPr>
        <w:tc>
          <w:tcPr>
            <w:tcW w:w="900" w:type="dxa"/>
            <w:vMerge/>
            <w:tcBorders>
              <w:bottom w:val="single" w:sz="12" w:space="0" w:color="auto"/>
            </w:tcBorders>
            <w:shd w:val="clear" w:color="auto" w:fill="auto"/>
          </w:tcPr>
          <w:p w14:paraId="27627B54" w14:textId="77777777" w:rsidR="00F0236A" w:rsidRPr="0042750D" w:rsidRDefault="00F0236A" w:rsidP="00DF36E1">
            <w:pPr>
              <w:pStyle w:val="Tabletext"/>
              <w:rPr>
                <w:sz w:val="24"/>
                <w:szCs w:val="24"/>
              </w:rPr>
            </w:pPr>
          </w:p>
        </w:tc>
        <w:tc>
          <w:tcPr>
            <w:tcW w:w="8932" w:type="dxa"/>
            <w:gridSpan w:val="4"/>
            <w:tcBorders>
              <w:bottom w:val="single" w:sz="12" w:space="0" w:color="auto"/>
            </w:tcBorders>
            <w:shd w:val="clear" w:color="auto" w:fill="auto"/>
          </w:tcPr>
          <w:p w14:paraId="0821FD91" w14:textId="613C6792" w:rsidR="00F0236A" w:rsidRPr="0042750D" w:rsidRDefault="002D45D5" w:rsidP="0040420B">
            <w:pPr>
              <w:keepNext/>
              <w:keepLines/>
              <w:spacing w:after="40"/>
              <w:rPr>
                <w:rFonts w:asciiTheme="majorBidi" w:hAnsiTheme="majorBidi" w:cstheme="majorBidi"/>
              </w:rPr>
            </w:pPr>
            <w:r w:rsidRPr="0042750D">
              <w:rPr>
                <w:rFonts w:asciiTheme="majorBidi" w:hAnsiTheme="majorBidi" w:cstheme="majorBidi"/>
              </w:rPr>
              <w:t>TSB participates periodically in the WHO meetings on non-ionizing radiation. The latest meeting was held from 27 to 29 May 2019 in Geneva.</w:t>
            </w:r>
          </w:p>
        </w:tc>
      </w:tr>
      <w:tr w:rsidR="00F0236A" w:rsidRPr="0042750D" w14:paraId="104F106D" w14:textId="77777777" w:rsidTr="00332DFE">
        <w:trPr>
          <w:cantSplit/>
          <w:jc w:val="center"/>
        </w:trPr>
        <w:tc>
          <w:tcPr>
            <w:tcW w:w="900" w:type="dxa"/>
            <w:vMerge w:val="restart"/>
            <w:tcBorders>
              <w:top w:val="single" w:sz="12" w:space="0" w:color="auto"/>
            </w:tcBorders>
            <w:shd w:val="clear" w:color="auto" w:fill="auto"/>
          </w:tcPr>
          <w:p w14:paraId="4F9DCDA2" w14:textId="11CF1B4B" w:rsidR="00F0236A" w:rsidRPr="0042750D" w:rsidRDefault="00CB43D1" w:rsidP="00DF36E1">
            <w:pPr>
              <w:pStyle w:val="Tabletext"/>
              <w:rPr>
                <w:b/>
                <w:bCs/>
                <w:sz w:val="24"/>
                <w:szCs w:val="24"/>
              </w:rPr>
            </w:pPr>
            <w:r w:rsidRPr="0042750D">
              <w:rPr>
                <w:b/>
                <w:bCs/>
                <w:sz w:val="24"/>
                <w:szCs w:val="24"/>
              </w:rPr>
              <w:t>176-03</w:t>
            </w:r>
          </w:p>
        </w:tc>
        <w:tc>
          <w:tcPr>
            <w:tcW w:w="4907" w:type="dxa"/>
            <w:tcBorders>
              <w:top w:val="single" w:sz="12" w:space="0" w:color="auto"/>
            </w:tcBorders>
            <w:shd w:val="clear" w:color="auto" w:fill="auto"/>
          </w:tcPr>
          <w:p w14:paraId="73E6A4ED" w14:textId="164FA00F" w:rsidR="00F0236A" w:rsidRPr="0042750D" w:rsidRDefault="00CB43D1" w:rsidP="00CB43D1">
            <w:pPr>
              <w:pStyle w:val="Tabletext"/>
              <w:keepNext/>
              <w:keepLines/>
              <w:rPr>
                <w:b/>
                <w:bCs/>
                <w:sz w:val="24"/>
                <w:szCs w:val="24"/>
              </w:rPr>
            </w:pPr>
            <w:r w:rsidRPr="0042750D">
              <w:rPr>
                <w:b/>
                <w:bCs/>
                <w:sz w:val="24"/>
                <w:szCs w:val="24"/>
              </w:rPr>
              <w:t>TSBDir to conduct regional or international seminars and workshops</w:t>
            </w:r>
            <w:r w:rsidR="00C64111" w:rsidRPr="0042750D">
              <w:rPr>
                <w:b/>
                <w:bCs/>
                <w:sz w:val="24"/>
                <w:szCs w:val="24"/>
              </w:rPr>
              <w:t xml:space="preserve"> (</w:t>
            </w:r>
            <w:r w:rsidR="00C64111" w:rsidRPr="0042750D">
              <w:rPr>
                <w:b/>
                <w:bCs/>
                <w:i/>
                <w:sz w:val="24"/>
                <w:szCs w:val="24"/>
              </w:rPr>
              <w:t>instructs 1</w:t>
            </w:r>
            <w:r w:rsidR="00C64111" w:rsidRPr="0042750D">
              <w:rPr>
                <w:b/>
                <w:bCs/>
                <w:sz w:val="24"/>
                <w:szCs w:val="24"/>
              </w:rPr>
              <w:t>)</w:t>
            </w:r>
            <w:r w:rsidRPr="0042750D">
              <w:rPr>
                <w:b/>
                <w:bCs/>
                <w:sz w:val="24"/>
                <w:szCs w:val="24"/>
              </w:rPr>
              <w:t>.</w:t>
            </w:r>
          </w:p>
        </w:tc>
        <w:tc>
          <w:tcPr>
            <w:tcW w:w="1556" w:type="dxa"/>
            <w:tcBorders>
              <w:top w:val="single" w:sz="12" w:space="0" w:color="auto"/>
            </w:tcBorders>
            <w:shd w:val="clear" w:color="auto" w:fill="auto"/>
            <w:vAlign w:val="center"/>
          </w:tcPr>
          <w:p w14:paraId="72521992" w14:textId="12D04791" w:rsidR="00F0236A" w:rsidRPr="0042750D" w:rsidRDefault="00646960" w:rsidP="00DF36E1">
            <w:pPr>
              <w:pStyle w:val="Tabletext"/>
              <w:jc w:val="center"/>
              <w:rPr>
                <w:b/>
                <w:bCs/>
                <w:sz w:val="24"/>
                <w:szCs w:val="24"/>
              </w:rPr>
            </w:pPr>
            <w:r w:rsidRPr="0042750D">
              <w:rPr>
                <w:b/>
                <w:bCs/>
                <w:sz w:val="24"/>
                <w:szCs w:val="24"/>
              </w:rPr>
              <w:t>Ongoing</w:t>
            </w:r>
          </w:p>
        </w:tc>
        <w:tc>
          <w:tcPr>
            <w:tcW w:w="1131" w:type="dxa"/>
            <w:tcBorders>
              <w:top w:val="single" w:sz="12" w:space="0" w:color="auto"/>
            </w:tcBorders>
            <w:shd w:val="clear" w:color="auto" w:fill="auto"/>
            <w:vAlign w:val="center"/>
          </w:tcPr>
          <w:p w14:paraId="52ABF172" w14:textId="008BABB9" w:rsidR="00F0236A" w:rsidRPr="0042750D" w:rsidRDefault="00AE3D41"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295A828C" w14:textId="77777777" w:rsidR="00F0236A" w:rsidRPr="0042750D" w:rsidRDefault="00F0236A" w:rsidP="00DF36E1">
            <w:pPr>
              <w:pStyle w:val="Tabletext"/>
              <w:jc w:val="center"/>
              <w:rPr>
                <w:b/>
                <w:bCs/>
                <w:sz w:val="24"/>
                <w:szCs w:val="24"/>
              </w:rPr>
            </w:pPr>
          </w:p>
        </w:tc>
      </w:tr>
      <w:tr w:rsidR="00F0236A" w:rsidRPr="0042750D" w14:paraId="389891C3" w14:textId="77777777" w:rsidTr="0085771B">
        <w:trPr>
          <w:cantSplit/>
          <w:jc w:val="center"/>
        </w:trPr>
        <w:tc>
          <w:tcPr>
            <w:tcW w:w="900" w:type="dxa"/>
            <w:vMerge/>
            <w:tcBorders>
              <w:bottom w:val="single" w:sz="12" w:space="0" w:color="auto"/>
            </w:tcBorders>
            <w:shd w:val="clear" w:color="auto" w:fill="auto"/>
          </w:tcPr>
          <w:p w14:paraId="4435D7BA" w14:textId="77777777" w:rsidR="00F0236A" w:rsidRPr="0042750D" w:rsidRDefault="00F0236A" w:rsidP="00DF36E1">
            <w:pPr>
              <w:pStyle w:val="Tabletext"/>
              <w:rPr>
                <w:sz w:val="24"/>
                <w:szCs w:val="24"/>
              </w:rPr>
            </w:pPr>
          </w:p>
        </w:tc>
        <w:tc>
          <w:tcPr>
            <w:tcW w:w="8932" w:type="dxa"/>
            <w:gridSpan w:val="4"/>
            <w:tcBorders>
              <w:bottom w:val="single" w:sz="12" w:space="0" w:color="auto"/>
            </w:tcBorders>
            <w:shd w:val="clear" w:color="auto" w:fill="auto"/>
          </w:tcPr>
          <w:p w14:paraId="60A1C1E6" w14:textId="4B46FECB" w:rsidR="00F0236A" w:rsidRPr="0042750D" w:rsidRDefault="00DD0101" w:rsidP="00DF36E1">
            <w:pPr>
              <w:pStyle w:val="Tabletext"/>
              <w:rPr>
                <w:szCs w:val="22"/>
              </w:rPr>
            </w:pPr>
            <w:r w:rsidRPr="0042750D">
              <w:rPr>
                <w:szCs w:val="22"/>
              </w:rPr>
              <w:t>ITU-T continuously conducts regional and international seminars, workshops and summits.</w:t>
            </w:r>
          </w:p>
        </w:tc>
      </w:tr>
      <w:tr w:rsidR="00F0236A" w:rsidRPr="0042750D" w14:paraId="51232903" w14:textId="77777777" w:rsidTr="00332DFE">
        <w:trPr>
          <w:cantSplit/>
          <w:jc w:val="center"/>
        </w:trPr>
        <w:tc>
          <w:tcPr>
            <w:tcW w:w="900" w:type="dxa"/>
            <w:vMerge w:val="restart"/>
            <w:tcBorders>
              <w:top w:val="single" w:sz="12" w:space="0" w:color="auto"/>
            </w:tcBorders>
            <w:shd w:val="clear" w:color="auto" w:fill="auto"/>
          </w:tcPr>
          <w:p w14:paraId="501CAD52" w14:textId="54649CF4" w:rsidR="00F0236A" w:rsidRPr="0042750D" w:rsidRDefault="00CB43D1" w:rsidP="00366A6E">
            <w:pPr>
              <w:pStyle w:val="Tabletext"/>
              <w:keepNext/>
              <w:keepLines/>
              <w:rPr>
                <w:b/>
                <w:bCs/>
                <w:sz w:val="24"/>
                <w:szCs w:val="24"/>
              </w:rPr>
            </w:pPr>
            <w:r w:rsidRPr="0042750D">
              <w:rPr>
                <w:b/>
                <w:bCs/>
                <w:sz w:val="24"/>
                <w:szCs w:val="24"/>
              </w:rPr>
              <w:t>176-04</w:t>
            </w:r>
          </w:p>
        </w:tc>
        <w:tc>
          <w:tcPr>
            <w:tcW w:w="4907" w:type="dxa"/>
            <w:tcBorders>
              <w:top w:val="single" w:sz="12" w:space="0" w:color="auto"/>
            </w:tcBorders>
            <w:shd w:val="clear" w:color="auto" w:fill="auto"/>
            <w:hideMark/>
          </w:tcPr>
          <w:p w14:paraId="77320791" w14:textId="581A3B9C" w:rsidR="00F0236A" w:rsidRPr="0042750D" w:rsidRDefault="00CB43D1" w:rsidP="00CB43D1">
            <w:pPr>
              <w:pStyle w:val="Tabletext"/>
              <w:keepNext/>
              <w:keepLines/>
              <w:rPr>
                <w:b/>
                <w:bCs/>
                <w:sz w:val="24"/>
                <w:szCs w:val="24"/>
              </w:rPr>
            </w:pPr>
            <w:r w:rsidRPr="0042750D">
              <w:rPr>
                <w:b/>
                <w:bCs/>
                <w:sz w:val="24"/>
                <w:szCs w:val="24"/>
              </w:rPr>
              <w:t>TSBDir to encourage Member States in the various regions to cooperate in sharing expertise and resources and identify a focal point or regional cooperation mechanism</w:t>
            </w:r>
            <w:r w:rsidR="00C64111" w:rsidRPr="0042750D">
              <w:rPr>
                <w:b/>
                <w:bCs/>
                <w:sz w:val="24"/>
                <w:szCs w:val="24"/>
              </w:rPr>
              <w:t xml:space="preserve"> (</w:t>
            </w:r>
            <w:r w:rsidR="00C64111" w:rsidRPr="0042750D">
              <w:rPr>
                <w:b/>
                <w:bCs/>
                <w:i/>
                <w:sz w:val="24"/>
                <w:szCs w:val="24"/>
              </w:rPr>
              <w:t>instructs 2</w:t>
            </w:r>
            <w:r w:rsidR="00C64111" w:rsidRPr="0042750D">
              <w:rPr>
                <w:b/>
                <w:bCs/>
                <w:sz w:val="24"/>
                <w:szCs w:val="24"/>
              </w:rPr>
              <w:t>)</w:t>
            </w:r>
            <w:r w:rsidRPr="0042750D">
              <w:rPr>
                <w:b/>
                <w:bCs/>
                <w:sz w:val="24"/>
                <w:szCs w:val="24"/>
              </w:rPr>
              <w:t>.</w:t>
            </w:r>
          </w:p>
        </w:tc>
        <w:tc>
          <w:tcPr>
            <w:tcW w:w="1556" w:type="dxa"/>
            <w:tcBorders>
              <w:top w:val="single" w:sz="12" w:space="0" w:color="auto"/>
            </w:tcBorders>
            <w:shd w:val="clear" w:color="auto" w:fill="auto"/>
            <w:vAlign w:val="center"/>
            <w:hideMark/>
          </w:tcPr>
          <w:p w14:paraId="55592B47"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31" w:type="dxa"/>
            <w:tcBorders>
              <w:top w:val="single" w:sz="12" w:space="0" w:color="auto"/>
            </w:tcBorders>
            <w:shd w:val="clear" w:color="auto" w:fill="auto"/>
            <w:vAlign w:val="center"/>
          </w:tcPr>
          <w:p w14:paraId="58DE2852" w14:textId="1D6CB58B" w:rsidR="00F0236A" w:rsidRPr="0042750D" w:rsidRDefault="00CD15C5"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5DBDB059" w14:textId="77777777" w:rsidR="00F0236A" w:rsidRPr="0042750D" w:rsidRDefault="00F0236A" w:rsidP="00DF36E1">
            <w:pPr>
              <w:pStyle w:val="Tabletext"/>
              <w:jc w:val="center"/>
              <w:rPr>
                <w:b/>
                <w:bCs/>
                <w:sz w:val="24"/>
                <w:szCs w:val="24"/>
              </w:rPr>
            </w:pPr>
          </w:p>
        </w:tc>
      </w:tr>
      <w:tr w:rsidR="00F0236A" w:rsidRPr="0042750D" w14:paraId="49968C29" w14:textId="77777777" w:rsidTr="0085771B">
        <w:trPr>
          <w:cantSplit/>
          <w:jc w:val="center"/>
        </w:trPr>
        <w:tc>
          <w:tcPr>
            <w:tcW w:w="900" w:type="dxa"/>
            <w:vMerge/>
            <w:tcBorders>
              <w:bottom w:val="single" w:sz="12" w:space="0" w:color="auto"/>
            </w:tcBorders>
            <w:shd w:val="clear" w:color="auto" w:fill="auto"/>
          </w:tcPr>
          <w:p w14:paraId="4CE93A65" w14:textId="77777777" w:rsidR="00F0236A" w:rsidRPr="0042750D" w:rsidRDefault="00F0236A" w:rsidP="00DF36E1">
            <w:pPr>
              <w:pStyle w:val="Tabletext"/>
              <w:rPr>
                <w:sz w:val="24"/>
                <w:szCs w:val="24"/>
              </w:rPr>
            </w:pPr>
          </w:p>
        </w:tc>
        <w:tc>
          <w:tcPr>
            <w:tcW w:w="8932" w:type="dxa"/>
            <w:gridSpan w:val="4"/>
            <w:tcBorders>
              <w:bottom w:val="single" w:sz="12" w:space="0" w:color="auto"/>
            </w:tcBorders>
            <w:shd w:val="clear" w:color="auto" w:fill="auto"/>
          </w:tcPr>
          <w:p w14:paraId="76703462" w14:textId="5D9EEE11" w:rsidR="00F0236A" w:rsidRPr="0042750D" w:rsidRDefault="00AD1708" w:rsidP="00CD15C5">
            <w:pPr>
              <w:keepNext/>
              <w:keepLines/>
              <w:spacing w:after="40"/>
              <w:rPr>
                <w:szCs w:val="22"/>
              </w:rPr>
            </w:pPr>
            <w:r w:rsidRPr="0042750D">
              <w:rPr>
                <w:szCs w:val="22"/>
              </w:rPr>
              <w:t xml:space="preserve">See </w:t>
            </w:r>
            <w:r w:rsidRPr="0042750D">
              <w:rPr>
                <w:rFonts w:asciiTheme="majorBidi" w:hAnsiTheme="majorBidi" w:cstheme="majorBidi"/>
              </w:rPr>
              <w:t>176</w:t>
            </w:r>
            <w:r w:rsidRPr="0042750D">
              <w:rPr>
                <w:szCs w:val="22"/>
              </w:rPr>
              <w:t>-01</w:t>
            </w:r>
            <w:r w:rsidR="00CD15C5" w:rsidRPr="0042750D">
              <w:rPr>
                <w:szCs w:val="22"/>
              </w:rPr>
              <w:t>.</w:t>
            </w:r>
          </w:p>
        </w:tc>
      </w:tr>
      <w:tr w:rsidR="00F0236A" w:rsidRPr="0042750D" w14:paraId="63C6A184" w14:textId="77777777" w:rsidTr="00332DFE">
        <w:trPr>
          <w:cantSplit/>
          <w:jc w:val="center"/>
        </w:trPr>
        <w:tc>
          <w:tcPr>
            <w:tcW w:w="900" w:type="dxa"/>
            <w:vMerge w:val="restart"/>
            <w:tcBorders>
              <w:top w:val="single" w:sz="12" w:space="0" w:color="auto"/>
            </w:tcBorders>
            <w:shd w:val="clear" w:color="auto" w:fill="auto"/>
          </w:tcPr>
          <w:p w14:paraId="2F8BE4C6" w14:textId="117E95E8" w:rsidR="00F0236A" w:rsidRPr="0042750D" w:rsidRDefault="00CB43D1" w:rsidP="00DF36E1">
            <w:pPr>
              <w:pStyle w:val="Tabletext"/>
              <w:keepNext/>
              <w:keepLines/>
              <w:rPr>
                <w:b/>
                <w:bCs/>
                <w:sz w:val="24"/>
                <w:szCs w:val="24"/>
              </w:rPr>
            </w:pPr>
            <w:r w:rsidRPr="0042750D">
              <w:rPr>
                <w:b/>
                <w:bCs/>
                <w:sz w:val="24"/>
                <w:szCs w:val="24"/>
              </w:rPr>
              <w:t>176-05</w:t>
            </w:r>
          </w:p>
        </w:tc>
        <w:tc>
          <w:tcPr>
            <w:tcW w:w="4907" w:type="dxa"/>
            <w:tcBorders>
              <w:top w:val="single" w:sz="12" w:space="0" w:color="auto"/>
            </w:tcBorders>
            <w:shd w:val="clear" w:color="auto" w:fill="auto"/>
          </w:tcPr>
          <w:p w14:paraId="24D45EA4" w14:textId="2B2C746D" w:rsidR="00F0236A" w:rsidRPr="0042750D" w:rsidRDefault="00CB43D1" w:rsidP="00CB43D1">
            <w:pPr>
              <w:pStyle w:val="Tabletext"/>
              <w:keepNext/>
              <w:keepLines/>
              <w:rPr>
                <w:b/>
                <w:bCs/>
                <w:sz w:val="24"/>
                <w:szCs w:val="24"/>
              </w:rPr>
            </w:pPr>
            <w:r w:rsidRPr="0042750D">
              <w:rPr>
                <w:b/>
                <w:bCs/>
                <w:sz w:val="24"/>
                <w:szCs w:val="24"/>
              </w:rPr>
              <w:t>TSBDir to encourage relevant organizations to continue undertaking necessary scientific studies</w:t>
            </w:r>
            <w:r w:rsidR="00C64111" w:rsidRPr="0042750D">
              <w:rPr>
                <w:b/>
                <w:bCs/>
                <w:sz w:val="24"/>
                <w:szCs w:val="24"/>
              </w:rPr>
              <w:t xml:space="preserve"> (</w:t>
            </w:r>
            <w:r w:rsidR="00C64111" w:rsidRPr="0042750D">
              <w:rPr>
                <w:b/>
                <w:bCs/>
                <w:i/>
                <w:sz w:val="24"/>
                <w:szCs w:val="24"/>
              </w:rPr>
              <w:t>instructs 3</w:t>
            </w:r>
            <w:r w:rsidR="00C64111" w:rsidRPr="0042750D">
              <w:rPr>
                <w:b/>
                <w:bCs/>
                <w:sz w:val="24"/>
                <w:szCs w:val="24"/>
              </w:rPr>
              <w:t>)</w:t>
            </w:r>
            <w:r w:rsidRPr="0042750D">
              <w:rPr>
                <w:b/>
                <w:bCs/>
                <w:sz w:val="24"/>
                <w:szCs w:val="24"/>
              </w:rPr>
              <w:t>.</w:t>
            </w:r>
          </w:p>
        </w:tc>
        <w:tc>
          <w:tcPr>
            <w:tcW w:w="1556" w:type="dxa"/>
            <w:tcBorders>
              <w:top w:val="single" w:sz="12" w:space="0" w:color="auto"/>
            </w:tcBorders>
            <w:shd w:val="clear" w:color="auto" w:fill="auto"/>
            <w:vAlign w:val="center"/>
          </w:tcPr>
          <w:p w14:paraId="023F83D6" w14:textId="6F71FB42" w:rsidR="00F0236A" w:rsidRPr="0042750D" w:rsidRDefault="00646960" w:rsidP="00DF36E1">
            <w:pPr>
              <w:pStyle w:val="Tabletext"/>
              <w:jc w:val="center"/>
              <w:rPr>
                <w:b/>
                <w:bCs/>
                <w:sz w:val="24"/>
                <w:szCs w:val="24"/>
              </w:rPr>
            </w:pPr>
            <w:r w:rsidRPr="0042750D">
              <w:rPr>
                <w:b/>
                <w:bCs/>
                <w:sz w:val="24"/>
                <w:szCs w:val="24"/>
              </w:rPr>
              <w:t>Ongoing</w:t>
            </w:r>
          </w:p>
        </w:tc>
        <w:tc>
          <w:tcPr>
            <w:tcW w:w="1131" w:type="dxa"/>
            <w:tcBorders>
              <w:top w:val="single" w:sz="12" w:space="0" w:color="auto"/>
            </w:tcBorders>
            <w:shd w:val="clear" w:color="auto" w:fill="auto"/>
            <w:vAlign w:val="center"/>
          </w:tcPr>
          <w:p w14:paraId="59B15C71" w14:textId="22C394B9" w:rsidR="00F0236A" w:rsidRPr="0042750D"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043441A2" w14:textId="77777777" w:rsidR="00F0236A" w:rsidRPr="0042750D" w:rsidRDefault="00F0236A" w:rsidP="00DF36E1">
            <w:pPr>
              <w:pStyle w:val="Tabletext"/>
              <w:jc w:val="center"/>
              <w:rPr>
                <w:b/>
                <w:bCs/>
                <w:sz w:val="24"/>
                <w:szCs w:val="24"/>
              </w:rPr>
            </w:pPr>
          </w:p>
        </w:tc>
      </w:tr>
      <w:tr w:rsidR="00F0236A" w:rsidRPr="0042750D" w14:paraId="764B1075" w14:textId="77777777" w:rsidTr="0085771B">
        <w:trPr>
          <w:cantSplit/>
          <w:jc w:val="center"/>
        </w:trPr>
        <w:tc>
          <w:tcPr>
            <w:tcW w:w="900" w:type="dxa"/>
            <w:vMerge/>
            <w:tcBorders>
              <w:bottom w:val="single" w:sz="12" w:space="0" w:color="auto"/>
            </w:tcBorders>
            <w:shd w:val="clear" w:color="auto" w:fill="auto"/>
          </w:tcPr>
          <w:p w14:paraId="562F3199" w14:textId="77777777" w:rsidR="00F0236A" w:rsidRPr="0042750D" w:rsidRDefault="00F0236A" w:rsidP="00DF36E1">
            <w:pPr>
              <w:pStyle w:val="Tabletext"/>
              <w:rPr>
                <w:sz w:val="24"/>
                <w:szCs w:val="24"/>
              </w:rPr>
            </w:pPr>
          </w:p>
        </w:tc>
        <w:tc>
          <w:tcPr>
            <w:tcW w:w="8932" w:type="dxa"/>
            <w:gridSpan w:val="4"/>
            <w:tcBorders>
              <w:bottom w:val="single" w:sz="12" w:space="0" w:color="auto"/>
            </w:tcBorders>
            <w:shd w:val="clear" w:color="auto" w:fill="auto"/>
          </w:tcPr>
          <w:p w14:paraId="5A0E6BD1" w14:textId="3A2403C1" w:rsidR="00F0236A" w:rsidRPr="0042750D" w:rsidRDefault="00F0236A" w:rsidP="00DF36E1">
            <w:pPr>
              <w:pStyle w:val="Tabletext"/>
              <w:rPr>
                <w:sz w:val="24"/>
                <w:szCs w:val="24"/>
              </w:rPr>
            </w:pPr>
          </w:p>
        </w:tc>
      </w:tr>
      <w:tr w:rsidR="00F0236A" w:rsidRPr="0042750D" w14:paraId="11250FDE" w14:textId="77777777" w:rsidTr="00FC6DC4">
        <w:trPr>
          <w:jc w:val="center"/>
        </w:trPr>
        <w:tc>
          <w:tcPr>
            <w:tcW w:w="900" w:type="dxa"/>
            <w:vMerge w:val="restart"/>
            <w:tcBorders>
              <w:top w:val="single" w:sz="12" w:space="0" w:color="auto"/>
            </w:tcBorders>
            <w:shd w:val="clear" w:color="auto" w:fill="auto"/>
          </w:tcPr>
          <w:p w14:paraId="38C3490C" w14:textId="43268281" w:rsidR="00F0236A" w:rsidRPr="0042750D" w:rsidRDefault="00CB43D1" w:rsidP="00DF36E1">
            <w:pPr>
              <w:pStyle w:val="Tabletext"/>
              <w:rPr>
                <w:b/>
                <w:bCs/>
                <w:sz w:val="24"/>
                <w:szCs w:val="24"/>
              </w:rPr>
            </w:pPr>
            <w:r w:rsidRPr="0042750D">
              <w:rPr>
                <w:b/>
                <w:bCs/>
                <w:sz w:val="24"/>
                <w:szCs w:val="24"/>
              </w:rPr>
              <w:t>176-06</w:t>
            </w:r>
          </w:p>
        </w:tc>
        <w:tc>
          <w:tcPr>
            <w:tcW w:w="4907" w:type="dxa"/>
            <w:tcBorders>
              <w:top w:val="single" w:sz="12" w:space="0" w:color="auto"/>
            </w:tcBorders>
            <w:shd w:val="clear" w:color="auto" w:fill="auto"/>
            <w:hideMark/>
          </w:tcPr>
          <w:p w14:paraId="36D6249B" w14:textId="26AB568F" w:rsidR="00F0236A" w:rsidRPr="0042750D" w:rsidRDefault="00CB43D1" w:rsidP="00CB43D1">
            <w:pPr>
              <w:pStyle w:val="Tabletext"/>
              <w:keepNext/>
              <w:keepLines/>
              <w:rPr>
                <w:b/>
                <w:bCs/>
                <w:sz w:val="24"/>
                <w:szCs w:val="24"/>
              </w:rPr>
            </w:pPr>
            <w:r w:rsidRPr="0042750D">
              <w:rPr>
                <w:b/>
                <w:bCs/>
                <w:sz w:val="24"/>
                <w:szCs w:val="24"/>
              </w:rPr>
              <w:t>TSBDir to formulate necessary measures and guidelines in order to help mitigate possible health effects of EMF radiation on the human body</w:t>
            </w:r>
            <w:r w:rsidR="00C64111" w:rsidRPr="0042750D">
              <w:rPr>
                <w:b/>
                <w:bCs/>
                <w:sz w:val="24"/>
                <w:szCs w:val="24"/>
              </w:rPr>
              <w:t xml:space="preserve"> (</w:t>
            </w:r>
            <w:r w:rsidR="00C64111" w:rsidRPr="0042750D">
              <w:rPr>
                <w:b/>
                <w:bCs/>
                <w:i/>
                <w:sz w:val="24"/>
                <w:szCs w:val="24"/>
              </w:rPr>
              <w:t>instructs 4</w:t>
            </w:r>
            <w:r w:rsidR="00C64111" w:rsidRPr="0042750D">
              <w:rPr>
                <w:b/>
                <w:bCs/>
                <w:sz w:val="24"/>
                <w:szCs w:val="24"/>
              </w:rPr>
              <w:t>)</w:t>
            </w:r>
            <w:r w:rsidRPr="0042750D">
              <w:rPr>
                <w:b/>
                <w:bCs/>
                <w:sz w:val="24"/>
                <w:szCs w:val="24"/>
              </w:rPr>
              <w:t>.</w:t>
            </w:r>
          </w:p>
        </w:tc>
        <w:tc>
          <w:tcPr>
            <w:tcW w:w="1556" w:type="dxa"/>
            <w:tcBorders>
              <w:top w:val="single" w:sz="12" w:space="0" w:color="auto"/>
            </w:tcBorders>
            <w:shd w:val="clear" w:color="auto" w:fill="auto"/>
            <w:vAlign w:val="center"/>
            <w:hideMark/>
          </w:tcPr>
          <w:p w14:paraId="50472094"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31" w:type="dxa"/>
            <w:tcBorders>
              <w:top w:val="single" w:sz="12" w:space="0" w:color="auto"/>
            </w:tcBorders>
            <w:shd w:val="clear" w:color="auto" w:fill="auto"/>
            <w:vAlign w:val="center"/>
          </w:tcPr>
          <w:p w14:paraId="53B9B88A" w14:textId="6FCB8A97" w:rsidR="00F0236A" w:rsidRPr="0042750D" w:rsidRDefault="005768B4"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16E959C1" w14:textId="77777777" w:rsidR="00F0236A" w:rsidRPr="0042750D" w:rsidRDefault="00F0236A" w:rsidP="00DF36E1">
            <w:pPr>
              <w:pStyle w:val="Tabletext"/>
              <w:jc w:val="center"/>
              <w:rPr>
                <w:b/>
                <w:bCs/>
                <w:sz w:val="24"/>
                <w:szCs w:val="24"/>
              </w:rPr>
            </w:pPr>
          </w:p>
        </w:tc>
      </w:tr>
      <w:tr w:rsidR="00F0236A" w:rsidRPr="0042750D" w14:paraId="70FAF949" w14:textId="77777777" w:rsidTr="00FC6DC4">
        <w:trPr>
          <w:jc w:val="center"/>
        </w:trPr>
        <w:tc>
          <w:tcPr>
            <w:tcW w:w="900" w:type="dxa"/>
            <w:vMerge/>
            <w:tcBorders>
              <w:bottom w:val="single" w:sz="12" w:space="0" w:color="auto"/>
            </w:tcBorders>
            <w:shd w:val="clear" w:color="auto" w:fill="auto"/>
          </w:tcPr>
          <w:p w14:paraId="55DE6774" w14:textId="77777777" w:rsidR="00F0236A" w:rsidRPr="0042750D" w:rsidRDefault="00F0236A" w:rsidP="00DF36E1">
            <w:pPr>
              <w:pStyle w:val="Tabletext"/>
              <w:rPr>
                <w:sz w:val="24"/>
                <w:szCs w:val="24"/>
              </w:rPr>
            </w:pPr>
          </w:p>
        </w:tc>
        <w:tc>
          <w:tcPr>
            <w:tcW w:w="8932" w:type="dxa"/>
            <w:gridSpan w:val="4"/>
            <w:tcBorders>
              <w:bottom w:val="single" w:sz="12" w:space="0" w:color="auto"/>
            </w:tcBorders>
            <w:shd w:val="clear" w:color="auto" w:fill="auto"/>
          </w:tcPr>
          <w:p w14:paraId="67F3045B" w14:textId="02D49CCC" w:rsidR="00F0236A" w:rsidRPr="0042750D" w:rsidRDefault="00A265A0" w:rsidP="00DF36E1">
            <w:pPr>
              <w:pStyle w:val="Tabletext"/>
              <w:rPr>
                <w:szCs w:val="22"/>
              </w:rPr>
            </w:pPr>
            <w:r w:rsidRPr="0042750D">
              <w:rPr>
                <w:szCs w:val="22"/>
              </w:rPr>
              <w:t>ITU-T SG5 within Q3/5 “Human exposure to electromagnetic fields (EMFs) from information and communication technologies (ICTs)” works on the development of Recommendation and Supplements on high level framework for managing the human exposure to EMFs (regulatory practices) emitted by the telecommunication equipment and guidelines for the assessment of human exposure based on the existing standards and recommendations. In January 2020, ITU-T SG5 approved Recommendation ITU-T K.145 “Assessment and management of compliance with radio frequency electromagnetic field exposure limits for workers at radiocommunication sites and facilities”.</w:t>
            </w:r>
          </w:p>
        </w:tc>
      </w:tr>
      <w:tr w:rsidR="00F0236A" w:rsidRPr="0042750D" w14:paraId="6DE32EBE" w14:textId="77777777" w:rsidTr="00332DFE">
        <w:trPr>
          <w:cantSplit/>
          <w:jc w:val="center"/>
        </w:trPr>
        <w:tc>
          <w:tcPr>
            <w:tcW w:w="900" w:type="dxa"/>
            <w:vMerge w:val="restart"/>
            <w:tcBorders>
              <w:top w:val="single" w:sz="12" w:space="0" w:color="auto"/>
            </w:tcBorders>
            <w:shd w:val="clear" w:color="auto" w:fill="auto"/>
          </w:tcPr>
          <w:p w14:paraId="673A6ABD" w14:textId="15CF003E" w:rsidR="00F0236A" w:rsidRPr="0042750D" w:rsidRDefault="00CB43D1" w:rsidP="000169D6">
            <w:pPr>
              <w:pStyle w:val="Tabletext"/>
              <w:keepNext/>
              <w:keepLines/>
              <w:rPr>
                <w:b/>
                <w:bCs/>
                <w:sz w:val="24"/>
                <w:szCs w:val="24"/>
              </w:rPr>
            </w:pPr>
            <w:r w:rsidRPr="0042750D">
              <w:rPr>
                <w:b/>
                <w:bCs/>
                <w:sz w:val="24"/>
                <w:szCs w:val="24"/>
              </w:rPr>
              <w:t>176-07</w:t>
            </w:r>
          </w:p>
        </w:tc>
        <w:tc>
          <w:tcPr>
            <w:tcW w:w="4907" w:type="dxa"/>
            <w:tcBorders>
              <w:top w:val="single" w:sz="12" w:space="0" w:color="auto"/>
            </w:tcBorders>
            <w:shd w:val="clear" w:color="auto" w:fill="auto"/>
            <w:hideMark/>
          </w:tcPr>
          <w:p w14:paraId="471DD35D" w14:textId="2AE2BA61" w:rsidR="00F0236A" w:rsidRPr="0042750D" w:rsidRDefault="00CB43D1" w:rsidP="00332DFE">
            <w:pPr>
              <w:pStyle w:val="Tabletext"/>
              <w:keepNext/>
              <w:keepLines/>
              <w:rPr>
                <w:b/>
                <w:bCs/>
                <w:sz w:val="24"/>
                <w:szCs w:val="24"/>
              </w:rPr>
            </w:pPr>
            <w:r w:rsidRPr="0042750D">
              <w:rPr>
                <w:b/>
                <w:bCs/>
                <w:sz w:val="24"/>
                <w:szCs w:val="24"/>
              </w:rPr>
              <w:t>TSBDir to encourage Member States to conduct periodic reviews</w:t>
            </w:r>
            <w:r w:rsidR="00C64111" w:rsidRPr="0042750D">
              <w:rPr>
                <w:b/>
                <w:bCs/>
                <w:sz w:val="24"/>
                <w:szCs w:val="24"/>
              </w:rPr>
              <w:t xml:space="preserve"> (</w:t>
            </w:r>
            <w:r w:rsidR="00C64111" w:rsidRPr="0042750D">
              <w:rPr>
                <w:b/>
                <w:bCs/>
                <w:i/>
                <w:sz w:val="24"/>
                <w:szCs w:val="24"/>
              </w:rPr>
              <w:t>instructs 5</w:t>
            </w:r>
            <w:r w:rsidR="00C64111" w:rsidRPr="0042750D">
              <w:rPr>
                <w:b/>
                <w:bCs/>
                <w:sz w:val="24"/>
                <w:szCs w:val="24"/>
              </w:rPr>
              <w:t>)</w:t>
            </w:r>
            <w:r w:rsidRPr="0042750D">
              <w:rPr>
                <w:b/>
                <w:bCs/>
                <w:sz w:val="24"/>
                <w:szCs w:val="24"/>
              </w:rPr>
              <w:t>.</w:t>
            </w:r>
          </w:p>
        </w:tc>
        <w:tc>
          <w:tcPr>
            <w:tcW w:w="1556" w:type="dxa"/>
            <w:tcBorders>
              <w:top w:val="single" w:sz="12" w:space="0" w:color="auto"/>
            </w:tcBorders>
            <w:shd w:val="clear" w:color="auto" w:fill="auto"/>
            <w:vAlign w:val="center"/>
            <w:hideMark/>
          </w:tcPr>
          <w:p w14:paraId="5E42768B"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31" w:type="dxa"/>
            <w:tcBorders>
              <w:top w:val="single" w:sz="12" w:space="0" w:color="auto"/>
            </w:tcBorders>
            <w:shd w:val="clear" w:color="auto" w:fill="auto"/>
            <w:vAlign w:val="center"/>
          </w:tcPr>
          <w:p w14:paraId="36CA9195" w14:textId="3DFF5C20" w:rsidR="00F0236A" w:rsidRPr="0042750D"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143FC7DD" w14:textId="77777777" w:rsidR="00F0236A" w:rsidRPr="0042750D" w:rsidRDefault="00F0236A" w:rsidP="00DF36E1">
            <w:pPr>
              <w:pStyle w:val="Tabletext"/>
              <w:jc w:val="center"/>
              <w:rPr>
                <w:b/>
                <w:bCs/>
                <w:sz w:val="24"/>
                <w:szCs w:val="24"/>
              </w:rPr>
            </w:pPr>
          </w:p>
        </w:tc>
      </w:tr>
      <w:tr w:rsidR="00F0236A" w:rsidRPr="0042750D" w14:paraId="5A5F13D0" w14:textId="77777777" w:rsidTr="0085771B">
        <w:trPr>
          <w:cantSplit/>
          <w:jc w:val="center"/>
        </w:trPr>
        <w:tc>
          <w:tcPr>
            <w:tcW w:w="900" w:type="dxa"/>
            <w:vMerge/>
            <w:tcBorders>
              <w:bottom w:val="single" w:sz="12" w:space="0" w:color="auto"/>
            </w:tcBorders>
            <w:shd w:val="clear" w:color="auto" w:fill="auto"/>
          </w:tcPr>
          <w:p w14:paraId="3F851779" w14:textId="77777777" w:rsidR="00F0236A" w:rsidRPr="0042750D" w:rsidRDefault="00F0236A" w:rsidP="00DF36E1">
            <w:pPr>
              <w:pStyle w:val="Tabletext"/>
              <w:rPr>
                <w:sz w:val="24"/>
                <w:szCs w:val="24"/>
              </w:rPr>
            </w:pPr>
          </w:p>
        </w:tc>
        <w:tc>
          <w:tcPr>
            <w:tcW w:w="8932" w:type="dxa"/>
            <w:gridSpan w:val="4"/>
            <w:tcBorders>
              <w:bottom w:val="single" w:sz="12" w:space="0" w:color="auto"/>
            </w:tcBorders>
            <w:shd w:val="clear" w:color="auto" w:fill="auto"/>
          </w:tcPr>
          <w:p w14:paraId="6FE25EE3" w14:textId="087DFED0" w:rsidR="00F0236A" w:rsidRPr="0042750D" w:rsidRDefault="00F0236A" w:rsidP="00DF36E1">
            <w:pPr>
              <w:pStyle w:val="Tabletext"/>
              <w:rPr>
                <w:szCs w:val="22"/>
              </w:rPr>
            </w:pPr>
          </w:p>
        </w:tc>
      </w:tr>
      <w:tr w:rsidR="00F142BC" w:rsidRPr="0042750D" w14:paraId="41DB8C68" w14:textId="77777777" w:rsidTr="00332DFE">
        <w:trPr>
          <w:cantSplit/>
          <w:jc w:val="center"/>
        </w:trPr>
        <w:tc>
          <w:tcPr>
            <w:tcW w:w="900" w:type="dxa"/>
            <w:vMerge w:val="restart"/>
            <w:tcBorders>
              <w:top w:val="single" w:sz="12" w:space="0" w:color="auto"/>
            </w:tcBorders>
            <w:shd w:val="clear" w:color="auto" w:fill="auto"/>
          </w:tcPr>
          <w:p w14:paraId="07550E9F" w14:textId="11B20CC4" w:rsidR="00F142BC" w:rsidRPr="0042750D" w:rsidRDefault="00F142BC" w:rsidP="00F142BC">
            <w:pPr>
              <w:pStyle w:val="Tabletext"/>
              <w:keepNext/>
              <w:keepLines/>
              <w:rPr>
                <w:b/>
                <w:bCs/>
                <w:sz w:val="24"/>
                <w:szCs w:val="24"/>
              </w:rPr>
            </w:pPr>
            <w:bookmarkStart w:id="219" w:name="Item70_01"/>
            <w:bookmarkStart w:id="220" w:name="Item70_02"/>
            <w:bookmarkStart w:id="221" w:name="Item70_03"/>
            <w:bookmarkStart w:id="222" w:name="Item70_04"/>
            <w:bookmarkStart w:id="223" w:name="Item70_05"/>
            <w:bookmarkStart w:id="224" w:name="Item70_06"/>
            <w:bookmarkStart w:id="225" w:name="Item70_07"/>
            <w:bookmarkStart w:id="226" w:name="Item70_08"/>
            <w:bookmarkStart w:id="227" w:name="Item70_09"/>
            <w:bookmarkStart w:id="228" w:name="Item70_10"/>
            <w:bookmarkStart w:id="229" w:name="Item70_11"/>
            <w:bookmarkStart w:id="230" w:name="Item70_12"/>
            <w:bookmarkStart w:id="231" w:name="Item70_13"/>
            <w:bookmarkStart w:id="232" w:name="Item70_14"/>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42750D">
              <w:rPr>
                <w:b/>
                <w:bCs/>
                <w:sz w:val="24"/>
                <w:szCs w:val="24"/>
              </w:rPr>
              <w:t>176-08</w:t>
            </w:r>
          </w:p>
        </w:tc>
        <w:tc>
          <w:tcPr>
            <w:tcW w:w="4907" w:type="dxa"/>
            <w:tcBorders>
              <w:top w:val="single" w:sz="12" w:space="0" w:color="auto"/>
            </w:tcBorders>
            <w:shd w:val="clear" w:color="auto" w:fill="auto"/>
            <w:hideMark/>
          </w:tcPr>
          <w:p w14:paraId="40E80B02" w14:textId="7F854084" w:rsidR="00F142BC" w:rsidRPr="0042750D" w:rsidRDefault="00F142BC" w:rsidP="00F142BC">
            <w:pPr>
              <w:rPr>
                <w:rFonts w:eastAsia="Times New Roman"/>
                <w:b/>
                <w:bCs/>
                <w:sz w:val="24"/>
                <w:lang w:eastAsia="en-US"/>
              </w:rPr>
            </w:pPr>
            <w:r w:rsidRPr="0042750D">
              <w:rPr>
                <w:rFonts w:eastAsia="Times New Roman"/>
                <w:b/>
                <w:bCs/>
                <w:sz w:val="24"/>
                <w:lang w:eastAsia="en-US"/>
              </w:rPr>
              <w:t xml:space="preserve">TSBDir to </w:t>
            </w:r>
            <w:r w:rsidR="00332DFE" w:rsidRPr="0042750D">
              <w:rPr>
                <w:rFonts w:eastAsia="Times New Roman"/>
                <w:b/>
                <w:bCs/>
                <w:sz w:val="24"/>
                <w:lang w:eastAsia="en-US"/>
              </w:rPr>
              <w:t>contribute to SecGen’s annual report to ITU council</w:t>
            </w:r>
            <w:r w:rsidRPr="0042750D">
              <w:rPr>
                <w:rFonts w:eastAsia="Times New Roman"/>
                <w:b/>
                <w:bCs/>
                <w:sz w:val="24"/>
                <w:lang w:eastAsia="en-US"/>
              </w:rPr>
              <w:t xml:space="preserve"> </w:t>
            </w:r>
            <w:r w:rsidR="00332DFE" w:rsidRPr="0042750D">
              <w:rPr>
                <w:rFonts w:eastAsia="Times New Roman"/>
                <w:b/>
                <w:bCs/>
                <w:sz w:val="24"/>
                <w:lang w:eastAsia="en-US"/>
              </w:rPr>
              <w:t xml:space="preserve">for evaluation </w:t>
            </w:r>
            <w:r w:rsidRPr="0042750D">
              <w:rPr>
                <w:rFonts w:eastAsia="Times New Roman"/>
                <w:b/>
                <w:bCs/>
                <w:sz w:val="24"/>
                <w:lang w:eastAsia="en-US"/>
              </w:rPr>
              <w:t>on the imple</w:t>
            </w:r>
            <w:r w:rsidR="00332DFE" w:rsidRPr="0042750D">
              <w:rPr>
                <w:rFonts w:eastAsia="Times New Roman"/>
                <w:b/>
                <w:bCs/>
                <w:sz w:val="24"/>
                <w:lang w:eastAsia="en-US"/>
              </w:rPr>
              <w:t>mentation of this resolution</w:t>
            </w:r>
            <w:r w:rsidR="00C64111" w:rsidRPr="0042750D">
              <w:rPr>
                <w:rFonts w:eastAsia="Times New Roman"/>
                <w:b/>
                <w:bCs/>
                <w:sz w:val="24"/>
                <w:lang w:eastAsia="en-US"/>
              </w:rPr>
              <w:t xml:space="preserve"> (</w:t>
            </w:r>
            <w:r w:rsidR="00C64111" w:rsidRPr="0042750D">
              <w:rPr>
                <w:rFonts w:eastAsia="Times New Roman"/>
                <w:b/>
                <w:bCs/>
                <w:i/>
                <w:sz w:val="24"/>
                <w:lang w:eastAsia="en-US"/>
              </w:rPr>
              <w:t>instructs 1</w:t>
            </w:r>
            <w:r w:rsidR="00C64111" w:rsidRPr="0042750D">
              <w:rPr>
                <w:rFonts w:eastAsia="Times New Roman"/>
                <w:b/>
                <w:bCs/>
                <w:sz w:val="24"/>
                <w:lang w:eastAsia="en-US"/>
              </w:rPr>
              <w:t>)</w:t>
            </w:r>
            <w:r w:rsidRPr="0042750D">
              <w:rPr>
                <w:rFonts w:eastAsia="Times New Roman"/>
                <w:b/>
                <w:bCs/>
                <w:sz w:val="24"/>
                <w:lang w:eastAsia="en-US"/>
              </w:rPr>
              <w:t>;</w:t>
            </w:r>
          </w:p>
          <w:p w14:paraId="627D3F17" w14:textId="6E098653" w:rsidR="00F142BC" w:rsidRPr="0042750D" w:rsidRDefault="00F142BC" w:rsidP="00332DFE">
            <w:pPr>
              <w:pStyle w:val="Tabletext"/>
              <w:rPr>
                <w:b/>
                <w:bCs/>
                <w:sz w:val="24"/>
                <w:szCs w:val="24"/>
              </w:rPr>
            </w:pPr>
            <w:r w:rsidRPr="0042750D">
              <w:rPr>
                <w:b/>
                <w:bCs/>
                <w:sz w:val="24"/>
                <w:szCs w:val="24"/>
              </w:rPr>
              <w:t xml:space="preserve">to </w:t>
            </w:r>
            <w:r w:rsidR="00332DFE" w:rsidRPr="0042750D">
              <w:rPr>
                <w:b/>
                <w:bCs/>
                <w:sz w:val="24"/>
                <w:szCs w:val="24"/>
              </w:rPr>
              <w:t>contribute to</w:t>
            </w:r>
            <w:r w:rsidRPr="0042750D">
              <w:rPr>
                <w:b/>
                <w:bCs/>
                <w:sz w:val="24"/>
                <w:szCs w:val="24"/>
              </w:rPr>
              <w:t xml:space="preserve"> a report to the next plenipotentiary conference on measures taken to implement this resolution</w:t>
            </w:r>
            <w:r w:rsidR="00C64111" w:rsidRPr="0042750D">
              <w:rPr>
                <w:b/>
                <w:bCs/>
                <w:sz w:val="24"/>
                <w:szCs w:val="24"/>
              </w:rPr>
              <w:t xml:space="preserve"> (</w:t>
            </w:r>
            <w:r w:rsidR="00C64111" w:rsidRPr="0042750D">
              <w:rPr>
                <w:b/>
                <w:bCs/>
                <w:i/>
                <w:sz w:val="24"/>
                <w:szCs w:val="24"/>
              </w:rPr>
              <w:t>instructs 2</w:t>
            </w:r>
            <w:r w:rsidR="00C64111" w:rsidRPr="0042750D">
              <w:rPr>
                <w:b/>
                <w:bCs/>
                <w:sz w:val="24"/>
                <w:szCs w:val="24"/>
              </w:rPr>
              <w:t>)</w:t>
            </w:r>
            <w:r w:rsidR="00332DFE" w:rsidRPr="0042750D">
              <w:rPr>
                <w:b/>
                <w:bCs/>
                <w:sz w:val="24"/>
                <w:szCs w:val="24"/>
              </w:rPr>
              <w:t>.</w:t>
            </w:r>
          </w:p>
        </w:tc>
        <w:tc>
          <w:tcPr>
            <w:tcW w:w="1556" w:type="dxa"/>
            <w:tcBorders>
              <w:top w:val="single" w:sz="12" w:space="0" w:color="auto"/>
            </w:tcBorders>
            <w:shd w:val="clear" w:color="auto" w:fill="auto"/>
            <w:vAlign w:val="center"/>
            <w:hideMark/>
          </w:tcPr>
          <w:p w14:paraId="0E7BC682" w14:textId="77777777" w:rsidR="00332DFE" w:rsidRPr="0042750D" w:rsidRDefault="00F142BC" w:rsidP="00AB1E12">
            <w:pPr>
              <w:pStyle w:val="Tabletext"/>
              <w:jc w:val="center"/>
              <w:rPr>
                <w:b/>
                <w:bCs/>
                <w:sz w:val="24"/>
                <w:szCs w:val="24"/>
              </w:rPr>
            </w:pPr>
            <w:r w:rsidRPr="0042750D">
              <w:rPr>
                <w:b/>
                <w:bCs/>
                <w:sz w:val="24"/>
                <w:szCs w:val="24"/>
              </w:rPr>
              <w:t>C</w:t>
            </w:r>
            <w:r w:rsidR="00332DFE" w:rsidRPr="0042750D">
              <w:rPr>
                <w:b/>
                <w:bCs/>
                <w:sz w:val="24"/>
                <w:szCs w:val="24"/>
              </w:rPr>
              <w:t>ouncil,</w:t>
            </w:r>
          </w:p>
          <w:p w14:paraId="79EA36FC" w14:textId="42D55DC9" w:rsidR="00F142BC" w:rsidRPr="0042750D" w:rsidRDefault="00F142BC" w:rsidP="00AB1E12">
            <w:pPr>
              <w:pStyle w:val="Tabletext"/>
              <w:jc w:val="center"/>
              <w:rPr>
                <w:b/>
                <w:bCs/>
                <w:sz w:val="24"/>
                <w:szCs w:val="24"/>
              </w:rPr>
            </w:pPr>
            <w:r w:rsidRPr="0042750D">
              <w:rPr>
                <w:b/>
                <w:bCs/>
                <w:sz w:val="24"/>
                <w:szCs w:val="24"/>
              </w:rPr>
              <w:t>PP-22</w:t>
            </w:r>
          </w:p>
        </w:tc>
        <w:tc>
          <w:tcPr>
            <w:tcW w:w="1131" w:type="dxa"/>
            <w:tcBorders>
              <w:top w:val="single" w:sz="12" w:space="0" w:color="auto"/>
            </w:tcBorders>
            <w:shd w:val="clear" w:color="auto" w:fill="auto"/>
            <w:vAlign w:val="center"/>
          </w:tcPr>
          <w:p w14:paraId="294C5563" w14:textId="538A1A42" w:rsidR="00F142BC" w:rsidRPr="0042750D" w:rsidRDefault="006D32FA" w:rsidP="00AB1E12">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707489E8" w14:textId="77777777" w:rsidR="00F142BC" w:rsidRPr="0042750D" w:rsidRDefault="00F142BC" w:rsidP="00AB1E12">
            <w:pPr>
              <w:pStyle w:val="Tabletext"/>
              <w:jc w:val="center"/>
              <w:rPr>
                <w:b/>
                <w:bCs/>
                <w:sz w:val="24"/>
                <w:szCs w:val="24"/>
              </w:rPr>
            </w:pPr>
          </w:p>
        </w:tc>
      </w:tr>
      <w:tr w:rsidR="00F142BC" w:rsidRPr="0042750D" w14:paraId="2140D6B7" w14:textId="77777777" w:rsidTr="00AB1E12">
        <w:trPr>
          <w:cantSplit/>
          <w:jc w:val="center"/>
        </w:trPr>
        <w:tc>
          <w:tcPr>
            <w:tcW w:w="900" w:type="dxa"/>
            <w:vMerge/>
            <w:tcBorders>
              <w:bottom w:val="single" w:sz="12" w:space="0" w:color="auto"/>
            </w:tcBorders>
            <w:shd w:val="clear" w:color="auto" w:fill="auto"/>
          </w:tcPr>
          <w:p w14:paraId="1EA646D4" w14:textId="77777777" w:rsidR="00F142BC" w:rsidRPr="0042750D" w:rsidRDefault="00F142BC" w:rsidP="00AB1E12">
            <w:pPr>
              <w:pStyle w:val="Tabletext"/>
              <w:rPr>
                <w:sz w:val="24"/>
                <w:szCs w:val="24"/>
              </w:rPr>
            </w:pPr>
          </w:p>
        </w:tc>
        <w:tc>
          <w:tcPr>
            <w:tcW w:w="8932" w:type="dxa"/>
            <w:gridSpan w:val="4"/>
            <w:tcBorders>
              <w:bottom w:val="single" w:sz="12" w:space="0" w:color="auto"/>
            </w:tcBorders>
            <w:shd w:val="clear" w:color="auto" w:fill="auto"/>
          </w:tcPr>
          <w:p w14:paraId="6BF7ECB5" w14:textId="48DB98D5" w:rsidR="00F142BC" w:rsidRPr="0042750D" w:rsidRDefault="006D32FA" w:rsidP="006D32FA">
            <w:pPr>
              <w:pStyle w:val="Tabletext"/>
              <w:rPr>
                <w:szCs w:val="22"/>
              </w:rPr>
            </w:pPr>
            <w:r w:rsidRPr="0042750D">
              <w:rPr>
                <w:szCs w:val="22"/>
              </w:rPr>
              <w:t xml:space="preserve">See </w:t>
            </w:r>
            <w:hyperlink r:id="rId77" w:history="1">
              <w:r w:rsidRPr="0042750D">
                <w:rPr>
                  <w:rStyle w:val="Hyperlink"/>
                  <w:szCs w:val="22"/>
                </w:rPr>
                <w:t>C19/35</w:t>
              </w:r>
            </w:hyperlink>
            <w:r w:rsidRPr="0042750D">
              <w:rPr>
                <w:szCs w:val="22"/>
              </w:rPr>
              <w:t xml:space="preserve"> Annex 1.</w:t>
            </w:r>
          </w:p>
        </w:tc>
      </w:tr>
      <w:tr w:rsidR="00332DFE" w:rsidRPr="0042750D" w14:paraId="65156E06" w14:textId="77777777" w:rsidTr="00332DFE">
        <w:trPr>
          <w:cantSplit/>
          <w:jc w:val="center"/>
        </w:trPr>
        <w:tc>
          <w:tcPr>
            <w:tcW w:w="900" w:type="dxa"/>
            <w:vMerge w:val="restart"/>
            <w:tcBorders>
              <w:top w:val="single" w:sz="12" w:space="0" w:color="auto"/>
            </w:tcBorders>
            <w:shd w:val="clear" w:color="auto" w:fill="auto"/>
          </w:tcPr>
          <w:p w14:paraId="05B911FA" w14:textId="0C98F26A" w:rsidR="00332DFE" w:rsidRPr="0042750D" w:rsidRDefault="00332DFE" w:rsidP="00332DFE">
            <w:pPr>
              <w:pStyle w:val="Tabletext"/>
              <w:keepNext/>
              <w:keepLines/>
              <w:rPr>
                <w:b/>
                <w:bCs/>
                <w:sz w:val="24"/>
                <w:szCs w:val="24"/>
              </w:rPr>
            </w:pPr>
            <w:r w:rsidRPr="0042750D">
              <w:rPr>
                <w:b/>
                <w:bCs/>
                <w:sz w:val="24"/>
                <w:szCs w:val="24"/>
              </w:rPr>
              <w:t>176-09</w:t>
            </w:r>
          </w:p>
        </w:tc>
        <w:tc>
          <w:tcPr>
            <w:tcW w:w="4907" w:type="dxa"/>
            <w:tcBorders>
              <w:top w:val="single" w:sz="12" w:space="0" w:color="auto"/>
            </w:tcBorders>
            <w:shd w:val="clear" w:color="auto" w:fill="auto"/>
            <w:hideMark/>
          </w:tcPr>
          <w:p w14:paraId="3BC5232A" w14:textId="7BB9D7B2" w:rsidR="00332DFE" w:rsidRPr="0042750D" w:rsidRDefault="00332DFE" w:rsidP="00D50A4E">
            <w:pPr>
              <w:pStyle w:val="Tabletext"/>
              <w:rPr>
                <w:b/>
                <w:bCs/>
                <w:sz w:val="24"/>
                <w:szCs w:val="24"/>
              </w:rPr>
            </w:pPr>
            <w:r w:rsidRPr="0042750D">
              <w:rPr>
                <w:b/>
                <w:bCs/>
                <w:sz w:val="24"/>
                <w:szCs w:val="24"/>
              </w:rPr>
              <w:t>TSBDir to participate in the Electromagnetic Field Project, conducted by WHO</w:t>
            </w:r>
            <w:r w:rsidR="00C64111" w:rsidRPr="0042750D">
              <w:rPr>
                <w:b/>
                <w:bCs/>
                <w:sz w:val="24"/>
                <w:szCs w:val="24"/>
              </w:rPr>
              <w:t xml:space="preserve"> (</w:t>
            </w:r>
            <w:r w:rsidR="00C64111" w:rsidRPr="0042750D">
              <w:rPr>
                <w:b/>
                <w:bCs/>
                <w:i/>
                <w:sz w:val="24"/>
                <w:szCs w:val="24"/>
              </w:rPr>
              <w:t>instructs</w:t>
            </w:r>
            <w:r w:rsidR="00C64111" w:rsidRPr="0042750D">
              <w:rPr>
                <w:b/>
                <w:bCs/>
                <w:sz w:val="24"/>
                <w:szCs w:val="24"/>
              </w:rPr>
              <w:t>)</w:t>
            </w:r>
            <w:r w:rsidRPr="0042750D">
              <w:rPr>
                <w:b/>
                <w:bCs/>
                <w:sz w:val="24"/>
                <w:szCs w:val="24"/>
              </w:rPr>
              <w:t>.</w:t>
            </w:r>
          </w:p>
        </w:tc>
        <w:tc>
          <w:tcPr>
            <w:tcW w:w="1556" w:type="dxa"/>
            <w:tcBorders>
              <w:top w:val="single" w:sz="12" w:space="0" w:color="auto"/>
            </w:tcBorders>
            <w:shd w:val="clear" w:color="auto" w:fill="auto"/>
            <w:vAlign w:val="center"/>
            <w:hideMark/>
          </w:tcPr>
          <w:p w14:paraId="14E2CF83" w14:textId="4AD57E91" w:rsidR="00332DFE" w:rsidRPr="0042750D" w:rsidRDefault="00332DFE" w:rsidP="00D50A4E">
            <w:pPr>
              <w:pStyle w:val="Tabletext"/>
              <w:jc w:val="center"/>
              <w:rPr>
                <w:b/>
                <w:bCs/>
                <w:sz w:val="24"/>
                <w:szCs w:val="24"/>
              </w:rPr>
            </w:pPr>
            <w:r w:rsidRPr="0042750D">
              <w:rPr>
                <w:b/>
                <w:bCs/>
                <w:sz w:val="24"/>
                <w:szCs w:val="24"/>
              </w:rPr>
              <w:t>Ongoing</w:t>
            </w:r>
          </w:p>
        </w:tc>
        <w:tc>
          <w:tcPr>
            <w:tcW w:w="1131" w:type="dxa"/>
            <w:tcBorders>
              <w:top w:val="single" w:sz="12" w:space="0" w:color="auto"/>
            </w:tcBorders>
            <w:shd w:val="clear" w:color="auto" w:fill="auto"/>
            <w:vAlign w:val="center"/>
          </w:tcPr>
          <w:p w14:paraId="5C3F927B" w14:textId="2BE3558E" w:rsidR="00332DFE" w:rsidRPr="0042750D" w:rsidRDefault="00EF719E" w:rsidP="00D50A4E">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0DE353E0" w14:textId="77777777" w:rsidR="00332DFE" w:rsidRPr="0042750D" w:rsidRDefault="00332DFE" w:rsidP="00D50A4E">
            <w:pPr>
              <w:pStyle w:val="Tabletext"/>
              <w:jc w:val="center"/>
              <w:rPr>
                <w:b/>
                <w:bCs/>
                <w:sz w:val="24"/>
                <w:szCs w:val="24"/>
              </w:rPr>
            </w:pPr>
          </w:p>
        </w:tc>
      </w:tr>
      <w:tr w:rsidR="00332DFE" w:rsidRPr="0042750D" w14:paraId="082DBCBF" w14:textId="77777777" w:rsidTr="00D50A4E">
        <w:trPr>
          <w:cantSplit/>
          <w:jc w:val="center"/>
        </w:trPr>
        <w:tc>
          <w:tcPr>
            <w:tcW w:w="900" w:type="dxa"/>
            <w:vMerge/>
            <w:tcBorders>
              <w:bottom w:val="single" w:sz="12" w:space="0" w:color="auto"/>
            </w:tcBorders>
            <w:shd w:val="clear" w:color="auto" w:fill="auto"/>
          </w:tcPr>
          <w:p w14:paraId="022AB81F" w14:textId="77777777" w:rsidR="00332DFE" w:rsidRPr="0042750D" w:rsidRDefault="00332DFE" w:rsidP="00D50A4E">
            <w:pPr>
              <w:pStyle w:val="Tabletext"/>
              <w:rPr>
                <w:sz w:val="24"/>
                <w:szCs w:val="24"/>
              </w:rPr>
            </w:pPr>
          </w:p>
        </w:tc>
        <w:tc>
          <w:tcPr>
            <w:tcW w:w="8932" w:type="dxa"/>
            <w:gridSpan w:val="4"/>
            <w:tcBorders>
              <w:bottom w:val="single" w:sz="12" w:space="0" w:color="auto"/>
            </w:tcBorders>
            <w:shd w:val="clear" w:color="auto" w:fill="auto"/>
          </w:tcPr>
          <w:p w14:paraId="3BE62BDE" w14:textId="79FC2AA3" w:rsidR="00332DFE" w:rsidRPr="0042750D" w:rsidRDefault="00AD1708" w:rsidP="00D50A4E">
            <w:pPr>
              <w:pStyle w:val="Tabletext"/>
              <w:rPr>
                <w:szCs w:val="22"/>
              </w:rPr>
            </w:pPr>
            <w:r w:rsidRPr="0042750D">
              <w:rPr>
                <w:szCs w:val="22"/>
              </w:rPr>
              <w:t>See 176-02.</w:t>
            </w:r>
          </w:p>
        </w:tc>
      </w:tr>
    </w:tbl>
    <w:p w14:paraId="5D76045B"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62E4616E" w14:textId="381CF2A6" w:rsidR="00F0236A" w:rsidRPr="0042750D" w:rsidRDefault="004A6D36" w:rsidP="00AB1E12">
      <w:pPr>
        <w:pStyle w:val="Heading1"/>
        <w:rPr>
          <w:sz w:val="24"/>
          <w:szCs w:val="24"/>
          <w:lang w:val="en-GB"/>
        </w:rPr>
      </w:pPr>
      <w:bookmarkStart w:id="233" w:name="Resolution_71"/>
      <w:bookmarkStart w:id="234" w:name="Item71_01"/>
      <w:bookmarkStart w:id="235" w:name="Item71_02"/>
      <w:bookmarkStart w:id="236" w:name="Item71_03"/>
      <w:bookmarkStart w:id="237" w:name="Item71_04"/>
      <w:bookmarkStart w:id="238" w:name="Item71_05"/>
      <w:bookmarkStart w:id="239" w:name="Item71_06"/>
      <w:bookmarkStart w:id="240" w:name="Resolution_72"/>
      <w:bookmarkStart w:id="241" w:name="_Toc30749176"/>
      <w:bookmarkEnd w:id="233"/>
      <w:bookmarkEnd w:id="234"/>
      <w:bookmarkEnd w:id="235"/>
      <w:bookmarkEnd w:id="236"/>
      <w:bookmarkEnd w:id="237"/>
      <w:bookmarkEnd w:id="238"/>
      <w:bookmarkEnd w:id="239"/>
      <w:bookmarkEnd w:id="240"/>
      <w:r w:rsidRPr="0042750D">
        <w:rPr>
          <w:sz w:val="24"/>
          <w:szCs w:val="24"/>
          <w:lang w:val="en-GB"/>
        </w:rPr>
        <w:t>RESOLUTION 177 (REV. DUBAI, 2018) – Conformance and interoperability</w:t>
      </w:r>
      <w:bookmarkEnd w:id="241"/>
    </w:p>
    <w:p w14:paraId="76DAF30D" w14:textId="77777777" w:rsidR="00312BFC" w:rsidRPr="0042750D" w:rsidRDefault="00312BFC" w:rsidP="00312BFC">
      <w:pPr>
        <w:pStyle w:val="Call"/>
        <w:rPr>
          <w:lang w:val="en-GB"/>
        </w:rPr>
      </w:pPr>
      <w:r w:rsidRPr="0042750D">
        <w:rPr>
          <w:lang w:val="en-GB"/>
        </w:rPr>
        <w:t>resolves</w:t>
      </w:r>
    </w:p>
    <w:p w14:paraId="48AB410B" w14:textId="77777777" w:rsidR="00312BFC" w:rsidRPr="0042750D" w:rsidRDefault="00312BFC" w:rsidP="00312BFC">
      <w:r w:rsidRPr="0042750D">
        <w:t>1</w:t>
      </w:r>
      <w:r w:rsidRPr="0042750D">
        <w:tab/>
        <w:t>to endorse the objectives of Resolution 76 (Rev. Hammamet, 2016), Resolution 62 (Rev. Geneva, 2015) and Resolution 47 (Rev. Buenos Aires, 2017), and the Action Plan for the C&amp;I Programme reviewed by the Council at its 2014 session (Document C14/24(Rev.1));</w:t>
      </w:r>
    </w:p>
    <w:p w14:paraId="13030C50" w14:textId="77777777" w:rsidR="00312BFC" w:rsidRPr="0042750D" w:rsidRDefault="00312BFC" w:rsidP="00312BFC">
      <w:r w:rsidRPr="0042750D">
        <w:t>2</w:t>
      </w:r>
      <w:r w:rsidRPr="0042750D">
        <w:tab/>
        <w:t>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standardization gap as relevant to each region, c) the potential liability issues for ITU and for Member States, Sector Members and stakeholders, and taking into account the results of regional ITU conformity and interoperability consultations;</w:t>
      </w:r>
    </w:p>
    <w:p w14:paraId="76FC1C6C" w14:textId="77777777" w:rsidR="00312BFC" w:rsidRPr="0042750D" w:rsidRDefault="00312BFC" w:rsidP="00312BFC">
      <w:r w:rsidRPr="0042750D">
        <w:t>3</w:t>
      </w:r>
      <w:r w:rsidRPr="0042750D">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p>
    <w:p w14:paraId="40DB4063" w14:textId="77777777" w:rsidR="00312BFC" w:rsidRPr="0042750D" w:rsidRDefault="00312BFC" w:rsidP="00312BFC">
      <w:r w:rsidRPr="0042750D">
        <w:t>4</w:t>
      </w:r>
      <w:r w:rsidRPr="0042750D">
        <w:tab/>
        <w:t xml:space="preserve">to facilitate cooperation between ITU, Member States, Sector Members and relevant entities to lower the cost of establishing conformity and interoperability assessment centres (such as the use of </w:t>
      </w:r>
      <w:r w:rsidRPr="0042750D">
        <w:rPr>
          <w:rFonts w:eastAsia="MS Mincho"/>
        </w:rPr>
        <w:t>virtual laboratories for remote testing)</w:t>
      </w:r>
      <w:r w:rsidRPr="0042750D">
        <w:t xml:space="preserve"> at the national, subregional and regional levels, especially for developing countries, </w:t>
      </w:r>
    </w:p>
    <w:p w14:paraId="3641F832" w14:textId="77777777" w:rsidR="00312BFC" w:rsidRPr="0042750D" w:rsidRDefault="00312BFC" w:rsidP="00312BFC">
      <w:pPr>
        <w:pStyle w:val="Call"/>
        <w:rPr>
          <w:lang w:val="en-GB"/>
        </w:rPr>
      </w:pPr>
      <w:r w:rsidRPr="0042750D">
        <w:rPr>
          <w:lang w:val="en-GB"/>
        </w:rPr>
        <w:t>instructs the Director of the Telecommunication Standardization Bureau</w:t>
      </w:r>
    </w:p>
    <w:p w14:paraId="1BDB7507" w14:textId="77777777" w:rsidR="00312BFC" w:rsidRPr="0042750D" w:rsidRDefault="00312BFC" w:rsidP="00312BFC">
      <w:r w:rsidRPr="0042750D">
        <w:t>1</w:t>
      </w:r>
      <w:r w:rsidRPr="0042750D">
        <w:tab/>
        <w:t>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building and assistance in the establishment of test facilities in developing countries;</w:t>
      </w:r>
    </w:p>
    <w:p w14:paraId="4D253F5F" w14:textId="77777777" w:rsidR="00312BFC" w:rsidRPr="0042750D" w:rsidRDefault="00312BFC" w:rsidP="00312BFC">
      <w:r w:rsidRPr="0042750D">
        <w:t>2</w:t>
      </w:r>
      <w:r w:rsidRPr="0042750D">
        <w:tab/>
        <w:t>to continue to carry out pilot projects for conformity to ITU</w:t>
      </w:r>
      <w:r w:rsidRPr="0042750D">
        <w:noBreakHyphen/>
        <w:t>T recommendations to increase the probability of interoperability in accordance with the Action Plan;</w:t>
      </w:r>
    </w:p>
    <w:p w14:paraId="28FCF156" w14:textId="77777777" w:rsidR="00312BFC" w:rsidRPr="0042750D" w:rsidRDefault="00312BFC" w:rsidP="00312BFC">
      <w:r w:rsidRPr="0042750D">
        <w:t>3</w:t>
      </w:r>
      <w:r w:rsidRPr="0042750D">
        <w:tab/>
        <w:t>to enhance and improve standards-setting processes in order to improve interoperability through conformity;</w:t>
      </w:r>
    </w:p>
    <w:p w14:paraId="0AC33135" w14:textId="6BE6E616" w:rsidR="00312BFC" w:rsidRPr="0042750D" w:rsidRDefault="00312BFC" w:rsidP="00312BFC">
      <w:pPr>
        <w:rPr>
          <w:rFonts w:eastAsia="MS Mincho"/>
        </w:rPr>
      </w:pPr>
      <w:r w:rsidRPr="0042750D">
        <w:t>4</w:t>
      </w:r>
      <w:r w:rsidRPr="0042750D">
        <w:tab/>
        <w:t>to continuously update the Action Plan for the long-term imp</w:t>
      </w:r>
      <w:r w:rsidR="005D14EB" w:rsidRPr="0042750D">
        <w:t>lementation of this resolution;</w:t>
      </w:r>
    </w:p>
    <w:p w14:paraId="7D43843C" w14:textId="77777777" w:rsidR="00312BFC" w:rsidRPr="0042750D" w:rsidRDefault="00312BFC" w:rsidP="00312BFC">
      <w:r w:rsidRPr="0042750D">
        <w:t>5</w:t>
      </w:r>
      <w:r w:rsidRPr="0042750D">
        <w:tab/>
        <w:t>to provide the Council with progress reports, including the results of studies, relating to the implementation of this resolution;</w:t>
      </w:r>
    </w:p>
    <w:p w14:paraId="7A88C769" w14:textId="69166323" w:rsidR="00F0236A" w:rsidRPr="0042750D" w:rsidRDefault="00312BFC" w:rsidP="00C64111">
      <w:pPr>
        <w:spacing w:after="120"/>
        <w:rPr>
          <w:sz w:val="24"/>
        </w:rPr>
      </w:pPr>
      <w:r w:rsidRPr="0042750D">
        <w:t>6</w:t>
      </w:r>
      <w:r w:rsidRPr="0042750D">
        <w:tab/>
        <w:t xml:space="preserve">in cooperation with the Director of BDT, and based on the consultations in </w:t>
      </w:r>
      <w:r w:rsidRPr="0042750D">
        <w:rPr>
          <w:i/>
          <w:iCs/>
        </w:rPr>
        <w:t>instructs the Director of the Telecommunication Standardization Bureau</w:t>
      </w:r>
      <w:r w:rsidRPr="0042750D">
        <w:t> 1 above, to implement the Action Plan agreed by the Council at its 2012 session and revised by the Council at its 2013 session</w:t>
      </w:r>
      <w:r w:rsidR="00F0236A" w:rsidRPr="0042750D">
        <w:rPr>
          <w:sz w:val="24"/>
        </w:rPr>
        <w:t>.</w:t>
      </w:r>
    </w:p>
    <w:p w14:paraId="770B327B" w14:textId="77777777" w:rsidR="00444C1D" w:rsidRPr="0042750D" w:rsidRDefault="00444C1D" w:rsidP="00444C1D">
      <w:pPr>
        <w:pStyle w:val="Call"/>
        <w:rPr>
          <w:lang w:val="en-GB"/>
        </w:rPr>
      </w:pPr>
      <w:r w:rsidRPr="0042750D">
        <w:rPr>
          <w:lang w:val="en-GB"/>
        </w:rPr>
        <w:t>instructs the Director of the Telecommunication Development Bureau, in close collaboration with the Director of the Telecommunication Standardization Bureau and the Director of the Radiocommunication Bureau</w:t>
      </w:r>
    </w:p>
    <w:p w14:paraId="039CA361" w14:textId="77777777" w:rsidR="00444C1D" w:rsidRPr="0042750D" w:rsidRDefault="00444C1D" w:rsidP="00444C1D">
      <w:r w:rsidRPr="0042750D">
        <w:t>1</w:t>
      </w:r>
      <w:r w:rsidRPr="0042750D">
        <w:tab/>
        <w:t>to advance the implementation of Resolution 47 (Rev. Buenos Aires, 2017) and the relevant parts of the Action Plan, and to report to the Council;</w:t>
      </w:r>
    </w:p>
    <w:p w14:paraId="2B347C1C" w14:textId="77777777" w:rsidR="00444C1D" w:rsidRPr="0042750D" w:rsidRDefault="00444C1D" w:rsidP="00444C1D">
      <w:r w:rsidRPr="0042750D">
        <w:t>2</w:t>
      </w:r>
      <w:r w:rsidRPr="0042750D">
        <w:tab/>
        <w:t>to assist Member States in addressing their concerns with respect to non-compliant equipment;</w:t>
      </w:r>
    </w:p>
    <w:p w14:paraId="1789F6AC" w14:textId="77777777" w:rsidR="00444C1D" w:rsidRPr="0042750D" w:rsidRDefault="00444C1D" w:rsidP="00444C1D">
      <w:r w:rsidRPr="0042750D">
        <w:t>3</w:t>
      </w:r>
      <w:r w:rsidRPr="0042750D">
        <w:tab/>
        <w:t>to continue providing on-the-job capacity-building activities, in collaboration with recognized institutions and benefiting from the ITU Academy ecosystem, including activities related to preventing radiocommunication interference caused or received by ICT equipment;</w:t>
      </w:r>
    </w:p>
    <w:p w14:paraId="22C8D650" w14:textId="77777777" w:rsidR="00444C1D" w:rsidRPr="0042750D" w:rsidRDefault="00444C1D" w:rsidP="00444C1D">
      <w:r w:rsidRPr="0042750D">
        <w:t>4</w:t>
      </w:r>
      <w:r w:rsidRPr="0042750D">
        <w:tab/>
        <w:t>under pillars 3 and 4 of the ITU C&amp;I Programme:</w:t>
      </w:r>
    </w:p>
    <w:p w14:paraId="0DD28CE3" w14:textId="41B3C39B" w:rsidR="00444C1D" w:rsidRPr="0042750D" w:rsidRDefault="00444C1D" w:rsidP="00444C1D">
      <w:pPr>
        <w:pStyle w:val="enumlev10"/>
      </w:pPr>
      <w:r w:rsidRPr="0042750D">
        <w:t>a)</w:t>
      </w:r>
      <w:r w:rsidRPr="0042750D">
        <w:tab/>
        <w:t>to raise awareness of the applicability of C&amp;I programmes t</w:t>
      </w:r>
      <w:r w:rsidR="005D14EB" w:rsidRPr="0042750D">
        <w:t>o certain IoT applications; and</w:t>
      </w:r>
    </w:p>
    <w:p w14:paraId="6173A16D" w14:textId="77777777" w:rsidR="00444C1D" w:rsidRPr="0042750D" w:rsidRDefault="00444C1D" w:rsidP="005D14EB">
      <w:pPr>
        <w:pStyle w:val="enumlev10"/>
        <w:jc w:val="left"/>
      </w:pPr>
      <w:r w:rsidRPr="0042750D">
        <w:t>b)</w:t>
      </w:r>
      <w:r w:rsidRPr="0042750D">
        <w:tab/>
        <w:t>to provide capacity building on technical regulations and compliance testing to support developers, including SMEs and youth, as they design their telecommunication/ICT equipment, to enable them to access local, regional and global markets;</w:t>
      </w:r>
    </w:p>
    <w:p w14:paraId="2C04BEF2" w14:textId="77777777" w:rsidR="00444C1D" w:rsidRPr="0042750D" w:rsidRDefault="00444C1D" w:rsidP="00444C1D">
      <w:r w:rsidRPr="0042750D">
        <w:t>5</w:t>
      </w:r>
      <w:r w:rsidRPr="0042750D">
        <w:tab/>
        <w:t>to use ITU seed money allocated for projects and encourage donor agencies to fund annual capacity</w:t>
      </w:r>
      <w:r w:rsidRPr="0042750D">
        <w:noBreakHyphen/>
        <w:t>building and training programmes in testing centres adopted as ITU centres of excellence;</w:t>
      </w:r>
    </w:p>
    <w:p w14:paraId="4D1E166A" w14:textId="77777777" w:rsidR="00444C1D" w:rsidRPr="0042750D" w:rsidRDefault="00444C1D" w:rsidP="00444C1D">
      <w:r w:rsidRPr="0042750D">
        <w:t>6</w:t>
      </w:r>
      <w:r w:rsidRPr="0042750D">
        <w:tab/>
        <w:t>to assist developing countries in building their capacity and identifying regional and subregional ICT testing centres in developing countries as ITU centres of excellence, as appropriate, in collaboration with the other Bureaux, so as to be able to perform conformance testing and interoperability testing of equipment and systems, relevant to their needs, in accordance with the relevant recommendations, including the development or recognition of conformity assessment bodies, as appropriate;</w:t>
      </w:r>
    </w:p>
    <w:p w14:paraId="164ECBCF" w14:textId="77777777" w:rsidR="00444C1D" w:rsidRPr="0042750D" w:rsidRDefault="00444C1D" w:rsidP="00444C1D">
      <w:r w:rsidRPr="0042750D">
        <w:t>7</w:t>
      </w:r>
      <w:r w:rsidRPr="0042750D">
        <w:tab/>
        <w:t>to assist Member States in enhancing their capabilities for conformance assessment and testing in order to combat counterfeit devices and to provide experts for developing countries;</w:t>
      </w:r>
    </w:p>
    <w:p w14:paraId="67ED7BDE" w14:textId="77777777" w:rsidR="00444C1D" w:rsidRPr="0042750D" w:rsidRDefault="00444C1D" w:rsidP="00444C1D">
      <w:pPr>
        <w:spacing w:after="120"/>
      </w:pPr>
      <w:r w:rsidRPr="0042750D">
        <w:t>8</w:t>
      </w:r>
      <w:r w:rsidRPr="0042750D">
        <w:tab/>
        <w:t>to promote collaboration with regional C&amp;I bodies, especially with respect to technical conformance assessment,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7"/>
        <w:gridCol w:w="1258"/>
        <w:gridCol w:w="1166"/>
        <w:gridCol w:w="1338"/>
      </w:tblGrid>
      <w:tr w:rsidR="00F0236A" w:rsidRPr="0042750D" w14:paraId="697CEC70" w14:textId="77777777" w:rsidTr="00043514">
        <w:trPr>
          <w:tblHeader/>
          <w:jc w:val="center"/>
        </w:trPr>
        <w:tc>
          <w:tcPr>
            <w:tcW w:w="913" w:type="dxa"/>
            <w:tcBorders>
              <w:top w:val="single" w:sz="12" w:space="0" w:color="auto"/>
              <w:bottom w:val="single" w:sz="12" w:space="0" w:color="auto"/>
            </w:tcBorders>
            <w:shd w:val="clear" w:color="auto" w:fill="auto"/>
            <w:vAlign w:val="center"/>
          </w:tcPr>
          <w:p w14:paraId="6C570F5D" w14:textId="77777777" w:rsidR="00F0236A" w:rsidRPr="0042750D" w:rsidRDefault="00F0236A" w:rsidP="005A429E">
            <w:pPr>
              <w:pStyle w:val="Tablehead"/>
              <w:keepNext w:val="0"/>
              <w:rPr>
                <w:sz w:val="24"/>
                <w:szCs w:val="24"/>
              </w:rPr>
            </w:pPr>
            <w:r w:rsidRPr="0042750D">
              <w:rPr>
                <w:sz w:val="24"/>
                <w:szCs w:val="24"/>
              </w:rPr>
              <w:t>Action Item</w:t>
            </w:r>
          </w:p>
        </w:tc>
        <w:tc>
          <w:tcPr>
            <w:tcW w:w="5157" w:type="dxa"/>
            <w:tcBorders>
              <w:top w:val="single" w:sz="12" w:space="0" w:color="auto"/>
              <w:bottom w:val="single" w:sz="12" w:space="0" w:color="auto"/>
            </w:tcBorders>
            <w:shd w:val="clear" w:color="auto" w:fill="auto"/>
            <w:vAlign w:val="center"/>
            <w:hideMark/>
          </w:tcPr>
          <w:p w14:paraId="62F5538D" w14:textId="77777777" w:rsidR="00F0236A" w:rsidRPr="0042750D" w:rsidRDefault="00F0236A" w:rsidP="00DF36E1">
            <w:pPr>
              <w:pStyle w:val="Tablehead"/>
              <w:rPr>
                <w:sz w:val="24"/>
                <w:szCs w:val="24"/>
              </w:rPr>
            </w:pPr>
            <w:r w:rsidRPr="0042750D">
              <w:rPr>
                <w:sz w:val="24"/>
                <w:szCs w:val="24"/>
              </w:rPr>
              <w:t>Action</w:t>
            </w:r>
          </w:p>
        </w:tc>
        <w:tc>
          <w:tcPr>
            <w:tcW w:w="1258" w:type="dxa"/>
            <w:tcBorders>
              <w:top w:val="single" w:sz="12" w:space="0" w:color="auto"/>
              <w:bottom w:val="single" w:sz="12" w:space="0" w:color="auto"/>
            </w:tcBorders>
            <w:shd w:val="clear" w:color="auto" w:fill="auto"/>
            <w:vAlign w:val="center"/>
            <w:hideMark/>
          </w:tcPr>
          <w:p w14:paraId="7893304C" w14:textId="77777777" w:rsidR="00F0236A" w:rsidRPr="0042750D" w:rsidRDefault="00F0236A" w:rsidP="00DF36E1">
            <w:pPr>
              <w:pStyle w:val="Tablehead"/>
              <w:rPr>
                <w:sz w:val="24"/>
                <w:szCs w:val="24"/>
              </w:rPr>
            </w:pPr>
            <w:r w:rsidRPr="0042750D">
              <w:rPr>
                <w:sz w:val="24"/>
                <w:szCs w:val="24"/>
              </w:rPr>
              <w:t>Milestone</w:t>
            </w:r>
          </w:p>
        </w:tc>
        <w:tc>
          <w:tcPr>
            <w:tcW w:w="1166" w:type="dxa"/>
            <w:tcBorders>
              <w:top w:val="single" w:sz="12" w:space="0" w:color="auto"/>
              <w:bottom w:val="single" w:sz="12" w:space="0" w:color="auto"/>
            </w:tcBorders>
            <w:shd w:val="clear" w:color="auto" w:fill="auto"/>
          </w:tcPr>
          <w:p w14:paraId="41B0B8EA"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3B2B2AA"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0847A2DC" w14:textId="77777777" w:rsidTr="00444C1D">
        <w:trPr>
          <w:cantSplit/>
          <w:jc w:val="center"/>
        </w:trPr>
        <w:tc>
          <w:tcPr>
            <w:tcW w:w="913" w:type="dxa"/>
            <w:vMerge w:val="restart"/>
            <w:tcBorders>
              <w:top w:val="single" w:sz="12" w:space="0" w:color="auto"/>
            </w:tcBorders>
            <w:shd w:val="clear" w:color="auto" w:fill="auto"/>
          </w:tcPr>
          <w:p w14:paraId="788765DE" w14:textId="0473281B" w:rsidR="00F0236A" w:rsidRPr="0042750D" w:rsidRDefault="00312BFC" w:rsidP="00027F2D">
            <w:pPr>
              <w:pStyle w:val="Tabletext"/>
              <w:rPr>
                <w:b/>
                <w:bCs/>
                <w:sz w:val="24"/>
                <w:szCs w:val="24"/>
              </w:rPr>
            </w:pPr>
            <w:r w:rsidRPr="0042750D">
              <w:rPr>
                <w:b/>
                <w:bCs/>
                <w:sz w:val="24"/>
                <w:szCs w:val="24"/>
              </w:rPr>
              <w:t>177</w:t>
            </w:r>
            <w:r w:rsidR="00F0236A" w:rsidRPr="0042750D">
              <w:rPr>
                <w:b/>
                <w:bCs/>
                <w:sz w:val="24"/>
                <w:szCs w:val="24"/>
              </w:rPr>
              <w:t>-01</w:t>
            </w:r>
          </w:p>
        </w:tc>
        <w:tc>
          <w:tcPr>
            <w:tcW w:w="5157" w:type="dxa"/>
            <w:tcBorders>
              <w:top w:val="single" w:sz="12" w:space="0" w:color="auto"/>
              <w:bottom w:val="single" w:sz="2" w:space="0" w:color="auto"/>
            </w:tcBorders>
            <w:shd w:val="clear" w:color="auto" w:fill="auto"/>
            <w:hideMark/>
          </w:tcPr>
          <w:p w14:paraId="7D5BE60A" w14:textId="18A986A2" w:rsidR="00F0236A" w:rsidRPr="0042750D" w:rsidRDefault="00312BFC" w:rsidP="00312BFC">
            <w:pPr>
              <w:pStyle w:val="Tabletext"/>
              <w:keepNext/>
              <w:keepLines/>
              <w:rPr>
                <w:b/>
                <w:bCs/>
                <w:sz w:val="24"/>
                <w:szCs w:val="24"/>
              </w:rPr>
            </w:pPr>
            <w:r w:rsidRPr="0042750D">
              <w:rPr>
                <w:b/>
                <w:bCs/>
                <w:sz w:val="24"/>
                <w:szCs w:val="24"/>
              </w:rPr>
              <w:t>TSBDir to endorse the objectives of WTSA-16 Resolution 76, and the Action Plan for the C&amp;I Programme reviewed by the Council at its 2014 session (Document C14/24(Rev.1))</w:t>
            </w:r>
            <w:r w:rsidR="00C64111" w:rsidRPr="0042750D">
              <w:rPr>
                <w:b/>
                <w:bCs/>
                <w:sz w:val="24"/>
                <w:szCs w:val="24"/>
              </w:rPr>
              <w:t xml:space="preserve"> (</w:t>
            </w:r>
            <w:r w:rsidR="00C64111" w:rsidRPr="0042750D">
              <w:rPr>
                <w:b/>
                <w:bCs/>
                <w:i/>
                <w:sz w:val="24"/>
                <w:szCs w:val="24"/>
              </w:rPr>
              <w:t>resolves 1</w:t>
            </w:r>
            <w:r w:rsidR="00C64111" w:rsidRPr="0042750D">
              <w:rPr>
                <w:b/>
                <w:bCs/>
                <w:sz w:val="24"/>
                <w:szCs w:val="24"/>
              </w:rPr>
              <w:t>)</w:t>
            </w:r>
            <w:r w:rsidRPr="0042750D">
              <w:rPr>
                <w:b/>
                <w:bCs/>
                <w:sz w:val="24"/>
                <w:szCs w:val="24"/>
              </w:rPr>
              <w:t>.</w:t>
            </w:r>
          </w:p>
        </w:tc>
        <w:tc>
          <w:tcPr>
            <w:tcW w:w="1258" w:type="dxa"/>
            <w:tcBorders>
              <w:top w:val="single" w:sz="12" w:space="0" w:color="auto"/>
              <w:bottom w:val="single" w:sz="2" w:space="0" w:color="auto"/>
            </w:tcBorders>
            <w:shd w:val="clear" w:color="auto" w:fill="auto"/>
            <w:vAlign w:val="center"/>
          </w:tcPr>
          <w:p w14:paraId="4994F928"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66" w:type="dxa"/>
            <w:tcBorders>
              <w:top w:val="single" w:sz="12" w:space="0" w:color="auto"/>
              <w:bottom w:val="single" w:sz="2" w:space="0" w:color="auto"/>
            </w:tcBorders>
            <w:shd w:val="clear" w:color="auto" w:fill="auto"/>
            <w:vAlign w:val="center"/>
          </w:tcPr>
          <w:p w14:paraId="7327402E" w14:textId="1CDFFC1C" w:rsidR="00F0236A" w:rsidRPr="0042750D" w:rsidRDefault="0052225C"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43D61DF2" w14:textId="77777777" w:rsidR="00F0236A" w:rsidRPr="0042750D" w:rsidRDefault="00F0236A" w:rsidP="00DF36E1">
            <w:pPr>
              <w:pStyle w:val="Tabletext"/>
              <w:jc w:val="center"/>
              <w:rPr>
                <w:b/>
                <w:bCs/>
                <w:sz w:val="24"/>
                <w:szCs w:val="24"/>
              </w:rPr>
            </w:pPr>
          </w:p>
        </w:tc>
      </w:tr>
      <w:tr w:rsidR="00F0236A" w:rsidRPr="0042750D" w14:paraId="2EDF5A14" w14:textId="77777777" w:rsidTr="0085771B">
        <w:trPr>
          <w:cantSplit/>
          <w:jc w:val="center"/>
        </w:trPr>
        <w:tc>
          <w:tcPr>
            <w:tcW w:w="913" w:type="dxa"/>
            <w:vMerge/>
            <w:shd w:val="clear" w:color="auto" w:fill="auto"/>
          </w:tcPr>
          <w:p w14:paraId="3F3F9283" w14:textId="77777777" w:rsidR="00F0236A" w:rsidRPr="0042750D" w:rsidRDefault="00F0236A" w:rsidP="00DF36E1">
            <w:pPr>
              <w:pStyle w:val="Tabletext"/>
              <w:rPr>
                <w:sz w:val="24"/>
                <w:szCs w:val="24"/>
              </w:rPr>
            </w:pPr>
          </w:p>
        </w:tc>
        <w:tc>
          <w:tcPr>
            <w:tcW w:w="8919" w:type="dxa"/>
            <w:gridSpan w:val="4"/>
            <w:tcBorders>
              <w:top w:val="single" w:sz="2" w:space="0" w:color="auto"/>
              <w:bottom w:val="single" w:sz="12" w:space="0" w:color="auto"/>
            </w:tcBorders>
            <w:shd w:val="clear" w:color="auto" w:fill="auto"/>
          </w:tcPr>
          <w:p w14:paraId="4B6CFAD3" w14:textId="7DA98F07" w:rsidR="00F84C30" w:rsidRPr="0042750D" w:rsidRDefault="0052225C" w:rsidP="0074302C">
            <w:pPr>
              <w:spacing w:before="40" w:after="40"/>
            </w:pPr>
            <w:r w:rsidRPr="0042750D">
              <w:t xml:space="preserve">See the </w:t>
            </w:r>
            <w:r w:rsidR="001C4A97" w:rsidRPr="0042750D">
              <w:t xml:space="preserve">reporting on WTSA-16 Resolution 76 and on the C&amp;I Action Plan is the </w:t>
            </w:r>
            <w:r w:rsidRPr="0042750D">
              <w:t xml:space="preserve">report on </w:t>
            </w:r>
            <w:r w:rsidR="001C4A97" w:rsidRPr="0042750D">
              <w:t xml:space="preserve">the </w:t>
            </w:r>
            <w:r w:rsidRPr="0042750D">
              <w:t xml:space="preserve">WTSA-16 Action Plan in </w:t>
            </w:r>
            <w:hyperlink r:id="rId78" w:history="1">
              <w:r w:rsidR="004A6354" w:rsidRPr="0042750D">
                <w:rPr>
                  <w:rStyle w:val="Hyperlink"/>
                </w:rPr>
                <w:t>TSAG-TD657</w:t>
              </w:r>
            </w:hyperlink>
            <w:r w:rsidRPr="0042750D">
              <w:t>.</w:t>
            </w:r>
          </w:p>
        </w:tc>
      </w:tr>
      <w:tr w:rsidR="00F0236A" w:rsidRPr="0042750D" w14:paraId="4879CED4" w14:textId="77777777" w:rsidTr="00444C1D">
        <w:trPr>
          <w:cantSplit/>
          <w:jc w:val="center"/>
        </w:trPr>
        <w:tc>
          <w:tcPr>
            <w:tcW w:w="913" w:type="dxa"/>
            <w:vMerge w:val="restart"/>
            <w:tcBorders>
              <w:top w:val="single" w:sz="12" w:space="0" w:color="auto"/>
            </w:tcBorders>
            <w:shd w:val="clear" w:color="auto" w:fill="auto"/>
          </w:tcPr>
          <w:p w14:paraId="498F7A8C" w14:textId="12AF3479" w:rsidR="00F0236A" w:rsidRPr="0042750D" w:rsidRDefault="00930ADB" w:rsidP="00DF36E1">
            <w:pPr>
              <w:pStyle w:val="Tabletext"/>
              <w:rPr>
                <w:b/>
                <w:bCs/>
                <w:sz w:val="24"/>
                <w:szCs w:val="24"/>
              </w:rPr>
            </w:pPr>
            <w:r w:rsidRPr="0042750D">
              <w:rPr>
                <w:b/>
                <w:bCs/>
                <w:sz w:val="24"/>
                <w:szCs w:val="24"/>
              </w:rPr>
              <w:t>177-02</w:t>
            </w:r>
          </w:p>
        </w:tc>
        <w:tc>
          <w:tcPr>
            <w:tcW w:w="5157" w:type="dxa"/>
            <w:tcBorders>
              <w:top w:val="single" w:sz="12" w:space="0" w:color="auto"/>
            </w:tcBorders>
            <w:shd w:val="clear" w:color="auto" w:fill="auto"/>
            <w:hideMark/>
          </w:tcPr>
          <w:p w14:paraId="205D1910" w14:textId="48AE9C2D" w:rsidR="00232448" w:rsidRPr="0042750D" w:rsidRDefault="00232448" w:rsidP="00232448">
            <w:pPr>
              <w:pStyle w:val="Tabletext"/>
              <w:keepNext/>
              <w:keepLines/>
              <w:rPr>
                <w:b/>
                <w:bCs/>
                <w:sz w:val="24"/>
                <w:szCs w:val="24"/>
              </w:rPr>
            </w:pPr>
            <w:r w:rsidRPr="0042750D">
              <w:rPr>
                <w:b/>
                <w:bCs/>
                <w:sz w:val="24"/>
                <w:szCs w:val="24"/>
              </w:rPr>
              <w:t>TSBDir to continue to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standardization gap as relevant to each region, c) the potential liability issues for ITU and for Member States, Sector Members and stakeholders, and taking into account the results of regional ITU conformity and interoperability consultations (</w:t>
            </w:r>
            <w:r w:rsidRPr="0042750D">
              <w:rPr>
                <w:b/>
                <w:bCs/>
                <w:i/>
                <w:sz w:val="24"/>
                <w:szCs w:val="24"/>
              </w:rPr>
              <w:t>resolves 2</w:t>
            </w:r>
            <w:r w:rsidRPr="0042750D">
              <w:rPr>
                <w:b/>
                <w:bCs/>
                <w:sz w:val="24"/>
                <w:szCs w:val="24"/>
              </w:rPr>
              <w:t>);</w:t>
            </w:r>
          </w:p>
        </w:tc>
        <w:tc>
          <w:tcPr>
            <w:tcW w:w="1258" w:type="dxa"/>
            <w:tcBorders>
              <w:top w:val="single" w:sz="12" w:space="0" w:color="auto"/>
            </w:tcBorders>
            <w:shd w:val="clear" w:color="auto" w:fill="auto"/>
            <w:vAlign w:val="center"/>
          </w:tcPr>
          <w:p w14:paraId="2E974A3D"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66" w:type="dxa"/>
            <w:tcBorders>
              <w:top w:val="single" w:sz="12" w:space="0" w:color="auto"/>
            </w:tcBorders>
            <w:shd w:val="clear" w:color="auto" w:fill="auto"/>
            <w:vAlign w:val="center"/>
          </w:tcPr>
          <w:p w14:paraId="7D07CE50" w14:textId="421F875C" w:rsidR="00F0236A" w:rsidRPr="0042750D" w:rsidRDefault="00232448"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2F82D032" w14:textId="77777777" w:rsidR="00F0236A" w:rsidRPr="0042750D" w:rsidRDefault="00F0236A" w:rsidP="00DF36E1">
            <w:pPr>
              <w:pStyle w:val="Tabletext"/>
              <w:jc w:val="center"/>
              <w:rPr>
                <w:b/>
                <w:bCs/>
                <w:sz w:val="24"/>
                <w:szCs w:val="24"/>
              </w:rPr>
            </w:pPr>
          </w:p>
        </w:tc>
      </w:tr>
      <w:tr w:rsidR="00F0236A" w:rsidRPr="0042750D" w14:paraId="6E79477D" w14:textId="77777777" w:rsidTr="0085771B">
        <w:trPr>
          <w:cantSplit/>
          <w:jc w:val="center"/>
        </w:trPr>
        <w:tc>
          <w:tcPr>
            <w:tcW w:w="913" w:type="dxa"/>
            <w:vMerge/>
            <w:tcBorders>
              <w:bottom w:val="single" w:sz="12" w:space="0" w:color="auto"/>
            </w:tcBorders>
            <w:shd w:val="clear" w:color="auto" w:fill="auto"/>
          </w:tcPr>
          <w:p w14:paraId="04006B7E" w14:textId="77777777" w:rsidR="00F0236A" w:rsidRPr="0042750D" w:rsidRDefault="00F0236A" w:rsidP="00DF36E1">
            <w:pPr>
              <w:pStyle w:val="Tabletext"/>
              <w:rPr>
                <w:sz w:val="24"/>
                <w:szCs w:val="24"/>
              </w:rPr>
            </w:pPr>
          </w:p>
        </w:tc>
        <w:tc>
          <w:tcPr>
            <w:tcW w:w="8919" w:type="dxa"/>
            <w:gridSpan w:val="4"/>
            <w:tcBorders>
              <w:bottom w:val="single" w:sz="12" w:space="0" w:color="auto"/>
            </w:tcBorders>
            <w:shd w:val="clear" w:color="auto" w:fill="auto"/>
          </w:tcPr>
          <w:p w14:paraId="1F287766" w14:textId="0F91EA9F" w:rsidR="00F0236A" w:rsidRPr="0042750D" w:rsidRDefault="00232448" w:rsidP="00D53E54">
            <w:pPr>
              <w:pStyle w:val="Tabletext"/>
              <w:rPr>
                <w:szCs w:val="22"/>
              </w:rPr>
            </w:pPr>
            <w:r w:rsidRPr="0042750D">
              <w:rPr>
                <w:szCs w:val="22"/>
              </w:rPr>
              <w:t>TSB mantaines the “</w:t>
            </w:r>
            <w:hyperlink r:id="rId79" w:history="1">
              <w:r w:rsidRPr="0042750D">
                <w:rPr>
                  <w:rStyle w:val="Hyperlink"/>
                  <w:szCs w:val="22"/>
                </w:rPr>
                <w:t>ICT product conformity database</w:t>
              </w:r>
            </w:hyperlink>
            <w:r w:rsidRPr="0042750D">
              <w:rPr>
                <w:szCs w:val="22"/>
              </w:rPr>
              <w:t xml:space="preserve">” which enables industry to publicize the conformance of ICT products and services to ITU-T Recommendations, assisting users in their efforts to select standards-compliant products. As of </w:t>
            </w:r>
            <w:r w:rsidR="004A6354" w:rsidRPr="0042750D">
              <w:rPr>
                <w:szCs w:val="22"/>
              </w:rPr>
              <w:t xml:space="preserve">January </w:t>
            </w:r>
            <w:r w:rsidRPr="0042750D">
              <w:rPr>
                <w:szCs w:val="22"/>
              </w:rPr>
              <w:t>20</w:t>
            </w:r>
            <w:r w:rsidR="004A6354" w:rsidRPr="0042750D">
              <w:rPr>
                <w:szCs w:val="22"/>
              </w:rPr>
              <w:t>20</w:t>
            </w:r>
            <w:r w:rsidRPr="0042750D">
              <w:rPr>
                <w:szCs w:val="22"/>
              </w:rPr>
              <w:t>, the database contains five categories of ICT products accumulating more than 500 entries.</w:t>
            </w:r>
          </w:p>
        </w:tc>
      </w:tr>
      <w:tr w:rsidR="00F0236A" w:rsidRPr="0042750D" w14:paraId="1B54ACCC" w14:textId="77777777" w:rsidTr="00FC6DC4">
        <w:trPr>
          <w:jc w:val="center"/>
        </w:trPr>
        <w:tc>
          <w:tcPr>
            <w:tcW w:w="913" w:type="dxa"/>
            <w:vMerge w:val="restart"/>
            <w:tcBorders>
              <w:top w:val="single" w:sz="12" w:space="0" w:color="auto"/>
            </w:tcBorders>
            <w:shd w:val="clear" w:color="auto" w:fill="auto"/>
          </w:tcPr>
          <w:p w14:paraId="3DB87288" w14:textId="4D409A16" w:rsidR="00F0236A" w:rsidRPr="0042750D" w:rsidRDefault="00930ADB" w:rsidP="00DF36E1">
            <w:pPr>
              <w:pStyle w:val="Tabletext"/>
              <w:rPr>
                <w:b/>
                <w:bCs/>
                <w:sz w:val="24"/>
                <w:szCs w:val="24"/>
              </w:rPr>
            </w:pPr>
            <w:r w:rsidRPr="0042750D">
              <w:rPr>
                <w:b/>
                <w:bCs/>
                <w:sz w:val="24"/>
                <w:szCs w:val="24"/>
              </w:rPr>
              <w:t>177-03</w:t>
            </w:r>
          </w:p>
        </w:tc>
        <w:tc>
          <w:tcPr>
            <w:tcW w:w="5157" w:type="dxa"/>
            <w:tcBorders>
              <w:top w:val="single" w:sz="12" w:space="0" w:color="auto"/>
            </w:tcBorders>
            <w:shd w:val="clear" w:color="auto" w:fill="auto"/>
            <w:hideMark/>
          </w:tcPr>
          <w:p w14:paraId="680EA970" w14:textId="7A5ABFE1" w:rsidR="00F0236A" w:rsidRPr="0042750D" w:rsidRDefault="00930ADB" w:rsidP="00930ADB">
            <w:pPr>
              <w:pStyle w:val="Tabletext"/>
              <w:keepNext/>
              <w:keepLines/>
              <w:rPr>
                <w:b/>
                <w:bCs/>
                <w:sz w:val="24"/>
                <w:szCs w:val="24"/>
              </w:rPr>
            </w:pPr>
            <w:r w:rsidRPr="0042750D">
              <w:rPr>
                <w:b/>
                <w:bCs/>
                <w:sz w:val="24"/>
                <w:szCs w:val="24"/>
              </w:rPr>
              <w:t>TSBDir to assist developing countries in establishing regional or subregional conformity and interoperability centres suitable to perform conformity and interoperability and encourage cooperation with governmental and non-governmental, national and regional organizations and international conformity assessment bodies</w:t>
            </w:r>
            <w:r w:rsidR="00C64111" w:rsidRPr="0042750D">
              <w:rPr>
                <w:b/>
                <w:bCs/>
                <w:sz w:val="24"/>
                <w:szCs w:val="24"/>
              </w:rPr>
              <w:t xml:space="preserve"> (</w:t>
            </w:r>
            <w:r w:rsidR="00C64111" w:rsidRPr="0042750D">
              <w:rPr>
                <w:b/>
                <w:bCs/>
                <w:i/>
                <w:sz w:val="24"/>
                <w:szCs w:val="24"/>
              </w:rPr>
              <w:t>resolves 3</w:t>
            </w:r>
            <w:r w:rsidR="00C64111" w:rsidRPr="0042750D">
              <w:rPr>
                <w:b/>
                <w:bCs/>
                <w:sz w:val="24"/>
                <w:szCs w:val="24"/>
              </w:rPr>
              <w:t>)</w:t>
            </w:r>
            <w:r w:rsidRPr="0042750D">
              <w:rPr>
                <w:b/>
                <w:bCs/>
                <w:sz w:val="24"/>
                <w:szCs w:val="24"/>
              </w:rPr>
              <w:t>.</w:t>
            </w:r>
          </w:p>
        </w:tc>
        <w:tc>
          <w:tcPr>
            <w:tcW w:w="1258" w:type="dxa"/>
            <w:tcBorders>
              <w:top w:val="single" w:sz="12" w:space="0" w:color="auto"/>
            </w:tcBorders>
            <w:shd w:val="clear" w:color="auto" w:fill="auto"/>
            <w:vAlign w:val="center"/>
          </w:tcPr>
          <w:p w14:paraId="15872C52"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66" w:type="dxa"/>
            <w:tcBorders>
              <w:top w:val="single" w:sz="12" w:space="0" w:color="auto"/>
            </w:tcBorders>
            <w:shd w:val="clear" w:color="auto" w:fill="auto"/>
            <w:vAlign w:val="center"/>
          </w:tcPr>
          <w:p w14:paraId="7DBBF836" w14:textId="3DCF79E6" w:rsidR="00F0236A" w:rsidRPr="0042750D" w:rsidRDefault="002709B7"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2F2E3930" w14:textId="77777777" w:rsidR="00F0236A" w:rsidRPr="0042750D" w:rsidRDefault="00F0236A" w:rsidP="00DF36E1">
            <w:pPr>
              <w:pStyle w:val="Tabletext"/>
              <w:jc w:val="center"/>
              <w:rPr>
                <w:b/>
                <w:bCs/>
                <w:sz w:val="24"/>
                <w:szCs w:val="24"/>
              </w:rPr>
            </w:pPr>
          </w:p>
        </w:tc>
      </w:tr>
      <w:tr w:rsidR="00F0236A" w:rsidRPr="0042750D" w14:paraId="0A100045" w14:textId="77777777" w:rsidTr="00FC6DC4">
        <w:trPr>
          <w:jc w:val="center"/>
        </w:trPr>
        <w:tc>
          <w:tcPr>
            <w:tcW w:w="913" w:type="dxa"/>
            <w:vMerge/>
            <w:tcBorders>
              <w:bottom w:val="single" w:sz="12" w:space="0" w:color="auto"/>
            </w:tcBorders>
            <w:shd w:val="clear" w:color="auto" w:fill="auto"/>
          </w:tcPr>
          <w:p w14:paraId="1A75D718" w14:textId="77777777" w:rsidR="00F0236A" w:rsidRPr="0042750D" w:rsidRDefault="00F0236A" w:rsidP="00DF36E1">
            <w:pPr>
              <w:pStyle w:val="Tabletext"/>
              <w:rPr>
                <w:sz w:val="24"/>
                <w:szCs w:val="24"/>
              </w:rPr>
            </w:pPr>
          </w:p>
        </w:tc>
        <w:tc>
          <w:tcPr>
            <w:tcW w:w="8919" w:type="dxa"/>
            <w:gridSpan w:val="4"/>
            <w:tcBorders>
              <w:bottom w:val="single" w:sz="12" w:space="0" w:color="auto"/>
            </w:tcBorders>
            <w:shd w:val="clear" w:color="auto" w:fill="auto"/>
          </w:tcPr>
          <w:p w14:paraId="33EE9DFD" w14:textId="38BC35FF" w:rsidR="002709B7" w:rsidRPr="0042750D" w:rsidRDefault="004A6354" w:rsidP="0074302C">
            <w:pPr>
              <w:spacing w:before="40"/>
              <w:rPr>
                <w:szCs w:val="22"/>
              </w:rPr>
            </w:pPr>
            <w:r w:rsidRPr="0042750D">
              <w:rPr>
                <w:szCs w:val="22"/>
              </w:rPr>
              <w:t xml:space="preserve">TSB Secretariat facilitates the implementation of ITU Testing Laboratory recognition procedure on ITU-T Recommendations. </w:t>
            </w:r>
            <w:r w:rsidR="002709B7" w:rsidRPr="0042750D">
              <w:rPr>
                <w:szCs w:val="22"/>
              </w:rPr>
              <w:t>TSB participated in IECEE Task Force meeting in February 2019 which aim was to finalize the new Operational Document of IECEE (OD) “ICT Laboratory Recognition Service on ITU-T Recommendations". This service is based on IECEE peer assessment processes by using ITU-T Recommendations and it would be arranged from IECEE side, based on the IECEE peer assessment program involving ITU-T technical experts nominated by ITU-T Conformity Assessment Steering Committee (CASC). Following the approval of OD by IECEE, any Testing Laboratory (TL) (including non-ITU members) may apply for such recognition.</w:t>
            </w:r>
          </w:p>
          <w:p w14:paraId="2770573F" w14:textId="2053467B" w:rsidR="004A6354" w:rsidRPr="0042750D" w:rsidRDefault="004A6354" w:rsidP="002709B7">
            <w:pPr>
              <w:rPr>
                <w:szCs w:val="22"/>
              </w:rPr>
            </w:pPr>
            <w:r w:rsidRPr="0042750D">
              <w:rPr>
                <w:szCs w:val="22"/>
              </w:rPr>
              <w:t>In October 2019, ITU-T CASC appointed 11 Technical experts who have competence on ITU-T Recommendations (among them there is one from Africa region). According to SG11/CASC decision, TSB disseminated a questionnaire on evaluation of market needs for joint ITU/IEC TL recognition procedure and certification schemes on ITU-T Recommendations (</w:t>
            </w:r>
            <w:hyperlink r:id="rId80" w:history="1">
              <w:r w:rsidRPr="0042750D">
                <w:rPr>
                  <w:rStyle w:val="Hyperlink"/>
                  <w:szCs w:val="22"/>
                </w:rPr>
                <w:t>TSB Circular 208</w:t>
              </w:r>
            </w:hyperlink>
            <w:r w:rsidRPr="0042750D">
              <w:rPr>
                <w:szCs w:val="22"/>
              </w:rPr>
              <w:t>). The aim of the questionnaire is to evaluate the market needs of the in-progress joint ITU/IEC work to establish a peer assessment laboratory service (testing laboratory recognition procedure) and the joint conformity assessment program (joint ITU/IEC certification schemes) on ITU-T Recommendations. The results will be presented at the CASC e-meeting (23 January 2020).</w:t>
            </w:r>
          </w:p>
          <w:p w14:paraId="35C9640C" w14:textId="528EB5AA" w:rsidR="00F0236A" w:rsidRPr="0042750D" w:rsidRDefault="004A6354" w:rsidP="002709B7">
            <w:pPr>
              <w:pStyle w:val="Tabletext"/>
              <w:rPr>
                <w:szCs w:val="22"/>
              </w:rPr>
            </w:pPr>
            <w:r w:rsidRPr="0042750D">
              <w:rPr>
                <w:szCs w:val="22"/>
              </w:rPr>
              <w:t xml:space="preserve">To promot this activity, </w:t>
            </w:r>
            <w:r w:rsidR="002709B7" w:rsidRPr="0042750D">
              <w:rPr>
                <w:szCs w:val="22"/>
              </w:rPr>
              <w:t>TSB organiz</w:t>
            </w:r>
            <w:r w:rsidRPr="0042750D">
              <w:rPr>
                <w:szCs w:val="22"/>
              </w:rPr>
              <w:t>ed</w:t>
            </w:r>
            <w:r w:rsidR="002709B7" w:rsidRPr="0042750D">
              <w:rPr>
                <w:szCs w:val="22"/>
              </w:rPr>
              <w:t xml:space="preserve"> Regional Workshops on C&amp;I. The third ITU-T Study Group 11 Regional Workshop for Africa on “Counterfeit ICT Devices, Conformance and Interoperability Testing Challenges in Africa” </w:t>
            </w:r>
            <w:r w:rsidRPr="0042750D">
              <w:rPr>
                <w:szCs w:val="22"/>
              </w:rPr>
              <w:t xml:space="preserve">took </w:t>
            </w:r>
            <w:r w:rsidR="002709B7" w:rsidRPr="0042750D">
              <w:rPr>
                <w:szCs w:val="22"/>
              </w:rPr>
              <w:t>place in Tunis (Tunisia) on 30</w:t>
            </w:r>
            <w:r w:rsidRPr="0042750D">
              <w:rPr>
                <w:szCs w:val="22"/>
              </w:rPr>
              <w:t xml:space="preserve"> </w:t>
            </w:r>
            <w:r w:rsidR="002709B7" w:rsidRPr="0042750D">
              <w:rPr>
                <w:szCs w:val="22"/>
              </w:rPr>
              <w:t>September 2019</w:t>
            </w:r>
            <w:r w:rsidRPr="0042750D">
              <w:rPr>
                <w:szCs w:val="22"/>
              </w:rPr>
              <w:t xml:space="preserve">, </w:t>
            </w:r>
            <w:r w:rsidR="002709B7" w:rsidRPr="0042750D">
              <w:rPr>
                <w:szCs w:val="22"/>
              </w:rPr>
              <w:t>followed by the ITU-T SG11 Regional group meeting for Africa (SG11RG-AFR).</w:t>
            </w:r>
          </w:p>
        </w:tc>
      </w:tr>
      <w:tr w:rsidR="00F0236A" w:rsidRPr="0042750D" w14:paraId="34BBB3BD" w14:textId="77777777" w:rsidTr="00444C1D">
        <w:trPr>
          <w:cantSplit/>
          <w:jc w:val="center"/>
        </w:trPr>
        <w:tc>
          <w:tcPr>
            <w:tcW w:w="913" w:type="dxa"/>
            <w:vMerge w:val="restart"/>
            <w:tcBorders>
              <w:top w:val="single" w:sz="12" w:space="0" w:color="auto"/>
            </w:tcBorders>
            <w:shd w:val="clear" w:color="auto" w:fill="auto"/>
          </w:tcPr>
          <w:p w14:paraId="22E71DBA" w14:textId="793BA2DE" w:rsidR="00F0236A" w:rsidRPr="0042750D" w:rsidRDefault="00930ADB" w:rsidP="00027F2D">
            <w:pPr>
              <w:pStyle w:val="Tabletext"/>
              <w:rPr>
                <w:b/>
                <w:bCs/>
                <w:sz w:val="24"/>
                <w:szCs w:val="24"/>
              </w:rPr>
            </w:pPr>
            <w:r w:rsidRPr="0042750D">
              <w:rPr>
                <w:b/>
                <w:bCs/>
                <w:sz w:val="24"/>
                <w:szCs w:val="24"/>
              </w:rPr>
              <w:t>177-04</w:t>
            </w:r>
          </w:p>
        </w:tc>
        <w:tc>
          <w:tcPr>
            <w:tcW w:w="5157" w:type="dxa"/>
            <w:tcBorders>
              <w:top w:val="single" w:sz="12" w:space="0" w:color="auto"/>
            </w:tcBorders>
            <w:shd w:val="clear" w:color="auto" w:fill="auto"/>
          </w:tcPr>
          <w:p w14:paraId="176C2710" w14:textId="71ED8B74" w:rsidR="00F0236A" w:rsidRPr="0042750D" w:rsidRDefault="00930ADB" w:rsidP="00930ADB">
            <w:pPr>
              <w:pStyle w:val="Tabletext"/>
              <w:keepNext/>
              <w:keepLines/>
              <w:rPr>
                <w:b/>
                <w:bCs/>
                <w:sz w:val="24"/>
                <w:szCs w:val="24"/>
              </w:rPr>
            </w:pPr>
            <w:r w:rsidRPr="0042750D">
              <w:rPr>
                <w:b/>
                <w:bCs/>
                <w:sz w:val="24"/>
                <w:szCs w:val="24"/>
              </w:rPr>
              <w:t>TSBDir to facilitate cooperation between ITU</w:t>
            </w:r>
            <w:r w:rsidR="00332DFE" w:rsidRPr="0042750D">
              <w:rPr>
                <w:b/>
                <w:bCs/>
                <w:sz w:val="24"/>
                <w:szCs w:val="24"/>
              </w:rPr>
              <w:t>-T</w:t>
            </w:r>
            <w:r w:rsidRPr="0042750D">
              <w:rPr>
                <w:b/>
                <w:bCs/>
                <w:sz w:val="24"/>
                <w:szCs w:val="24"/>
              </w:rPr>
              <w:t>, Member States, Sector Members and relevant entities, especially for developing countries</w:t>
            </w:r>
            <w:r w:rsidR="00C64111" w:rsidRPr="0042750D">
              <w:rPr>
                <w:b/>
                <w:bCs/>
                <w:sz w:val="24"/>
                <w:szCs w:val="24"/>
              </w:rPr>
              <w:t xml:space="preserve"> (</w:t>
            </w:r>
            <w:r w:rsidR="00C64111" w:rsidRPr="0042750D">
              <w:rPr>
                <w:b/>
                <w:bCs/>
                <w:i/>
                <w:sz w:val="24"/>
                <w:szCs w:val="24"/>
              </w:rPr>
              <w:t>resolves 4</w:t>
            </w:r>
            <w:r w:rsidR="00C64111" w:rsidRPr="0042750D">
              <w:rPr>
                <w:b/>
                <w:bCs/>
                <w:sz w:val="24"/>
                <w:szCs w:val="24"/>
              </w:rPr>
              <w:t>)</w:t>
            </w:r>
            <w:r w:rsidRPr="0042750D">
              <w:rPr>
                <w:b/>
                <w:bCs/>
                <w:sz w:val="24"/>
                <w:szCs w:val="24"/>
              </w:rPr>
              <w:t>.</w:t>
            </w:r>
          </w:p>
        </w:tc>
        <w:tc>
          <w:tcPr>
            <w:tcW w:w="1258" w:type="dxa"/>
            <w:tcBorders>
              <w:top w:val="single" w:sz="12" w:space="0" w:color="auto"/>
            </w:tcBorders>
            <w:shd w:val="clear" w:color="auto" w:fill="auto"/>
            <w:vAlign w:val="center"/>
          </w:tcPr>
          <w:p w14:paraId="2B235706" w14:textId="77777777" w:rsidR="00F0236A" w:rsidRPr="0042750D" w:rsidRDefault="00F0236A" w:rsidP="002E16CF">
            <w:pPr>
              <w:pStyle w:val="Tabletext"/>
              <w:keepNext/>
              <w:keepLines/>
              <w:jc w:val="center"/>
              <w:rPr>
                <w:b/>
                <w:bCs/>
                <w:sz w:val="24"/>
                <w:szCs w:val="24"/>
              </w:rPr>
            </w:pPr>
            <w:r w:rsidRPr="0042750D">
              <w:rPr>
                <w:b/>
                <w:bCs/>
                <w:sz w:val="24"/>
                <w:szCs w:val="24"/>
              </w:rPr>
              <w:t>Ongoing</w:t>
            </w:r>
          </w:p>
        </w:tc>
        <w:tc>
          <w:tcPr>
            <w:tcW w:w="1166" w:type="dxa"/>
            <w:tcBorders>
              <w:top w:val="single" w:sz="12" w:space="0" w:color="auto"/>
            </w:tcBorders>
            <w:shd w:val="clear" w:color="auto" w:fill="auto"/>
            <w:vAlign w:val="center"/>
          </w:tcPr>
          <w:p w14:paraId="05CE3C3A" w14:textId="1DD3CC55" w:rsidR="00F0236A" w:rsidRPr="0042750D" w:rsidRDefault="00222725" w:rsidP="002E16CF">
            <w:pPr>
              <w:pStyle w:val="Tabletext"/>
              <w:keepNext/>
              <w:keepLines/>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53E935A4" w14:textId="77777777" w:rsidR="00F0236A" w:rsidRPr="0042750D" w:rsidRDefault="00F0236A" w:rsidP="002E16CF">
            <w:pPr>
              <w:pStyle w:val="Tabletext"/>
              <w:keepNext/>
              <w:keepLines/>
              <w:jc w:val="center"/>
              <w:rPr>
                <w:b/>
                <w:bCs/>
                <w:sz w:val="24"/>
                <w:szCs w:val="24"/>
              </w:rPr>
            </w:pPr>
          </w:p>
        </w:tc>
      </w:tr>
      <w:tr w:rsidR="00F0236A" w:rsidRPr="0042750D" w14:paraId="2E767A16" w14:textId="77777777" w:rsidTr="0085771B">
        <w:trPr>
          <w:cantSplit/>
          <w:jc w:val="center"/>
        </w:trPr>
        <w:tc>
          <w:tcPr>
            <w:tcW w:w="913" w:type="dxa"/>
            <w:vMerge/>
            <w:tcBorders>
              <w:bottom w:val="single" w:sz="12" w:space="0" w:color="auto"/>
            </w:tcBorders>
            <w:shd w:val="clear" w:color="auto" w:fill="auto"/>
          </w:tcPr>
          <w:p w14:paraId="1FEB275D" w14:textId="77777777" w:rsidR="00F0236A" w:rsidRPr="0042750D" w:rsidRDefault="00F0236A" w:rsidP="002E16CF">
            <w:pPr>
              <w:pStyle w:val="Tabletext"/>
              <w:keepNext/>
              <w:keepLines/>
              <w:rPr>
                <w:sz w:val="24"/>
                <w:szCs w:val="24"/>
              </w:rPr>
            </w:pPr>
          </w:p>
        </w:tc>
        <w:tc>
          <w:tcPr>
            <w:tcW w:w="8919" w:type="dxa"/>
            <w:gridSpan w:val="4"/>
            <w:tcBorders>
              <w:bottom w:val="single" w:sz="12" w:space="0" w:color="auto"/>
            </w:tcBorders>
            <w:shd w:val="clear" w:color="auto" w:fill="auto"/>
          </w:tcPr>
          <w:p w14:paraId="1B51DC20" w14:textId="40D5A313" w:rsidR="00F0236A" w:rsidRPr="0042750D" w:rsidRDefault="00222725" w:rsidP="002E16CF">
            <w:pPr>
              <w:pStyle w:val="Tabletext"/>
              <w:keepNext/>
              <w:keepLines/>
              <w:rPr>
                <w:szCs w:val="22"/>
              </w:rPr>
            </w:pPr>
            <w:r w:rsidRPr="0042750D">
              <w:rPr>
                <w:szCs w:val="22"/>
              </w:rPr>
              <w:t>ITU-T SG11 Q9/11 has a mandate to develop testing methodologies for remote testing which might be used by virtual laboratories.</w:t>
            </w:r>
            <w:r w:rsidR="004A6354" w:rsidRPr="0042750D">
              <w:rPr>
                <w:szCs w:val="22"/>
              </w:rPr>
              <w:t xml:space="preserve"> In October 2019, SG11 approved New Recommendation ITU-T Q.3056 “Signaling procedures of the probes to be used for remote testing of network parameters” which might be used by virtual laboratories as well.</w:t>
            </w:r>
          </w:p>
        </w:tc>
      </w:tr>
      <w:tr w:rsidR="00F0236A" w:rsidRPr="0042750D" w14:paraId="7120BCAC" w14:textId="77777777" w:rsidTr="00444C1D">
        <w:trPr>
          <w:cantSplit/>
          <w:jc w:val="center"/>
        </w:trPr>
        <w:tc>
          <w:tcPr>
            <w:tcW w:w="913" w:type="dxa"/>
            <w:vMerge w:val="restart"/>
            <w:tcBorders>
              <w:top w:val="single" w:sz="12" w:space="0" w:color="auto"/>
            </w:tcBorders>
            <w:shd w:val="clear" w:color="auto" w:fill="auto"/>
          </w:tcPr>
          <w:p w14:paraId="12367C41" w14:textId="5FBD2BA3" w:rsidR="00F0236A" w:rsidRPr="0042750D" w:rsidRDefault="00930ADB" w:rsidP="008F2BEB">
            <w:pPr>
              <w:pStyle w:val="Tabletext"/>
              <w:rPr>
                <w:b/>
                <w:bCs/>
                <w:sz w:val="24"/>
                <w:szCs w:val="24"/>
              </w:rPr>
            </w:pPr>
            <w:r w:rsidRPr="0042750D">
              <w:rPr>
                <w:b/>
                <w:bCs/>
                <w:sz w:val="24"/>
                <w:szCs w:val="24"/>
              </w:rPr>
              <w:t>177-05</w:t>
            </w:r>
          </w:p>
        </w:tc>
        <w:tc>
          <w:tcPr>
            <w:tcW w:w="5157" w:type="dxa"/>
            <w:tcBorders>
              <w:top w:val="single" w:sz="12" w:space="0" w:color="auto"/>
            </w:tcBorders>
            <w:shd w:val="clear" w:color="auto" w:fill="auto"/>
          </w:tcPr>
          <w:p w14:paraId="4F49906B" w14:textId="40B4EE30" w:rsidR="00F0236A" w:rsidRPr="0042750D" w:rsidRDefault="00930ADB" w:rsidP="00930ADB">
            <w:pPr>
              <w:pStyle w:val="Tabletext"/>
              <w:keepNext/>
              <w:keepLines/>
              <w:rPr>
                <w:b/>
                <w:bCs/>
                <w:sz w:val="24"/>
                <w:szCs w:val="24"/>
              </w:rPr>
            </w:pPr>
            <w:r w:rsidRPr="0042750D">
              <w:rPr>
                <w:b/>
                <w:bCs/>
                <w:sz w:val="24"/>
                <w:szCs w:val="24"/>
              </w:rPr>
              <w:t>TSBDir to continue consultations and assessment studies in all regions</w:t>
            </w:r>
            <w:r w:rsidR="00C64111" w:rsidRPr="0042750D">
              <w:rPr>
                <w:b/>
                <w:bCs/>
                <w:sz w:val="24"/>
                <w:szCs w:val="24"/>
              </w:rPr>
              <w:t xml:space="preserve"> (</w:t>
            </w:r>
            <w:r w:rsidR="00C64111" w:rsidRPr="0042750D">
              <w:rPr>
                <w:b/>
                <w:bCs/>
                <w:i/>
                <w:sz w:val="24"/>
                <w:szCs w:val="24"/>
              </w:rPr>
              <w:t>instructs 1</w:t>
            </w:r>
            <w:r w:rsidR="00C64111" w:rsidRPr="0042750D">
              <w:rPr>
                <w:b/>
                <w:bCs/>
                <w:sz w:val="24"/>
                <w:szCs w:val="24"/>
              </w:rPr>
              <w:t>)</w:t>
            </w:r>
            <w:r w:rsidRPr="0042750D">
              <w:rPr>
                <w:b/>
                <w:bCs/>
                <w:sz w:val="24"/>
                <w:szCs w:val="24"/>
              </w:rPr>
              <w:t>.</w:t>
            </w:r>
          </w:p>
        </w:tc>
        <w:tc>
          <w:tcPr>
            <w:tcW w:w="1258" w:type="dxa"/>
            <w:tcBorders>
              <w:top w:val="single" w:sz="12" w:space="0" w:color="auto"/>
            </w:tcBorders>
            <w:shd w:val="clear" w:color="auto" w:fill="auto"/>
            <w:vAlign w:val="center"/>
          </w:tcPr>
          <w:p w14:paraId="54364BA9"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66" w:type="dxa"/>
            <w:tcBorders>
              <w:top w:val="single" w:sz="12" w:space="0" w:color="auto"/>
            </w:tcBorders>
            <w:shd w:val="clear" w:color="auto" w:fill="auto"/>
            <w:vAlign w:val="center"/>
          </w:tcPr>
          <w:p w14:paraId="420176B9" w14:textId="0A4B62DB" w:rsidR="00F0236A" w:rsidRPr="0042750D" w:rsidRDefault="00D63974"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4D34795D" w14:textId="77777777" w:rsidR="00F0236A" w:rsidRPr="0042750D" w:rsidRDefault="00F0236A" w:rsidP="00DF36E1">
            <w:pPr>
              <w:pStyle w:val="Tabletext"/>
              <w:jc w:val="center"/>
              <w:rPr>
                <w:b/>
                <w:bCs/>
                <w:sz w:val="24"/>
                <w:szCs w:val="24"/>
              </w:rPr>
            </w:pPr>
          </w:p>
        </w:tc>
      </w:tr>
      <w:tr w:rsidR="00F0236A" w:rsidRPr="0042750D" w14:paraId="13744103" w14:textId="77777777" w:rsidTr="008F2BEB">
        <w:trPr>
          <w:jc w:val="center"/>
        </w:trPr>
        <w:tc>
          <w:tcPr>
            <w:tcW w:w="913" w:type="dxa"/>
            <w:vMerge/>
            <w:tcBorders>
              <w:bottom w:val="single" w:sz="12" w:space="0" w:color="auto"/>
            </w:tcBorders>
            <w:shd w:val="clear" w:color="auto" w:fill="auto"/>
          </w:tcPr>
          <w:p w14:paraId="0FF3152A" w14:textId="77777777" w:rsidR="00F0236A" w:rsidRPr="0042750D" w:rsidRDefault="00F0236A" w:rsidP="00DF36E1">
            <w:pPr>
              <w:pStyle w:val="Tabletext"/>
              <w:rPr>
                <w:sz w:val="24"/>
                <w:szCs w:val="24"/>
              </w:rPr>
            </w:pPr>
          </w:p>
        </w:tc>
        <w:tc>
          <w:tcPr>
            <w:tcW w:w="8919" w:type="dxa"/>
            <w:gridSpan w:val="4"/>
            <w:tcBorders>
              <w:bottom w:val="single" w:sz="12" w:space="0" w:color="auto"/>
            </w:tcBorders>
            <w:shd w:val="clear" w:color="auto" w:fill="auto"/>
          </w:tcPr>
          <w:p w14:paraId="3878F5A3" w14:textId="449DF705" w:rsidR="001B0232" w:rsidRPr="0042750D" w:rsidRDefault="004A6354" w:rsidP="00312BFC">
            <w:pPr>
              <w:pStyle w:val="Tabletext"/>
              <w:rPr>
                <w:szCs w:val="22"/>
              </w:rPr>
            </w:pPr>
            <w:r w:rsidRPr="0042750D">
              <w:rPr>
                <w:szCs w:val="22"/>
              </w:rPr>
              <w:t xml:space="preserve">TSB organized Workshops on this subject matter back-to-back with SG11 Regional Groups meetings. </w:t>
            </w:r>
            <w:r w:rsidR="00D63974" w:rsidRPr="0042750D">
              <w:rPr>
                <w:szCs w:val="22"/>
              </w:rPr>
              <w:t>See 177-03.</w:t>
            </w:r>
          </w:p>
        </w:tc>
      </w:tr>
      <w:tr w:rsidR="00F0236A" w:rsidRPr="0042750D" w14:paraId="63F39D2F" w14:textId="77777777" w:rsidTr="00444C1D">
        <w:trPr>
          <w:cantSplit/>
          <w:jc w:val="center"/>
        </w:trPr>
        <w:tc>
          <w:tcPr>
            <w:tcW w:w="913" w:type="dxa"/>
            <w:vMerge w:val="restart"/>
            <w:tcBorders>
              <w:top w:val="single" w:sz="12" w:space="0" w:color="auto"/>
            </w:tcBorders>
            <w:shd w:val="clear" w:color="auto" w:fill="auto"/>
          </w:tcPr>
          <w:p w14:paraId="6DEEDEE9" w14:textId="01113335" w:rsidR="00F0236A" w:rsidRPr="0042750D" w:rsidRDefault="00930ADB" w:rsidP="00DF36E1">
            <w:pPr>
              <w:pStyle w:val="Tabletext"/>
              <w:rPr>
                <w:b/>
                <w:bCs/>
                <w:sz w:val="24"/>
                <w:szCs w:val="24"/>
              </w:rPr>
            </w:pPr>
            <w:r w:rsidRPr="0042750D">
              <w:rPr>
                <w:b/>
                <w:bCs/>
                <w:sz w:val="24"/>
                <w:szCs w:val="24"/>
              </w:rPr>
              <w:t>177-06</w:t>
            </w:r>
          </w:p>
        </w:tc>
        <w:tc>
          <w:tcPr>
            <w:tcW w:w="5157" w:type="dxa"/>
            <w:tcBorders>
              <w:top w:val="single" w:sz="12" w:space="0" w:color="auto"/>
            </w:tcBorders>
            <w:shd w:val="clear" w:color="auto" w:fill="auto"/>
          </w:tcPr>
          <w:p w14:paraId="7FEA9424" w14:textId="12818AFF" w:rsidR="00F0236A" w:rsidRPr="0042750D" w:rsidRDefault="00930ADB" w:rsidP="00930ADB">
            <w:pPr>
              <w:pStyle w:val="Tabletext"/>
              <w:keepNext/>
              <w:keepLines/>
              <w:rPr>
                <w:b/>
                <w:bCs/>
                <w:sz w:val="24"/>
                <w:szCs w:val="24"/>
              </w:rPr>
            </w:pPr>
            <w:r w:rsidRPr="0042750D">
              <w:rPr>
                <w:b/>
                <w:bCs/>
                <w:sz w:val="24"/>
                <w:szCs w:val="24"/>
              </w:rPr>
              <w:t>TSBDir to continue to carry out pilot projects for conformity to ITU-T recommendations</w:t>
            </w:r>
            <w:r w:rsidR="00C64111" w:rsidRPr="0042750D">
              <w:rPr>
                <w:b/>
                <w:bCs/>
                <w:sz w:val="24"/>
                <w:szCs w:val="24"/>
              </w:rPr>
              <w:t xml:space="preserve"> (</w:t>
            </w:r>
            <w:r w:rsidR="00C64111" w:rsidRPr="0042750D">
              <w:rPr>
                <w:b/>
                <w:bCs/>
                <w:i/>
                <w:sz w:val="24"/>
                <w:szCs w:val="24"/>
              </w:rPr>
              <w:t>instructs 2</w:t>
            </w:r>
            <w:r w:rsidR="00C64111" w:rsidRPr="0042750D">
              <w:rPr>
                <w:b/>
                <w:bCs/>
                <w:sz w:val="24"/>
                <w:szCs w:val="24"/>
              </w:rPr>
              <w:t>)</w:t>
            </w:r>
            <w:r w:rsidRPr="0042750D">
              <w:rPr>
                <w:b/>
                <w:bCs/>
                <w:sz w:val="24"/>
                <w:szCs w:val="24"/>
              </w:rPr>
              <w:t>.</w:t>
            </w:r>
          </w:p>
        </w:tc>
        <w:tc>
          <w:tcPr>
            <w:tcW w:w="1258" w:type="dxa"/>
            <w:tcBorders>
              <w:top w:val="single" w:sz="12" w:space="0" w:color="auto"/>
            </w:tcBorders>
            <w:shd w:val="clear" w:color="auto" w:fill="auto"/>
            <w:vAlign w:val="center"/>
          </w:tcPr>
          <w:p w14:paraId="654220E3"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66" w:type="dxa"/>
            <w:tcBorders>
              <w:top w:val="single" w:sz="12" w:space="0" w:color="auto"/>
            </w:tcBorders>
            <w:shd w:val="clear" w:color="auto" w:fill="auto"/>
            <w:vAlign w:val="center"/>
          </w:tcPr>
          <w:p w14:paraId="34F48F63" w14:textId="23477B5D" w:rsidR="00F0236A" w:rsidRPr="0042750D" w:rsidDel="00B95E1F" w:rsidRDefault="007104DA"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252DAA86" w14:textId="77777777" w:rsidR="00F0236A" w:rsidRPr="0042750D" w:rsidRDefault="00F0236A" w:rsidP="00DF36E1">
            <w:pPr>
              <w:pStyle w:val="Tabletext"/>
              <w:jc w:val="center"/>
              <w:rPr>
                <w:b/>
                <w:bCs/>
                <w:sz w:val="24"/>
                <w:szCs w:val="24"/>
              </w:rPr>
            </w:pPr>
          </w:p>
        </w:tc>
      </w:tr>
      <w:tr w:rsidR="00F0236A" w:rsidRPr="0042750D" w14:paraId="128DC1E3" w14:textId="77777777" w:rsidTr="0085771B">
        <w:trPr>
          <w:cantSplit/>
          <w:jc w:val="center"/>
        </w:trPr>
        <w:tc>
          <w:tcPr>
            <w:tcW w:w="913" w:type="dxa"/>
            <w:vMerge/>
            <w:tcBorders>
              <w:bottom w:val="single" w:sz="12" w:space="0" w:color="auto"/>
            </w:tcBorders>
            <w:shd w:val="clear" w:color="auto" w:fill="auto"/>
          </w:tcPr>
          <w:p w14:paraId="13E2115B" w14:textId="77777777" w:rsidR="00F0236A" w:rsidRPr="0042750D" w:rsidRDefault="00F0236A" w:rsidP="00DF36E1">
            <w:pPr>
              <w:pStyle w:val="Tabletext"/>
              <w:rPr>
                <w:sz w:val="24"/>
                <w:szCs w:val="24"/>
              </w:rPr>
            </w:pPr>
          </w:p>
        </w:tc>
        <w:tc>
          <w:tcPr>
            <w:tcW w:w="8919" w:type="dxa"/>
            <w:gridSpan w:val="4"/>
            <w:tcBorders>
              <w:bottom w:val="single" w:sz="12" w:space="0" w:color="auto"/>
            </w:tcBorders>
            <w:shd w:val="clear" w:color="auto" w:fill="auto"/>
          </w:tcPr>
          <w:p w14:paraId="62C09E82" w14:textId="5F73F5BF" w:rsidR="00F0236A" w:rsidRPr="0042750D" w:rsidRDefault="007104DA" w:rsidP="00DF36E1">
            <w:pPr>
              <w:pStyle w:val="Tabletext"/>
              <w:rPr>
                <w:szCs w:val="22"/>
              </w:rPr>
            </w:pPr>
            <w:r w:rsidRPr="0042750D">
              <w:t>See the reporting on WTSA-16 Resolution 76 and on the C&amp;I Action Plan is the report on the WTSA-16 Action Plan in</w:t>
            </w:r>
            <w:r w:rsidR="004A6354" w:rsidRPr="0042750D">
              <w:rPr>
                <w:rStyle w:val="Hyperlink"/>
              </w:rPr>
              <w:t xml:space="preserve"> </w:t>
            </w:r>
            <w:hyperlink r:id="rId81" w:history="1">
              <w:r w:rsidR="004A6354" w:rsidRPr="0042750D">
                <w:rPr>
                  <w:rStyle w:val="Hyperlink"/>
                </w:rPr>
                <w:t>TSAG-TD657</w:t>
              </w:r>
            </w:hyperlink>
            <w:r w:rsidRPr="0042750D">
              <w:t>.</w:t>
            </w:r>
          </w:p>
        </w:tc>
      </w:tr>
      <w:tr w:rsidR="00F0236A" w:rsidRPr="0042750D" w14:paraId="1FDD6AF7" w14:textId="77777777" w:rsidTr="00444C1D">
        <w:trPr>
          <w:cantSplit/>
          <w:jc w:val="center"/>
        </w:trPr>
        <w:tc>
          <w:tcPr>
            <w:tcW w:w="913" w:type="dxa"/>
            <w:vMerge w:val="restart"/>
            <w:tcBorders>
              <w:top w:val="single" w:sz="12" w:space="0" w:color="auto"/>
            </w:tcBorders>
            <w:shd w:val="clear" w:color="auto" w:fill="auto"/>
          </w:tcPr>
          <w:p w14:paraId="6353E114" w14:textId="6D8D2E6B" w:rsidR="00F0236A" w:rsidRPr="0042750D" w:rsidRDefault="00930ADB" w:rsidP="00027F2D">
            <w:pPr>
              <w:pStyle w:val="Tabletext"/>
              <w:rPr>
                <w:b/>
                <w:bCs/>
                <w:sz w:val="24"/>
                <w:szCs w:val="24"/>
              </w:rPr>
            </w:pPr>
            <w:r w:rsidRPr="0042750D">
              <w:rPr>
                <w:b/>
                <w:bCs/>
                <w:sz w:val="24"/>
                <w:szCs w:val="24"/>
              </w:rPr>
              <w:t>177-07</w:t>
            </w:r>
          </w:p>
        </w:tc>
        <w:tc>
          <w:tcPr>
            <w:tcW w:w="5157" w:type="dxa"/>
            <w:tcBorders>
              <w:top w:val="single" w:sz="12" w:space="0" w:color="auto"/>
            </w:tcBorders>
            <w:shd w:val="clear" w:color="auto" w:fill="auto"/>
          </w:tcPr>
          <w:p w14:paraId="23EE9E46" w14:textId="29672FBB" w:rsidR="00F0236A" w:rsidRPr="0042750D" w:rsidRDefault="00930ADB" w:rsidP="00930ADB">
            <w:pPr>
              <w:pStyle w:val="Tabletext"/>
              <w:keepNext/>
              <w:keepLines/>
              <w:rPr>
                <w:b/>
                <w:bCs/>
                <w:sz w:val="24"/>
                <w:szCs w:val="24"/>
              </w:rPr>
            </w:pPr>
            <w:r w:rsidRPr="0042750D">
              <w:rPr>
                <w:b/>
                <w:bCs/>
                <w:sz w:val="24"/>
                <w:szCs w:val="24"/>
              </w:rPr>
              <w:t>TSBDir to enhance and improve standards-setting processes</w:t>
            </w:r>
            <w:r w:rsidR="00C64111" w:rsidRPr="0042750D">
              <w:rPr>
                <w:b/>
                <w:bCs/>
                <w:sz w:val="24"/>
                <w:szCs w:val="24"/>
              </w:rPr>
              <w:t xml:space="preserve"> (</w:t>
            </w:r>
            <w:r w:rsidR="00C64111" w:rsidRPr="0042750D">
              <w:rPr>
                <w:b/>
                <w:bCs/>
                <w:i/>
                <w:sz w:val="24"/>
                <w:szCs w:val="24"/>
              </w:rPr>
              <w:t>instructs 3</w:t>
            </w:r>
            <w:r w:rsidR="00C64111" w:rsidRPr="0042750D">
              <w:rPr>
                <w:b/>
                <w:bCs/>
                <w:sz w:val="24"/>
                <w:szCs w:val="24"/>
              </w:rPr>
              <w:t>)</w:t>
            </w:r>
            <w:r w:rsidRPr="0042750D">
              <w:rPr>
                <w:b/>
                <w:bCs/>
                <w:sz w:val="24"/>
                <w:szCs w:val="24"/>
              </w:rPr>
              <w:t>.</w:t>
            </w:r>
          </w:p>
        </w:tc>
        <w:tc>
          <w:tcPr>
            <w:tcW w:w="1258" w:type="dxa"/>
            <w:tcBorders>
              <w:top w:val="single" w:sz="12" w:space="0" w:color="auto"/>
            </w:tcBorders>
            <w:shd w:val="clear" w:color="auto" w:fill="auto"/>
            <w:vAlign w:val="center"/>
          </w:tcPr>
          <w:p w14:paraId="143AAD63"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66" w:type="dxa"/>
            <w:tcBorders>
              <w:top w:val="single" w:sz="12" w:space="0" w:color="auto"/>
            </w:tcBorders>
            <w:shd w:val="clear" w:color="auto" w:fill="auto"/>
            <w:vAlign w:val="center"/>
          </w:tcPr>
          <w:p w14:paraId="2A1A6D28" w14:textId="2291E49B" w:rsidR="00F0236A" w:rsidRPr="0042750D" w:rsidDel="00B95E1F" w:rsidRDefault="00596740"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52DA683A" w14:textId="77777777" w:rsidR="00F0236A" w:rsidRPr="0042750D" w:rsidRDefault="00F0236A" w:rsidP="00DF36E1">
            <w:pPr>
              <w:pStyle w:val="Tabletext"/>
              <w:jc w:val="center"/>
              <w:rPr>
                <w:b/>
                <w:bCs/>
                <w:sz w:val="24"/>
                <w:szCs w:val="24"/>
              </w:rPr>
            </w:pPr>
          </w:p>
        </w:tc>
      </w:tr>
      <w:tr w:rsidR="00F0236A" w:rsidRPr="0042750D" w14:paraId="4301733D" w14:textId="77777777" w:rsidTr="0085771B">
        <w:trPr>
          <w:cantSplit/>
          <w:jc w:val="center"/>
        </w:trPr>
        <w:tc>
          <w:tcPr>
            <w:tcW w:w="913" w:type="dxa"/>
            <w:vMerge/>
            <w:tcBorders>
              <w:bottom w:val="single" w:sz="12" w:space="0" w:color="auto"/>
            </w:tcBorders>
            <w:shd w:val="clear" w:color="auto" w:fill="auto"/>
          </w:tcPr>
          <w:p w14:paraId="0C5D3CCE" w14:textId="77777777" w:rsidR="00F0236A" w:rsidRPr="0042750D" w:rsidRDefault="00F0236A" w:rsidP="00DF36E1">
            <w:pPr>
              <w:pStyle w:val="Tabletext"/>
              <w:rPr>
                <w:sz w:val="24"/>
                <w:szCs w:val="24"/>
              </w:rPr>
            </w:pPr>
          </w:p>
        </w:tc>
        <w:tc>
          <w:tcPr>
            <w:tcW w:w="8919" w:type="dxa"/>
            <w:gridSpan w:val="4"/>
            <w:tcBorders>
              <w:bottom w:val="single" w:sz="12" w:space="0" w:color="auto"/>
            </w:tcBorders>
            <w:shd w:val="clear" w:color="auto" w:fill="auto"/>
          </w:tcPr>
          <w:p w14:paraId="6FF271B7" w14:textId="7C0B5D97" w:rsidR="00F0236A" w:rsidRPr="0042750D" w:rsidRDefault="00596740" w:rsidP="00312BFC">
            <w:pPr>
              <w:pStyle w:val="Tabletext"/>
              <w:rPr>
                <w:szCs w:val="22"/>
              </w:rPr>
            </w:pPr>
            <w:r w:rsidRPr="0042750D">
              <w:t>See the reporting on WTSA-16 Resolution 76 and on the C&amp;I Action Plan is the report on the WTSA-16 Action Plan in</w:t>
            </w:r>
            <w:r w:rsidR="004A6354" w:rsidRPr="0042750D">
              <w:rPr>
                <w:rStyle w:val="Hyperlink"/>
              </w:rPr>
              <w:t xml:space="preserve"> </w:t>
            </w:r>
            <w:hyperlink r:id="rId82" w:history="1">
              <w:r w:rsidR="004A6354" w:rsidRPr="0042750D">
                <w:rPr>
                  <w:rStyle w:val="Hyperlink"/>
                </w:rPr>
                <w:t>TSAG-TD657</w:t>
              </w:r>
            </w:hyperlink>
            <w:r w:rsidRPr="0042750D">
              <w:t>.</w:t>
            </w:r>
          </w:p>
        </w:tc>
      </w:tr>
      <w:tr w:rsidR="00F0236A" w:rsidRPr="0042750D" w14:paraId="052ECFF6" w14:textId="77777777" w:rsidTr="00444C1D">
        <w:trPr>
          <w:cantSplit/>
          <w:jc w:val="center"/>
        </w:trPr>
        <w:tc>
          <w:tcPr>
            <w:tcW w:w="913" w:type="dxa"/>
            <w:vMerge w:val="restart"/>
            <w:tcBorders>
              <w:top w:val="single" w:sz="12" w:space="0" w:color="auto"/>
            </w:tcBorders>
            <w:shd w:val="clear" w:color="auto" w:fill="auto"/>
          </w:tcPr>
          <w:p w14:paraId="29AECB72" w14:textId="4E9AF17D" w:rsidR="00F0236A" w:rsidRPr="0042750D" w:rsidRDefault="00930ADB" w:rsidP="00027F2D">
            <w:pPr>
              <w:pStyle w:val="Tabletext"/>
              <w:rPr>
                <w:b/>
                <w:bCs/>
                <w:sz w:val="24"/>
                <w:szCs w:val="24"/>
              </w:rPr>
            </w:pPr>
            <w:r w:rsidRPr="0042750D">
              <w:rPr>
                <w:b/>
                <w:bCs/>
                <w:sz w:val="24"/>
                <w:szCs w:val="24"/>
              </w:rPr>
              <w:t>177-08</w:t>
            </w:r>
          </w:p>
        </w:tc>
        <w:tc>
          <w:tcPr>
            <w:tcW w:w="5157" w:type="dxa"/>
            <w:tcBorders>
              <w:top w:val="single" w:sz="12" w:space="0" w:color="auto"/>
            </w:tcBorders>
            <w:shd w:val="clear" w:color="auto" w:fill="auto"/>
          </w:tcPr>
          <w:p w14:paraId="31BF978D" w14:textId="38F8C455" w:rsidR="00F0236A" w:rsidRPr="0042750D" w:rsidRDefault="00930ADB" w:rsidP="00930ADB">
            <w:pPr>
              <w:pStyle w:val="Tabletext"/>
              <w:keepNext/>
              <w:keepLines/>
              <w:rPr>
                <w:b/>
                <w:bCs/>
                <w:sz w:val="24"/>
                <w:szCs w:val="24"/>
              </w:rPr>
            </w:pPr>
            <w:r w:rsidRPr="0042750D">
              <w:rPr>
                <w:b/>
                <w:bCs/>
                <w:sz w:val="24"/>
                <w:szCs w:val="24"/>
              </w:rPr>
              <w:t>TSBDir to continuously update the Action Plan for the long-term implementation of this resolution</w:t>
            </w:r>
            <w:r w:rsidR="00C64111" w:rsidRPr="0042750D">
              <w:rPr>
                <w:b/>
                <w:bCs/>
                <w:sz w:val="24"/>
                <w:szCs w:val="24"/>
              </w:rPr>
              <w:t xml:space="preserve"> (</w:t>
            </w:r>
            <w:r w:rsidR="00C64111" w:rsidRPr="0042750D">
              <w:rPr>
                <w:b/>
                <w:bCs/>
                <w:i/>
                <w:sz w:val="24"/>
                <w:szCs w:val="24"/>
              </w:rPr>
              <w:t>instructs 4</w:t>
            </w:r>
            <w:r w:rsidR="00C64111" w:rsidRPr="0042750D">
              <w:rPr>
                <w:b/>
                <w:bCs/>
                <w:sz w:val="24"/>
                <w:szCs w:val="24"/>
              </w:rPr>
              <w:t>)</w:t>
            </w:r>
            <w:r w:rsidRPr="0042750D">
              <w:rPr>
                <w:b/>
                <w:bCs/>
                <w:sz w:val="24"/>
                <w:szCs w:val="24"/>
              </w:rPr>
              <w:t>.</w:t>
            </w:r>
          </w:p>
        </w:tc>
        <w:tc>
          <w:tcPr>
            <w:tcW w:w="1258" w:type="dxa"/>
            <w:tcBorders>
              <w:top w:val="single" w:sz="12" w:space="0" w:color="auto"/>
            </w:tcBorders>
            <w:shd w:val="clear" w:color="auto" w:fill="auto"/>
            <w:vAlign w:val="center"/>
          </w:tcPr>
          <w:p w14:paraId="1E25CC79" w14:textId="54B665E1" w:rsidR="00F0236A" w:rsidRPr="0042750D" w:rsidRDefault="00312BFC" w:rsidP="00DF36E1">
            <w:pPr>
              <w:pStyle w:val="Tabletext"/>
              <w:jc w:val="center"/>
              <w:rPr>
                <w:b/>
                <w:bCs/>
                <w:sz w:val="24"/>
                <w:szCs w:val="24"/>
              </w:rPr>
            </w:pPr>
            <w:r w:rsidRPr="0042750D">
              <w:rPr>
                <w:b/>
                <w:bCs/>
                <w:sz w:val="24"/>
                <w:szCs w:val="24"/>
              </w:rPr>
              <w:t>Ongoing</w:t>
            </w:r>
          </w:p>
        </w:tc>
        <w:tc>
          <w:tcPr>
            <w:tcW w:w="1166" w:type="dxa"/>
            <w:tcBorders>
              <w:top w:val="single" w:sz="12" w:space="0" w:color="auto"/>
            </w:tcBorders>
            <w:shd w:val="clear" w:color="auto" w:fill="auto"/>
            <w:vAlign w:val="center"/>
          </w:tcPr>
          <w:p w14:paraId="2B22060A" w14:textId="5DE1D5A3" w:rsidR="00F0236A" w:rsidRPr="0042750D" w:rsidDel="00B95E1F" w:rsidRDefault="00FF2969"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534E7D6E" w14:textId="77777777" w:rsidR="00F0236A" w:rsidRPr="0042750D" w:rsidRDefault="00F0236A" w:rsidP="00DF36E1">
            <w:pPr>
              <w:pStyle w:val="Tabletext"/>
              <w:jc w:val="center"/>
              <w:rPr>
                <w:b/>
                <w:bCs/>
                <w:sz w:val="24"/>
                <w:szCs w:val="24"/>
              </w:rPr>
            </w:pPr>
          </w:p>
        </w:tc>
      </w:tr>
      <w:tr w:rsidR="00F0236A" w:rsidRPr="0042750D" w14:paraId="4761DC30" w14:textId="77777777" w:rsidTr="00DF36E1">
        <w:trPr>
          <w:cantSplit/>
          <w:jc w:val="center"/>
        </w:trPr>
        <w:tc>
          <w:tcPr>
            <w:tcW w:w="913" w:type="dxa"/>
            <w:vMerge/>
            <w:shd w:val="clear" w:color="auto" w:fill="auto"/>
            <w:vAlign w:val="center"/>
          </w:tcPr>
          <w:p w14:paraId="6FECD287" w14:textId="77777777" w:rsidR="00F0236A" w:rsidRPr="0042750D" w:rsidRDefault="00F0236A" w:rsidP="00DF36E1">
            <w:pPr>
              <w:pStyle w:val="Tabletext"/>
              <w:rPr>
                <w:sz w:val="24"/>
                <w:szCs w:val="24"/>
              </w:rPr>
            </w:pPr>
          </w:p>
        </w:tc>
        <w:tc>
          <w:tcPr>
            <w:tcW w:w="8919" w:type="dxa"/>
            <w:gridSpan w:val="4"/>
            <w:shd w:val="clear" w:color="auto" w:fill="auto"/>
          </w:tcPr>
          <w:p w14:paraId="6B556DCA" w14:textId="5A4F9F68" w:rsidR="00F0236A" w:rsidRPr="0042750D" w:rsidRDefault="004A6354" w:rsidP="00DF36E1">
            <w:pPr>
              <w:pStyle w:val="Tabletext"/>
              <w:rPr>
                <w:szCs w:val="22"/>
              </w:rPr>
            </w:pPr>
            <w:r w:rsidRPr="0042750D">
              <w:rPr>
                <w:bCs/>
                <w:szCs w:val="22"/>
              </w:rPr>
              <w:t>TSB implements the C&amp;I Programme according to the C&amp;I Action Plan and SG11 Action Plan on C&amp;I.</w:t>
            </w:r>
          </w:p>
        </w:tc>
      </w:tr>
      <w:tr w:rsidR="00027F2D" w:rsidRPr="0042750D" w14:paraId="0DE2A233" w14:textId="77777777" w:rsidTr="005A429E">
        <w:trPr>
          <w:jc w:val="center"/>
        </w:trPr>
        <w:tc>
          <w:tcPr>
            <w:tcW w:w="913" w:type="dxa"/>
            <w:vMerge w:val="restart"/>
            <w:tcBorders>
              <w:top w:val="single" w:sz="12" w:space="0" w:color="auto"/>
            </w:tcBorders>
            <w:shd w:val="clear" w:color="auto" w:fill="auto"/>
          </w:tcPr>
          <w:p w14:paraId="55FF9035" w14:textId="690C0263" w:rsidR="00027F2D" w:rsidRPr="0042750D" w:rsidRDefault="00027F2D" w:rsidP="001338AC">
            <w:pPr>
              <w:pStyle w:val="Tabletext"/>
              <w:rPr>
                <w:b/>
                <w:bCs/>
                <w:sz w:val="24"/>
                <w:szCs w:val="24"/>
              </w:rPr>
            </w:pPr>
            <w:bookmarkStart w:id="242" w:name="Item72_01"/>
            <w:bookmarkStart w:id="243" w:name="Item72_02"/>
            <w:bookmarkStart w:id="244" w:name="Item72_03"/>
            <w:bookmarkStart w:id="245" w:name="Item72_04"/>
            <w:bookmarkStart w:id="246" w:name="Item72_05"/>
            <w:bookmarkStart w:id="247" w:name="Item72_06"/>
            <w:bookmarkStart w:id="248" w:name="Item72_07"/>
            <w:bookmarkStart w:id="249" w:name="Item72_08"/>
            <w:bookmarkEnd w:id="242"/>
            <w:bookmarkEnd w:id="243"/>
            <w:bookmarkEnd w:id="244"/>
            <w:bookmarkEnd w:id="245"/>
            <w:bookmarkEnd w:id="246"/>
            <w:bookmarkEnd w:id="247"/>
            <w:bookmarkEnd w:id="248"/>
            <w:bookmarkEnd w:id="249"/>
            <w:r w:rsidRPr="0042750D">
              <w:rPr>
                <w:b/>
                <w:bCs/>
                <w:sz w:val="24"/>
                <w:szCs w:val="24"/>
              </w:rPr>
              <w:t>177-09</w:t>
            </w:r>
          </w:p>
        </w:tc>
        <w:tc>
          <w:tcPr>
            <w:tcW w:w="5157" w:type="dxa"/>
            <w:tcBorders>
              <w:top w:val="single" w:sz="12" w:space="0" w:color="auto"/>
            </w:tcBorders>
            <w:shd w:val="clear" w:color="auto" w:fill="auto"/>
          </w:tcPr>
          <w:p w14:paraId="5799C815" w14:textId="380C3640" w:rsidR="00027F2D" w:rsidRPr="0042750D" w:rsidRDefault="00027F2D" w:rsidP="001338AC">
            <w:pPr>
              <w:pStyle w:val="Tabletext"/>
              <w:rPr>
                <w:b/>
                <w:bCs/>
                <w:sz w:val="24"/>
                <w:szCs w:val="24"/>
              </w:rPr>
            </w:pPr>
            <w:r w:rsidRPr="0042750D">
              <w:rPr>
                <w:b/>
                <w:bCs/>
                <w:sz w:val="24"/>
                <w:szCs w:val="24"/>
              </w:rPr>
              <w:t>TSBDir to provide the Council with progress reports, including the results of studies, relating to the implementation of this resolution</w:t>
            </w:r>
            <w:r w:rsidR="00C64111" w:rsidRPr="0042750D">
              <w:rPr>
                <w:b/>
                <w:bCs/>
                <w:sz w:val="24"/>
                <w:szCs w:val="24"/>
              </w:rPr>
              <w:t xml:space="preserve"> (</w:t>
            </w:r>
            <w:r w:rsidR="00C64111" w:rsidRPr="0042750D">
              <w:rPr>
                <w:b/>
                <w:bCs/>
                <w:i/>
                <w:sz w:val="24"/>
                <w:szCs w:val="24"/>
              </w:rPr>
              <w:t>instructs 5</w:t>
            </w:r>
            <w:r w:rsidR="00C64111" w:rsidRPr="0042750D">
              <w:rPr>
                <w:b/>
                <w:bCs/>
                <w:sz w:val="24"/>
                <w:szCs w:val="24"/>
              </w:rPr>
              <w:t>)</w:t>
            </w:r>
            <w:r w:rsidRPr="0042750D">
              <w:rPr>
                <w:b/>
                <w:bCs/>
                <w:sz w:val="24"/>
                <w:szCs w:val="24"/>
              </w:rPr>
              <w:t>.</w:t>
            </w:r>
          </w:p>
        </w:tc>
        <w:tc>
          <w:tcPr>
            <w:tcW w:w="1258" w:type="dxa"/>
            <w:tcBorders>
              <w:top w:val="single" w:sz="12" w:space="0" w:color="auto"/>
            </w:tcBorders>
            <w:shd w:val="clear" w:color="auto" w:fill="auto"/>
            <w:vAlign w:val="center"/>
          </w:tcPr>
          <w:p w14:paraId="419DB3C2" w14:textId="3C4F3EAB" w:rsidR="00027F2D" w:rsidRPr="0042750D" w:rsidRDefault="00027F2D" w:rsidP="001338AC">
            <w:pPr>
              <w:pStyle w:val="Tabletext"/>
              <w:jc w:val="center"/>
              <w:rPr>
                <w:b/>
                <w:bCs/>
                <w:sz w:val="24"/>
                <w:szCs w:val="24"/>
              </w:rPr>
            </w:pPr>
            <w:r w:rsidRPr="0042750D">
              <w:rPr>
                <w:b/>
                <w:bCs/>
                <w:sz w:val="24"/>
                <w:szCs w:val="24"/>
              </w:rPr>
              <w:t>Council</w:t>
            </w:r>
          </w:p>
        </w:tc>
        <w:tc>
          <w:tcPr>
            <w:tcW w:w="1166" w:type="dxa"/>
            <w:tcBorders>
              <w:top w:val="single" w:sz="12" w:space="0" w:color="auto"/>
            </w:tcBorders>
            <w:shd w:val="clear" w:color="auto" w:fill="auto"/>
            <w:vAlign w:val="center"/>
          </w:tcPr>
          <w:p w14:paraId="5A05E30E" w14:textId="4B5771D2" w:rsidR="00027F2D" w:rsidRPr="0042750D" w:rsidDel="00B95E1F" w:rsidRDefault="00F604AE" w:rsidP="001338AC">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2EE4782A" w14:textId="77777777" w:rsidR="00027F2D" w:rsidRPr="0042750D" w:rsidRDefault="00027F2D" w:rsidP="001338AC">
            <w:pPr>
              <w:pStyle w:val="Tabletext"/>
              <w:jc w:val="center"/>
              <w:rPr>
                <w:b/>
                <w:bCs/>
                <w:sz w:val="24"/>
                <w:szCs w:val="24"/>
              </w:rPr>
            </w:pPr>
          </w:p>
        </w:tc>
      </w:tr>
      <w:tr w:rsidR="00027F2D" w:rsidRPr="0042750D" w14:paraId="3426337C" w14:textId="77777777" w:rsidTr="005A429E">
        <w:trPr>
          <w:jc w:val="center"/>
        </w:trPr>
        <w:tc>
          <w:tcPr>
            <w:tcW w:w="913" w:type="dxa"/>
            <w:vMerge/>
            <w:shd w:val="clear" w:color="auto" w:fill="auto"/>
          </w:tcPr>
          <w:p w14:paraId="2B7FBC7F" w14:textId="77777777" w:rsidR="00027F2D" w:rsidRPr="0042750D" w:rsidRDefault="00027F2D" w:rsidP="001338AC">
            <w:pPr>
              <w:pStyle w:val="Tabletext"/>
              <w:rPr>
                <w:b/>
                <w:bCs/>
                <w:sz w:val="24"/>
                <w:szCs w:val="24"/>
              </w:rPr>
            </w:pPr>
          </w:p>
        </w:tc>
        <w:tc>
          <w:tcPr>
            <w:tcW w:w="8919" w:type="dxa"/>
            <w:gridSpan w:val="4"/>
            <w:tcBorders>
              <w:top w:val="single" w:sz="12" w:space="0" w:color="auto"/>
            </w:tcBorders>
            <w:shd w:val="clear" w:color="auto" w:fill="auto"/>
          </w:tcPr>
          <w:p w14:paraId="76D067AC" w14:textId="4CD9E77B" w:rsidR="00027F2D" w:rsidRPr="0042750D" w:rsidRDefault="00F604AE" w:rsidP="001338AC">
            <w:pPr>
              <w:pStyle w:val="Tabletext"/>
              <w:rPr>
                <w:bCs/>
                <w:sz w:val="24"/>
                <w:szCs w:val="24"/>
              </w:rPr>
            </w:pPr>
            <w:r w:rsidRPr="0042750D">
              <w:rPr>
                <w:szCs w:val="22"/>
              </w:rPr>
              <w:t xml:space="preserve">See </w:t>
            </w:r>
            <w:hyperlink r:id="rId83" w:history="1">
              <w:r w:rsidRPr="0042750D">
                <w:rPr>
                  <w:rStyle w:val="Hyperlink"/>
                  <w:szCs w:val="22"/>
                </w:rPr>
                <w:t>C19/35</w:t>
              </w:r>
            </w:hyperlink>
            <w:r w:rsidRPr="0042750D">
              <w:rPr>
                <w:szCs w:val="22"/>
              </w:rPr>
              <w:t xml:space="preserve"> Annex 1.</w:t>
            </w:r>
          </w:p>
        </w:tc>
      </w:tr>
      <w:tr w:rsidR="00027F2D" w:rsidRPr="0042750D" w14:paraId="6FB52200" w14:textId="77777777" w:rsidTr="005A429E">
        <w:trPr>
          <w:jc w:val="center"/>
        </w:trPr>
        <w:tc>
          <w:tcPr>
            <w:tcW w:w="913" w:type="dxa"/>
            <w:vMerge w:val="restart"/>
            <w:tcBorders>
              <w:top w:val="single" w:sz="12" w:space="0" w:color="auto"/>
              <w:left w:val="single" w:sz="12" w:space="0" w:color="auto"/>
              <w:right w:val="single" w:sz="4" w:space="0" w:color="auto"/>
            </w:tcBorders>
            <w:shd w:val="clear" w:color="auto" w:fill="auto"/>
          </w:tcPr>
          <w:p w14:paraId="372A615E" w14:textId="361170F4" w:rsidR="00027F2D" w:rsidRPr="0042750D" w:rsidRDefault="00027F2D" w:rsidP="005A429E">
            <w:pPr>
              <w:pStyle w:val="Tabletext"/>
              <w:keepNext/>
              <w:keepLines/>
              <w:rPr>
                <w:b/>
                <w:bCs/>
                <w:sz w:val="24"/>
                <w:szCs w:val="24"/>
              </w:rPr>
            </w:pPr>
            <w:r w:rsidRPr="0042750D">
              <w:rPr>
                <w:b/>
                <w:bCs/>
                <w:sz w:val="24"/>
                <w:szCs w:val="24"/>
              </w:rPr>
              <w:t>177-10</w:t>
            </w:r>
          </w:p>
        </w:tc>
        <w:tc>
          <w:tcPr>
            <w:tcW w:w="5157" w:type="dxa"/>
            <w:tcBorders>
              <w:top w:val="single" w:sz="12" w:space="0" w:color="auto"/>
              <w:left w:val="single" w:sz="4" w:space="0" w:color="auto"/>
              <w:bottom w:val="single" w:sz="12" w:space="0" w:color="auto"/>
              <w:right w:val="single" w:sz="4" w:space="0" w:color="auto"/>
            </w:tcBorders>
            <w:shd w:val="clear" w:color="auto" w:fill="auto"/>
          </w:tcPr>
          <w:p w14:paraId="33706D18" w14:textId="5405BF6C" w:rsidR="00027F2D" w:rsidRPr="0042750D" w:rsidRDefault="00027F2D" w:rsidP="005A429E">
            <w:pPr>
              <w:pStyle w:val="Tabletext"/>
              <w:keepNext/>
              <w:keepLines/>
              <w:rPr>
                <w:b/>
                <w:bCs/>
                <w:sz w:val="24"/>
                <w:szCs w:val="24"/>
              </w:rPr>
            </w:pPr>
            <w:r w:rsidRPr="0042750D">
              <w:rPr>
                <w:b/>
                <w:bCs/>
                <w:sz w:val="24"/>
                <w:szCs w:val="24"/>
              </w:rPr>
              <w:t>TSBDir to implement the Action Plan agreed by the Council at its 2012 session and revised by the Council at its 2013 session</w:t>
            </w:r>
            <w:r w:rsidR="00444C1D" w:rsidRPr="0042750D">
              <w:rPr>
                <w:b/>
                <w:bCs/>
                <w:sz w:val="24"/>
                <w:szCs w:val="24"/>
              </w:rPr>
              <w:t xml:space="preserve"> (</w:t>
            </w:r>
            <w:r w:rsidR="00444C1D" w:rsidRPr="0042750D">
              <w:rPr>
                <w:b/>
                <w:bCs/>
                <w:i/>
                <w:sz w:val="24"/>
                <w:szCs w:val="24"/>
              </w:rPr>
              <w:t>instructs 6</w:t>
            </w:r>
            <w:r w:rsidR="00444C1D" w:rsidRPr="0042750D">
              <w:rPr>
                <w:b/>
                <w:bCs/>
                <w:sz w:val="24"/>
                <w:szCs w:val="24"/>
              </w:rPr>
              <w:t>)</w:t>
            </w:r>
            <w:r w:rsidRPr="0042750D">
              <w:rPr>
                <w:b/>
                <w:bCs/>
                <w:sz w:val="24"/>
                <w:szCs w:val="24"/>
              </w:rPr>
              <w:t>.</w:t>
            </w:r>
          </w:p>
        </w:tc>
        <w:tc>
          <w:tcPr>
            <w:tcW w:w="1258" w:type="dxa"/>
            <w:tcBorders>
              <w:top w:val="single" w:sz="12" w:space="0" w:color="auto"/>
              <w:left w:val="single" w:sz="4" w:space="0" w:color="auto"/>
              <w:bottom w:val="single" w:sz="12" w:space="0" w:color="auto"/>
              <w:right w:val="single" w:sz="4" w:space="0" w:color="auto"/>
            </w:tcBorders>
            <w:shd w:val="clear" w:color="auto" w:fill="auto"/>
            <w:vAlign w:val="center"/>
          </w:tcPr>
          <w:p w14:paraId="7B15FB85" w14:textId="77777777" w:rsidR="00027F2D" w:rsidRPr="0042750D" w:rsidRDefault="00027F2D" w:rsidP="005A429E">
            <w:pPr>
              <w:pStyle w:val="Tabletext"/>
              <w:keepNext/>
              <w:keepLines/>
              <w:jc w:val="center"/>
              <w:rPr>
                <w:b/>
                <w:bCs/>
                <w:sz w:val="24"/>
                <w:szCs w:val="24"/>
              </w:rPr>
            </w:pPr>
            <w:r w:rsidRPr="0042750D">
              <w:rPr>
                <w:b/>
                <w:bCs/>
                <w:sz w:val="24"/>
                <w:szCs w:val="24"/>
              </w:rPr>
              <w:t>Ongoing</w:t>
            </w:r>
          </w:p>
        </w:tc>
        <w:tc>
          <w:tcPr>
            <w:tcW w:w="1166" w:type="dxa"/>
            <w:tcBorders>
              <w:top w:val="single" w:sz="12" w:space="0" w:color="auto"/>
              <w:left w:val="single" w:sz="4" w:space="0" w:color="auto"/>
              <w:bottom w:val="single" w:sz="12" w:space="0" w:color="auto"/>
              <w:right w:val="single" w:sz="4" w:space="0" w:color="auto"/>
            </w:tcBorders>
            <w:shd w:val="clear" w:color="auto" w:fill="auto"/>
            <w:vAlign w:val="center"/>
          </w:tcPr>
          <w:p w14:paraId="155F1A4D" w14:textId="31544451" w:rsidR="00027F2D" w:rsidRPr="0042750D" w:rsidDel="00B95E1F" w:rsidRDefault="00DD4E80" w:rsidP="005A429E">
            <w:pPr>
              <w:pStyle w:val="Tabletext"/>
              <w:keepNext/>
              <w:keepLines/>
              <w:jc w:val="center"/>
              <w:rPr>
                <w:b/>
                <w:bCs/>
                <w:sz w:val="24"/>
                <w:szCs w:val="24"/>
              </w:rPr>
            </w:pPr>
            <w:r w:rsidRPr="0042750D">
              <w:rPr>
                <w:b/>
                <w:bCs/>
                <w:sz w:val="24"/>
                <w:szCs w:val="24"/>
              </w:rPr>
              <w:t>√</w:t>
            </w:r>
          </w:p>
        </w:tc>
        <w:tc>
          <w:tcPr>
            <w:tcW w:w="1338" w:type="dxa"/>
            <w:tcBorders>
              <w:top w:val="single" w:sz="12" w:space="0" w:color="auto"/>
              <w:left w:val="single" w:sz="4" w:space="0" w:color="auto"/>
              <w:bottom w:val="single" w:sz="12" w:space="0" w:color="auto"/>
              <w:right w:val="single" w:sz="12" w:space="0" w:color="auto"/>
            </w:tcBorders>
            <w:shd w:val="clear" w:color="auto" w:fill="auto"/>
            <w:vAlign w:val="center"/>
          </w:tcPr>
          <w:p w14:paraId="7C80AE8C" w14:textId="77777777" w:rsidR="00027F2D" w:rsidRPr="0042750D" w:rsidRDefault="00027F2D" w:rsidP="005A429E">
            <w:pPr>
              <w:pStyle w:val="Tabletext"/>
              <w:keepNext/>
              <w:keepLines/>
              <w:jc w:val="center"/>
              <w:rPr>
                <w:b/>
                <w:bCs/>
                <w:sz w:val="24"/>
                <w:szCs w:val="24"/>
              </w:rPr>
            </w:pPr>
          </w:p>
        </w:tc>
      </w:tr>
      <w:tr w:rsidR="00027F2D" w:rsidRPr="0042750D" w14:paraId="17551123" w14:textId="77777777" w:rsidTr="005A429E">
        <w:trPr>
          <w:jc w:val="center"/>
        </w:trPr>
        <w:tc>
          <w:tcPr>
            <w:tcW w:w="913" w:type="dxa"/>
            <w:vMerge/>
            <w:tcBorders>
              <w:left w:val="single" w:sz="12" w:space="0" w:color="auto"/>
              <w:bottom w:val="single" w:sz="12" w:space="0" w:color="auto"/>
              <w:right w:val="single" w:sz="4" w:space="0" w:color="auto"/>
            </w:tcBorders>
            <w:shd w:val="clear" w:color="auto" w:fill="auto"/>
          </w:tcPr>
          <w:p w14:paraId="1AD9F52C" w14:textId="77777777" w:rsidR="00027F2D" w:rsidRPr="0042750D" w:rsidRDefault="00027F2D" w:rsidP="005A429E">
            <w:pPr>
              <w:pStyle w:val="Tabletext"/>
              <w:keepNext/>
              <w:keepLines/>
              <w:rPr>
                <w:b/>
                <w:bCs/>
                <w:sz w:val="24"/>
                <w:szCs w:val="24"/>
              </w:rPr>
            </w:pPr>
          </w:p>
        </w:tc>
        <w:tc>
          <w:tcPr>
            <w:tcW w:w="8919" w:type="dxa"/>
            <w:gridSpan w:val="4"/>
            <w:tcBorders>
              <w:top w:val="single" w:sz="12" w:space="0" w:color="auto"/>
              <w:left w:val="single" w:sz="4" w:space="0" w:color="auto"/>
              <w:bottom w:val="single" w:sz="12" w:space="0" w:color="auto"/>
              <w:right w:val="single" w:sz="12" w:space="0" w:color="auto"/>
            </w:tcBorders>
            <w:shd w:val="clear" w:color="auto" w:fill="auto"/>
          </w:tcPr>
          <w:p w14:paraId="1C417C95" w14:textId="269C9AB3" w:rsidR="00027F2D" w:rsidRPr="0042750D" w:rsidRDefault="00DD4E80" w:rsidP="005A429E">
            <w:pPr>
              <w:pStyle w:val="Tabletext"/>
              <w:keepNext/>
              <w:keepLines/>
              <w:rPr>
                <w:bCs/>
                <w:szCs w:val="22"/>
              </w:rPr>
            </w:pPr>
            <w:r w:rsidRPr="0042750D">
              <w:rPr>
                <w:bCs/>
                <w:szCs w:val="22"/>
              </w:rPr>
              <w:t xml:space="preserve">TSB implements the C&amp;I Programme according to the </w:t>
            </w:r>
            <w:r w:rsidR="00080297" w:rsidRPr="0042750D">
              <w:rPr>
                <w:bCs/>
                <w:szCs w:val="22"/>
              </w:rPr>
              <w:t xml:space="preserve">C&amp;I </w:t>
            </w:r>
            <w:r w:rsidRPr="0042750D">
              <w:rPr>
                <w:bCs/>
                <w:szCs w:val="22"/>
              </w:rPr>
              <w:t>Action Plan.</w:t>
            </w:r>
          </w:p>
        </w:tc>
      </w:tr>
    </w:tbl>
    <w:p w14:paraId="1048F661"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335A27EF" w14:textId="5E45DD51" w:rsidR="00F0236A" w:rsidRPr="0042750D" w:rsidRDefault="00AB1E12" w:rsidP="008C7A96">
      <w:pPr>
        <w:pStyle w:val="Heading1"/>
        <w:keepNext/>
        <w:keepLines/>
        <w:rPr>
          <w:sz w:val="24"/>
          <w:szCs w:val="24"/>
          <w:lang w:val="en-GB"/>
        </w:rPr>
      </w:pPr>
      <w:bookmarkStart w:id="250" w:name="Resolution_73"/>
      <w:bookmarkStart w:id="251" w:name="_Toc30749177"/>
      <w:bookmarkEnd w:id="250"/>
      <w:r w:rsidRPr="0042750D">
        <w:rPr>
          <w:sz w:val="24"/>
          <w:szCs w:val="24"/>
          <w:lang w:val="en-GB"/>
        </w:rPr>
        <w:t>RESOLUTION 178 (Guadalajara, 2010) – ITU role in organizing the work on technical aspects of telecommunication networks to support the Internet</w:t>
      </w:r>
      <w:bookmarkEnd w:id="251"/>
    </w:p>
    <w:p w14:paraId="20DA75F0" w14:textId="77777777" w:rsidR="00AB1E12" w:rsidRPr="0042750D" w:rsidRDefault="00AB1E12" w:rsidP="008C7A96">
      <w:pPr>
        <w:pStyle w:val="Call"/>
        <w:rPr>
          <w:rFonts w:eastAsia="MS Mincho"/>
          <w:szCs w:val="22"/>
          <w:lang w:val="en-GB" w:eastAsia="ja-JP"/>
        </w:rPr>
      </w:pPr>
      <w:r w:rsidRPr="0042750D">
        <w:rPr>
          <w:rFonts w:eastAsia="MS Mincho"/>
          <w:szCs w:val="22"/>
          <w:lang w:val="en-GB" w:eastAsia="ja-JP"/>
        </w:rPr>
        <w:t>resolves</w:t>
      </w:r>
    </w:p>
    <w:p w14:paraId="77EB297D" w14:textId="77777777" w:rsidR="00AB1E12" w:rsidRPr="0042750D" w:rsidRDefault="00AB1E12" w:rsidP="008C7A96">
      <w:pPr>
        <w:keepNext/>
        <w:keepLines/>
        <w:rPr>
          <w:rFonts w:eastAsia="MS Mincho"/>
          <w:szCs w:val="22"/>
        </w:rPr>
      </w:pPr>
      <w:r w:rsidRPr="0042750D">
        <w:rPr>
          <w:szCs w:val="22"/>
        </w:rPr>
        <w:t xml:space="preserve">that ITU shall continue to adapt, working </w:t>
      </w:r>
      <w:r w:rsidRPr="0042750D">
        <w:rPr>
          <w:rFonts w:eastAsia="MS Mincho"/>
          <w:szCs w:val="22"/>
        </w:rPr>
        <w:t>in a coordinated and transparent manner on development of the technical aspects of telecommunication networks for supporting the Internet, in order to help advance network evolution, capacity, continuity, interoperability and security, through contribution-based work,</w:t>
      </w:r>
    </w:p>
    <w:p w14:paraId="13A38E2F" w14:textId="77777777" w:rsidR="00AB1E12" w:rsidRPr="0042750D" w:rsidRDefault="00AB1E12" w:rsidP="00AB1E12">
      <w:pPr>
        <w:pStyle w:val="Call"/>
        <w:rPr>
          <w:rFonts w:eastAsia="MS Mincho"/>
          <w:szCs w:val="22"/>
          <w:lang w:val="en-GB" w:eastAsia="ja-JP"/>
        </w:rPr>
      </w:pPr>
      <w:r w:rsidRPr="0042750D">
        <w:rPr>
          <w:rFonts w:eastAsia="MS Mincho"/>
          <w:szCs w:val="22"/>
          <w:lang w:val="en-GB" w:eastAsia="ja-JP"/>
        </w:rPr>
        <w:t>instructs the Secretary-General and the Directors of the Bureaux</w:t>
      </w:r>
    </w:p>
    <w:p w14:paraId="0492589A" w14:textId="77777777" w:rsidR="00AB1E12" w:rsidRPr="0042750D" w:rsidRDefault="00AB1E12" w:rsidP="00AB1E12">
      <w:pPr>
        <w:rPr>
          <w:szCs w:val="22"/>
        </w:rPr>
      </w:pPr>
      <w:r w:rsidRPr="0042750D">
        <w:rPr>
          <w:szCs w:val="22"/>
        </w:rPr>
        <w:t>to continue taking all necessary measures for ITU to fulfil its role in organizing the work on aspects of telecommunication networks to support Internet,</w:t>
      </w:r>
    </w:p>
    <w:p w14:paraId="7D5DAFE8" w14:textId="77777777" w:rsidR="00AB1E12" w:rsidRPr="0042750D" w:rsidRDefault="00AB1E12" w:rsidP="00AB1E12">
      <w:pPr>
        <w:pStyle w:val="Call"/>
        <w:rPr>
          <w:rFonts w:eastAsia="MS Mincho"/>
          <w:szCs w:val="22"/>
          <w:lang w:val="en-GB" w:eastAsia="ja-JP"/>
        </w:rPr>
      </w:pPr>
      <w:r w:rsidRPr="0042750D">
        <w:rPr>
          <w:rFonts w:eastAsia="MS Mincho"/>
          <w:szCs w:val="22"/>
          <w:lang w:val="en-GB" w:eastAsia="ja-JP"/>
        </w:rPr>
        <w:t>instructs the Director of the Telecommunication Standardization Bureau, in consultation with the Telecommunication Standardization Advisory Group</w:t>
      </w:r>
    </w:p>
    <w:p w14:paraId="0E325EAE" w14:textId="77777777" w:rsidR="00AB1E12" w:rsidRPr="0042750D" w:rsidRDefault="00AB1E12" w:rsidP="00AB1E12">
      <w:pPr>
        <w:rPr>
          <w:szCs w:val="22"/>
        </w:rPr>
      </w:pPr>
      <w:r w:rsidRPr="0042750D">
        <w:rPr>
          <w:szCs w:val="22"/>
        </w:rPr>
        <w:t>1</w:t>
      </w:r>
      <w:r w:rsidRPr="0042750D">
        <w:rPr>
          <w:szCs w:val="22"/>
        </w:rPr>
        <w:tab/>
        <w:t>to convene open consultations about contributions that ITU-T could provide to the implementation of WSIS;</w:t>
      </w:r>
    </w:p>
    <w:p w14:paraId="3D66F561" w14:textId="77777777" w:rsidR="00AB1E12" w:rsidRPr="0042750D" w:rsidRDefault="00AB1E12" w:rsidP="00AB1E12">
      <w:pPr>
        <w:rPr>
          <w:szCs w:val="22"/>
        </w:rPr>
      </w:pPr>
      <w:r w:rsidRPr="0042750D">
        <w:rPr>
          <w:szCs w:val="22"/>
        </w:rPr>
        <w:t>2</w:t>
      </w:r>
      <w:r w:rsidRPr="0042750D">
        <w:rPr>
          <w:szCs w:val="22"/>
        </w:rPr>
        <w:tab/>
        <w:t xml:space="preserve">to evaluate and present a proposal on adjustments to the current structure of ITU-T, in order to fulfil the directive set forth in </w:t>
      </w:r>
      <w:r w:rsidRPr="0042750D">
        <w:rPr>
          <w:i/>
          <w:szCs w:val="22"/>
        </w:rPr>
        <w:t>resolves</w:t>
      </w:r>
      <w:r w:rsidRPr="0042750D">
        <w:rPr>
          <w:szCs w:val="22"/>
        </w:rPr>
        <w:t xml:space="preserve"> above, by possibly suggesting the creation of a specific study group or other group on these matters;</w:t>
      </w:r>
    </w:p>
    <w:p w14:paraId="3488E573" w14:textId="296CA517" w:rsidR="00F0236A" w:rsidRPr="0042750D" w:rsidRDefault="00AB1E12" w:rsidP="00AB1E12">
      <w:pPr>
        <w:spacing w:after="120"/>
        <w:rPr>
          <w:szCs w:val="22"/>
        </w:rPr>
      </w:pPr>
      <w:r w:rsidRPr="0042750D">
        <w:rPr>
          <w:szCs w:val="22"/>
        </w:rPr>
        <w:t>3</w:t>
      </w:r>
      <w:r w:rsidRPr="0042750D">
        <w:rPr>
          <w:szCs w:val="22"/>
        </w:rPr>
        <w:tab/>
        <w:t>to submit, for WTSA-12, the conclusion of the evaluation mentioned in item 2 above</w:t>
      </w:r>
      <w:r w:rsidR="00F0236A" w:rsidRPr="0042750D">
        <w:rPr>
          <w:szCs w:val="22"/>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2"/>
        <w:gridCol w:w="1683"/>
        <w:gridCol w:w="1134"/>
        <w:gridCol w:w="1338"/>
      </w:tblGrid>
      <w:tr w:rsidR="00F0236A" w:rsidRPr="0042750D" w14:paraId="33EA2DB9" w14:textId="77777777" w:rsidTr="008A0C77">
        <w:trPr>
          <w:jc w:val="center"/>
        </w:trPr>
        <w:tc>
          <w:tcPr>
            <w:tcW w:w="905" w:type="dxa"/>
            <w:tcBorders>
              <w:top w:val="single" w:sz="12" w:space="0" w:color="auto"/>
              <w:bottom w:val="single" w:sz="12" w:space="0" w:color="auto"/>
            </w:tcBorders>
            <w:shd w:val="clear" w:color="auto" w:fill="auto"/>
            <w:vAlign w:val="center"/>
          </w:tcPr>
          <w:p w14:paraId="02D74CEA" w14:textId="77777777" w:rsidR="00F0236A" w:rsidRPr="0042750D" w:rsidRDefault="00F0236A" w:rsidP="008C7A96">
            <w:pPr>
              <w:pStyle w:val="Tablehead"/>
              <w:keepNext w:val="0"/>
              <w:rPr>
                <w:sz w:val="24"/>
                <w:szCs w:val="24"/>
              </w:rPr>
            </w:pPr>
            <w:r w:rsidRPr="0042750D">
              <w:rPr>
                <w:sz w:val="24"/>
                <w:szCs w:val="24"/>
              </w:rPr>
              <w:t>Action Item</w:t>
            </w:r>
          </w:p>
        </w:tc>
        <w:tc>
          <w:tcPr>
            <w:tcW w:w="4772" w:type="dxa"/>
            <w:tcBorders>
              <w:top w:val="single" w:sz="12" w:space="0" w:color="auto"/>
              <w:bottom w:val="single" w:sz="12" w:space="0" w:color="auto"/>
            </w:tcBorders>
            <w:shd w:val="clear" w:color="auto" w:fill="auto"/>
            <w:vAlign w:val="center"/>
            <w:hideMark/>
          </w:tcPr>
          <w:p w14:paraId="18AE6236" w14:textId="77777777" w:rsidR="00F0236A" w:rsidRPr="0042750D" w:rsidRDefault="00F0236A" w:rsidP="00DF36E1">
            <w:pPr>
              <w:pStyle w:val="Tablehead"/>
              <w:keepLines/>
              <w:rPr>
                <w:sz w:val="24"/>
                <w:szCs w:val="24"/>
              </w:rPr>
            </w:pPr>
            <w:r w:rsidRPr="0042750D">
              <w:rPr>
                <w:sz w:val="24"/>
                <w:szCs w:val="24"/>
              </w:rPr>
              <w:t>Action</w:t>
            </w:r>
          </w:p>
        </w:tc>
        <w:tc>
          <w:tcPr>
            <w:tcW w:w="1683" w:type="dxa"/>
            <w:tcBorders>
              <w:top w:val="single" w:sz="12" w:space="0" w:color="auto"/>
              <w:bottom w:val="single" w:sz="12" w:space="0" w:color="auto"/>
            </w:tcBorders>
            <w:shd w:val="clear" w:color="auto" w:fill="auto"/>
            <w:vAlign w:val="center"/>
            <w:hideMark/>
          </w:tcPr>
          <w:p w14:paraId="74FA63BE" w14:textId="77777777" w:rsidR="00F0236A" w:rsidRPr="0042750D" w:rsidRDefault="00F0236A" w:rsidP="00DF36E1">
            <w:pPr>
              <w:pStyle w:val="Tablehead"/>
              <w:keepLines/>
              <w:rPr>
                <w:sz w:val="24"/>
                <w:szCs w:val="24"/>
              </w:rPr>
            </w:pPr>
            <w:r w:rsidRPr="0042750D">
              <w:rPr>
                <w:sz w:val="24"/>
                <w:szCs w:val="24"/>
              </w:rPr>
              <w:t>Milestone</w:t>
            </w:r>
          </w:p>
        </w:tc>
        <w:tc>
          <w:tcPr>
            <w:tcW w:w="1134" w:type="dxa"/>
            <w:tcBorders>
              <w:top w:val="single" w:sz="12" w:space="0" w:color="auto"/>
              <w:bottom w:val="single" w:sz="12" w:space="0" w:color="auto"/>
            </w:tcBorders>
            <w:shd w:val="clear" w:color="auto" w:fill="auto"/>
          </w:tcPr>
          <w:p w14:paraId="44D174B9" w14:textId="77777777" w:rsidR="00F0236A" w:rsidRPr="0042750D" w:rsidRDefault="00F0236A" w:rsidP="00DF36E1">
            <w:pPr>
              <w:pStyle w:val="Tablehead"/>
              <w:keepLines/>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277AB0F" w14:textId="77777777" w:rsidR="00F0236A" w:rsidRPr="0042750D" w:rsidRDefault="00F0236A" w:rsidP="00DF36E1">
            <w:pPr>
              <w:pStyle w:val="Tablehead"/>
              <w:keepLines/>
              <w:rPr>
                <w:sz w:val="24"/>
                <w:szCs w:val="24"/>
              </w:rPr>
            </w:pPr>
            <w:r w:rsidRPr="0042750D">
              <w:rPr>
                <w:sz w:val="24"/>
                <w:szCs w:val="24"/>
              </w:rPr>
              <w:t>Completed</w:t>
            </w:r>
          </w:p>
        </w:tc>
      </w:tr>
      <w:tr w:rsidR="00F0236A" w:rsidRPr="0042750D" w14:paraId="7772D1B1" w14:textId="77777777" w:rsidTr="008A0C77">
        <w:trPr>
          <w:jc w:val="center"/>
        </w:trPr>
        <w:tc>
          <w:tcPr>
            <w:tcW w:w="905" w:type="dxa"/>
            <w:vMerge w:val="restart"/>
            <w:tcBorders>
              <w:top w:val="single" w:sz="12" w:space="0" w:color="auto"/>
            </w:tcBorders>
            <w:shd w:val="clear" w:color="auto" w:fill="auto"/>
          </w:tcPr>
          <w:p w14:paraId="39E8F2CA" w14:textId="67273239" w:rsidR="00F0236A" w:rsidRPr="0042750D" w:rsidRDefault="00AB1E12" w:rsidP="0040420B">
            <w:pPr>
              <w:pStyle w:val="Tabletext"/>
              <w:rPr>
                <w:b/>
                <w:bCs/>
                <w:sz w:val="24"/>
                <w:szCs w:val="24"/>
              </w:rPr>
            </w:pPr>
            <w:r w:rsidRPr="0042750D">
              <w:rPr>
                <w:b/>
                <w:bCs/>
                <w:sz w:val="24"/>
                <w:szCs w:val="24"/>
              </w:rPr>
              <w:t>178</w:t>
            </w:r>
            <w:r w:rsidR="00F0236A" w:rsidRPr="0042750D">
              <w:rPr>
                <w:b/>
                <w:bCs/>
                <w:sz w:val="24"/>
                <w:szCs w:val="24"/>
              </w:rPr>
              <w:t>-01</w:t>
            </w:r>
          </w:p>
        </w:tc>
        <w:tc>
          <w:tcPr>
            <w:tcW w:w="4772" w:type="dxa"/>
            <w:tcBorders>
              <w:top w:val="single" w:sz="12" w:space="0" w:color="auto"/>
              <w:bottom w:val="single" w:sz="2" w:space="0" w:color="auto"/>
            </w:tcBorders>
            <w:shd w:val="clear" w:color="auto" w:fill="auto"/>
            <w:hideMark/>
          </w:tcPr>
          <w:p w14:paraId="38B70E65" w14:textId="7C1C6E2B" w:rsidR="00F0236A" w:rsidRPr="0042750D" w:rsidRDefault="008A0C77" w:rsidP="0040420B">
            <w:pPr>
              <w:pStyle w:val="Tabletext"/>
              <w:rPr>
                <w:b/>
                <w:bCs/>
                <w:sz w:val="24"/>
                <w:szCs w:val="24"/>
              </w:rPr>
            </w:pPr>
            <w:r w:rsidRPr="0042750D">
              <w:rPr>
                <w:b/>
                <w:bCs/>
                <w:sz w:val="24"/>
                <w:szCs w:val="24"/>
              </w:rPr>
              <w:t>ITU-T to c</w:t>
            </w:r>
            <w:r w:rsidR="00BD5F31" w:rsidRPr="0042750D">
              <w:rPr>
                <w:b/>
                <w:bCs/>
                <w:sz w:val="24"/>
                <w:szCs w:val="24"/>
              </w:rPr>
              <w:t>ontinue to adapt, working on development of technical aspects of telecom networks for supporting the Internet, to help advance network evolution, capacity, continuity, interoperability and security</w:t>
            </w:r>
            <w:r w:rsidR="00444C1D" w:rsidRPr="0042750D">
              <w:rPr>
                <w:b/>
                <w:bCs/>
                <w:sz w:val="24"/>
                <w:szCs w:val="24"/>
              </w:rPr>
              <w:t xml:space="preserve"> (</w:t>
            </w:r>
            <w:r w:rsidR="00444C1D" w:rsidRPr="0042750D">
              <w:rPr>
                <w:b/>
                <w:bCs/>
                <w:i/>
                <w:sz w:val="24"/>
                <w:szCs w:val="24"/>
              </w:rPr>
              <w:t>resolves</w:t>
            </w:r>
            <w:r w:rsidR="00444C1D" w:rsidRPr="0042750D">
              <w:rPr>
                <w:b/>
                <w:bCs/>
                <w:sz w:val="24"/>
                <w:szCs w:val="24"/>
              </w:rPr>
              <w:t>)</w:t>
            </w:r>
            <w:r w:rsidRPr="0042750D">
              <w:rPr>
                <w:b/>
                <w:bCs/>
                <w:sz w:val="24"/>
                <w:szCs w:val="24"/>
              </w:rPr>
              <w:t>.</w:t>
            </w:r>
          </w:p>
        </w:tc>
        <w:tc>
          <w:tcPr>
            <w:tcW w:w="1683" w:type="dxa"/>
            <w:tcBorders>
              <w:top w:val="single" w:sz="12" w:space="0" w:color="auto"/>
              <w:bottom w:val="single" w:sz="2" w:space="0" w:color="auto"/>
            </w:tcBorders>
            <w:shd w:val="clear" w:color="auto" w:fill="auto"/>
            <w:vAlign w:val="center"/>
            <w:hideMark/>
          </w:tcPr>
          <w:p w14:paraId="61AFF874" w14:textId="77777777" w:rsidR="00F0236A" w:rsidRPr="0042750D" w:rsidRDefault="00F0236A" w:rsidP="0040420B">
            <w:pPr>
              <w:pStyle w:val="Tabletext"/>
              <w:jc w:val="center"/>
              <w:rPr>
                <w:b/>
                <w:bCs/>
                <w:sz w:val="24"/>
                <w:szCs w:val="24"/>
              </w:rPr>
            </w:pPr>
            <w:r w:rsidRPr="0042750D">
              <w:rPr>
                <w:b/>
                <w:bCs/>
                <w:sz w:val="24"/>
                <w:szCs w:val="24"/>
              </w:rPr>
              <w:t>Ongoing</w:t>
            </w:r>
          </w:p>
        </w:tc>
        <w:tc>
          <w:tcPr>
            <w:tcW w:w="1134" w:type="dxa"/>
            <w:tcBorders>
              <w:top w:val="single" w:sz="12" w:space="0" w:color="auto"/>
              <w:bottom w:val="single" w:sz="2" w:space="0" w:color="auto"/>
            </w:tcBorders>
            <w:shd w:val="clear" w:color="auto" w:fill="auto"/>
            <w:vAlign w:val="center"/>
          </w:tcPr>
          <w:p w14:paraId="36DB6A16" w14:textId="51065C26" w:rsidR="00F0236A" w:rsidRPr="0042750D" w:rsidRDefault="00DE6CBD" w:rsidP="0040420B">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1A818FB5" w14:textId="77777777" w:rsidR="00F0236A" w:rsidRPr="0042750D" w:rsidRDefault="00F0236A" w:rsidP="0040420B">
            <w:pPr>
              <w:pStyle w:val="Tabletext"/>
              <w:jc w:val="center"/>
              <w:rPr>
                <w:b/>
                <w:bCs/>
                <w:sz w:val="24"/>
                <w:szCs w:val="24"/>
              </w:rPr>
            </w:pPr>
          </w:p>
        </w:tc>
      </w:tr>
      <w:tr w:rsidR="00F0236A" w:rsidRPr="0042750D" w14:paraId="758901A5" w14:textId="77777777" w:rsidTr="00940582">
        <w:trPr>
          <w:jc w:val="center"/>
        </w:trPr>
        <w:tc>
          <w:tcPr>
            <w:tcW w:w="905" w:type="dxa"/>
            <w:vMerge/>
            <w:tcBorders>
              <w:bottom w:val="single" w:sz="12" w:space="0" w:color="auto"/>
            </w:tcBorders>
            <w:shd w:val="clear" w:color="auto" w:fill="auto"/>
          </w:tcPr>
          <w:p w14:paraId="0AE36352" w14:textId="77777777" w:rsidR="00F0236A" w:rsidRPr="0042750D" w:rsidRDefault="00F0236A" w:rsidP="0040420B">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5D871EC7" w14:textId="7106C941" w:rsidR="003708D5" w:rsidRPr="0042750D" w:rsidRDefault="003708D5" w:rsidP="0074302C">
            <w:pPr>
              <w:pStyle w:val="ListParagraph"/>
              <w:numPr>
                <w:ilvl w:val="0"/>
                <w:numId w:val="5"/>
              </w:numPr>
              <w:spacing w:before="40" w:after="40"/>
              <w:ind w:left="357" w:hanging="357"/>
              <w:contextualSpacing w:val="0"/>
              <w:rPr>
                <w:bCs/>
                <w:szCs w:val="22"/>
              </w:rPr>
            </w:pPr>
            <w:r w:rsidRPr="0042750D">
              <w:rPr>
                <w:bCs/>
                <w:szCs w:val="22"/>
              </w:rPr>
              <w:t>ITU-T SG11 agreed</w:t>
            </w:r>
            <w:r w:rsidRPr="0042750D">
              <w:rPr>
                <w:szCs w:val="22"/>
              </w:rPr>
              <w:t xml:space="preserve"> new Supplement 71 to ITU-T Q-series Recommendations: Testing methodologies of Internet related performance measurements including e2e bit rate within the fixed and mobile operator's networks. Also, SG11 approved new Recommendation ITU-T Q.3916 “Signalling requirements and architecture for the Internet service quality monitoring system”.</w:t>
            </w:r>
          </w:p>
          <w:p w14:paraId="5066098B" w14:textId="4E3C4EDC" w:rsidR="004A6354" w:rsidRPr="0042750D" w:rsidRDefault="002D45D5" w:rsidP="003708D5">
            <w:pPr>
              <w:pStyle w:val="ListParagraph"/>
              <w:numPr>
                <w:ilvl w:val="0"/>
                <w:numId w:val="5"/>
              </w:numPr>
              <w:spacing w:after="40"/>
              <w:ind w:left="357" w:hanging="357"/>
              <w:contextualSpacing w:val="0"/>
              <w:rPr>
                <w:bCs/>
                <w:szCs w:val="22"/>
              </w:rPr>
            </w:pPr>
            <w:r w:rsidRPr="0042750D">
              <w:rPr>
                <w:szCs w:val="22"/>
              </w:rPr>
              <w:t>ITU-</w:t>
            </w:r>
            <w:r w:rsidRPr="0042750D">
              <w:rPr>
                <w:bCs/>
                <w:szCs w:val="22"/>
              </w:rPr>
              <w:t xml:space="preserve">T SG20 </w:t>
            </w:r>
            <w:r w:rsidR="00A265A0" w:rsidRPr="0042750D">
              <w:rPr>
                <w:bCs/>
                <w:szCs w:val="22"/>
              </w:rPr>
              <w:t>approved</w:t>
            </w:r>
            <w:r w:rsidRPr="0042750D">
              <w:rPr>
                <w:bCs/>
                <w:szCs w:val="22"/>
              </w:rPr>
              <w:t xml:space="preserve"> Recommendation ITU-T Y.4459 (ex Y.IoT-Interop) on </w:t>
            </w:r>
            <w:r w:rsidR="009E19F9" w:rsidRPr="0042750D">
              <w:rPr>
                <w:bCs/>
                <w:szCs w:val="22"/>
              </w:rPr>
              <w:t>“</w:t>
            </w:r>
            <w:r w:rsidR="00A265A0" w:rsidRPr="0042750D">
              <w:rPr>
                <w:bCs/>
                <w:szCs w:val="22"/>
              </w:rPr>
              <w:t>Digital entity architecture framework for IoT interoperability</w:t>
            </w:r>
            <w:r w:rsidR="009E19F9" w:rsidRPr="0042750D">
              <w:rPr>
                <w:bCs/>
                <w:szCs w:val="22"/>
              </w:rPr>
              <w:t>”</w:t>
            </w:r>
            <w:r w:rsidR="006C7F29" w:rsidRPr="0042750D">
              <w:rPr>
                <w:bCs/>
                <w:szCs w:val="22"/>
              </w:rPr>
              <w:t>.</w:t>
            </w:r>
            <w:r w:rsidR="00A265A0" w:rsidRPr="0042750D">
              <w:rPr>
                <w:bCs/>
                <w:szCs w:val="22"/>
              </w:rPr>
              <w:t xml:space="preserve"> ITU-T SG20 consented Recommendation ITU-T Y.4209 “Requirements for interoperation of the smart port with the smart city”.</w:t>
            </w:r>
          </w:p>
        </w:tc>
      </w:tr>
      <w:tr w:rsidR="008A0C77" w:rsidRPr="0042750D" w14:paraId="0A8C064E" w14:textId="77777777" w:rsidTr="008A0C77">
        <w:trPr>
          <w:jc w:val="center"/>
        </w:trPr>
        <w:tc>
          <w:tcPr>
            <w:tcW w:w="905" w:type="dxa"/>
            <w:vMerge w:val="restart"/>
            <w:tcBorders>
              <w:top w:val="single" w:sz="12" w:space="0" w:color="auto"/>
            </w:tcBorders>
            <w:shd w:val="clear" w:color="auto" w:fill="auto"/>
          </w:tcPr>
          <w:p w14:paraId="43E0E8B4" w14:textId="33E4B995" w:rsidR="008A0C77" w:rsidRPr="0042750D" w:rsidRDefault="008A0C77" w:rsidP="008A0C77">
            <w:pPr>
              <w:pStyle w:val="Tabletext"/>
              <w:rPr>
                <w:b/>
                <w:bCs/>
                <w:sz w:val="24"/>
                <w:szCs w:val="24"/>
              </w:rPr>
            </w:pPr>
            <w:bookmarkStart w:id="252" w:name="Item73_01"/>
            <w:bookmarkStart w:id="253" w:name="Item73_02"/>
            <w:bookmarkStart w:id="254" w:name="Item73_03"/>
            <w:bookmarkStart w:id="255" w:name="Item73_04"/>
            <w:bookmarkStart w:id="256" w:name="Item73_05"/>
            <w:bookmarkStart w:id="257" w:name="Item73_06"/>
            <w:bookmarkStart w:id="258" w:name="Item73_07"/>
            <w:bookmarkStart w:id="259" w:name="Item73_08"/>
            <w:bookmarkStart w:id="260" w:name="Item73_09"/>
            <w:bookmarkStart w:id="261" w:name="Item73_10"/>
            <w:bookmarkStart w:id="262" w:name="Item73_11"/>
            <w:bookmarkStart w:id="263" w:name="Item73_12"/>
            <w:bookmarkStart w:id="264" w:name="Item73_13"/>
            <w:bookmarkStart w:id="265" w:name="Item73_14"/>
            <w:bookmarkStart w:id="266" w:name="Item73_15"/>
            <w:bookmarkStart w:id="267" w:name="Item73_16"/>
            <w:bookmarkStart w:id="268" w:name="Item73_17"/>
            <w:bookmarkStart w:id="269" w:name="Item73_18"/>
            <w:bookmarkStart w:id="270" w:name="Item73_19"/>
            <w:bookmarkStart w:id="271" w:name="Item73_20"/>
            <w:bookmarkStart w:id="272" w:name="Item73_2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42750D">
              <w:rPr>
                <w:b/>
                <w:bCs/>
                <w:sz w:val="24"/>
                <w:szCs w:val="24"/>
              </w:rPr>
              <w:t>178-02</w:t>
            </w:r>
          </w:p>
        </w:tc>
        <w:tc>
          <w:tcPr>
            <w:tcW w:w="4772" w:type="dxa"/>
            <w:tcBorders>
              <w:top w:val="single" w:sz="12" w:space="0" w:color="auto"/>
              <w:bottom w:val="single" w:sz="2" w:space="0" w:color="auto"/>
            </w:tcBorders>
            <w:shd w:val="clear" w:color="auto" w:fill="auto"/>
            <w:hideMark/>
          </w:tcPr>
          <w:p w14:paraId="264C23D9" w14:textId="4CA140A6" w:rsidR="008A0C77" w:rsidRPr="0042750D" w:rsidRDefault="008A0C77" w:rsidP="008A0C77">
            <w:pPr>
              <w:pStyle w:val="Tabletext"/>
              <w:keepNext/>
              <w:keepLines/>
              <w:rPr>
                <w:b/>
                <w:bCs/>
                <w:sz w:val="24"/>
                <w:szCs w:val="24"/>
              </w:rPr>
            </w:pPr>
            <w:r w:rsidRPr="0042750D">
              <w:rPr>
                <w:b/>
                <w:bCs/>
                <w:sz w:val="24"/>
                <w:szCs w:val="24"/>
              </w:rPr>
              <w:t xml:space="preserve">TSBDir </w:t>
            </w:r>
            <w:r w:rsidRPr="0042750D">
              <w:rPr>
                <w:b/>
                <w:sz w:val="24"/>
                <w:szCs w:val="24"/>
              </w:rPr>
              <w:t>to convene open consultations about contributions that ITU-T could provide to the implementation of WSIS</w:t>
            </w:r>
            <w:r w:rsidR="00444C1D" w:rsidRPr="0042750D">
              <w:rPr>
                <w:b/>
                <w:sz w:val="24"/>
                <w:szCs w:val="24"/>
              </w:rPr>
              <w:t xml:space="preserve"> (</w:t>
            </w:r>
            <w:r w:rsidR="00444C1D" w:rsidRPr="0042750D">
              <w:rPr>
                <w:b/>
                <w:i/>
                <w:sz w:val="24"/>
                <w:szCs w:val="24"/>
              </w:rPr>
              <w:t>instructs 1</w:t>
            </w:r>
            <w:r w:rsidR="00444C1D" w:rsidRPr="0042750D">
              <w:rPr>
                <w:b/>
                <w:sz w:val="24"/>
                <w:szCs w:val="24"/>
              </w:rPr>
              <w:t>)</w:t>
            </w:r>
            <w:r w:rsidRPr="0042750D">
              <w:rPr>
                <w:b/>
                <w:bCs/>
                <w:sz w:val="24"/>
                <w:szCs w:val="24"/>
              </w:rPr>
              <w:t>.</w:t>
            </w:r>
          </w:p>
        </w:tc>
        <w:tc>
          <w:tcPr>
            <w:tcW w:w="1683" w:type="dxa"/>
            <w:tcBorders>
              <w:top w:val="single" w:sz="12" w:space="0" w:color="auto"/>
              <w:bottom w:val="single" w:sz="2" w:space="0" w:color="auto"/>
            </w:tcBorders>
            <w:shd w:val="clear" w:color="auto" w:fill="auto"/>
            <w:vAlign w:val="center"/>
            <w:hideMark/>
          </w:tcPr>
          <w:p w14:paraId="5208093B" w14:textId="77777777" w:rsidR="008A0C77" w:rsidRPr="0042750D" w:rsidRDefault="008A0C77" w:rsidP="00D50A4E">
            <w:pPr>
              <w:pStyle w:val="Tabletext"/>
              <w:keepNext/>
              <w:keepLines/>
              <w:jc w:val="center"/>
              <w:rPr>
                <w:b/>
                <w:bCs/>
                <w:sz w:val="24"/>
                <w:szCs w:val="24"/>
              </w:rPr>
            </w:pPr>
            <w:r w:rsidRPr="0042750D">
              <w:rPr>
                <w:b/>
                <w:bCs/>
                <w:sz w:val="24"/>
                <w:szCs w:val="24"/>
              </w:rPr>
              <w:t>Ongoing</w:t>
            </w:r>
          </w:p>
        </w:tc>
        <w:tc>
          <w:tcPr>
            <w:tcW w:w="1134" w:type="dxa"/>
            <w:tcBorders>
              <w:top w:val="single" w:sz="12" w:space="0" w:color="auto"/>
              <w:bottom w:val="single" w:sz="2" w:space="0" w:color="auto"/>
            </w:tcBorders>
            <w:shd w:val="clear" w:color="auto" w:fill="auto"/>
            <w:vAlign w:val="center"/>
          </w:tcPr>
          <w:p w14:paraId="19570EA1" w14:textId="77777777" w:rsidR="008A0C77" w:rsidRPr="0042750D" w:rsidRDefault="008A0C77" w:rsidP="00D50A4E">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BD8E312" w14:textId="77777777" w:rsidR="008A0C77" w:rsidRPr="0042750D" w:rsidRDefault="008A0C77" w:rsidP="00D50A4E">
            <w:pPr>
              <w:pStyle w:val="Tabletext"/>
              <w:keepNext/>
              <w:keepLines/>
              <w:jc w:val="center"/>
              <w:rPr>
                <w:b/>
                <w:bCs/>
                <w:sz w:val="24"/>
                <w:szCs w:val="24"/>
              </w:rPr>
            </w:pPr>
          </w:p>
        </w:tc>
      </w:tr>
      <w:tr w:rsidR="008A0C77" w:rsidRPr="0042750D" w14:paraId="43204C67" w14:textId="77777777" w:rsidTr="00D50A4E">
        <w:trPr>
          <w:jc w:val="center"/>
        </w:trPr>
        <w:tc>
          <w:tcPr>
            <w:tcW w:w="905" w:type="dxa"/>
            <w:vMerge/>
            <w:tcBorders>
              <w:bottom w:val="single" w:sz="12" w:space="0" w:color="auto"/>
            </w:tcBorders>
            <w:shd w:val="clear" w:color="auto" w:fill="auto"/>
          </w:tcPr>
          <w:p w14:paraId="38DA8CDE" w14:textId="77777777" w:rsidR="008A0C77" w:rsidRPr="0042750D" w:rsidRDefault="008A0C77" w:rsidP="00D50A4E">
            <w:pPr>
              <w:pStyle w:val="Tabletext"/>
              <w:keepNext/>
              <w:keepLines/>
              <w:rPr>
                <w:sz w:val="24"/>
                <w:szCs w:val="24"/>
              </w:rPr>
            </w:pPr>
          </w:p>
        </w:tc>
        <w:tc>
          <w:tcPr>
            <w:tcW w:w="8927" w:type="dxa"/>
            <w:gridSpan w:val="4"/>
            <w:tcBorders>
              <w:top w:val="single" w:sz="2" w:space="0" w:color="auto"/>
              <w:bottom w:val="single" w:sz="12" w:space="0" w:color="auto"/>
            </w:tcBorders>
            <w:shd w:val="clear" w:color="auto" w:fill="auto"/>
          </w:tcPr>
          <w:p w14:paraId="335AF2C5" w14:textId="77777777" w:rsidR="008A0C77" w:rsidRPr="0042750D" w:rsidRDefault="008A0C77" w:rsidP="00D50A4E">
            <w:pPr>
              <w:pStyle w:val="Tabletext"/>
              <w:keepNext/>
              <w:keepLines/>
              <w:rPr>
                <w:szCs w:val="22"/>
              </w:rPr>
            </w:pPr>
          </w:p>
        </w:tc>
      </w:tr>
    </w:tbl>
    <w:p w14:paraId="56CDFBA3"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014EF031" w14:textId="3092250C" w:rsidR="00F0236A" w:rsidRPr="0042750D" w:rsidRDefault="005015A2" w:rsidP="00042B85">
      <w:pPr>
        <w:pStyle w:val="Heading1"/>
        <w:rPr>
          <w:sz w:val="24"/>
          <w:szCs w:val="24"/>
          <w:lang w:val="en-GB"/>
        </w:rPr>
      </w:pPr>
      <w:bookmarkStart w:id="273" w:name="Resolution_74"/>
      <w:bookmarkStart w:id="274" w:name="_Toc30749178"/>
      <w:bookmarkEnd w:id="273"/>
      <w:r w:rsidRPr="0042750D">
        <w:rPr>
          <w:sz w:val="24"/>
          <w:szCs w:val="24"/>
          <w:lang w:val="en-GB"/>
        </w:rPr>
        <w:t>RESOLUTION 179 (REV. DUBAI, 2018) – ITU's role in child online protection</w:t>
      </w:r>
      <w:bookmarkEnd w:id="274"/>
    </w:p>
    <w:p w14:paraId="6897C1C7" w14:textId="77777777" w:rsidR="005015A2" w:rsidRPr="0042750D" w:rsidRDefault="005015A2" w:rsidP="008C7A96">
      <w:pPr>
        <w:pStyle w:val="Call"/>
        <w:keepNext w:val="0"/>
        <w:keepLines w:val="0"/>
        <w:rPr>
          <w:szCs w:val="22"/>
          <w:lang w:val="en-GB"/>
        </w:rPr>
      </w:pPr>
      <w:r w:rsidRPr="0042750D">
        <w:rPr>
          <w:szCs w:val="22"/>
          <w:lang w:val="en-GB"/>
        </w:rPr>
        <w:t>resolves</w:t>
      </w:r>
    </w:p>
    <w:p w14:paraId="20F1D892" w14:textId="77777777" w:rsidR="005015A2" w:rsidRPr="0042750D" w:rsidRDefault="005015A2" w:rsidP="005015A2">
      <w:pPr>
        <w:rPr>
          <w:szCs w:val="22"/>
        </w:rPr>
      </w:pPr>
      <w:r w:rsidRPr="0042750D">
        <w:rPr>
          <w:szCs w:val="22"/>
        </w:rPr>
        <w:t>1</w:t>
      </w:r>
      <w:r w:rsidRPr="0042750D">
        <w:rPr>
          <w:szCs w:val="22"/>
        </w:rPr>
        <w:tab/>
        <w:t>to continue the COP initiative as a platform to raise awareness and share best practices on child online safety issues;</w:t>
      </w:r>
    </w:p>
    <w:p w14:paraId="790E1461" w14:textId="77777777" w:rsidR="005015A2" w:rsidRPr="0042750D" w:rsidRDefault="005015A2" w:rsidP="005015A2">
      <w:pPr>
        <w:rPr>
          <w:szCs w:val="22"/>
        </w:rPr>
      </w:pPr>
      <w:r w:rsidRPr="0042750D">
        <w:rPr>
          <w:szCs w:val="22"/>
        </w:rPr>
        <w:t>2</w:t>
      </w:r>
      <w:r w:rsidRPr="0042750D">
        <w:rPr>
          <w:szCs w:val="22"/>
        </w:rPr>
        <w:tab/>
        <w:t>to continue providing assistance and support to Member States, especially developing countries</w:t>
      </w:r>
      <w:r w:rsidRPr="0042750D">
        <w:rPr>
          <w:rStyle w:val="FootnoteReference"/>
          <w:sz w:val="22"/>
          <w:szCs w:val="22"/>
        </w:rPr>
        <w:footnoteReference w:customMarkFollows="1" w:id="13"/>
        <w:t>1</w:t>
      </w:r>
      <w:r w:rsidRPr="0042750D">
        <w:rPr>
          <w:szCs w:val="22"/>
        </w:rPr>
        <w:t>, in developing and implementing roadmaps for the COP initiative;</w:t>
      </w:r>
    </w:p>
    <w:p w14:paraId="2C30C80C" w14:textId="77777777" w:rsidR="005015A2" w:rsidRPr="0042750D" w:rsidRDefault="005015A2" w:rsidP="005015A2">
      <w:pPr>
        <w:rPr>
          <w:szCs w:val="22"/>
        </w:rPr>
      </w:pPr>
      <w:r w:rsidRPr="0042750D">
        <w:rPr>
          <w:szCs w:val="22"/>
        </w:rPr>
        <w:t>3</w:t>
      </w:r>
      <w:r w:rsidRPr="0042750D">
        <w:rPr>
          <w:szCs w:val="22"/>
        </w:rPr>
        <w:tab/>
        <w:t>to continue to coordinate the COP initiative, in cooperation with relevant stakeholders;</w:t>
      </w:r>
    </w:p>
    <w:p w14:paraId="6677431B" w14:textId="77777777" w:rsidR="005015A2" w:rsidRPr="0042750D" w:rsidRDefault="005015A2" w:rsidP="005015A2">
      <w:pPr>
        <w:rPr>
          <w:szCs w:val="22"/>
        </w:rPr>
      </w:pPr>
      <w:r w:rsidRPr="0042750D">
        <w:rPr>
          <w:szCs w:val="22"/>
        </w:rPr>
        <w:t>4</w:t>
      </w:r>
      <w:r w:rsidRPr="0042750D">
        <w:rPr>
          <w:szCs w:val="22"/>
        </w:rPr>
        <w:tab/>
        <w:t>to promote collaboration between all stakeholders involved in child online protection, based on the work done in this area, in order to benefit Member States;</w:t>
      </w:r>
    </w:p>
    <w:p w14:paraId="08565F58" w14:textId="77777777" w:rsidR="005015A2" w:rsidRPr="0042750D" w:rsidRDefault="005015A2" w:rsidP="005015A2">
      <w:pPr>
        <w:rPr>
          <w:szCs w:val="22"/>
        </w:rPr>
      </w:pPr>
      <w:r w:rsidRPr="0042750D">
        <w:rPr>
          <w:szCs w:val="22"/>
        </w:rPr>
        <w:t>5</w:t>
      </w:r>
      <w:r w:rsidRPr="0042750D">
        <w:rPr>
          <w:szCs w:val="22"/>
        </w:rPr>
        <w:tab/>
        <w:t>to continue efforts, together with relevant international organizations, to support Member States, upon request, to engage in capacity building and awareness raising on child online protection for parents, guardians, educators and communities,</w:t>
      </w:r>
      <w:r w:rsidRPr="0042750D" w:rsidDel="005B22CB">
        <w:rPr>
          <w:szCs w:val="22"/>
        </w:rPr>
        <w:t xml:space="preserve"> </w:t>
      </w:r>
      <w:r w:rsidRPr="0042750D">
        <w:rPr>
          <w:szCs w:val="22"/>
        </w:rPr>
        <w:t>as well as relevant representatives of the public and private sectors,</w:t>
      </w:r>
    </w:p>
    <w:p w14:paraId="3985E43D" w14:textId="77777777" w:rsidR="005015A2" w:rsidRPr="0042750D" w:rsidRDefault="005015A2" w:rsidP="005015A2">
      <w:pPr>
        <w:pStyle w:val="Call"/>
        <w:rPr>
          <w:szCs w:val="22"/>
          <w:lang w:val="en-GB"/>
        </w:rPr>
      </w:pPr>
      <w:r w:rsidRPr="0042750D">
        <w:rPr>
          <w:szCs w:val="22"/>
          <w:lang w:val="en-GB"/>
        </w:rPr>
        <w:t>instructs the Secretary-General and the Directors of the Bureaux</w:t>
      </w:r>
    </w:p>
    <w:p w14:paraId="6091C5DC" w14:textId="77777777" w:rsidR="005015A2" w:rsidRPr="0042750D" w:rsidRDefault="005015A2" w:rsidP="005015A2">
      <w:pPr>
        <w:rPr>
          <w:szCs w:val="22"/>
        </w:rPr>
      </w:pPr>
      <w:r w:rsidRPr="0042750D">
        <w:rPr>
          <w:szCs w:val="22"/>
        </w:rPr>
        <w:t>1</w:t>
      </w:r>
      <w:r w:rsidRPr="0042750D">
        <w:rPr>
          <w:szCs w:val="22"/>
        </w:rPr>
        <w:tab/>
        <w:t xml:space="preserve">to continue to coordinate those activities that relate to the implementation of child online protection with respect to the effective application of </w:t>
      </w:r>
      <w:r w:rsidRPr="0042750D">
        <w:rPr>
          <w:i/>
          <w:iCs/>
          <w:szCs w:val="22"/>
        </w:rPr>
        <w:t>resolves</w:t>
      </w:r>
      <w:r w:rsidRPr="0042750D">
        <w:rPr>
          <w:szCs w:val="22"/>
        </w:rPr>
        <w:t> 1, 2 and 3 above, in order to avoid overlapping among the activities of the ITU Bureaux and the General Secretariat;</w:t>
      </w:r>
    </w:p>
    <w:p w14:paraId="5360709F" w14:textId="77777777" w:rsidR="005015A2" w:rsidRPr="0042750D" w:rsidRDefault="005015A2" w:rsidP="005015A2">
      <w:pPr>
        <w:rPr>
          <w:szCs w:val="22"/>
        </w:rPr>
      </w:pPr>
      <w:r w:rsidRPr="0042750D">
        <w:rPr>
          <w:szCs w:val="22"/>
        </w:rPr>
        <w:t>2</w:t>
      </w:r>
      <w:r w:rsidRPr="0042750D">
        <w:rPr>
          <w:szCs w:val="22"/>
        </w:rPr>
        <w:tab/>
        <w:t>to work on enhancing the COP initiative page on the ITU website to make it more informative for all users, within the available resources,</w:t>
      </w:r>
    </w:p>
    <w:p w14:paraId="4A266B2D" w14:textId="77777777" w:rsidR="005015A2" w:rsidRPr="0042750D" w:rsidRDefault="005015A2" w:rsidP="005015A2">
      <w:pPr>
        <w:pStyle w:val="Call"/>
        <w:rPr>
          <w:szCs w:val="22"/>
          <w:lang w:val="en-GB"/>
        </w:rPr>
      </w:pPr>
      <w:r w:rsidRPr="0042750D">
        <w:rPr>
          <w:szCs w:val="22"/>
          <w:lang w:val="en-GB"/>
        </w:rPr>
        <w:t>instructs the Director of the Telecommunication Standardization Bureau</w:t>
      </w:r>
    </w:p>
    <w:p w14:paraId="3EEA79A9" w14:textId="77777777" w:rsidR="005015A2" w:rsidRPr="0042750D" w:rsidRDefault="005015A2" w:rsidP="005015A2">
      <w:pPr>
        <w:rPr>
          <w:szCs w:val="22"/>
        </w:rPr>
      </w:pPr>
      <w:r w:rsidRPr="0042750D">
        <w:rPr>
          <w:szCs w:val="22"/>
        </w:rPr>
        <w:t>1</w:t>
      </w:r>
      <w:r w:rsidRPr="0042750D">
        <w:rPr>
          <w:szCs w:val="22"/>
        </w:rPr>
        <w:tab/>
        <w:t>to encourage the ITU</w:t>
      </w:r>
      <w:r w:rsidRPr="0042750D">
        <w:rPr>
          <w:szCs w:val="22"/>
        </w:rPr>
        <w:noBreakHyphen/>
        <w:t>T study groups, within the framework of their specific competencies, and considering new technological developments, to continue to explore practical solutions and tools that facilitate access to child online protection hotlines worldwide;</w:t>
      </w:r>
    </w:p>
    <w:p w14:paraId="444A19D7" w14:textId="77777777" w:rsidR="005015A2" w:rsidRPr="0042750D" w:rsidRDefault="005015A2" w:rsidP="005015A2">
      <w:pPr>
        <w:rPr>
          <w:szCs w:val="22"/>
        </w:rPr>
      </w:pPr>
      <w:r w:rsidRPr="0042750D">
        <w:rPr>
          <w:szCs w:val="22"/>
        </w:rPr>
        <w:t>2</w:t>
      </w:r>
      <w:r w:rsidRPr="0042750D">
        <w:rPr>
          <w:szCs w:val="22"/>
        </w:rPr>
        <w:tab/>
        <w:t>to encourage the ITU</w:t>
      </w:r>
      <w:r w:rsidRPr="0042750D">
        <w:rPr>
          <w:szCs w:val="22"/>
        </w:rPr>
        <w:noBreakHyphen/>
        <w:t xml:space="preserve">T study groups, within the framework of their specific competencies, and considering new technological developments, </w:t>
      </w:r>
      <w:r w:rsidRPr="0042750D">
        <w:rPr>
          <w:w w:val="105"/>
          <w:szCs w:val="22"/>
        </w:rPr>
        <w:t>to</w:t>
      </w:r>
      <w:r w:rsidRPr="0042750D">
        <w:rPr>
          <w:spacing w:val="-22"/>
          <w:w w:val="105"/>
          <w:szCs w:val="22"/>
        </w:rPr>
        <w:t xml:space="preserve"> </w:t>
      </w:r>
      <w:r w:rsidRPr="0042750D">
        <w:rPr>
          <w:w w:val="105"/>
          <w:szCs w:val="22"/>
        </w:rPr>
        <w:t xml:space="preserve">seek appropriate </w:t>
      </w:r>
      <w:r w:rsidRPr="0042750D">
        <w:rPr>
          <w:rFonts w:eastAsia="MS Mincho"/>
          <w:w w:val="105"/>
          <w:szCs w:val="22"/>
        </w:rPr>
        <w:t xml:space="preserve">solutions </w:t>
      </w:r>
      <w:r w:rsidRPr="0042750D">
        <w:rPr>
          <w:w w:val="105"/>
          <w:szCs w:val="22"/>
        </w:rPr>
        <w:t>to help governments, organizations and educators to protect children online (including children with disabilities and children with specific needs)</w:t>
      </w:r>
      <w:r w:rsidRPr="0042750D">
        <w:rPr>
          <w:szCs w:val="22"/>
        </w:rPr>
        <w:t>;</w:t>
      </w:r>
    </w:p>
    <w:p w14:paraId="69CE37F3" w14:textId="77777777" w:rsidR="005015A2" w:rsidRPr="0042750D" w:rsidRDefault="005015A2" w:rsidP="005015A2">
      <w:pPr>
        <w:rPr>
          <w:szCs w:val="22"/>
        </w:rPr>
      </w:pPr>
      <w:r w:rsidRPr="0042750D">
        <w:rPr>
          <w:szCs w:val="22"/>
        </w:rPr>
        <w:t>3</w:t>
      </w:r>
      <w:r w:rsidRPr="0042750D">
        <w:rPr>
          <w:szCs w:val="22"/>
        </w:rPr>
        <w:tab/>
        <w:t>to promote cooperation among the ITU</w:t>
      </w:r>
      <w:r w:rsidRPr="0042750D">
        <w:rPr>
          <w:szCs w:val="22"/>
        </w:rPr>
        <w:noBreakHyphen/>
        <w:t>T study groups, and to liaise with the other Sectors as appropriate;</w:t>
      </w:r>
    </w:p>
    <w:p w14:paraId="2745663B" w14:textId="77777777" w:rsidR="005015A2" w:rsidRPr="0042750D" w:rsidRDefault="005015A2" w:rsidP="005015A2">
      <w:pPr>
        <w:rPr>
          <w:szCs w:val="22"/>
        </w:rPr>
      </w:pPr>
      <w:r w:rsidRPr="0042750D">
        <w:rPr>
          <w:szCs w:val="22"/>
        </w:rPr>
        <w:t>4</w:t>
      </w:r>
      <w:r w:rsidRPr="0042750D">
        <w:rPr>
          <w:szCs w:val="22"/>
        </w:rPr>
        <w:tab/>
        <w:t>to continue to work with Member States, upon request, on the allocation of a telephone number on a regional basis for child online protection;</w:t>
      </w:r>
    </w:p>
    <w:p w14:paraId="333BFC67" w14:textId="1B29AE9F" w:rsidR="00F0236A" w:rsidRPr="0042750D" w:rsidRDefault="005015A2" w:rsidP="005015A2">
      <w:pPr>
        <w:spacing w:after="120"/>
        <w:rPr>
          <w:szCs w:val="22"/>
        </w:rPr>
      </w:pPr>
      <w:r w:rsidRPr="0042750D">
        <w:rPr>
          <w:szCs w:val="22"/>
        </w:rPr>
        <w:t>5</w:t>
      </w:r>
      <w:r w:rsidRPr="0042750D">
        <w:rPr>
          <w:szCs w:val="22"/>
        </w:rPr>
        <w:tab/>
        <w:t>to assist ITU</w:t>
      </w:r>
      <w:r w:rsidRPr="0042750D">
        <w:rPr>
          <w:szCs w:val="22"/>
        </w:rPr>
        <w:noBreakHyphen/>
        <w:t>T study groups in their various activities related to child online protection, to be performed, as appropriate, in collabora</w:t>
      </w:r>
      <w:r w:rsidR="008A0C77" w:rsidRPr="0042750D">
        <w:rPr>
          <w:szCs w:val="22"/>
        </w:rPr>
        <w:t>tion with other relevant bodies.</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57"/>
        <w:gridCol w:w="1218"/>
        <w:gridCol w:w="1167"/>
        <w:gridCol w:w="1338"/>
      </w:tblGrid>
      <w:tr w:rsidR="00F0236A" w:rsidRPr="0042750D" w14:paraId="200140E4" w14:textId="77777777" w:rsidTr="004B42FF">
        <w:trPr>
          <w:jc w:val="center"/>
        </w:trPr>
        <w:tc>
          <w:tcPr>
            <w:tcW w:w="912" w:type="dxa"/>
            <w:tcBorders>
              <w:top w:val="single" w:sz="12" w:space="0" w:color="auto"/>
              <w:bottom w:val="single" w:sz="12" w:space="0" w:color="auto"/>
            </w:tcBorders>
            <w:shd w:val="clear" w:color="auto" w:fill="auto"/>
            <w:vAlign w:val="center"/>
          </w:tcPr>
          <w:p w14:paraId="1F4ED63C" w14:textId="77777777" w:rsidR="00F0236A" w:rsidRPr="0042750D" w:rsidRDefault="00F0236A" w:rsidP="00380EF6">
            <w:pPr>
              <w:pStyle w:val="Tablehead"/>
              <w:keepNext w:val="0"/>
              <w:pageBreakBefore/>
              <w:rPr>
                <w:sz w:val="24"/>
                <w:szCs w:val="24"/>
              </w:rPr>
            </w:pPr>
            <w:r w:rsidRPr="0042750D">
              <w:rPr>
                <w:sz w:val="24"/>
                <w:szCs w:val="24"/>
              </w:rPr>
              <w:t>Action Item</w:t>
            </w:r>
          </w:p>
        </w:tc>
        <w:tc>
          <w:tcPr>
            <w:tcW w:w="5057" w:type="dxa"/>
            <w:tcBorders>
              <w:top w:val="single" w:sz="12" w:space="0" w:color="auto"/>
              <w:bottom w:val="single" w:sz="12" w:space="0" w:color="auto"/>
            </w:tcBorders>
            <w:shd w:val="clear" w:color="auto" w:fill="auto"/>
            <w:vAlign w:val="center"/>
            <w:hideMark/>
          </w:tcPr>
          <w:p w14:paraId="2E7D74F8" w14:textId="77777777" w:rsidR="00F0236A" w:rsidRPr="0042750D" w:rsidRDefault="00F0236A" w:rsidP="00DF36E1">
            <w:pPr>
              <w:pStyle w:val="Tablehead"/>
              <w:keepNext w:val="0"/>
              <w:rPr>
                <w:sz w:val="24"/>
                <w:szCs w:val="24"/>
              </w:rPr>
            </w:pPr>
            <w:r w:rsidRPr="0042750D">
              <w:rPr>
                <w:sz w:val="24"/>
                <w:szCs w:val="24"/>
              </w:rPr>
              <w:t>Action</w:t>
            </w:r>
          </w:p>
        </w:tc>
        <w:tc>
          <w:tcPr>
            <w:tcW w:w="1218" w:type="dxa"/>
            <w:tcBorders>
              <w:top w:val="single" w:sz="12" w:space="0" w:color="auto"/>
              <w:bottom w:val="single" w:sz="12" w:space="0" w:color="auto"/>
            </w:tcBorders>
            <w:shd w:val="clear" w:color="auto" w:fill="auto"/>
            <w:vAlign w:val="center"/>
            <w:hideMark/>
          </w:tcPr>
          <w:p w14:paraId="1DFD1846" w14:textId="77777777" w:rsidR="00F0236A" w:rsidRPr="0042750D" w:rsidRDefault="00F0236A" w:rsidP="00DF36E1">
            <w:pPr>
              <w:pStyle w:val="Tablehead"/>
              <w:keepNext w:val="0"/>
              <w:rPr>
                <w:sz w:val="24"/>
                <w:szCs w:val="24"/>
              </w:rPr>
            </w:pPr>
            <w:r w:rsidRPr="0042750D">
              <w:rPr>
                <w:sz w:val="24"/>
                <w:szCs w:val="24"/>
              </w:rPr>
              <w:t>Milestone</w:t>
            </w:r>
          </w:p>
        </w:tc>
        <w:tc>
          <w:tcPr>
            <w:tcW w:w="1167" w:type="dxa"/>
            <w:tcBorders>
              <w:top w:val="single" w:sz="12" w:space="0" w:color="auto"/>
              <w:bottom w:val="single" w:sz="12" w:space="0" w:color="auto"/>
            </w:tcBorders>
            <w:shd w:val="clear" w:color="auto" w:fill="auto"/>
          </w:tcPr>
          <w:p w14:paraId="11990887" w14:textId="77777777" w:rsidR="00F0236A" w:rsidRPr="0042750D" w:rsidRDefault="00F0236A" w:rsidP="00DF36E1">
            <w:pPr>
              <w:pStyle w:val="Tablehead"/>
              <w:keepNext w:val="0"/>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6E8E761" w14:textId="77777777" w:rsidR="00F0236A" w:rsidRPr="0042750D" w:rsidRDefault="00F0236A" w:rsidP="00DF36E1">
            <w:pPr>
              <w:pStyle w:val="Tablehead"/>
              <w:keepNext w:val="0"/>
              <w:rPr>
                <w:sz w:val="24"/>
                <w:szCs w:val="24"/>
              </w:rPr>
            </w:pPr>
            <w:r w:rsidRPr="0042750D">
              <w:rPr>
                <w:sz w:val="24"/>
                <w:szCs w:val="24"/>
              </w:rPr>
              <w:t>Completed</w:t>
            </w:r>
          </w:p>
        </w:tc>
      </w:tr>
      <w:tr w:rsidR="002D7AB4" w:rsidRPr="0042750D" w14:paraId="035FB0F2" w14:textId="77777777" w:rsidTr="008C7A96">
        <w:trPr>
          <w:tblHeader/>
          <w:jc w:val="center"/>
        </w:trPr>
        <w:tc>
          <w:tcPr>
            <w:tcW w:w="912" w:type="dxa"/>
            <w:vMerge w:val="restart"/>
            <w:tcBorders>
              <w:top w:val="single" w:sz="12" w:space="0" w:color="auto"/>
            </w:tcBorders>
            <w:shd w:val="clear" w:color="auto" w:fill="auto"/>
          </w:tcPr>
          <w:p w14:paraId="09C55918" w14:textId="684B9CB5" w:rsidR="002D7AB4" w:rsidRPr="0042750D" w:rsidRDefault="002D7AB4" w:rsidP="008C7A96">
            <w:pPr>
              <w:pStyle w:val="Tablehead"/>
              <w:keepNext w:val="0"/>
              <w:rPr>
                <w:sz w:val="24"/>
                <w:szCs w:val="24"/>
              </w:rPr>
            </w:pPr>
            <w:bookmarkStart w:id="275" w:name="Item74_01"/>
            <w:bookmarkStart w:id="276" w:name="Resolution_75"/>
            <w:bookmarkStart w:id="277" w:name="_Toc304236459"/>
            <w:bookmarkEnd w:id="275"/>
            <w:bookmarkEnd w:id="276"/>
            <w:r w:rsidRPr="0042750D">
              <w:rPr>
                <w:sz w:val="24"/>
                <w:szCs w:val="24"/>
              </w:rPr>
              <w:t>179-03</w:t>
            </w:r>
          </w:p>
        </w:tc>
        <w:tc>
          <w:tcPr>
            <w:tcW w:w="5057" w:type="dxa"/>
            <w:tcBorders>
              <w:top w:val="single" w:sz="12" w:space="0" w:color="auto"/>
              <w:bottom w:val="single" w:sz="2" w:space="0" w:color="auto"/>
            </w:tcBorders>
            <w:shd w:val="clear" w:color="auto" w:fill="auto"/>
            <w:vAlign w:val="center"/>
          </w:tcPr>
          <w:p w14:paraId="7FB3A227" w14:textId="4DF22011" w:rsidR="002D7AB4" w:rsidRPr="0042750D" w:rsidRDefault="002D7AB4" w:rsidP="008C7A96">
            <w:pPr>
              <w:pStyle w:val="Tablehead"/>
              <w:keepNext w:val="0"/>
              <w:jc w:val="left"/>
              <w:rPr>
                <w:sz w:val="24"/>
                <w:szCs w:val="24"/>
              </w:rPr>
            </w:pPr>
            <w:r w:rsidRPr="0042750D">
              <w:rPr>
                <w:sz w:val="24"/>
                <w:szCs w:val="24"/>
              </w:rPr>
              <w:t>TSBDir to encourage the ITU-T study groups to continue to explore practical solutions and tools that facilitate access to child online protection hotlines worldwide, and to seek appropriate solutions to help governments, organizations and educators to protect children online (including children with disabilities and children with specific needs)</w:t>
            </w:r>
            <w:r w:rsidR="004B42FF" w:rsidRPr="0042750D">
              <w:rPr>
                <w:sz w:val="24"/>
                <w:szCs w:val="24"/>
              </w:rPr>
              <w:t xml:space="preserve"> (</w:t>
            </w:r>
            <w:r w:rsidR="004B42FF" w:rsidRPr="0042750D">
              <w:rPr>
                <w:i/>
                <w:sz w:val="24"/>
                <w:szCs w:val="24"/>
              </w:rPr>
              <w:t>instructs 1</w:t>
            </w:r>
            <w:r w:rsidR="004B42FF" w:rsidRPr="0042750D">
              <w:rPr>
                <w:sz w:val="24"/>
                <w:szCs w:val="24"/>
              </w:rPr>
              <w:t>)</w:t>
            </w:r>
            <w:r w:rsidRPr="0042750D">
              <w:rPr>
                <w:sz w:val="24"/>
                <w:szCs w:val="24"/>
              </w:rPr>
              <w:t>.</w:t>
            </w:r>
          </w:p>
        </w:tc>
        <w:tc>
          <w:tcPr>
            <w:tcW w:w="1218" w:type="dxa"/>
            <w:tcBorders>
              <w:top w:val="single" w:sz="12" w:space="0" w:color="auto"/>
              <w:bottom w:val="single" w:sz="2" w:space="0" w:color="auto"/>
            </w:tcBorders>
            <w:shd w:val="clear" w:color="auto" w:fill="auto"/>
            <w:vAlign w:val="center"/>
          </w:tcPr>
          <w:p w14:paraId="2960A363" w14:textId="77777777" w:rsidR="002D7AB4" w:rsidRPr="0042750D" w:rsidRDefault="002D7AB4" w:rsidP="008C7A96">
            <w:pPr>
              <w:pStyle w:val="Tablehead"/>
              <w:keepNext w:val="0"/>
              <w:rPr>
                <w:sz w:val="24"/>
                <w:szCs w:val="24"/>
              </w:rPr>
            </w:pPr>
            <w:r w:rsidRPr="0042750D">
              <w:rPr>
                <w:sz w:val="24"/>
                <w:szCs w:val="24"/>
              </w:rPr>
              <w:t>ongoing</w:t>
            </w:r>
          </w:p>
        </w:tc>
        <w:tc>
          <w:tcPr>
            <w:tcW w:w="1167" w:type="dxa"/>
            <w:tcBorders>
              <w:top w:val="single" w:sz="12" w:space="0" w:color="auto"/>
              <w:bottom w:val="single" w:sz="2" w:space="0" w:color="auto"/>
            </w:tcBorders>
            <w:shd w:val="clear" w:color="auto" w:fill="auto"/>
            <w:vAlign w:val="center"/>
          </w:tcPr>
          <w:p w14:paraId="7B68D21F" w14:textId="77777777" w:rsidR="002D7AB4" w:rsidRPr="0042750D" w:rsidRDefault="002D7AB4" w:rsidP="008C7A96">
            <w:pPr>
              <w:pStyle w:val="Tablehead"/>
              <w:keepNext w:val="0"/>
              <w:rPr>
                <w:sz w:val="24"/>
                <w:szCs w:val="24"/>
              </w:rPr>
            </w:pPr>
          </w:p>
        </w:tc>
        <w:tc>
          <w:tcPr>
            <w:tcW w:w="1338" w:type="dxa"/>
            <w:tcBorders>
              <w:top w:val="single" w:sz="12" w:space="0" w:color="auto"/>
              <w:bottom w:val="single" w:sz="2" w:space="0" w:color="auto"/>
            </w:tcBorders>
            <w:shd w:val="clear" w:color="auto" w:fill="auto"/>
            <w:vAlign w:val="center"/>
          </w:tcPr>
          <w:p w14:paraId="7F51E233" w14:textId="77777777" w:rsidR="002D7AB4" w:rsidRPr="0042750D" w:rsidRDefault="002D7AB4" w:rsidP="008C7A96">
            <w:pPr>
              <w:pStyle w:val="Tablehead"/>
              <w:keepNext w:val="0"/>
              <w:rPr>
                <w:sz w:val="24"/>
                <w:szCs w:val="24"/>
              </w:rPr>
            </w:pPr>
          </w:p>
        </w:tc>
      </w:tr>
      <w:tr w:rsidR="002D7AB4" w:rsidRPr="0042750D" w14:paraId="3B9BD1D6" w14:textId="77777777" w:rsidTr="008C7A96">
        <w:trPr>
          <w:tblHeader/>
          <w:jc w:val="center"/>
        </w:trPr>
        <w:tc>
          <w:tcPr>
            <w:tcW w:w="912" w:type="dxa"/>
            <w:vMerge/>
            <w:tcBorders>
              <w:bottom w:val="single" w:sz="12" w:space="0" w:color="auto"/>
            </w:tcBorders>
            <w:shd w:val="clear" w:color="auto" w:fill="auto"/>
            <w:vAlign w:val="center"/>
          </w:tcPr>
          <w:p w14:paraId="0913F57B" w14:textId="77777777" w:rsidR="002D7AB4" w:rsidRPr="0042750D" w:rsidRDefault="002D7AB4" w:rsidP="008C7A96">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5DBD20AF" w14:textId="77777777" w:rsidR="002D7AB4" w:rsidRPr="0042750D" w:rsidRDefault="002D7AB4" w:rsidP="0074302C">
            <w:pPr>
              <w:spacing w:before="40" w:after="40"/>
            </w:pPr>
          </w:p>
        </w:tc>
      </w:tr>
      <w:tr w:rsidR="002D7AB4" w:rsidRPr="0042750D" w14:paraId="384CDFAB" w14:textId="77777777" w:rsidTr="004B42FF">
        <w:trPr>
          <w:cantSplit/>
          <w:tblHeader/>
          <w:jc w:val="center"/>
        </w:trPr>
        <w:tc>
          <w:tcPr>
            <w:tcW w:w="912" w:type="dxa"/>
            <w:vMerge w:val="restart"/>
            <w:tcBorders>
              <w:top w:val="single" w:sz="12" w:space="0" w:color="auto"/>
            </w:tcBorders>
            <w:shd w:val="clear" w:color="auto" w:fill="auto"/>
          </w:tcPr>
          <w:p w14:paraId="3958547E" w14:textId="7873E131" w:rsidR="002D7AB4" w:rsidRPr="0042750D" w:rsidRDefault="002D7AB4" w:rsidP="002D7AB4">
            <w:pPr>
              <w:pStyle w:val="Tablehead"/>
              <w:keepNext w:val="0"/>
              <w:rPr>
                <w:sz w:val="24"/>
                <w:szCs w:val="24"/>
              </w:rPr>
            </w:pPr>
            <w:r w:rsidRPr="0042750D">
              <w:rPr>
                <w:sz w:val="24"/>
                <w:szCs w:val="24"/>
              </w:rPr>
              <w:t>179-04</w:t>
            </w:r>
          </w:p>
        </w:tc>
        <w:tc>
          <w:tcPr>
            <w:tcW w:w="5057" w:type="dxa"/>
            <w:tcBorders>
              <w:top w:val="single" w:sz="12" w:space="0" w:color="auto"/>
              <w:bottom w:val="single" w:sz="2" w:space="0" w:color="auto"/>
            </w:tcBorders>
            <w:shd w:val="clear" w:color="auto" w:fill="auto"/>
            <w:vAlign w:val="center"/>
          </w:tcPr>
          <w:p w14:paraId="198FC3A9" w14:textId="4AA8B725" w:rsidR="002D7AB4" w:rsidRPr="0042750D" w:rsidRDefault="002D7AB4" w:rsidP="002D7AB4">
            <w:pPr>
              <w:pStyle w:val="Tablehead"/>
              <w:jc w:val="left"/>
              <w:rPr>
                <w:sz w:val="24"/>
                <w:szCs w:val="24"/>
              </w:rPr>
            </w:pPr>
            <w:r w:rsidRPr="0042750D">
              <w:rPr>
                <w:sz w:val="24"/>
                <w:szCs w:val="24"/>
              </w:rPr>
              <w:t>TSBDir to promote cooperation among the ITU-T study groups, and to liaise with the other Sectors as appropriate</w:t>
            </w:r>
            <w:r w:rsidR="004B42FF" w:rsidRPr="0042750D">
              <w:rPr>
                <w:sz w:val="24"/>
                <w:szCs w:val="24"/>
              </w:rPr>
              <w:t xml:space="preserve"> (</w:t>
            </w:r>
            <w:r w:rsidR="004B42FF" w:rsidRPr="0042750D">
              <w:rPr>
                <w:i/>
                <w:sz w:val="24"/>
                <w:szCs w:val="24"/>
              </w:rPr>
              <w:t>instructs 3</w:t>
            </w:r>
            <w:r w:rsidR="004B42FF" w:rsidRPr="0042750D">
              <w:rPr>
                <w:sz w:val="24"/>
                <w:szCs w:val="24"/>
              </w:rPr>
              <w:t>)</w:t>
            </w:r>
            <w:r w:rsidRPr="0042750D">
              <w:rPr>
                <w:sz w:val="24"/>
                <w:szCs w:val="24"/>
              </w:rPr>
              <w:t>.</w:t>
            </w:r>
          </w:p>
        </w:tc>
        <w:tc>
          <w:tcPr>
            <w:tcW w:w="1218" w:type="dxa"/>
            <w:tcBorders>
              <w:top w:val="single" w:sz="12" w:space="0" w:color="auto"/>
              <w:bottom w:val="single" w:sz="2" w:space="0" w:color="auto"/>
            </w:tcBorders>
            <w:shd w:val="clear" w:color="auto" w:fill="auto"/>
            <w:vAlign w:val="center"/>
          </w:tcPr>
          <w:p w14:paraId="3B51E643" w14:textId="77777777" w:rsidR="002D7AB4" w:rsidRPr="0042750D" w:rsidRDefault="002D7AB4" w:rsidP="00042B85">
            <w:pPr>
              <w:pStyle w:val="Tablehead"/>
              <w:keepNext w:val="0"/>
              <w:rPr>
                <w:sz w:val="24"/>
                <w:szCs w:val="24"/>
              </w:rPr>
            </w:pPr>
            <w:r w:rsidRPr="0042750D">
              <w:rPr>
                <w:sz w:val="24"/>
                <w:szCs w:val="24"/>
              </w:rPr>
              <w:t>ongoing</w:t>
            </w:r>
          </w:p>
        </w:tc>
        <w:tc>
          <w:tcPr>
            <w:tcW w:w="1167" w:type="dxa"/>
            <w:tcBorders>
              <w:top w:val="single" w:sz="12" w:space="0" w:color="auto"/>
              <w:bottom w:val="single" w:sz="2" w:space="0" w:color="auto"/>
            </w:tcBorders>
            <w:shd w:val="clear" w:color="auto" w:fill="auto"/>
            <w:vAlign w:val="center"/>
          </w:tcPr>
          <w:p w14:paraId="4FFB7733" w14:textId="77777777" w:rsidR="002D7AB4" w:rsidRPr="0042750D" w:rsidRDefault="002D7AB4" w:rsidP="00042B85">
            <w:pPr>
              <w:pStyle w:val="Tablehead"/>
              <w:keepNext w:val="0"/>
              <w:rPr>
                <w:sz w:val="24"/>
                <w:szCs w:val="24"/>
              </w:rPr>
            </w:pPr>
          </w:p>
        </w:tc>
        <w:tc>
          <w:tcPr>
            <w:tcW w:w="1338" w:type="dxa"/>
            <w:tcBorders>
              <w:top w:val="single" w:sz="12" w:space="0" w:color="auto"/>
              <w:bottom w:val="single" w:sz="2" w:space="0" w:color="auto"/>
            </w:tcBorders>
            <w:shd w:val="clear" w:color="auto" w:fill="auto"/>
            <w:vAlign w:val="center"/>
          </w:tcPr>
          <w:p w14:paraId="7D18B7B7" w14:textId="77777777" w:rsidR="002D7AB4" w:rsidRPr="0042750D" w:rsidRDefault="002D7AB4" w:rsidP="00042B85">
            <w:pPr>
              <w:pStyle w:val="Tablehead"/>
              <w:keepNext w:val="0"/>
              <w:rPr>
                <w:sz w:val="24"/>
                <w:szCs w:val="24"/>
              </w:rPr>
            </w:pPr>
          </w:p>
        </w:tc>
      </w:tr>
      <w:tr w:rsidR="002D7AB4" w:rsidRPr="0042750D" w14:paraId="4D05F479" w14:textId="77777777" w:rsidTr="00042B85">
        <w:trPr>
          <w:cantSplit/>
          <w:tblHeader/>
          <w:jc w:val="center"/>
        </w:trPr>
        <w:tc>
          <w:tcPr>
            <w:tcW w:w="912" w:type="dxa"/>
            <w:vMerge/>
            <w:tcBorders>
              <w:bottom w:val="single" w:sz="12" w:space="0" w:color="auto"/>
            </w:tcBorders>
            <w:shd w:val="clear" w:color="auto" w:fill="auto"/>
            <w:vAlign w:val="center"/>
          </w:tcPr>
          <w:p w14:paraId="782D6415" w14:textId="77777777" w:rsidR="002D7AB4" w:rsidRPr="0042750D" w:rsidRDefault="002D7AB4" w:rsidP="00042B85">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006565FB" w14:textId="77777777" w:rsidR="002D7AB4" w:rsidRPr="0042750D" w:rsidRDefault="002D7AB4" w:rsidP="0074302C">
            <w:pPr>
              <w:spacing w:before="40" w:after="40"/>
            </w:pPr>
          </w:p>
        </w:tc>
      </w:tr>
      <w:tr w:rsidR="002D7AB4" w:rsidRPr="0042750D" w14:paraId="24DEE583" w14:textId="77777777" w:rsidTr="004B42FF">
        <w:trPr>
          <w:cantSplit/>
          <w:tblHeader/>
          <w:jc w:val="center"/>
        </w:trPr>
        <w:tc>
          <w:tcPr>
            <w:tcW w:w="912" w:type="dxa"/>
            <w:vMerge w:val="restart"/>
            <w:tcBorders>
              <w:top w:val="single" w:sz="12" w:space="0" w:color="auto"/>
            </w:tcBorders>
            <w:shd w:val="clear" w:color="auto" w:fill="auto"/>
          </w:tcPr>
          <w:p w14:paraId="13B684C5" w14:textId="7BBB206C" w:rsidR="002D7AB4" w:rsidRPr="0042750D" w:rsidRDefault="002D7AB4" w:rsidP="002D7AB4">
            <w:pPr>
              <w:pStyle w:val="Tablehead"/>
              <w:keepNext w:val="0"/>
              <w:rPr>
                <w:sz w:val="24"/>
                <w:szCs w:val="24"/>
              </w:rPr>
            </w:pPr>
            <w:r w:rsidRPr="0042750D">
              <w:rPr>
                <w:sz w:val="24"/>
                <w:szCs w:val="24"/>
              </w:rPr>
              <w:t>179-05</w:t>
            </w:r>
          </w:p>
        </w:tc>
        <w:tc>
          <w:tcPr>
            <w:tcW w:w="5057" w:type="dxa"/>
            <w:tcBorders>
              <w:top w:val="single" w:sz="12" w:space="0" w:color="auto"/>
              <w:bottom w:val="single" w:sz="2" w:space="0" w:color="auto"/>
            </w:tcBorders>
            <w:shd w:val="clear" w:color="auto" w:fill="auto"/>
            <w:vAlign w:val="center"/>
          </w:tcPr>
          <w:p w14:paraId="3BE94A96" w14:textId="37FFDFB0" w:rsidR="002D7AB4" w:rsidRPr="0042750D" w:rsidRDefault="002D7AB4" w:rsidP="002D7AB4">
            <w:pPr>
              <w:pStyle w:val="Tablehead"/>
              <w:jc w:val="left"/>
              <w:rPr>
                <w:sz w:val="24"/>
                <w:szCs w:val="24"/>
              </w:rPr>
            </w:pPr>
            <w:r w:rsidRPr="0042750D">
              <w:rPr>
                <w:sz w:val="24"/>
                <w:szCs w:val="24"/>
              </w:rPr>
              <w:t>TSBDir to continue to work with Member States, upon request, on the allocation of a telephone number on a regional basis for child online protection</w:t>
            </w:r>
            <w:r w:rsidR="004B42FF" w:rsidRPr="0042750D">
              <w:rPr>
                <w:sz w:val="24"/>
                <w:szCs w:val="24"/>
              </w:rPr>
              <w:t xml:space="preserve"> (</w:t>
            </w:r>
            <w:r w:rsidR="004B42FF" w:rsidRPr="0042750D">
              <w:rPr>
                <w:i/>
                <w:sz w:val="24"/>
                <w:szCs w:val="24"/>
              </w:rPr>
              <w:t>instructs 4</w:t>
            </w:r>
            <w:r w:rsidR="004B42FF" w:rsidRPr="0042750D">
              <w:rPr>
                <w:sz w:val="24"/>
                <w:szCs w:val="24"/>
              </w:rPr>
              <w:t>)</w:t>
            </w:r>
            <w:r w:rsidRPr="0042750D">
              <w:rPr>
                <w:sz w:val="24"/>
                <w:szCs w:val="24"/>
              </w:rPr>
              <w:t>.</w:t>
            </w:r>
          </w:p>
        </w:tc>
        <w:tc>
          <w:tcPr>
            <w:tcW w:w="1218" w:type="dxa"/>
            <w:tcBorders>
              <w:top w:val="single" w:sz="12" w:space="0" w:color="auto"/>
              <w:bottom w:val="single" w:sz="2" w:space="0" w:color="auto"/>
            </w:tcBorders>
            <w:shd w:val="clear" w:color="auto" w:fill="auto"/>
            <w:vAlign w:val="center"/>
          </w:tcPr>
          <w:p w14:paraId="7FDF3D12" w14:textId="77777777" w:rsidR="002D7AB4" w:rsidRPr="0042750D" w:rsidRDefault="002D7AB4" w:rsidP="00042B85">
            <w:pPr>
              <w:pStyle w:val="Tablehead"/>
              <w:keepNext w:val="0"/>
              <w:rPr>
                <w:sz w:val="24"/>
                <w:szCs w:val="24"/>
              </w:rPr>
            </w:pPr>
            <w:r w:rsidRPr="0042750D">
              <w:rPr>
                <w:sz w:val="24"/>
                <w:szCs w:val="24"/>
              </w:rPr>
              <w:t>ongoing</w:t>
            </w:r>
          </w:p>
        </w:tc>
        <w:tc>
          <w:tcPr>
            <w:tcW w:w="1167" w:type="dxa"/>
            <w:tcBorders>
              <w:top w:val="single" w:sz="12" w:space="0" w:color="auto"/>
              <w:bottom w:val="single" w:sz="2" w:space="0" w:color="auto"/>
            </w:tcBorders>
            <w:shd w:val="clear" w:color="auto" w:fill="auto"/>
            <w:vAlign w:val="center"/>
          </w:tcPr>
          <w:p w14:paraId="3236E0EA" w14:textId="77777777" w:rsidR="002D7AB4" w:rsidRPr="0042750D" w:rsidRDefault="002D7AB4" w:rsidP="00042B85">
            <w:pPr>
              <w:pStyle w:val="Tablehead"/>
              <w:keepNext w:val="0"/>
              <w:rPr>
                <w:sz w:val="24"/>
                <w:szCs w:val="24"/>
              </w:rPr>
            </w:pPr>
          </w:p>
        </w:tc>
        <w:tc>
          <w:tcPr>
            <w:tcW w:w="1338" w:type="dxa"/>
            <w:tcBorders>
              <w:top w:val="single" w:sz="12" w:space="0" w:color="auto"/>
              <w:bottom w:val="single" w:sz="2" w:space="0" w:color="auto"/>
            </w:tcBorders>
            <w:shd w:val="clear" w:color="auto" w:fill="auto"/>
            <w:vAlign w:val="center"/>
          </w:tcPr>
          <w:p w14:paraId="7E5F30C5" w14:textId="77777777" w:rsidR="002D7AB4" w:rsidRPr="0042750D" w:rsidRDefault="002D7AB4" w:rsidP="00042B85">
            <w:pPr>
              <w:pStyle w:val="Tablehead"/>
              <w:keepNext w:val="0"/>
              <w:rPr>
                <w:sz w:val="24"/>
                <w:szCs w:val="24"/>
              </w:rPr>
            </w:pPr>
          </w:p>
        </w:tc>
      </w:tr>
      <w:tr w:rsidR="002D7AB4" w:rsidRPr="0042750D" w14:paraId="1CC5C83B" w14:textId="77777777" w:rsidTr="00042B85">
        <w:trPr>
          <w:cantSplit/>
          <w:tblHeader/>
          <w:jc w:val="center"/>
        </w:trPr>
        <w:tc>
          <w:tcPr>
            <w:tcW w:w="912" w:type="dxa"/>
            <w:vMerge/>
            <w:tcBorders>
              <w:bottom w:val="single" w:sz="12" w:space="0" w:color="auto"/>
            </w:tcBorders>
            <w:shd w:val="clear" w:color="auto" w:fill="auto"/>
            <w:vAlign w:val="center"/>
          </w:tcPr>
          <w:p w14:paraId="16179474" w14:textId="77777777" w:rsidR="002D7AB4" w:rsidRPr="0042750D" w:rsidRDefault="002D7AB4" w:rsidP="00042B85">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21A6F305" w14:textId="77777777" w:rsidR="002D7AB4" w:rsidRPr="0042750D" w:rsidRDefault="002D7AB4" w:rsidP="0074302C">
            <w:pPr>
              <w:spacing w:before="40" w:after="40"/>
            </w:pPr>
          </w:p>
        </w:tc>
      </w:tr>
      <w:tr w:rsidR="002D7AB4" w:rsidRPr="0042750D" w14:paraId="748CE999" w14:textId="77777777" w:rsidTr="004B42FF">
        <w:trPr>
          <w:cantSplit/>
          <w:tblHeader/>
          <w:jc w:val="center"/>
        </w:trPr>
        <w:tc>
          <w:tcPr>
            <w:tcW w:w="912" w:type="dxa"/>
            <w:vMerge w:val="restart"/>
            <w:tcBorders>
              <w:top w:val="single" w:sz="12" w:space="0" w:color="auto"/>
            </w:tcBorders>
            <w:shd w:val="clear" w:color="auto" w:fill="auto"/>
          </w:tcPr>
          <w:p w14:paraId="157B6D19" w14:textId="441F2036" w:rsidR="002D7AB4" w:rsidRPr="0042750D" w:rsidRDefault="002D7AB4" w:rsidP="002D7AB4">
            <w:pPr>
              <w:pStyle w:val="Tablehead"/>
              <w:keepNext w:val="0"/>
              <w:rPr>
                <w:sz w:val="24"/>
                <w:szCs w:val="24"/>
              </w:rPr>
            </w:pPr>
            <w:r w:rsidRPr="0042750D">
              <w:rPr>
                <w:sz w:val="24"/>
                <w:szCs w:val="24"/>
              </w:rPr>
              <w:t>179-06</w:t>
            </w:r>
          </w:p>
        </w:tc>
        <w:tc>
          <w:tcPr>
            <w:tcW w:w="5057" w:type="dxa"/>
            <w:tcBorders>
              <w:top w:val="single" w:sz="12" w:space="0" w:color="auto"/>
              <w:bottom w:val="single" w:sz="2" w:space="0" w:color="auto"/>
            </w:tcBorders>
            <w:shd w:val="clear" w:color="auto" w:fill="auto"/>
            <w:vAlign w:val="center"/>
          </w:tcPr>
          <w:p w14:paraId="30E7E471" w14:textId="7EE0F4B9" w:rsidR="002D7AB4" w:rsidRPr="0042750D" w:rsidRDefault="002D7AB4" w:rsidP="009B4A3A">
            <w:pPr>
              <w:pStyle w:val="Tablehead"/>
              <w:keepNext w:val="0"/>
              <w:jc w:val="left"/>
              <w:rPr>
                <w:sz w:val="24"/>
                <w:szCs w:val="24"/>
              </w:rPr>
            </w:pPr>
            <w:r w:rsidRPr="0042750D">
              <w:rPr>
                <w:sz w:val="24"/>
                <w:szCs w:val="24"/>
              </w:rPr>
              <w:t>TSB</w:t>
            </w:r>
            <w:r w:rsidR="009B4A3A" w:rsidRPr="0042750D">
              <w:rPr>
                <w:sz w:val="24"/>
                <w:szCs w:val="24"/>
              </w:rPr>
              <w:t>D</w:t>
            </w:r>
            <w:r w:rsidRPr="0042750D">
              <w:rPr>
                <w:sz w:val="24"/>
                <w:szCs w:val="24"/>
              </w:rPr>
              <w:t>ir to assist ITU-T study groups in their various activities related to child online protection, to be performed, as appropriate, in collaboration with other relevant bodies</w:t>
            </w:r>
            <w:r w:rsidR="004B42FF" w:rsidRPr="0042750D">
              <w:rPr>
                <w:sz w:val="24"/>
                <w:szCs w:val="24"/>
              </w:rPr>
              <w:t xml:space="preserve"> (</w:t>
            </w:r>
            <w:r w:rsidR="004B42FF" w:rsidRPr="0042750D">
              <w:rPr>
                <w:i/>
                <w:sz w:val="24"/>
                <w:szCs w:val="24"/>
              </w:rPr>
              <w:t>instructs 5</w:t>
            </w:r>
            <w:r w:rsidR="004B42FF" w:rsidRPr="0042750D">
              <w:rPr>
                <w:sz w:val="24"/>
                <w:szCs w:val="24"/>
              </w:rPr>
              <w:t>)</w:t>
            </w:r>
            <w:r w:rsidRPr="0042750D">
              <w:rPr>
                <w:sz w:val="24"/>
                <w:szCs w:val="24"/>
              </w:rPr>
              <w:t>.</w:t>
            </w:r>
          </w:p>
        </w:tc>
        <w:tc>
          <w:tcPr>
            <w:tcW w:w="1218" w:type="dxa"/>
            <w:tcBorders>
              <w:top w:val="single" w:sz="12" w:space="0" w:color="auto"/>
              <w:bottom w:val="single" w:sz="2" w:space="0" w:color="auto"/>
            </w:tcBorders>
            <w:shd w:val="clear" w:color="auto" w:fill="auto"/>
            <w:vAlign w:val="center"/>
          </w:tcPr>
          <w:p w14:paraId="4B339612" w14:textId="77777777" w:rsidR="002D7AB4" w:rsidRPr="0042750D" w:rsidRDefault="002D7AB4" w:rsidP="00042B85">
            <w:pPr>
              <w:pStyle w:val="Tablehead"/>
              <w:keepNext w:val="0"/>
              <w:rPr>
                <w:sz w:val="24"/>
                <w:szCs w:val="24"/>
              </w:rPr>
            </w:pPr>
            <w:r w:rsidRPr="0042750D">
              <w:rPr>
                <w:sz w:val="24"/>
                <w:szCs w:val="24"/>
              </w:rPr>
              <w:t>ongoing</w:t>
            </w:r>
          </w:p>
        </w:tc>
        <w:tc>
          <w:tcPr>
            <w:tcW w:w="1167" w:type="dxa"/>
            <w:tcBorders>
              <w:top w:val="single" w:sz="12" w:space="0" w:color="auto"/>
              <w:bottom w:val="single" w:sz="2" w:space="0" w:color="auto"/>
            </w:tcBorders>
            <w:shd w:val="clear" w:color="auto" w:fill="auto"/>
            <w:vAlign w:val="center"/>
          </w:tcPr>
          <w:p w14:paraId="15111446" w14:textId="77777777" w:rsidR="002D7AB4" w:rsidRPr="0042750D" w:rsidRDefault="002D7AB4" w:rsidP="00042B85">
            <w:pPr>
              <w:pStyle w:val="Tablehead"/>
              <w:keepNext w:val="0"/>
              <w:rPr>
                <w:sz w:val="24"/>
                <w:szCs w:val="24"/>
              </w:rPr>
            </w:pPr>
          </w:p>
        </w:tc>
        <w:tc>
          <w:tcPr>
            <w:tcW w:w="1338" w:type="dxa"/>
            <w:tcBorders>
              <w:top w:val="single" w:sz="12" w:space="0" w:color="auto"/>
              <w:bottom w:val="single" w:sz="2" w:space="0" w:color="auto"/>
            </w:tcBorders>
            <w:shd w:val="clear" w:color="auto" w:fill="auto"/>
            <w:vAlign w:val="center"/>
          </w:tcPr>
          <w:p w14:paraId="4B436BD7" w14:textId="77777777" w:rsidR="002D7AB4" w:rsidRPr="0042750D" w:rsidRDefault="002D7AB4" w:rsidP="00042B85">
            <w:pPr>
              <w:pStyle w:val="Tablehead"/>
              <w:keepNext w:val="0"/>
              <w:rPr>
                <w:sz w:val="24"/>
                <w:szCs w:val="24"/>
              </w:rPr>
            </w:pPr>
          </w:p>
        </w:tc>
      </w:tr>
      <w:tr w:rsidR="002D7AB4" w:rsidRPr="0042750D" w14:paraId="656A4C74" w14:textId="77777777" w:rsidTr="00042B85">
        <w:trPr>
          <w:cantSplit/>
          <w:tblHeader/>
          <w:jc w:val="center"/>
        </w:trPr>
        <w:tc>
          <w:tcPr>
            <w:tcW w:w="912" w:type="dxa"/>
            <w:vMerge/>
            <w:tcBorders>
              <w:bottom w:val="single" w:sz="12" w:space="0" w:color="auto"/>
            </w:tcBorders>
            <w:shd w:val="clear" w:color="auto" w:fill="auto"/>
            <w:vAlign w:val="center"/>
          </w:tcPr>
          <w:p w14:paraId="5CEA9242" w14:textId="77777777" w:rsidR="002D7AB4" w:rsidRPr="0042750D" w:rsidRDefault="002D7AB4" w:rsidP="00042B85">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2DF9DB99" w14:textId="77777777" w:rsidR="002D7AB4" w:rsidRPr="0042750D" w:rsidRDefault="002D7AB4" w:rsidP="0074302C">
            <w:pPr>
              <w:spacing w:before="40" w:after="40"/>
            </w:pPr>
          </w:p>
        </w:tc>
      </w:tr>
    </w:tbl>
    <w:p w14:paraId="300C8057"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3D0C9AAB" w14:textId="3F2A2307" w:rsidR="00F0236A" w:rsidRPr="0042750D" w:rsidRDefault="00DF3BB5" w:rsidP="00380EF6">
      <w:pPr>
        <w:pStyle w:val="Heading1"/>
        <w:rPr>
          <w:sz w:val="24"/>
          <w:szCs w:val="24"/>
          <w:lang w:val="en-GB"/>
        </w:rPr>
      </w:pPr>
      <w:bookmarkStart w:id="278" w:name="_Toc30749179"/>
      <w:bookmarkEnd w:id="277"/>
      <w:r w:rsidRPr="0042750D">
        <w:rPr>
          <w:sz w:val="24"/>
          <w:szCs w:val="24"/>
          <w:lang w:val="en-GB"/>
        </w:rPr>
        <w:t>RESOLUTION 180 (REV. DUBAI, 2018) –</w:t>
      </w:r>
      <w:r w:rsidR="00DF058E" w:rsidRPr="0042750D">
        <w:rPr>
          <w:sz w:val="24"/>
          <w:szCs w:val="24"/>
          <w:lang w:val="en-GB"/>
        </w:rPr>
        <w:t xml:space="preserve"> </w:t>
      </w:r>
      <w:r w:rsidRPr="0042750D">
        <w:rPr>
          <w:sz w:val="24"/>
          <w:szCs w:val="24"/>
          <w:lang w:val="en-GB"/>
        </w:rPr>
        <w:t>Promoting deployment and adoption of IPv6 to facilitate the transition from IPv4 to IPv6</w:t>
      </w:r>
      <w:bookmarkEnd w:id="278"/>
    </w:p>
    <w:p w14:paraId="4F290004" w14:textId="77777777" w:rsidR="00F0236A" w:rsidRPr="0042750D" w:rsidRDefault="00F0236A" w:rsidP="00380EF6">
      <w:pPr>
        <w:pStyle w:val="Call"/>
        <w:keepNext w:val="0"/>
        <w:keepLines w:val="0"/>
        <w:rPr>
          <w:szCs w:val="22"/>
          <w:lang w:val="en-GB"/>
        </w:rPr>
      </w:pPr>
      <w:r w:rsidRPr="0042750D">
        <w:rPr>
          <w:szCs w:val="22"/>
          <w:lang w:val="en-GB"/>
        </w:rPr>
        <w:t>resolves</w:t>
      </w:r>
    </w:p>
    <w:p w14:paraId="71E0D154" w14:textId="77777777" w:rsidR="00DF3BB5" w:rsidRPr="0042750D" w:rsidRDefault="00DF3BB5" w:rsidP="00380EF6">
      <w:pPr>
        <w:rPr>
          <w:szCs w:val="22"/>
        </w:rPr>
      </w:pPr>
      <w:r w:rsidRPr="0042750D">
        <w:rPr>
          <w:szCs w:val="22"/>
        </w:rPr>
        <w:t>1</w:t>
      </w:r>
      <w:r w:rsidRPr="0042750D">
        <w:rPr>
          <w:szCs w:val="22"/>
        </w:rPr>
        <w:tab/>
        <w:t>to explore ways and means, in accordance with the Tunis Agenda for the Information Society, for greater reciprocal collaboration and coordination between ITU and relevant organizations</w:t>
      </w:r>
      <w:r w:rsidRPr="0042750D">
        <w:rPr>
          <w:rStyle w:val="FootnoteReference"/>
          <w:sz w:val="22"/>
          <w:szCs w:val="22"/>
        </w:rPr>
        <w:t xml:space="preserve"> </w:t>
      </w:r>
      <w:r w:rsidRPr="0042750D">
        <w:rPr>
          <w:rStyle w:val="FootnoteReference"/>
          <w:sz w:val="22"/>
          <w:szCs w:val="22"/>
        </w:rPr>
        <w:footnoteReference w:customMarkFollows="1" w:id="14"/>
        <w:t>2</w:t>
      </w:r>
      <w:r w:rsidRPr="0042750D">
        <w:rPr>
          <w:szCs w:val="22"/>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58CB8644" w14:textId="65C05A5B" w:rsidR="00DF3BB5" w:rsidRPr="0042750D" w:rsidRDefault="00DF3BB5" w:rsidP="00DF3BB5">
      <w:pPr>
        <w:rPr>
          <w:szCs w:val="22"/>
        </w:rPr>
      </w:pPr>
      <w:r w:rsidRPr="0042750D">
        <w:rPr>
          <w:szCs w:val="22"/>
        </w:rPr>
        <w:t>2</w:t>
      </w:r>
      <w:r w:rsidRPr="0042750D">
        <w:rPr>
          <w:szCs w:val="22"/>
        </w:rPr>
        <w:tab/>
        <w:t xml:space="preserve">to step up the exchange of experiences and information with all stakeholders regarding IPv6, with the aim of creating opportunities for collaborative efforts and ensuring that feedback enriches </w:t>
      </w:r>
      <w:r w:rsidR="005D14EB" w:rsidRPr="0042750D">
        <w:rPr>
          <w:szCs w:val="22"/>
        </w:rPr>
        <w:t>ongoing efforts on this matter;</w:t>
      </w:r>
    </w:p>
    <w:p w14:paraId="5182C07F" w14:textId="77777777" w:rsidR="00DF3BB5" w:rsidRPr="0042750D" w:rsidRDefault="00DF3BB5" w:rsidP="00DF3BB5">
      <w:pPr>
        <w:rPr>
          <w:szCs w:val="22"/>
        </w:rPr>
      </w:pPr>
      <w:r w:rsidRPr="0042750D">
        <w:rPr>
          <w:szCs w:val="22"/>
        </w:rPr>
        <w:t>3</w:t>
      </w:r>
      <w:r w:rsidRPr="0042750D">
        <w:rPr>
          <w:szCs w:val="22"/>
        </w:rPr>
        <w:tab/>
        <w:t>to collaborate closely with the relevant international recognized partners, including the Internet community (e.g. RIRs, the Internet Engineering Task Force (IETF) and others), in order to encourage the deployment of IPv6 by raising awareness and through capacity building;</w:t>
      </w:r>
    </w:p>
    <w:p w14:paraId="201F9EFB" w14:textId="77777777" w:rsidR="00DF3BB5" w:rsidRPr="0042750D" w:rsidRDefault="00DF3BB5" w:rsidP="00DF3BB5">
      <w:pPr>
        <w:rPr>
          <w:szCs w:val="22"/>
        </w:rPr>
      </w:pPr>
      <w:r w:rsidRPr="0042750D">
        <w:rPr>
          <w:szCs w:val="22"/>
        </w:rPr>
        <w:t>4</w:t>
      </w:r>
      <w:r w:rsidRPr="0042750D">
        <w:rPr>
          <w:szCs w:val="22"/>
        </w:rPr>
        <w:tab/>
        <w:t>to support those Member States which, in accordance with the existing allocation policies, require assistance in the management and allocation of IPv6 resources, pursuant to relevant resolutions;</w:t>
      </w:r>
    </w:p>
    <w:p w14:paraId="297543B0" w14:textId="64F0BEA8" w:rsidR="00DF3BB5" w:rsidRPr="0042750D" w:rsidRDefault="00DF3BB5" w:rsidP="00AA7649">
      <w:pPr>
        <w:spacing w:after="120"/>
        <w:rPr>
          <w:szCs w:val="22"/>
        </w:rPr>
      </w:pPr>
      <w:r w:rsidRPr="0042750D">
        <w:rPr>
          <w:szCs w:val="22"/>
        </w:rPr>
        <w:t>5</w:t>
      </w:r>
      <w:r w:rsidRPr="0042750D">
        <w:rPr>
          <w:szCs w:val="22"/>
        </w:rPr>
        <w:tab/>
        <w:t>to continue the studies of IP address allocation, both for IPv4 addresses and for IPv6 addresses, in cooperation with other relevant stakeholders, based on their respective roles</w:t>
      </w:r>
      <w:r w:rsidR="00AA7649" w:rsidRPr="0042750D">
        <w:rPr>
          <w:szCs w:val="22"/>
        </w:rPr>
        <w:t>.</w:t>
      </w:r>
    </w:p>
    <w:p w14:paraId="5F807267" w14:textId="77777777" w:rsidR="0008229F" w:rsidRPr="0042750D" w:rsidRDefault="0008229F" w:rsidP="0008229F">
      <w:pPr>
        <w:pStyle w:val="Call"/>
        <w:rPr>
          <w:lang w:val="en-GB"/>
        </w:rPr>
      </w:pPr>
      <w:r w:rsidRPr="0042750D">
        <w:rPr>
          <w:lang w:val="en-GB"/>
        </w:rPr>
        <w:t>instructs the Secretary-General</w:t>
      </w:r>
    </w:p>
    <w:p w14:paraId="5DB1BA9A" w14:textId="77777777" w:rsidR="0008229F" w:rsidRPr="0042750D" w:rsidRDefault="0008229F" w:rsidP="0008229F">
      <w:pPr>
        <w:spacing w:after="120"/>
      </w:pPr>
      <w:r w:rsidRPr="0042750D">
        <w:t>to submit to the Council and disseminate, as appropriate, (a) progress report(s) to the ITU membership and the Internet community, on the implementation of this resolution.</w:t>
      </w:r>
    </w:p>
    <w:tbl>
      <w:tblPr>
        <w:tblW w:w="96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465"/>
        <w:gridCol w:w="1816"/>
        <w:gridCol w:w="1168"/>
        <w:gridCol w:w="1338"/>
      </w:tblGrid>
      <w:tr w:rsidR="00F0236A" w:rsidRPr="0042750D" w14:paraId="14C96AF2" w14:textId="77777777" w:rsidTr="00043514">
        <w:trPr>
          <w:tblHeader/>
          <w:jc w:val="center"/>
        </w:trPr>
        <w:tc>
          <w:tcPr>
            <w:tcW w:w="908" w:type="dxa"/>
            <w:tcBorders>
              <w:top w:val="single" w:sz="12" w:space="0" w:color="auto"/>
              <w:bottom w:val="single" w:sz="12" w:space="0" w:color="auto"/>
            </w:tcBorders>
            <w:shd w:val="clear" w:color="auto" w:fill="auto"/>
            <w:vAlign w:val="center"/>
          </w:tcPr>
          <w:p w14:paraId="51637FA3" w14:textId="77777777" w:rsidR="00F0236A" w:rsidRPr="0042750D" w:rsidRDefault="00F0236A" w:rsidP="00441AF1">
            <w:pPr>
              <w:pStyle w:val="Tablehead"/>
              <w:keepNext w:val="0"/>
              <w:rPr>
                <w:sz w:val="24"/>
                <w:szCs w:val="24"/>
              </w:rPr>
            </w:pPr>
            <w:r w:rsidRPr="0042750D">
              <w:rPr>
                <w:sz w:val="24"/>
                <w:szCs w:val="24"/>
              </w:rPr>
              <w:t>Action Item</w:t>
            </w:r>
          </w:p>
        </w:tc>
        <w:tc>
          <w:tcPr>
            <w:tcW w:w="4465" w:type="dxa"/>
            <w:tcBorders>
              <w:top w:val="single" w:sz="12" w:space="0" w:color="auto"/>
              <w:bottom w:val="single" w:sz="12" w:space="0" w:color="auto"/>
            </w:tcBorders>
            <w:shd w:val="clear" w:color="auto" w:fill="auto"/>
            <w:vAlign w:val="center"/>
            <w:hideMark/>
          </w:tcPr>
          <w:p w14:paraId="7124822E" w14:textId="77777777" w:rsidR="00F0236A" w:rsidRPr="0042750D" w:rsidRDefault="00F0236A" w:rsidP="00DF36E1">
            <w:pPr>
              <w:pStyle w:val="Tablehead"/>
              <w:rPr>
                <w:sz w:val="24"/>
                <w:szCs w:val="24"/>
              </w:rPr>
            </w:pPr>
            <w:r w:rsidRPr="0042750D">
              <w:rPr>
                <w:sz w:val="24"/>
                <w:szCs w:val="24"/>
              </w:rPr>
              <w:t>Action</w:t>
            </w:r>
          </w:p>
        </w:tc>
        <w:tc>
          <w:tcPr>
            <w:tcW w:w="1816" w:type="dxa"/>
            <w:tcBorders>
              <w:top w:val="single" w:sz="12" w:space="0" w:color="auto"/>
              <w:bottom w:val="single" w:sz="12" w:space="0" w:color="auto"/>
            </w:tcBorders>
            <w:shd w:val="clear" w:color="auto" w:fill="auto"/>
            <w:vAlign w:val="center"/>
            <w:hideMark/>
          </w:tcPr>
          <w:p w14:paraId="20A3031E" w14:textId="77777777" w:rsidR="00F0236A" w:rsidRPr="0042750D" w:rsidRDefault="00F0236A" w:rsidP="00DF36E1">
            <w:pPr>
              <w:pStyle w:val="Tablehead"/>
              <w:rPr>
                <w:sz w:val="24"/>
                <w:szCs w:val="24"/>
              </w:rPr>
            </w:pPr>
            <w:r w:rsidRPr="0042750D">
              <w:rPr>
                <w:sz w:val="24"/>
                <w:szCs w:val="24"/>
              </w:rPr>
              <w:t>Milestone</w:t>
            </w:r>
          </w:p>
        </w:tc>
        <w:tc>
          <w:tcPr>
            <w:tcW w:w="1168" w:type="dxa"/>
            <w:tcBorders>
              <w:top w:val="single" w:sz="12" w:space="0" w:color="auto"/>
              <w:bottom w:val="single" w:sz="12" w:space="0" w:color="auto"/>
            </w:tcBorders>
            <w:shd w:val="clear" w:color="auto" w:fill="auto"/>
          </w:tcPr>
          <w:p w14:paraId="28BB58A9"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6451F2A"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1E24088F" w14:textId="77777777" w:rsidTr="0008229F">
        <w:trPr>
          <w:jc w:val="center"/>
        </w:trPr>
        <w:tc>
          <w:tcPr>
            <w:tcW w:w="908" w:type="dxa"/>
            <w:vMerge w:val="restart"/>
            <w:tcBorders>
              <w:top w:val="single" w:sz="12" w:space="0" w:color="auto"/>
            </w:tcBorders>
            <w:shd w:val="clear" w:color="auto" w:fill="auto"/>
          </w:tcPr>
          <w:p w14:paraId="0E1893D8" w14:textId="1B1790F7" w:rsidR="00F0236A" w:rsidRPr="0042750D" w:rsidRDefault="00DF3BB5" w:rsidP="00E7010D">
            <w:pPr>
              <w:pStyle w:val="Tabletext"/>
              <w:rPr>
                <w:b/>
                <w:bCs/>
                <w:sz w:val="24"/>
                <w:szCs w:val="24"/>
              </w:rPr>
            </w:pPr>
            <w:r w:rsidRPr="0042750D">
              <w:rPr>
                <w:b/>
                <w:bCs/>
                <w:sz w:val="24"/>
                <w:szCs w:val="24"/>
              </w:rPr>
              <w:t>180</w:t>
            </w:r>
            <w:r w:rsidR="00F0236A" w:rsidRPr="0042750D">
              <w:rPr>
                <w:b/>
                <w:bCs/>
                <w:sz w:val="24"/>
                <w:szCs w:val="24"/>
              </w:rPr>
              <w:t>-01</w:t>
            </w:r>
          </w:p>
        </w:tc>
        <w:tc>
          <w:tcPr>
            <w:tcW w:w="4465" w:type="dxa"/>
            <w:tcBorders>
              <w:top w:val="single" w:sz="12" w:space="0" w:color="auto"/>
              <w:bottom w:val="single" w:sz="2" w:space="0" w:color="auto"/>
            </w:tcBorders>
            <w:shd w:val="clear" w:color="auto" w:fill="auto"/>
            <w:hideMark/>
          </w:tcPr>
          <w:p w14:paraId="5FEC7559" w14:textId="5418E3F2" w:rsidR="00F0236A" w:rsidRPr="0042750D" w:rsidRDefault="00876427" w:rsidP="00876427">
            <w:pPr>
              <w:pStyle w:val="Tabletext"/>
              <w:keepNext/>
              <w:keepLines/>
              <w:rPr>
                <w:b/>
                <w:bCs/>
                <w:sz w:val="24"/>
                <w:szCs w:val="24"/>
              </w:rPr>
            </w:pPr>
            <w:r w:rsidRPr="0042750D">
              <w:rPr>
                <w:b/>
                <w:bCs/>
                <w:sz w:val="24"/>
                <w:szCs w:val="24"/>
              </w:rPr>
              <w:t>TSBDir to step up the exchange of experiences and information with all stakeholders regarding IPv6</w:t>
            </w:r>
            <w:r w:rsidR="002A5327" w:rsidRPr="0042750D">
              <w:rPr>
                <w:b/>
                <w:bCs/>
                <w:sz w:val="24"/>
                <w:szCs w:val="24"/>
              </w:rPr>
              <w:t xml:space="preserve"> (</w:t>
            </w:r>
            <w:r w:rsidR="002A5327" w:rsidRPr="0042750D">
              <w:rPr>
                <w:b/>
                <w:bCs/>
                <w:i/>
                <w:sz w:val="24"/>
                <w:szCs w:val="24"/>
              </w:rPr>
              <w:t>resolves 2</w:t>
            </w:r>
            <w:r w:rsidR="002A5327" w:rsidRPr="0042750D">
              <w:rPr>
                <w:b/>
                <w:bCs/>
                <w:sz w:val="24"/>
                <w:szCs w:val="24"/>
              </w:rPr>
              <w:t>)</w:t>
            </w:r>
            <w:r w:rsidRPr="0042750D">
              <w:rPr>
                <w:b/>
                <w:bCs/>
                <w:sz w:val="24"/>
                <w:szCs w:val="24"/>
              </w:rPr>
              <w:t>.</w:t>
            </w:r>
          </w:p>
        </w:tc>
        <w:tc>
          <w:tcPr>
            <w:tcW w:w="1816" w:type="dxa"/>
            <w:tcBorders>
              <w:top w:val="single" w:sz="12" w:space="0" w:color="auto"/>
              <w:bottom w:val="single" w:sz="2" w:space="0" w:color="auto"/>
            </w:tcBorders>
            <w:shd w:val="clear" w:color="auto" w:fill="auto"/>
            <w:vAlign w:val="center"/>
            <w:hideMark/>
          </w:tcPr>
          <w:p w14:paraId="0D5EB3CC"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68" w:type="dxa"/>
            <w:tcBorders>
              <w:top w:val="single" w:sz="12" w:space="0" w:color="auto"/>
              <w:bottom w:val="single" w:sz="2" w:space="0" w:color="auto"/>
            </w:tcBorders>
            <w:shd w:val="clear" w:color="auto" w:fill="auto"/>
            <w:vAlign w:val="center"/>
          </w:tcPr>
          <w:p w14:paraId="05245222" w14:textId="1E8F077D" w:rsidR="00F0236A" w:rsidRPr="0042750D" w:rsidRDefault="00447F8A"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5D6F9E98" w14:textId="77777777" w:rsidR="00F0236A" w:rsidRPr="0042750D" w:rsidRDefault="00F0236A" w:rsidP="00DF36E1">
            <w:pPr>
              <w:pStyle w:val="Tabletext"/>
              <w:jc w:val="center"/>
              <w:rPr>
                <w:b/>
                <w:bCs/>
                <w:sz w:val="24"/>
                <w:szCs w:val="24"/>
              </w:rPr>
            </w:pPr>
          </w:p>
        </w:tc>
      </w:tr>
      <w:tr w:rsidR="00F0236A" w:rsidRPr="0042750D" w14:paraId="7D14BC04" w14:textId="77777777" w:rsidTr="00A4778B">
        <w:trPr>
          <w:jc w:val="center"/>
        </w:trPr>
        <w:tc>
          <w:tcPr>
            <w:tcW w:w="908" w:type="dxa"/>
            <w:vMerge/>
            <w:tcBorders>
              <w:bottom w:val="single" w:sz="12" w:space="0" w:color="auto"/>
            </w:tcBorders>
            <w:shd w:val="clear" w:color="auto" w:fill="auto"/>
          </w:tcPr>
          <w:p w14:paraId="67691988" w14:textId="77777777" w:rsidR="00F0236A" w:rsidRPr="0042750D" w:rsidRDefault="00F0236A" w:rsidP="00DF36E1">
            <w:pPr>
              <w:pStyle w:val="Tabletext"/>
              <w:rPr>
                <w:sz w:val="24"/>
                <w:szCs w:val="24"/>
              </w:rPr>
            </w:pPr>
          </w:p>
        </w:tc>
        <w:tc>
          <w:tcPr>
            <w:tcW w:w="8787" w:type="dxa"/>
            <w:gridSpan w:val="4"/>
            <w:tcBorders>
              <w:top w:val="single" w:sz="2" w:space="0" w:color="auto"/>
              <w:bottom w:val="single" w:sz="12" w:space="0" w:color="auto"/>
            </w:tcBorders>
            <w:shd w:val="clear" w:color="auto" w:fill="auto"/>
          </w:tcPr>
          <w:p w14:paraId="1085EE54" w14:textId="65150A15" w:rsidR="00F0236A" w:rsidRPr="0042750D" w:rsidRDefault="00A265A0" w:rsidP="00447F8A">
            <w:pPr>
              <w:pStyle w:val="Tabletext"/>
              <w:keepNext/>
              <w:keepLines/>
              <w:rPr>
                <w:szCs w:val="22"/>
              </w:rPr>
            </w:pPr>
            <w:r w:rsidRPr="0042750D">
              <w:rPr>
                <w:szCs w:val="22"/>
              </w:rPr>
              <w:t xml:space="preserve">ITU-T </w:t>
            </w:r>
            <w:r w:rsidRPr="0042750D">
              <w:rPr>
                <w:bCs/>
                <w:szCs w:val="22"/>
              </w:rPr>
              <w:t>SG20</w:t>
            </w:r>
            <w:r w:rsidR="000A4ADB" w:rsidRPr="0042750D">
              <w:rPr>
                <w:szCs w:val="22"/>
              </w:rPr>
              <w:t xml:space="preserve"> maintains a liaison relationship with </w:t>
            </w:r>
            <w:r w:rsidR="00447F8A" w:rsidRPr="0042750D">
              <w:rPr>
                <w:szCs w:val="22"/>
              </w:rPr>
              <w:t xml:space="preserve">the </w:t>
            </w:r>
            <w:r w:rsidR="000A4ADB" w:rsidRPr="0042750D">
              <w:rPr>
                <w:szCs w:val="22"/>
              </w:rPr>
              <w:t>IPv6 Forum.</w:t>
            </w:r>
          </w:p>
        </w:tc>
      </w:tr>
      <w:tr w:rsidR="00F0236A" w:rsidRPr="0042750D" w14:paraId="7126172D" w14:textId="77777777" w:rsidTr="0008229F">
        <w:trPr>
          <w:jc w:val="center"/>
        </w:trPr>
        <w:tc>
          <w:tcPr>
            <w:tcW w:w="908" w:type="dxa"/>
            <w:vMerge w:val="restart"/>
            <w:tcBorders>
              <w:top w:val="single" w:sz="12" w:space="0" w:color="auto"/>
            </w:tcBorders>
            <w:shd w:val="clear" w:color="auto" w:fill="auto"/>
          </w:tcPr>
          <w:p w14:paraId="1F7DEBCD" w14:textId="0B7A67AE" w:rsidR="00F0236A" w:rsidRPr="0042750D" w:rsidRDefault="00876427" w:rsidP="00441AF1">
            <w:pPr>
              <w:pStyle w:val="Tabletext"/>
              <w:rPr>
                <w:b/>
                <w:bCs/>
                <w:sz w:val="24"/>
                <w:szCs w:val="24"/>
              </w:rPr>
            </w:pPr>
            <w:r w:rsidRPr="0042750D">
              <w:rPr>
                <w:b/>
                <w:bCs/>
                <w:sz w:val="24"/>
                <w:szCs w:val="24"/>
              </w:rPr>
              <w:t>180-02</w:t>
            </w:r>
          </w:p>
        </w:tc>
        <w:tc>
          <w:tcPr>
            <w:tcW w:w="4465" w:type="dxa"/>
            <w:tcBorders>
              <w:top w:val="single" w:sz="12" w:space="0" w:color="auto"/>
            </w:tcBorders>
            <w:shd w:val="clear" w:color="auto" w:fill="auto"/>
            <w:hideMark/>
          </w:tcPr>
          <w:p w14:paraId="3CCBE52C" w14:textId="7B250A6B" w:rsidR="00F0236A" w:rsidRPr="0042750D" w:rsidRDefault="00876427" w:rsidP="00876427">
            <w:pPr>
              <w:pStyle w:val="Tabletext"/>
              <w:keepNext/>
              <w:keepLines/>
              <w:rPr>
                <w:b/>
                <w:bCs/>
                <w:sz w:val="24"/>
                <w:szCs w:val="24"/>
              </w:rPr>
            </w:pPr>
            <w:r w:rsidRPr="0042750D">
              <w:rPr>
                <w:b/>
                <w:bCs/>
                <w:sz w:val="24"/>
                <w:szCs w:val="24"/>
              </w:rPr>
              <w:t>TSBDir to collaborate closely with the relevant international recognized partners, including the Internet community (e.g. RIRs, the Internet Engineering Task Force (IETF) and others)</w:t>
            </w:r>
            <w:r w:rsidR="002A5327" w:rsidRPr="0042750D">
              <w:rPr>
                <w:b/>
                <w:bCs/>
                <w:sz w:val="24"/>
                <w:szCs w:val="24"/>
              </w:rPr>
              <w:t xml:space="preserve"> (</w:t>
            </w:r>
            <w:r w:rsidR="002A5327" w:rsidRPr="0042750D">
              <w:rPr>
                <w:b/>
                <w:bCs/>
                <w:i/>
                <w:sz w:val="24"/>
                <w:szCs w:val="24"/>
              </w:rPr>
              <w:t>resolves 3</w:t>
            </w:r>
            <w:r w:rsidR="002A5327" w:rsidRPr="0042750D">
              <w:rPr>
                <w:b/>
                <w:bCs/>
                <w:sz w:val="24"/>
                <w:szCs w:val="24"/>
              </w:rPr>
              <w:t>)</w:t>
            </w:r>
            <w:r w:rsidRPr="0042750D">
              <w:rPr>
                <w:b/>
                <w:bCs/>
                <w:sz w:val="24"/>
                <w:szCs w:val="24"/>
              </w:rPr>
              <w:t>.</w:t>
            </w:r>
          </w:p>
        </w:tc>
        <w:tc>
          <w:tcPr>
            <w:tcW w:w="1816" w:type="dxa"/>
            <w:tcBorders>
              <w:top w:val="single" w:sz="12" w:space="0" w:color="auto"/>
            </w:tcBorders>
            <w:shd w:val="clear" w:color="auto" w:fill="auto"/>
            <w:vAlign w:val="center"/>
            <w:hideMark/>
          </w:tcPr>
          <w:p w14:paraId="7523B0AF" w14:textId="625DEAAF" w:rsidR="00F0236A" w:rsidRPr="0042750D" w:rsidRDefault="00DF3BB5" w:rsidP="00DF36E1">
            <w:pPr>
              <w:pStyle w:val="Tabletext"/>
              <w:jc w:val="center"/>
              <w:rPr>
                <w:b/>
                <w:bCs/>
                <w:sz w:val="24"/>
                <w:szCs w:val="24"/>
              </w:rPr>
            </w:pPr>
            <w:r w:rsidRPr="0042750D">
              <w:rPr>
                <w:b/>
                <w:bCs/>
                <w:sz w:val="24"/>
                <w:szCs w:val="24"/>
              </w:rPr>
              <w:t>Ongoing</w:t>
            </w:r>
          </w:p>
        </w:tc>
        <w:tc>
          <w:tcPr>
            <w:tcW w:w="1168" w:type="dxa"/>
            <w:tcBorders>
              <w:top w:val="single" w:sz="12" w:space="0" w:color="auto"/>
            </w:tcBorders>
            <w:shd w:val="clear" w:color="auto" w:fill="auto"/>
            <w:vAlign w:val="center"/>
          </w:tcPr>
          <w:p w14:paraId="753E1265" w14:textId="16CCDE30" w:rsidR="00F0236A" w:rsidRPr="0042750D"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6954B163" w14:textId="77777777" w:rsidR="00F0236A" w:rsidRPr="0042750D" w:rsidRDefault="00F0236A" w:rsidP="00DF36E1">
            <w:pPr>
              <w:pStyle w:val="Tabletext"/>
              <w:jc w:val="center"/>
              <w:rPr>
                <w:b/>
                <w:bCs/>
                <w:sz w:val="24"/>
                <w:szCs w:val="24"/>
              </w:rPr>
            </w:pPr>
          </w:p>
        </w:tc>
      </w:tr>
      <w:tr w:rsidR="00F0236A" w:rsidRPr="0042750D" w14:paraId="3B4CD140" w14:textId="77777777" w:rsidTr="00A4778B">
        <w:trPr>
          <w:jc w:val="center"/>
        </w:trPr>
        <w:tc>
          <w:tcPr>
            <w:tcW w:w="908" w:type="dxa"/>
            <w:vMerge/>
            <w:tcBorders>
              <w:bottom w:val="single" w:sz="12" w:space="0" w:color="auto"/>
            </w:tcBorders>
            <w:shd w:val="clear" w:color="auto" w:fill="auto"/>
          </w:tcPr>
          <w:p w14:paraId="5D540EFC" w14:textId="77777777" w:rsidR="00F0236A" w:rsidRPr="0042750D" w:rsidRDefault="00F0236A" w:rsidP="00DF36E1">
            <w:pPr>
              <w:pStyle w:val="Tabletext"/>
              <w:rPr>
                <w:sz w:val="24"/>
                <w:szCs w:val="24"/>
              </w:rPr>
            </w:pPr>
          </w:p>
        </w:tc>
        <w:tc>
          <w:tcPr>
            <w:tcW w:w="8787" w:type="dxa"/>
            <w:gridSpan w:val="4"/>
            <w:tcBorders>
              <w:bottom w:val="single" w:sz="12" w:space="0" w:color="auto"/>
            </w:tcBorders>
            <w:shd w:val="clear" w:color="auto" w:fill="auto"/>
          </w:tcPr>
          <w:p w14:paraId="386CA6EE" w14:textId="711761B5" w:rsidR="00F0236A" w:rsidRPr="0042750D" w:rsidRDefault="00F0236A" w:rsidP="0074302C">
            <w:pPr>
              <w:pStyle w:val="Tabletext"/>
              <w:keepNext/>
              <w:keepLines/>
              <w:rPr>
                <w:szCs w:val="22"/>
              </w:rPr>
            </w:pPr>
          </w:p>
        </w:tc>
      </w:tr>
      <w:tr w:rsidR="00F0236A" w:rsidRPr="0042750D" w14:paraId="209D7363" w14:textId="77777777" w:rsidTr="0008229F">
        <w:trPr>
          <w:jc w:val="center"/>
        </w:trPr>
        <w:tc>
          <w:tcPr>
            <w:tcW w:w="908" w:type="dxa"/>
            <w:vMerge w:val="restart"/>
            <w:tcBorders>
              <w:top w:val="single" w:sz="12" w:space="0" w:color="auto"/>
            </w:tcBorders>
            <w:shd w:val="clear" w:color="auto" w:fill="auto"/>
          </w:tcPr>
          <w:p w14:paraId="0D046775" w14:textId="38E3EBD1" w:rsidR="00F0236A" w:rsidRPr="0042750D" w:rsidRDefault="00876427" w:rsidP="00DF36E1">
            <w:pPr>
              <w:pStyle w:val="Tabletext"/>
              <w:rPr>
                <w:b/>
                <w:bCs/>
                <w:sz w:val="24"/>
                <w:szCs w:val="24"/>
              </w:rPr>
            </w:pPr>
            <w:r w:rsidRPr="0042750D">
              <w:rPr>
                <w:b/>
                <w:bCs/>
                <w:sz w:val="24"/>
                <w:szCs w:val="24"/>
              </w:rPr>
              <w:t>180-03</w:t>
            </w:r>
          </w:p>
        </w:tc>
        <w:tc>
          <w:tcPr>
            <w:tcW w:w="4465" w:type="dxa"/>
            <w:tcBorders>
              <w:top w:val="single" w:sz="12" w:space="0" w:color="auto"/>
            </w:tcBorders>
            <w:shd w:val="clear" w:color="auto" w:fill="auto"/>
            <w:hideMark/>
          </w:tcPr>
          <w:p w14:paraId="7D01B9DC" w14:textId="77C53397" w:rsidR="00F0236A" w:rsidRPr="0042750D" w:rsidRDefault="00876427" w:rsidP="00876427">
            <w:pPr>
              <w:pStyle w:val="Tabletext"/>
              <w:keepNext/>
              <w:keepLines/>
              <w:rPr>
                <w:b/>
                <w:bCs/>
                <w:sz w:val="24"/>
                <w:szCs w:val="24"/>
              </w:rPr>
            </w:pPr>
            <w:r w:rsidRPr="0042750D">
              <w:rPr>
                <w:b/>
                <w:bCs/>
                <w:sz w:val="24"/>
                <w:szCs w:val="24"/>
              </w:rPr>
              <w:t>TSBDir to support those Member States which, in accordance with the existing allocation policies, require assistance in the management and allocation of IPv6 resources, pursuant to relevant resolutions</w:t>
            </w:r>
            <w:r w:rsidR="002A5327" w:rsidRPr="0042750D">
              <w:rPr>
                <w:b/>
                <w:bCs/>
                <w:sz w:val="24"/>
                <w:szCs w:val="24"/>
              </w:rPr>
              <w:t xml:space="preserve"> (</w:t>
            </w:r>
            <w:r w:rsidR="002A5327" w:rsidRPr="0042750D">
              <w:rPr>
                <w:b/>
                <w:bCs/>
                <w:i/>
                <w:sz w:val="24"/>
                <w:szCs w:val="24"/>
              </w:rPr>
              <w:t>resolves 4</w:t>
            </w:r>
            <w:r w:rsidR="002A5327" w:rsidRPr="0042750D">
              <w:rPr>
                <w:b/>
                <w:bCs/>
                <w:sz w:val="24"/>
                <w:szCs w:val="24"/>
              </w:rPr>
              <w:t>)</w:t>
            </w:r>
            <w:r w:rsidRPr="0042750D">
              <w:rPr>
                <w:b/>
                <w:bCs/>
                <w:sz w:val="24"/>
                <w:szCs w:val="24"/>
              </w:rPr>
              <w:t>.</w:t>
            </w:r>
          </w:p>
        </w:tc>
        <w:tc>
          <w:tcPr>
            <w:tcW w:w="1816" w:type="dxa"/>
            <w:tcBorders>
              <w:top w:val="single" w:sz="12" w:space="0" w:color="auto"/>
            </w:tcBorders>
            <w:shd w:val="clear" w:color="auto" w:fill="auto"/>
            <w:vAlign w:val="center"/>
          </w:tcPr>
          <w:p w14:paraId="46441C44"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68" w:type="dxa"/>
            <w:tcBorders>
              <w:top w:val="single" w:sz="12" w:space="0" w:color="auto"/>
            </w:tcBorders>
            <w:shd w:val="clear" w:color="auto" w:fill="auto"/>
            <w:vAlign w:val="center"/>
          </w:tcPr>
          <w:p w14:paraId="3DFD338C" w14:textId="792624F7" w:rsidR="00F0236A" w:rsidRPr="0042750D"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35AF4958" w14:textId="77777777" w:rsidR="00F0236A" w:rsidRPr="0042750D" w:rsidRDefault="00F0236A" w:rsidP="00DF36E1">
            <w:pPr>
              <w:pStyle w:val="Tabletext"/>
              <w:jc w:val="center"/>
              <w:rPr>
                <w:b/>
                <w:bCs/>
                <w:sz w:val="24"/>
                <w:szCs w:val="24"/>
              </w:rPr>
            </w:pPr>
          </w:p>
        </w:tc>
      </w:tr>
      <w:tr w:rsidR="00F0236A" w:rsidRPr="0042750D" w14:paraId="4255136E" w14:textId="77777777" w:rsidTr="00A4778B">
        <w:trPr>
          <w:jc w:val="center"/>
        </w:trPr>
        <w:tc>
          <w:tcPr>
            <w:tcW w:w="908" w:type="dxa"/>
            <w:vMerge/>
            <w:tcBorders>
              <w:bottom w:val="single" w:sz="12" w:space="0" w:color="auto"/>
            </w:tcBorders>
            <w:shd w:val="clear" w:color="auto" w:fill="auto"/>
          </w:tcPr>
          <w:p w14:paraId="53605C34" w14:textId="77777777" w:rsidR="00F0236A" w:rsidRPr="0042750D" w:rsidRDefault="00F0236A" w:rsidP="00DF36E1">
            <w:pPr>
              <w:pStyle w:val="Tabletext"/>
              <w:rPr>
                <w:sz w:val="24"/>
                <w:szCs w:val="24"/>
              </w:rPr>
            </w:pPr>
          </w:p>
        </w:tc>
        <w:tc>
          <w:tcPr>
            <w:tcW w:w="8787" w:type="dxa"/>
            <w:gridSpan w:val="4"/>
            <w:tcBorders>
              <w:bottom w:val="single" w:sz="12" w:space="0" w:color="auto"/>
            </w:tcBorders>
            <w:shd w:val="clear" w:color="auto" w:fill="auto"/>
          </w:tcPr>
          <w:p w14:paraId="32BE1C6B" w14:textId="7FBE9C6B" w:rsidR="00F0236A" w:rsidRPr="0042750D" w:rsidRDefault="00F0236A" w:rsidP="0074302C">
            <w:pPr>
              <w:pStyle w:val="Tabletext"/>
              <w:keepNext/>
              <w:keepLines/>
              <w:rPr>
                <w:szCs w:val="22"/>
              </w:rPr>
            </w:pPr>
          </w:p>
        </w:tc>
      </w:tr>
      <w:tr w:rsidR="00F0236A" w:rsidRPr="0042750D" w14:paraId="38BEA1C0" w14:textId="77777777" w:rsidTr="0008229F">
        <w:trPr>
          <w:jc w:val="center"/>
        </w:trPr>
        <w:tc>
          <w:tcPr>
            <w:tcW w:w="908" w:type="dxa"/>
            <w:vMerge w:val="restart"/>
            <w:tcBorders>
              <w:top w:val="single" w:sz="12" w:space="0" w:color="auto"/>
            </w:tcBorders>
            <w:shd w:val="clear" w:color="auto" w:fill="auto"/>
          </w:tcPr>
          <w:p w14:paraId="54D745A4" w14:textId="65A55CCD" w:rsidR="00F0236A" w:rsidRPr="0042750D" w:rsidRDefault="00876427" w:rsidP="00441AF1">
            <w:pPr>
              <w:pStyle w:val="Tabletext"/>
              <w:rPr>
                <w:b/>
                <w:bCs/>
                <w:sz w:val="24"/>
                <w:szCs w:val="24"/>
              </w:rPr>
            </w:pPr>
            <w:r w:rsidRPr="0042750D">
              <w:rPr>
                <w:b/>
                <w:bCs/>
                <w:sz w:val="24"/>
                <w:szCs w:val="24"/>
              </w:rPr>
              <w:t>180-04</w:t>
            </w:r>
          </w:p>
        </w:tc>
        <w:tc>
          <w:tcPr>
            <w:tcW w:w="4465" w:type="dxa"/>
            <w:tcBorders>
              <w:top w:val="single" w:sz="12" w:space="0" w:color="auto"/>
            </w:tcBorders>
            <w:shd w:val="clear" w:color="auto" w:fill="auto"/>
          </w:tcPr>
          <w:p w14:paraId="619786E2" w14:textId="57280FB0" w:rsidR="00F0236A" w:rsidRPr="0042750D" w:rsidRDefault="00876427" w:rsidP="0028134B">
            <w:pPr>
              <w:pStyle w:val="Tabletext"/>
              <w:keepNext/>
              <w:keepLines/>
              <w:rPr>
                <w:b/>
                <w:bCs/>
                <w:sz w:val="24"/>
                <w:szCs w:val="24"/>
              </w:rPr>
            </w:pPr>
            <w:r w:rsidRPr="0042750D">
              <w:rPr>
                <w:b/>
                <w:bCs/>
                <w:sz w:val="24"/>
                <w:szCs w:val="24"/>
              </w:rPr>
              <w:t>TSBDir to continue the studies of IP address allocation, both for IPv4 addresses and for IPv6 addresses, in cooperation with other relevant stakeholders, based on their respective roles</w:t>
            </w:r>
            <w:r w:rsidR="002A5327" w:rsidRPr="0042750D">
              <w:rPr>
                <w:b/>
                <w:bCs/>
                <w:sz w:val="24"/>
                <w:szCs w:val="24"/>
              </w:rPr>
              <w:t xml:space="preserve"> (</w:t>
            </w:r>
            <w:r w:rsidR="002A5327" w:rsidRPr="0042750D">
              <w:rPr>
                <w:b/>
                <w:bCs/>
                <w:i/>
                <w:sz w:val="24"/>
                <w:szCs w:val="24"/>
              </w:rPr>
              <w:t>resolves 5</w:t>
            </w:r>
            <w:r w:rsidR="002A5327" w:rsidRPr="0042750D">
              <w:rPr>
                <w:b/>
                <w:bCs/>
                <w:sz w:val="24"/>
                <w:szCs w:val="24"/>
              </w:rPr>
              <w:t>)</w:t>
            </w:r>
            <w:r w:rsidRPr="0042750D">
              <w:rPr>
                <w:b/>
                <w:bCs/>
                <w:sz w:val="24"/>
                <w:szCs w:val="24"/>
              </w:rPr>
              <w:t>.</w:t>
            </w:r>
          </w:p>
        </w:tc>
        <w:tc>
          <w:tcPr>
            <w:tcW w:w="1816" w:type="dxa"/>
            <w:tcBorders>
              <w:top w:val="single" w:sz="12" w:space="0" w:color="auto"/>
            </w:tcBorders>
            <w:shd w:val="clear" w:color="auto" w:fill="auto"/>
            <w:vAlign w:val="center"/>
          </w:tcPr>
          <w:p w14:paraId="0D1E71EF" w14:textId="77777777" w:rsidR="00F0236A" w:rsidRPr="0042750D" w:rsidRDefault="00F0236A" w:rsidP="0028134B">
            <w:pPr>
              <w:pStyle w:val="Tabletext"/>
              <w:keepNext/>
              <w:keepLines/>
              <w:jc w:val="center"/>
              <w:rPr>
                <w:b/>
                <w:bCs/>
                <w:sz w:val="24"/>
                <w:szCs w:val="24"/>
              </w:rPr>
            </w:pPr>
            <w:r w:rsidRPr="0042750D">
              <w:rPr>
                <w:b/>
                <w:bCs/>
                <w:sz w:val="24"/>
                <w:szCs w:val="24"/>
              </w:rPr>
              <w:t>Ongoing</w:t>
            </w:r>
          </w:p>
        </w:tc>
        <w:tc>
          <w:tcPr>
            <w:tcW w:w="1168" w:type="dxa"/>
            <w:tcBorders>
              <w:top w:val="single" w:sz="12" w:space="0" w:color="auto"/>
            </w:tcBorders>
            <w:shd w:val="clear" w:color="auto" w:fill="auto"/>
            <w:vAlign w:val="center"/>
          </w:tcPr>
          <w:p w14:paraId="64058B87" w14:textId="4BB761C5" w:rsidR="00F0236A" w:rsidRPr="0042750D" w:rsidDel="005432B4" w:rsidRDefault="000F512D" w:rsidP="0028134B">
            <w:pPr>
              <w:pStyle w:val="Tabletext"/>
              <w:keepNext/>
              <w:keepLines/>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43C6B29A" w14:textId="77777777" w:rsidR="00F0236A" w:rsidRPr="0042750D" w:rsidRDefault="00F0236A" w:rsidP="0028134B">
            <w:pPr>
              <w:pStyle w:val="Tabletext"/>
              <w:keepNext/>
              <w:keepLines/>
              <w:jc w:val="center"/>
              <w:rPr>
                <w:b/>
                <w:bCs/>
                <w:sz w:val="24"/>
                <w:szCs w:val="24"/>
              </w:rPr>
            </w:pPr>
          </w:p>
        </w:tc>
      </w:tr>
      <w:tr w:rsidR="00F0236A" w:rsidRPr="0042750D" w14:paraId="670E7EAA" w14:textId="77777777" w:rsidTr="00E7010D">
        <w:trPr>
          <w:jc w:val="center"/>
        </w:trPr>
        <w:tc>
          <w:tcPr>
            <w:tcW w:w="908" w:type="dxa"/>
            <w:vMerge/>
            <w:shd w:val="clear" w:color="auto" w:fill="auto"/>
            <w:vAlign w:val="center"/>
          </w:tcPr>
          <w:p w14:paraId="04501A7F" w14:textId="77777777" w:rsidR="00F0236A" w:rsidRPr="0042750D" w:rsidRDefault="00F0236A" w:rsidP="00441AF1">
            <w:pPr>
              <w:pStyle w:val="Tabletext"/>
              <w:rPr>
                <w:sz w:val="24"/>
                <w:szCs w:val="24"/>
              </w:rPr>
            </w:pPr>
          </w:p>
        </w:tc>
        <w:tc>
          <w:tcPr>
            <w:tcW w:w="8787" w:type="dxa"/>
            <w:gridSpan w:val="4"/>
            <w:shd w:val="clear" w:color="auto" w:fill="auto"/>
          </w:tcPr>
          <w:p w14:paraId="53F709F9" w14:textId="721A82F7" w:rsidR="00F41AB8" w:rsidRPr="0042750D" w:rsidRDefault="00F41AB8" w:rsidP="0074302C">
            <w:pPr>
              <w:pStyle w:val="ListParagraph"/>
              <w:numPr>
                <w:ilvl w:val="0"/>
                <w:numId w:val="5"/>
              </w:numPr>
              <w:spacing w:before="40" w:after="40"/>
              <w:ind w:left="357" w:hanging="357"/>
              <w:contextualSpacing w:val="0"/>
              <w:rPr>
                <w:szCs w:val="22"/>
              </w:rPr>
            </w:pPr>
            <w:r w:rsidRPr="0042750D">
              <w:rPr>
                <w:spacing w:val="-2"/>
                <w:szCs w:val="22"/>
              </w:rPr>
              <w:t xml:space="preserve">Updates to 5GPPP SAVE (source address verification) using </w:t>
            </w:r>
            <w:r w:rsidR="0074419F" w:rsidRPr="0042750D">
              <w:rPr>
                <w:spacing w:val="-2"/>
                <w:szCs w:val="22"/>
              </w:rPr>
              <w:t xml:space="preserve">ITU-T </w:t>
            </w:r>
            <w:r w:rsidRPr="0042750D">
              <w:rPr>
                <w:spacing w:val="-2"/>
                <w:szCs w:val="22"/>
              </w:rPr>
              <w:t>E.164 based IPv6 addresses were provided to ITU-T Study Group 2 meetings. SG2 is collaborating with IETF concerning clarifications to IETF Process related to individual drafts and requests for IANA allocation related to IPv6 addressing.</w:t>
            </w:r>
          </w:p>
          <w:p w14:paraId="0AF7FF6C" w14:textId="3B15F223" w:rsidR="00F0236A" w:rsidRPr="0042750D" w:rsidRDefault="000F512D" w:rsidP="0040420B">
            <w:pPr>
              <w:pStyle w:val="ListParagraph"/>
              <w:numPr>
                <w:ilvl w:val="0"/>
                <w:numId w:val="5"/>
              </w:numPr>
              <w:spacing w:after="40"/>
              <w:ind w:left="357" w:hanging="357"/>
              <w:contextualSpacing w:val="0"/>
              <w:rPr>
                <w:szCs w:val="22"/>
              </w:rPr>
            </w:pPr>
            <w:r w:rsidRPr="0042750D">
              <w:rPr>
                <w:szCs w:val="22"/>
              </w:rPr>
              <w:t xml:space="preserve">SG3 is </w:t>
            </w:r>
            <w:r w:rsidRPr="0042750D">
              <w:rPr>
                <w:bCs/>
                <w:szCs w:val="22"/>
              </w:rPr>
              <w:t>studying</w:t>
            </w:r>
            <w:r w:rsidRPr="0042750D">
              <w:rPr>
                <w:szCs w:val="22"/>
              </w:rPr>
              <w:t xml:space="preserve"> in work item STUDY_IPV6 the Economic impact of transition from IPv4 to IPv6.</w:t>
            </w:r>
          </w:p>
        </w:tc>
      </w:tr>
      <w:tr w:rsidR="0008229F" w:rsidRPr="0042750D" w14:paraId="29D7292B" w14:textId="77777777" w:rsidTr="008F219E">
        <w:trPr>
          <w:jc w:val="center"/>
        </w:trPr>
        <w:tc>
          <w:tcPr>
            <w:tcW w:w="908" w:type="dxa"/>
            <w:vMerge w:val="restart"/>
            <w:tcBorders>
              <w:top w:val="single" w:sz="12" w:space="0" w:color="auto"/>
            </w:tcBorders>
            <w:shd w:val="clear" w:color="auto" w:fill="auto"/>
          </w:tcPr>
          <w:p w14:paraId="18E88C83" w14:textId="1421FE51" w:rsidR="0008229F" w:rsidRPr="0042750D" w:rsidRDefault="0008229F" w:rsidP="00441AF1">
            <w:pPr>
              <w:pStyle w:val="Tabletext"/>
              <w:keepNext/>
              <w:keepLines/>
              <w:rPr>
                <w:b/>
                <w:bCs/>
                <w:sz w:val="24"/>
                <w:szCs w:val="24"/>
              </w:rPr>
            </w:pPr>
            <w:bookmarkStart w:id="279" w:name="Item75_02"/>
            <w:bookmarkStart w:id="280" w:name="Item75_01"/>
            <w:bookmarkStart w:id="281" w:name="Item75_03"/>
            <w:bookmarkStart w:id="282" w:name="Item75_04"/>
            <w:bookmarkEnd w:id="279"/>
            <w:bookmarkEnd w:id="280"/>
            <w:bookmarkEnd w:id="281"/>
            <w:bookmarkEnd w:id="282"/>
            <w:r w:rsidRPr="0042750D">
              <w:rPr>
                <w:b/>
                <w:bCs/>
                <w:sz w:val="24"/>
                <w:szCs w:val="24"/>
              </w:rPr>
              <w:t>180-05</w:t>
            </w:r>
          </w:p>
        </w:tc>
        <w:tc>
          <w:tcPr>
            <w:tcW w:w="4465" w:type="dxa"/>
            <w:tcBorders>
              <w:top w:val="single" w:sz="12" w:space="0" w:color="auto"/>
            </w:tcBorders>
            <w:shd w:val="clear" w:color="auto" w:fill="auto"/>
          </w:tcPr>
          <w:p w14:paraId="2C633171" w14:textId="16027F9E" w:rsidR="0008229F" w:rsidRPr="0042750D" w:rsidRDefault="0008229F" w:rsidP="00441AF1">
            <w:pPr>
              <w:pStyle w:val="Tabletext"/>
              <w:keepNext/>
              <w:keepLines/>
              <w:rPr>
                <w:b/>
                <w:bCs/>
                <w:sz w:val="24"/>
                <w:szCs w:val="24"/>
              </w:rPr>
            </w:pPr>
            <w:r w:rsidRPr="0042750D">
              <w:rPr>
                <w:b/>
                <w:bCs/>
                <w:sz w:val="24"/>
                <w:szCs w:val="24"/>
              </w:rPr>
              <w:t xml:space="preserve">TSBDir to contribute to SecGen’s report to Council on the </w:t>
            </w:r>
            <w:r w:rsidRPr="0042750D">
              <w:rPr>
                <w:b/>
                <w:sz w:val="24"/>
                <w:szCs w:val="24"/>
              </w:rPr>
              <w:t>implementation of this resolution</w:t>
            </w:r>
            <w:r w:rsidRPr="0042750D">
              <w:rPr>
                <w:b/>
                <w:bCs/>
                <w:sz w:val="24"/>
                <w:szCs w:val="24"/>
              </w:rPr>
              <w:t xml:space="preserve"> (</w:t>
            </w:r>
            <w:r w:rsidRPr="0042750D">
              <w:rPr>
                <w:b/>
                <w:bCs/>
                <w:i/>
                <w:sz w:val="24"/>
                <w:szCs w:val="24"/>
              </w:rPr>
              <w:t>instructs</w:t>
            </w:r>
            <w:r w:rsidRPr="0042750D">
              <w:rPr>
                <w:b/>
                <w:bCs/>
                <w:sz w:val="24"/>
                <w:szCs w:val="24"/>
              </w:rPr>
              <w:t>).</w:t>
            </w:r>
          </w:p>
        </w:tc>
        <w:tc>
          <w:tcPr>
            <w:tcW w:w="1816" w:type="dxa"/>
            <w:tcBorders>
              <w:top w:val="single" w:sz="12" w:space="0" w:color="auto"/>
            </w:tcBorders>
            <w:shd w:val="clear" w:color="auto" w:fill="auto"/>
            <w:vAlign w:val="center"/>
          </w:tcPr>
          <w:p w14:paraId="746C8A33" w14:textId="08F62AB8" w:rsidR="0008229F" w:rsidRPr="0042750D" w:rsidRDefault="007C7611" w:rsidP="00441AF1">
            <w:pPr>
              <w:pStyle w:val="Tabletext"/>
              <w:keepNext/>
              <w:keepLines/>
              <w:jc w:val="center"/>
              <w:rPr>
                <w:b/>
                <w:bCs/>
                <w:sz w:val="24"/>
                <w:szCs w:val="24"/>
              </w:rPr>
            </w:pPr>
            <w:r w:rsidRPr="0042750D">
              <w:rPr>
                <w:b/>
                <w:bCs/>
                <w:sz w:val="24"/>
                <w:szCs w:val="24"/>
              </w:rPr>
              <w:t>Council</w:t>
            </w:r>
          </w:p>
        </w:tc>
        <w:tc>
          <w:tcPr>
            <w:tcW w:w="1168" w:type="dxa"/>
            <w:tcBorders>
              <w:top w:val="single" w:sz="12" w:space="0" w:color="auto"/>
            </w:tcBorders>
            <w:shd w:val="clear" w:color="auto" w:fill="auto"/>
            <w:vAlign w:val="center"/>
          </w:tcPr>
          <w:p w14:paraId="02FEB1AE" w14:textId="77777777" w:rsidR="0008229F" w:rsidRPr="0042750D" w:rsidDel="005432B4" w:rsidRDefault="0008229F" w:rsidP="00441AF1">
            <w:pPr>
              <w:pStyle w:val="Tabletext"/>
              <w:keepNext/>
              <w:keepLines/>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7FF30A18" w14:textId="77777777" w:rsidR="0008229F" w:rsidRPr="0042750D" w:rsidRDefault="0008229F" w:rsidP="00441AF1">
            <w:pPr>
              <w:pStyle w:val="Tabletext"/>
              <w:keepNext/>
              <w:keepLines/>
              <w:jc w:val="center"/>
              <w:rPr>
                <w:b/>
                <w:bCs/>
                <w:sz w:val="24"/>
                <w:szCs w:val="24"/>
              </w:rPr>
            </w:pPr>
          </w:p>
        </w:tc>
      </w:tr>
      <w:tr w:rsidR="0008229F" w:rsidRPr="0042750D" w14:paraId="0CFEE87B" w14:textId="77777777" w:rsidTr="008F219E">
        <w:trPr>
          <w:jc w:val="center"/>
        </w:trPr>
        <w:tc>
          <w:tcPr>
            <w:tcW w:w="908" w:type="dxa"/>
            <w:vMerge/>
            <w:shd w:val="clear" w:color="auto" w:fill="auto"/>
            <w:vAlign w:val="center"/>
          </w:tcPr>
          <w:p w14:paraId="3E531723" w14:textId="77777777" w:rsidR="0008229F" w:rsidRPr="0042750D" w:rsidRDefault="0008229F" w:rsidP="00441AF1">
            <w:pPr>
              <w:pStyle w:val="Tabletext"/>
              <w:keepNext/>
              <w:keepLines/>
              <w:rPr>
                <w:sz w:val="24"/>
                <w:szCs w:val="24"/>
              </w:rPr>
            </w:pPr>
          </w:p>
        </w:tc>
        <w:tc>
          <w:tcPr>
            <w:tcW w:w="8787" w:type="dxa"/>
            <w:gridSpan w:val="4"/>
            <w:shd w:val="clear" w:color="auto" w:fill="auto"/>
          </w:tcPr>
          <w:p w14:paraId="14AB5C41" w14:textId="11231FB1" w:rsidR="0008229F" w:rsidRPr="0042750D" w:rsidRDefault="0008229F" w:rsidP="005170FA">
            <w:pPr>
              <w:pStyle w:val="Tabletext"/>
              <w:keepNext/>
              <w:keepLines/>
              <w:rPr>
                <w:sz w:val="24"/>
              </w:rPr>
            </w:pPr>
            <w:r w:rsidRPr="0042750D">
              <w:t xml:space="preserve">See </w:t>
            </w:r>
            <w:hyperlink r:id="rId84" w:history="1">
              <w:r w:rsidRPr="0042750D">
                <w:rPr>
                  <w:rStyle w:val="Hyperlink"/>
                </w:rPr>
                <w:t>CWG-Internet 12/2</w:t>
              </w:r>
            </w:hyperlink>
            <w:r w:rsidR="00237DC6" w:rsidRPr="0042750D">
              <w:rPr>
                <w:rStyle w:val="Hyperlink"/>
              </w:rPr>
              <w:t xml:space="preserve">, </w:t>
            </w:r>
            <w:hyperlink r:id="rId85" w:history="1">
              <w:r w:rsidR="00237DC6" w:rsidRPr="0042750D">
                <w:rPr>
                  <w:rStyle w:val="Hyperlink"/>
                </w:rPr>
                <w:t>CWG-Internet-13/3</w:t>
              </w:r>
            </w:hyperlink>
            <w:r w:rsidR="00237DC6" w:rsidRPr="0042750D">
              <w:t xml:space="preserve"> </w:t>
            </w:r>
            <w:r w:rsidRPr="0042750D">
              <w:t>“ITU Internet Activit</w:t>
            </w:r>
            <w:r w:rsidR="005170FA" w:rsidRPr="0042750D">
              <w:t xml:space="preserve">ies - Resolutions 101, 102, 133, </w:t>
            </w:r>
            <w:r w:rsidRPr="0042750D">
              <w:t>180</w:t>
            </w:r>
            <w:r w:rsidR="005170FA" w:rsidRPr="0042750D">
              <w:t>, and 206</w:t>
            </w:r>
            <w:r w:rsidRPr="0042750D">
              <w:t>”</w:t>
            </w:r>
            <w:r w:rsidR="002968C0" w:rsidRPr="0042750D">
              <w:t xml:space="preserve">, see </w:t>
            </w:r>
            <w:hyperlink r:id="rId86" w:history="1">
              <w:r w:rsidR="002968C0" w:rsidRPr="0042750D">
                <w:rPr>
                  <w:rStyle w:val="Hyperlink"/>
                </w:rPr>
                <w:t>C19/33</w:t>
              </w:r>
            </w:hyperlink>
            <w:r w:rsidR="002968C0" w:rsidRPr="0042750D">
              <w:t>.</w:t>
            </w:r>
          </w:p>
        </w:tc>
      </w:tr>
    </w:tbl>
    <w:p w14:paraId="321E34F2"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38E89518" w14:textId="74EF1158" w:rsidR="00F0236A" w:rsidRPr="0042750D" w:rsidRDefault="00AA7649" w:rsidP="00042B85">
      <w:pPr>
        <w:pStyle w:val="Heading1"/>
        <w:rPr>
          <w:sz w:val="24"/>
          <w:szCs w:val="24"/>
          <w:lang w:val="en-GB"/>
        </w:rPr>
      </w:pPr>
      <w:bookmarkStart w:id="283" w:name="Resolution_76"/>
      <w:bookmarkStart w:id="284" w:name="_Resolution_76_-"/>
      <w:bookmarkStart w:id="285" w:name="_Toc30749180"/>
      <w:bookmarkEnd w:id="283"/>
      <w:bookmarkEnd w:id="284"/>
      <w:r w:rsidRPr="0042750D">
        <w:rPr>
          <w:sz w:val="24"/>
          <w:szCs w:val="24"/>
          <w:lang w:val="en-GB"/>
        </w:rPr>
        <w:t>RESOLUTION 181 (Guadalajara, 2010) –</w:t>
      </w:r>
      <w:r w:rsidR="00DF058E" w:rsidRPr="0042750D">
        <w:rPr>
          <w:sz w:val="24"/>
          <w:szCs w:val="24"/>
          <w:lang w:val="en-GB"/>
        </w:rPr>
        <w:t xml:space="preserve"> </w:t>
      </w:r>
      <w:r w:rsidRPr="0042750D">
        <w:rPr>
          <w:sz w:val="24"/>
          <w:szCs w:val="24"/>
          <w:lang w:val="en-GB"/>
        </w:rPr>
        <w:t>Definitions and terminology relating to building confidence and security in the use of information and communication technologies</w:t>
      </w:r>
      <w:bookmarkEnd w:id="285"/>
    </w:p>
    <w:p w14:paraId="66873AE1" w14:textId="77777777" w:rsidR="00AA7649" w:rsidRPr="0042750D" w:rsidRDefault="00AA7649" w:rsidP="00AA7649">
      <w:pPr>
        <w:pStyle w:val="Call"/>
        <w:rPr>
          <w:szCs w:val="22"/>
          <w:lang w:val="en-GB"/>
        </w:rPr>
      </w:pPr>
      <w:r w:rsidRPr="0042750D">
        <w:rPr>
          <w:szCs w:val="22"/>
          <w:lang w:val="en-GB"/>
        </w:rPr>
        <w:t>resolves</w:t>
      </w:r>
    </w:p>
    <w:p w14:paraId="6CEAA8AC" w14:textId="5B71A584" w:rsidR="00AA7649" w:rsidRPr="0042750D" w:rsidRDefault="00AA7649" w:rsidP="00AA7649">
      <w:pPr>
        <w:rPr>
          <w:szCs w:val="22"/>
        </w:rPr>
      </w:pPr>
      <w:r w:rsidRPr="0042750D">
        <w:rPr>
          <w:szCs w:val="22"/>
        </w:rPr>
        <w:t>1</w:t>
      </w:r>
      <w:r w:rsidRPr="0042750D">
        <w:rPr>
          <w:szCs w:val="22"/>
        </w:rPr>
        <w:tab/>
        <w:t>to take into account the definition of "cybersecurity" approved in Recommendation ITU-T X.1205</w:t>
      </w:r>
      <w:r w:rsidRPr="0042750D">
        <w:rPr>
          <w:rStyle w:val="FootnoteReference"/>
          <w:sz w:val="22"/>
          <w:szCs w:val="22"/>
        </w:rPr>
        <w:footnoteReference w:customMarkFollows="1" w:id="15"/>
        <w:t>1</w:t>
      </w:r>
      <w:r w:rsidRPr="0042750D">
        <w:rPr>
          <w:szCs w:val="22"/>
        </w:rPr>
        <w:t xml:space="preserve"> for use in activities related to building confidence and security in the use of ICTs;</w:t>
      </w:r>
    </w:p>
    <w:p w14:paraId="0155ADA6" w14:textId="6E20A805" w:rsidR="00AA7649" w:rsidRPr="0042750D" w:rsidRDefault="00AA7649" w:rsidP="00AA7649">
      <w:pPr>
        <w:rPr>
          <w:szCs w:val="22"/>
        </w:rPr>
      </w:pPr>
      <w:r w:rsidRPr="0042750D">
        <w:rPr>
          <w:szCs w:val="22"/>
        </w:rPr>
        <w:t>2</w:t>
      </w:r>
      <w:r w:rsidRPr="0042750D">
        <w:rPr>
          <w:szCs w:val="22"/>
        </w:rPr>
        <w:tab/>
        <w:t>that the above footnote is an integral part of this resolution,</w:t>
      </w:r>
    </w:p>
    <w:p w14:paraId="2F7A7ADD" w14:textId="77777777" w:rsidR="00AA7649" w:rsidRPr="0042750D" w:rsidRDefault="00AA7649" w:rsidP="00AA7649">
      <w:pPr>
        <w:pStyle w:val="Call"/>
        <w:rPr>
          <w:szCs w:val="22"/>
          <w:lang w:val="en-GB"/>
        </w:rPr>
      </w:pPr>
      <w:r w:rsidRPr="0042750D">
        <w:rPr>
          <w:szCs w:val="22"/>
          <w:lang w:val="en-GB"/>
        </w:rPr>
        <w:t xml:space="preserve">instructs the Secretary-General and the Directors of the Telecommunication Standardization Bureau and the Telecommunication Development Bureau </w:t>
      </w:r>
    </w:p>
    <w:p w14:paraId="08C84748" w14:textId="77777777" w:rsidR="00AA7649" w:rsidRPr="0042750D" w:rsidRDefault="00AA7649" w:rsidP="00AA7649">
      <w:pPr>
        <w:rPr>
          <w:szCs w:val="22"/>
        </w:rPr>
      </w:pPr>
      <w:r w:rsidRPr="0042750D">
        <w:rPr>
          <w:szCs w:val="22"/>
        </w:rPr>
        <w:t>to take into account the definition of "cybersecurity" that is adopted in Recommendation ITU-T X.1205 for use in ITU activities related to building confidence and security in the use of ICTs,</w:t>
      </w:r>
    </w:p>
    <w:p w14:paraId="293CA828" w14:textId="77777777" w:rsidR="00AA7649" w:rsidRPr="0042750D" w:rsidRDefault="00AA7649" w:rsidP="00AA7649">
      <w:pPr>
        <w:pStyle w:val="Call"/>
        <w:rPr>
          <w:szCs w:val="22"/>
          <w:lang w:val="en-GB"/>
        </w:rPr>
      </w:pPr>
      <w:r w:rsidRPr="0042750D">
        <w:rPr>
          <w:szCs w:val="22"/>
          <w:lang w:val="en-GB"/>
        </w:rPr>
        <w:t xml:space="preserve">instructs the Director of the Telecommunication Standardization Bureau </w:t>
      </w:r>
    </w:p>
    <w:p w14:paraId="36C9948F" w14:textId="28BF943D" w:rsidR="00F0236A" w:rsidRPr="0042750D" w:rsidRDefault="00AA7649" w:rsidP="00AA7649">
      <w:pPr>
        <w:spacing w:after="120"/>
        <w:rPr>
          <w:szCs w:val="22"/>
        </w:rPr>
      </w:pPr>
      <w:r w:rsidRPr="0042750D">
        <w:rPr>
          <w:szCs w:val="22"/>
        </w:rPr>
        <w:t>to report to the Council on any new or revised recommendations adopted by ITU-T related to or affecting cybersecurity-related terminology and definitions or other relevant definitions concerning confidence and security in the use of ICTs</w:t>
      </w:r>
      <w:r w:rsidR="00F0236A" w:rsidRPr="0042750D">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4"/>
        <w:gridCol w:w="4945"/>
        <w:gridCol w:w="1385"/>
        <w:gridCol w:w="1140"/>
        <w:gridCol w:w="1338"/>
      </w:tblGrid>
      <w:tr w:rsidR="00F0236A" w:rsidRPr="0042750D" w14:paraId="7B1A7970" w14:textId="77777777" w:rsidTr="009933AD">
        <w:trPr>
          <w:jc w:val="center"/>
        </w:trPr>
        <w:tc>
          <w:tcPr>
            <w:tcW w:w="1124" w:type="dxa"/>
            <w:tcBorders>
              <w:top w:val="single" w:sz="12" w:space="0" w:color="auto"/>
              <w:bottom w:val="single" w:sz="12" w:space="0" w:color="auto"/>
            </w:tcBorders>
            <w:shd w:val="clear" w:color="auto" w:fill="auto"/>
            <w:vAlign w:val="center"/>
          </w:tcPr>
          <w:p w14:paraId="6E54F5FB" w14:textId="77777777" w:rsidR="00F0236A" w:rsidRPr="0042750D" w:rsidRDefault="00F0236A" w:rsidP="00317720">
            <w:pPr>
              <w:pStyle w:val="Tablehead"/>
              <w:keepLines/>
              <w:rPr>
                <w:sz w:val="24"/>
                <w:szCs w:val="24"/>
              </w:rPr>
            </w:pPr>
            <w:r w:rsidRPr="0042750D">
              <w:rPr>
                <w:sz w:val="24"/>
                <w:szCs w:val="24"/>
              </w:rPr>
              <w:t>Action Item</w:t>
            </w:r>
          </w:p>
        </w:tc>
        <w:tc>
          <w:tcPr>
            <w:tcW w:w="4945" w:type="dxa"/>
            <w:tcBorders>
              <w:top w:val="single" w:sz="12" w:space="0" w:color="auto"/>
              <w:bottom w:val="single" w:sz="12" w:space="0" w:color="auto"/>
            </w:tcBorders>
            <w:shd w:val="clear" w:color="auto" w:fill="auto"/>
            <w:vAlign w:val="center"/>
            <w:hideMark/>
          </w:tcPr>
          <w:p w14:paraId="4C6D9BB0" w14:textId="77777777" w:rsidR="00F0236A" w:rsidRPr="0042750D" w:rsidRDefault="00F0236A" w:rsidP="00DF36E1">
            <w:pPr>
              <w:pStyle w:val="Tablehead"/>
              <w:rPr>
                <w:sz w:val="24"/>
                <w:szCs w:val="24"/>
              </w:rPr>
            </w:pPr>
            <w:r w:rsidRPr="0042750D">
              <w:rPr>
                <w:sz w:val="24"/>
                <w:szCs w:val="24"/>
              </w:rPr>
              <w:t>Action</w:t>
            </w:r>
          </w:p>
        </w:tc>
        <w:tc>
          <w:tcPr>
            <w:tcW w:w="1385" w:type="dxa"/>
            <w:tcBorders>
              <w:top w:val="single" w:sz="12" w:space="0" w:color="auto"/>
              <w:bottom w:val="single" w:sz="12" w:space="0" w:color="auto"/>
            </w:tcBorders>
            <w:shd w:val="clear" w:color="auto" w:fill="auto"/>
            <w:vAlign w:val="center"/>
            <w:hideMark/>
          </w:tcPr>
          <w:p w14:paraId="23FA925F" w14:textId="77777777" w:rsidR="00F0236A" w:rsidRPr="0042750D" w:rsidRDefault="00F0236A" w:rsidP="00DF36E1">
            <w:pPr>
              <w:pStyle w:val="Tablehead"/>
              <w:rPr>
                <w:sz w:val="24"/>
                <w:szCs w:val="24"/>
              </w:rPr>
            </w:pPr>
            <w:r w:rsidRPr="0042750D">
              <w:rPr>
                <w:sz w:val="24"/>
                <w:szCs w:val="24"/>
              </w:rPr>
              <w:t>Milestone</w:t>
            </w:r>
          </w:p>
        </w:tc>
        <w:tc>
          <w:tcPr>
            <w:tcW w:w="1140" w:type="dxa"/>
            <w:tcBorders>
              <w:top w:val="single" w:sz="12" w:space="0" w:color="auto"/>
              <w:bottom w:val="single" w:sz="12" w:space="0" w:color="auto"/>
            </w:tcBorders>
            <w:shd w:val="clear" w:color="auto" w:fill="auto"/>
          </w:tcPr>
          <w:p w14:paraId="5ECDFB69"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1F32CE21"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3A0039F0" w14:textId="77777777" w:rsidTr="009933AD">
        <w:trPr>
          <w:jc w:val="center"/>
        </w:trPr>
        <w:tc>
          <w:tcPr>
            <w:tcW w:w="1124" w:type="dxa"/>
            <w:vMerge w:val="restart"/>
            <w:tcBorders>
              <w:top w:val="single" w:sz="12" w:space="0" w:color="auto"/>
            </w:tcBorders>
            <w:shd w:val="clear" w:color="auto" w:fill="auto"/>
          </w:tcPr>
          <w:p w14:paraId="41B1B965" w14:textId="7F6E5A42" w:rsidR="00F0236A" w:rsidRPr="0042750D" w:rsidRDefault="00382914" w:rsidP="00317720">
            <w:pPr>
              <w:pStyle w:val="Tabletext"/>
              <w:keepNext/>
              <w:keepLines/>
              <w:rPr>
                <w:b/>
                <w:bCs/>
                <w:sz w:val="24"/>
                <w:szCs w:val="24"/>
              </w:rPr>
            </w:pPr>
            <w:r w:rsidRPr="0042750D">
              <w:rPr>
                <w:b/>
                <w:bCs/>
                <w:sz w:val="24"/>
                <w:szCs w:val="24"/>
              </w:rPr>
              <w:t>181</w:t>
            </w:r>
            <w:r w:rsidR="00F0236A" w:rsidRPr="0042750D">
              <w:rPr>
                <w:b/>
                <w:bCs/>
                <w:sz w:val="24"/>
                <w:szCs w:val="24"/>
              </w:rPr>
              <w:t>-01</w:t>
            </w:r>
          </w:p>
        </w:tc>
        <w:tc>
          <w:tcPr>
            <w:tcW w:w="4945" w:type="dxa"/>
            <w:tcBorders>
              <w:top w:val="single" w:sz="12" w:space="0" w:color="auto"/>
              <w:bottom w:val="single" w:sz="2" w:space="0" w:color="auto"/>
            </w:tcBorders>
            <w:shd w:val="clear" w:color="auto" w:fill="auto"/>
          </w:tcPr>
          <w:p w14:paraId="5A222D55" w14:textId="13EFE792" w:rsidR="00F0236A" w:rsidRPr="0042750D" w:rsidRDefault="009933AD" w:rsidP="009933AD">
            <w:pPr>
              <w:pStyle w:val="Tabletext"/>
              <w:keepNext/>
              <w:keepLines/>
              <w:rPr>
                <w:b/>
                <w:bCs/>
                <w:sz w:val="24"/>
                <w:szCs w:val="24"/>
              </w:rPr>
            </w:pPr>
            <w:r w:rsidRPr="0042750D">
              <w:rPr>
                <w:b/>
                <w:bCs/>
                <w:sz w:val="24"/>
                <w:szCs w:val="24"/>
              </w:rPr>
              <w:t>ITU-T to t</w:t>
            </w:r>
            <w:r w:rsidR="00382914" w:rsidRPr="0042750D">
              <w:rPr>
                <w:b/>
                <w:bCs/>
                <w:sz w:val="24"/>
                <w:szCs w:val="24"/>
              </w:rPr>
              <w:t>ake account of the definition “cybersecurity” approved in Rec ITU-T X.1205 for use in activities related to building confidence and security in the use of ICTs. Bring resolution to the attention of IOs and other entities dealing with security of ICTs</w:t>
            </w:r>
            <w:r w:rsidR="00312BCA" w:rsidRPr="0042750D">
              <w:rPr>
                <w:b/>
                <w:bCs/>
                <w:sz w:val="24"/>
                <w:szCs w:val="24"/>
              </w:rPr>
              <w:t xml:space="preserve"> (</w:t>
            </w:r>
            <w:r w:rsidR="00312BCA" w:rsidRPr="0042750D">
              <w:rPr>
                <w:b/>
                <w:bCs/>
                <w:i/>
                <w:sz w:val="24"/>
                <w:szCs w:val="24"/>
              </w:rPr>
              <w:t>resolves 1</w:t>
            </w:r>
            <w:r w:rsidR="00312BCA" w:rsidRPr="0042750D">
              <w:rPr>
                <w:b/>
                <w:bCs/>
                <w:sz w:val="24"/>
                <w:szCs w:val="24"/>
              </w:rPr>
              <w:t>)</w:t>
            </w:r>
            <w:r w:rsidR="00382914" w:rsidRPr="0042750D">
              <w:rPr>
                <w:b/>
                <w:bCs/>
                <w:sz w:val="24"/>
                <w:szCs w:val="24"/>
              </w:rPr>
              <w:t>.</w:t>
            </w:r>
          </w:p>
        </w:tc>
        <w:tc>
          <w:tcPr>
            <w:tcW w:w="1385" w:type="dxa"/>
            <w:tcBorders>
              <w:top w:val="single" w:sz="12" w:space="0" w:color="auto"/>
              <w:bottom w:val="single" w:sz="2" w:space="0" w:color="auto"/>
            </w:tcBorders>
            <w:shd w:val="clear" w:color="auto" w:fill="auto"/>
            <w:vAlign w:val="center"/>
          </w:tcPr>
          <w:p w14:paraId="6C320751"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0" w:type="dxa"/>
            <w:tcBorders>
              <w:top w:val="single" w:sz="12" w:space="0" w:color="auto"/>
              <w:bottom w:val="single" w:sz="2" w:space="0" w:color="auto"/>
            </w:tcBorders>
            <w:shd w:val="clear" w:color="auto" w:fill="auto"/>
            <w:vAlign w:val="center"/>
          </w:tcPr>
          <w:p w14:paraId="564FAEC7" w14:textId="6C8EFF75" w:rsidR="00F0236A" w:rsidRPr="0042750D" w:rsidRDefault="00AF3A63"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49F0E7FA" w14:textId="77777777" w:rsidR="00F0236A" w:rsidRPr="0042750D" w:rsidRDefault="00F0236A" w:rsidP="00DF36E1">
            <w:pPr>
              <w:pStyle w:val="Tabletext"/>
              <w:jc w:val="center"/>
              <w:rPr>
                <w:b/>
                <w:bCs/>
                <w:sz w:val="24"/>
                <w:szCs w:val="24"/>
              </w:rPr>
            </w:pPr>
          </w:p>
        </w:tc>
      </w:tr>
      <w:tr w:rsidR="00F0236A" w:rsidRPr="0042750D" w14:paraId="5CA04F83" w14:textId="77777777" w:rsidTr="005A435D">
        <w:trPr>
          <w:jc w:val="center"/>
        </w:trPr>
        <w:tc>
          <w:tcPr>
            <w:tcW w:w="1124" w:type="dxa"/>
            <w:vMerge/>
            <w:tcBorders>
              <w:bottom w:val="single" w:sz="12" w:space="0" w:color="auto"/>
            </w:tcBorders>
            <w:shd w:val="clear" w:color="auto" w:fill="auto"/>
          </w:tcPr>
          <w:p w14:paraId="35BB770B" w14:textId="77777777" w:rsidR="00F0236A" w:rsidRPr="0042750D" w:rsidRDefault="00F0236A" w:rsidP="00DF36E1">
            <w:pPr>
              <w:pStyle w:val="Tabletext"/>
              <w:rPr>
                <w:sz w:val="24"/>
                <w:szCs w:val="24"/>
              </w:rPr>
            </w:pPr>
          </w:p>
        </w:tc>
        <w:tc>
          <w:tcPr>
            <w:tcW w:w="8808" w:type="dxa"/>
            <w:gridSpan w:val="4"/>
            <w:tcBorders>
              <w:top w:val="single" w:sz="2" w:space="0" w:color="auto"/>
              <w:bottom w:val="single" w:sz="12" w:space="0" w:color="auto"/>
            </w:tcBorders>
            <w:shd w:val="clear" w:color="auto" w:fill="auto"/>
          </w:tcPr>
          <w:p w14:paraId="2266CBAC" w14:textId="4780B2FF" w:rsidR="0034526F" w:rsidRPr="0042750D" w:rsidRDefault="00842CE7" w:rsidP="0074302C">
            <w:pPr>
              <w:spacing w:before="40" w:after="40"/>
              <w:rPr>
                <w:szCs w:val="22"/>
              </w:rPr>
            </w:pPr>
            <w:r w:rsidRPr="0042750D">
              <w:rPr>
                <w:szCs w:val="22"/>
              </w:rPr>
              <w:t>The ICT Security Compendium is continuously updated by ITU-T SG17. It includes a list of ITU-T approved security terms and definitions related to building confidence and security in the use of ICTs.</w:t>
            </w:r>
          </w:p>
        </w:tc>
      </w:tr>
      <w:tr w:rsidR="009933AD" w:rsidRPr="0042750D" w14:paraId="3C015032" w14:textId="77777777" w:rsidTr="009933AD">
        <w:trPr>
          <w:jc w:val="center"/>
        </w:trPr>
        <w:tc>
          <w:tcPr>
            <w:tcW w:w="1124" w:type="dxa"/>
            <w:vMerge w:val="restart"/>
            <w:tcBorders>
              <w:top w:val="single" w:sz="12" w:space="0" w:color="auto"/>
            </w:tcBorders>
            <w:shd w:val="clear" w:color="auto" w:fill="auto"/>
          </w:tcPr>
          <w:p w14:paraId="0C029C80" w14:textId="4010CE36" w:rsidR="009933AD" w:rsidRPr="0042750D" w:rsidRDefault="009933AD" w:rsidP="001338AC">
            <w:pPr>
              <w:pStyle w:val="Tabletext"/>
              <w:rPr>
                <w:b/>
                <w:bCs/>
                <w:sz w:val="24"/>
                <w:szCs w:val="24"/>
              </w:rPr>
            </w:pPr>
            <w:bookmarkStart w:id="286" w:name="Item76_01"/>
            <w:bookmarkStart w:id="287" w:name="Item76_02"/>
            <w:bookmarkStart w:id="288" w:name="Item76_03"/>
            <w:bookmarkStart w:id="289" w:name="Item76_04"/>
            <w:bookmarkStart w:id="290" w:name="Item76_05"/>
            <w:bookmarkStart w:id="291" w:name="Item76_06"/>
            <w:bookmarkStart w:id="292" w:name="Item76_07"/>
            <w:bookmarkStart w:id="293" w:name="Item76_08"/>
            <w:bookmarkStart w:id="294" w:name="Item76_09"/>
            <w:bookmarkStart w:id="295" w:name="Item76_10"/>
            <w:bookmarkStart w:id="296" w:name="Item76_11"/>
            <w:bookmarkStart w:id="297" w:name="Item76_12"/>
            <w:bookmarkStart w:id="298" w:name="Item76_13"/>
            <w:bookmarkStart w:id="299" w:name="Item76_14"/>
            <w:bookmarkStart w:id="300" w:name="Item76_15"/>
            <w:bookmarkStart w:id="301" w:name="Item76_16"/>
            <w:bookmarkStart w:id="302" w:name="Item76_17"/>
            <w:bookmarkStart w:id="303" w:name="Item76_18"/>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sidRPr="0042750D">
              <w:rPr>
                <w:b/>
                <w:bCs/>
                <w:sz w:val="24"/>
                <w:szCs w:val="24"/>
              </w:rPr>
              <w:t>181-02</w:t>
            </w:r>
          </w:p>
        </w:tc>
        <w:tc>
          <w:tcPr>
            <w:tcW w:w="4945" w:type="dxa"/>
            <w:tcBorders>
              <w:top w:val="single" w:sz="12" w:space="0" w:color="auto"/>
              <w:bottom w:val="single" w:sz="2" w:space="0" w:color="auto"/>
            </w:tcBorders>
            <w:shd w:val="clear" w:color="auto" w:fill="auto"/>
          </w:tcPr>
          <w:p w14:paraId="5B3A8DAD" w14:textId="37F833CE" w:rsidR="009933AD" w:rsidRPr="0042750D" w:rsidRDefault="009933AD" w:rsidP="009933AD">
            <w:pPr>
              <w:pStyle w:val="Tabletext"/>
              <w:keepNext/>
              <w:keepLines/>
              <w:rPr>
                <w:b/>
                <w:bCs/>
                <w:sz w:val="24"/>
                <w:szCs w:val="24"/>
              </w:rPr>
            </w:pPr>
            <w:r w:rsidRPr="0042750D">
              <w:rPr>
                <w:b/>
                <w:bCs/>
                <w:sz w:val="24"/>
                <w:szCs w:val="24"/>
              </w:rPr>
              <w:t>TSBDir to report to the Council on any new or revised recommendations adopted by ITU-T related to or affecting cybersecurity-related terminology and definitions or other relevant definitions concerning confidence and security in the use of ICTs</w:t>
            </w:r>
            <w:r w:rsidR="00BC42B1" w:rsidRPr="0042750D">
              <w:rPr>
                <w:b/>
                <w:bCs/>
                <w:sz w:val="24"/>
                <w:szCs w:val="24"/>
              </w:rPr>
              <w:t xml:space="preserve"> (</w:t>
            </w:r>
            <w:r w:rsidR="00BC42B1" w:rsidRPr="0042750D">
              <w:rPr>
                <w:b/>
                <w:bCs/>
                <w:i/>
                <w:sz w:val="24"/>
                <w:szCs w:val="24"/>
              </w:rPr>
              <w:t>instructs</w:t>
            </w:r>
            <w:r w:rsidR="00BC42B1" w:rsidRPr="0042750D">
              <w:rPr>
                <w:b/>
                <w:bCs/>
                <w:sz w:val="24"/>
                <w:szCs w:val="24"/>
              </w:rPr>
              <w:t>)</w:t>
            </w:r>
            <w:r w:rsidR="006072D1" w:rsidRPr="0042750D">
              <w:rPr>
                <w:b/>
                <w:bCs/>
                <w:sz w:val="24"/>
                <w:szCs w:val="24"/>
              </w:rPr>
              <w:t>.</w:t>
            </w:r>
          </w:p>
        </w:tc>
        <w:tc>
          <w:tcPr>
            <w:tcW w:w="1385" w:type="dxa"/>
            <w:tcBorders>
              <w:top w:val="single" w:sz="12" w:space="0" w:color="auto"/>
              <w:bottom w:val="single" w:sz="2" w:space="0" w:color="auto"/>
            </w:tcBorders>
            <w:shd w:val="clear" w:color="auto" w:fill="auto"/>
            <w:vAlign w:val="center"/>
          </w:tcPr>
          <w:p w14:paraId="705A0202" w14:textId="0831B25E" w:rsidR="009933AD" w:rsidRPr="0042750D" w:rsidRDefault="009933AD" w:rsidP="00D50A4E">
            <w:pPr>
              <w:pStyle w:val="Tabletext"/>
              <w:jc w:val="center"/>
              <w:rPr>
                <w:b/>
                <w:bCs/>
                <w:sz w:val="24"/>
                <w:szCs w:val="24"/>
              </w:rPr>
            </w:pPr>
            <w:r w:rsidRPr="0042750D">
              <w:rPr>
                <w:b/>
                <w:bCs/>
                <w:sz w:val="24"/>
                <w:szCs w:val="24"/>
              </w:rPr>
              <w:t>Council</w:t>
            </w:r>
          </w:p>
        </w:tc>
        <w:tc>
          <w:tcPr>
            <w:tcW w:w="1140" w:type="dxa"/>
            <w:tcBorders>
              <w:top w:val="single" w:sz="12" w:space="0" w:color="auto"/>
              <w:bottom w:val="single" w:sz="2" w:space="0" w:color="auto"/>
            </w:tcBorders>
            <w:shd w:val="clear" w:color="auto" w:fill="auto"/>
            <w:vAlign w:val="center"/>
          </w:tcPr>
          <w:p w14:paraId="480BF09A" w14:textId="4CFFB227" w:rsidR="009933AD" w:rsidRPr="0042750D" w:rsidRDefault="00D841F2"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0D1A10C0" w14:textId="77777777" w:rsidR="009933AD" w:rsidRPr="0042750D" w:rsidRDefault="009933AD" w:rsidP="00D50A4E">
            <w:pPr>
              <w:pStyle w:val="Tabletext"/>
              <w:jc w:val="center"/>
              <w:rPr>
                <w:b/>
                <w:bCs/>
                <w:sz w:val="24"/>
                <w:szCs w:val="24"/>
              </w:rPr>
            </w:pPr>
          </w:p>
        </w:tc>
      </w:tr>
      <w:tr w:rsidR="009933AD" w:rsidRPr="0042750D" w14:paraId="48F01C97" w14:textId="77777777" w:rsidTr="00D50A4E">
        <w:trPr>
          <w:jc w:val="center"/>
        </w:trPr>
        <w:tc>
          <w:tcPr>
            <w:tcW w:w="1124" w:type="dxa"/>
            <w:vMerge/>
            <w:tcBorders>
              <w:bottom w:val="single" w:sz="12" w:space="0" w:color="auto"/>
            </w:tcBorders>
            <w:shd w:val="clear" w:color="auto" w:fill="auto"/>
          </w:tcPr>
          <w:p w14:paraId="196E5BB8" w14:textId="77777777" w:rsidR="009933AD" w:rsidRPr="0042750D" w:rsidRDefault="009933AD" w:rsidP="00D50A4E">
            <w:pPr>
              <w:pStyle w:val="Tabletext"/>
              <w:rPr>
                <w:sz w:val="24"/>
                <w:szCs w:val="24"/>
              </w:rPr>
            </w:pPr>
          </w:p>
        </w:tc>
        <w:tc>
          <w:tcPr>
            <w:tcW w:w="8808" w:type="dxa"/>
            <w:gridSpan w:val="4"/>
            <w:tcBorders>
              <w:top w:val="single" w:sz="2" w:space="0" w:color="auto"/>
              <w:bottom w:val="single" w:sz="12" w:space="0" w:color="auto"/>
            </w:tcBorders>
            <w:shd w:val="clear" w:color="auto" w:fill="auto"/>
          </w:tcPr>
          <w:p w14:paraId="39C1553F" w14:textId="10D3605F" w:rsidR="009933AD" w:rsidRPr="0042750D" w:rsidRDefault="00D841F2" w:rsidP="0074302C">
            <w:pPr>
              <w:spacing w:before="40" w:after="40"/>
              <w:rPr>
                <w:szCs w:val="22"/>
              </w:rPr>
            </w:pPr>
            <w:r w:rsidRPr="0042750D">
              <w:rPr>
                <w:szCs w:val="22"/>
              </w:rPr>
              <w:t xml:space="preserve">see </w:t>
            </w:r>
            <w:hyperlink r:id="rId87" w:history="1">
              <w:r w:rsidRPr="0042750D">
                <w:rPr>
                  <w:rStyle w:val="Hyperlink"/>
                  <w:iCs/>
                </w:rPr>
                <w:t>C19/18</w:t>
              </w:r>
            </w:hyperlink>
            <w:r w:rsidRPr="0042750D">
              <w:rPr>
                <w:rStyle w:val="Hyperlink"/>
                <w:rFonts w:asciiTheme="minorHAnsi" w:hAnsiTheme="minorHAnsi"/>
                <w:iCs/>
              </w:rPr>
              <w:t>.</w:t>
            </w:r>
          </w:p>
        </w:tc>
      </w:tr>
    </w:tbl>
    <w:p w14:paraId="7A42FC69"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2F1C0FD2" w14:textId="23245DCB" w:rsidR="00F0236A" w:rsidRPr="0042750D" w:rsidRDefault="00C312F7" w:rsidP="00042B85">
      <w:pPr>
        <w:pStyle w:val="Heading1"/>
        <w:rPr>
          <w:sz w:val="24"/>
          <w:szCs w:val="24"/>
          <w:lang w:val="en-GB"/>
        </w:rPr>
      </w:pPr>
      <w:bookmarkStart w:id="304" w:name="_Resolution_77_-"/>
      <w:bookmarkStart w:id="305" w:name="_Toc30749181"/>
      <w:bookmarkEnd w:id="304"/>
      <w:r w:rsidRPr="0042750D">
        <w:rPr>
          <w:sz w:val="24"/>
          <w:szCs w:val="24"/>
          <w:lang w:val="en-GB"/>
        </w:rPr>
        <w:t>RESOLUTION 182 (REV. BUSAN, 2014) – The role of telecommunications/information and communication technologies in regard to climate change and the protection of the environment</w:t>
      </w:r>
      <w:bookmarkEnd w:id="305"/>
    </w:p>
    <w:p w14:paraId="260D0540" w14:textId="77777777" w:rsidR="00C312F7" w:rsidRPr="0042750D" w:rsidRDefault="00C312F7" w:rsidP="00C312F7">
      <w:pPr>
        <w:pStyle w:val="Call"/>
        <w:rPr>
          <w:szCs w:val="22"/>
          <w:lang w:val="en-GB"/>
        </w:rPr>
      </w:pPr>
      <w:r w:rsidRPr="0042750D">
        <w:rPr>
          <w:szCs w:val="22"/>
          <w:lang w:val="en-GB"/>
        </w:rPr>
        <w:t>resolves</w:t>
      </w:r>
    </w:p>
    <w:p w14:paraId="5C8F1C53" w14:textId="77777777" w:rsidR="00C312F7" w:rsidRPr="0042750D" w:rsidRDefault="00C312F7" w:rsidP="00C312F7">
      <w:pPr>
        <w:rPr>
          <w:szCs w:val="22"/>
        </w:rPr>
      </w:pPr>
      <w:r w:rsidRPr="0042750D">
        <w:rPr>
          <w:szCs w:val="22"/>
        </w:rPr>
        <w:t>that ITU, within its mandate and in collaboration with other organizations, address the causes and effects of climate change through the following:</w:t>
      </w:r>
    </w:p>
    <w:p w14:paraId="793E7F34" w14:textId="77777777" w:rsidR="00C312F7" w:rsidRPr="0042750D" w:rsidRDefault="00C312F7" w:rsidP="00C312F7">
      <w:pPr>
        <w:rPr>
          <w:szCs w:val="22"/>
        </w:rPr>
      </w:pPr>
      <w:r w:rsidRPr="0042750D">
        <w:rPr>
          <w:szCs w:val="22"/>
        </w:rPr>
        <w:t>1</w:t>
      </w:r>
      <w:r w:rsidRPr="0042750D">
        <w:rPr>
          <w:szCs w:val="22"/>
        </w:rPr>
        <w:tab/>
        <w:t>to continue and further develop ITU activities on telecommunications/ICTs and climate change, and disaster management planning, in order to contribute to the wider global efforts being made by Member States and the United Nations to contribute to further preventing and combating the effects of climate change;</w:t>
      </w:r>
    </w:p>
    <w:p w14:paraId="6DA2F309" w14:textId="77777777" w:rsidR="00C312F7" w:rsidRPr="0042750D" w:rsidRDefault="00C312F7" w:rsidP="00C312F7">
      <w:pPr>
        <w:rPr>
          <w:szCs w:val="22"/>
        </w:rPr>
      </w:pPr>
      <w:r w:rsidRPr="0042750D">
        <w:rPr>
          <w:szCs w:val="22"/>
        </w:rPr>
        <w:t>2</w:t>
      </w:r>
      <w:r w:rsidRPr="0042750D">
        <w:rPr>
          <w:szCs w:val="22"/>
        </w:rPr>
        <w:tab/>
        <w:t>to encourage improvement of the energy efficiency of telecommunications/ICTs in order to reduce the GHG emissions produced by the telecommunication/ICT sector;</w:t>
      </w:r>
    </w:p>
    <w:p w14:paraId="1F5297EF" w14:textId="77777777" w:rsidR="00C312F7" w:rsidRPr="0042750D" w:rsidRDefault="00C312F7" w:rsidP="00C312F7">
      <w:pPr>
        <w:rPr>
          <w:szCs w:val="22"/>
        </w:rPr>
      </w:pPr>
      <w:r w:rsidRPr="0042750D">
        <w:rPr>
          <w:szCs w:val="22"/>
        </w:rPr>
        <w:t xml:space="preserve">3 </w:t>
      </w:r>
      <w:r w:rsidRPr="0042750D">
        <w:rPr>
          <w:szCs w:val="22"/>
        </w:rPr>
        <w:tab/>
        <w:t>to encourage the telecommunication/ICT sector to contribute, through its own improvement of energy efficiency and in the use of ICTs in other parts of the economy, to an annual reduction in GHG emissions;</w:t>
      </w:r>
    </w:p>
    <w:p w14:paraId="3E9B6273" w14:textId="77777777" w:rsidR="00C312F7" w:rsidRPr="0042750D" w:rsidRDefault="00C312F7" w:rsidP="00C312F7">
      <w:pPr>
        <w:rPr>
          <w:szCs w:val="22"/>
        </w:rPr>
      </w:pPr>
      <w:r w:rsidRPr="0042750D">
        <w:rPr>
          <w:szCs w:val="22"/>
        </w:rPr>
        <w:t>4</w:t>
      </w:r>
      <w:r w:rsidRPr="0042750D">
        <w:rPr>
          <w:szCs w:val="22"/>
        </w:rPr>
        <w:tab/>
        <w:t>to promote awareness of the environmental issues associated with telecommunication/ICT equipment design and encourage energy efficiency and the use of materials in the design and fabrication of telecommunication/ICT equipment that contributes to a clean and safe environment throughout its lifecycle;</w:t>
      </w:r>
    </w:p>
    <w:p w14:paraId="662E98BD" w14:textId="77777777" w:rsidR="00C312F7" w:rsidRPr="0042750D" w:rsidRDefault="00C312F7" w:rsidP="00C312F7">
      <w:pPr>
        <w:rPr>
          <w:szCs w:val="22"/>
        </w:rPr>
      </w:pPr>
      <w:r w:rsidRPr="0042750D">
        <w:rPr>
          <w:szCs w:val="22"/>
        </w:rPr>
        <w:t>5</w:t>
      </w:r>
      <w:r w:rsidRPr="0042750D">
        <w:rPr>
          <w:szCs w:val="22"/>
        </w:rPr>
        <w:tab/>
        <w:t>to include, as a priority, assistance to developing countries so as to strengthen their human and institutional capacity in promoting the use of telecommunications/ICTs to tackle climate change, as well as in areas such as the need for communities to adapt to climate change, as a key element of disaster-management planning;</w:t>
      </w:r>
    </w:p>
    <w:p w14:paraId="24A6689F" w14:textId="77777777" w:rsidR="00C312F7" w:rsidRPr="0042750D" w:rsidRDefault="00C312F7" w:rsidP="00C312F7">
      <w:pPr>
        <w:rPr>
          <w:szCs w:val="22"/>
        </w:rPr>
      </w:pPr>
      <w:r w:rsidRPr="0042750D">
        <w:rPr>
          <w:szCs w:val="22"/>
        </w:rPr>
        <w:t>6</w:t>
      </w:r>
      <w:r w:rsidRPr="0042750D">
        <w:rPr>
          <w:szCs w:val="22"/>
        </w:rPr>
        <w:tab/>
        <w:t>to promote the benefits that accrue to the environment and society from the use of sustainable telecommunication/ICT equipment and services in bridging the standardization gap;</w:t>
      </w:r>
    </w:p>
    <w:p w14:paraId="1F086D10" w14:textId="6C8D1A91" w:rsidR="00C312F7" w:rsidRPr="0042750D" w:rsidRDefault="00C312F7" w:rsidP="00C312F7">
      <w:pPr>
        <w:rPr>
          <w:szCs w:val="22"/>
        </w:rPr>
      </w:pPr>
      <w:r w:rsidRPr="0042750D">
        <w:rPr>
          <w:szCs w:val="22"/>
        </w:rPr>
        <w:t>7</w:t>
      </w:r>
      <w:r w:rsidRPr="0042750D">
        <w:rPr>
          <w:szCs w:val="22"/>
        </w:rPr>
        <w:tab/>
        <w:t>to encourage reduction of GHG emissions through the adoption of green energy sources in th</w:t>
      </w:r>
      <w:r w:rsidR="00117AC3" w:rsidRPr="0042750D">
        <w:rPr>
          <w:szCs w:val="22"/>
        </w:rPr>
        <w:t>e telecommunication/ICT sector;</w:t>
      </w:r>
    </w:p>
    <w:p w14:paraId="214CB55D" w14:textId="77777777" w:rsidR="00C312F7" w:rsidRPr="0042750D" w:rsidRDefault="00C312F7" w:rsidP="00C312F7">
      <w:pPr>
        <w:rPr>
          <w:szCs w:val="22"/>
        </w:rPr>
      </w:pPr>
      <w:r w:rsidRPr="0042750D">
        <w:rPr>
          <w:szCs w:val="22"/>
        </w:rPr>
        <w:t>8</w:t>
      </w:r>
      <w:r w:rsidRPr="0042750D">
        <w:rPr>
          <w:szCs w:val="22"/>
        </w:rPr>
        <w:tab/>
        <w:t>to support the use of telecommunications/ICTs in implementing smart grid, which helps reduce the waste of energy in transmission and distribution and regulate peak energy demand from consumers,</w:t>
      </w:r>
    </w:p>
    <w:p w14:paraId="16D66D41" w14:textId="77777777" w:rsidR="00C312F7" w:rsidRPr="0042750D" w:rsidRDefault="00C312F7" w:rsidP="00C312F7">
      <w:pPr>
        <w:pStyle w:val="Call"/>
        <w:rPr>
          <w:szCs w:val="22"/>
          <w:lang w:val="en-GB"/>
        </w:rPr>
      </w:pPr>
      <w:r w:rsidRPr="0042750D">
        <w:rPr>
          <w:szCs w:val="22"/>
          <w:lang w:val="en-GB"/>
        </w:rPr>
        <w:t xml:space="preserve">instructs the Secretary-General, in collaboration with the Directors of the three Bureaux </w:t>
      </w:r>
    </w:p>
    <w:p w14:paraId="3B2A207E" w14:textId="77777777" w:rsidR="00C312F7" w:rsidRPr="0042750D" w:rsidRDefault="00C312F7" w:rsidP="00C312F7">
      <w:pPr>
        <w:rPr>
          <w:szCs w:val="22"/>
        </w:rPr>
      </w:pPr>
      <w:r w:rsidRPr="0042750D">
        <w:rPr>
          <w:szCs w:val="22"/>
        </w:rPr>
        <w:t>1</w:t>
      </w:r>
      <w:r w:rsidRPr="0042750D">
        <w:rPr>
          <w:szCs w:val="22"/>
        </w:rPr>
        <w:tab/>
        <w:t>to continue liaising with appropriate organizations in activities related to climate change, in order to avoid duplication of work and optimize the use of resources;</w:t>
      </w:r>
    </w:p>
    <w:p w14:paraId="5A2D5F5C" w14:textId="77777777" w:rsidR="00C312F7" w:rsidRPr="0042750D" w:rsidRDefault="00C312F7" w:rsidP="00C312F7">
      <w:pPr>
        <w:rPr>
          <w:szCs w:val="22"/>
        </w:rPr>
      </w:pPr>
      <w:r w:rsidRPr="0042750D">
        <w:rPr>
          <w:szCs w:val="22"/>
        </w:rPr>
        <w:t>2</w:t>
      </w:r>
      <w:r w:rsidRPr="0042750D">
        <w:rPr>
          <w:szCs w:val="22"/>
        </w:rPr>
        <w:tab/>
        <w:t>to continue taking appropriate measures within the Union in order to contribute to the reduction of the carbon footprint (e.g. paperless meetings, videoconferences, etc.);</w:t>
      </w:r>
    </w:p>
    <w:p w14:paraId="19B0213E" w14:textId="77777777" w:rsidR="00C312F7" w:rsidRPr="0042750D" w:rsidRDefault="00C312F7" w:rsidP="00C312F7">
      <w:pPr>
        <w:rPr>
          <w:szCs w:val="22"/>
        </w:rPr>
      </w:pPr>
      <w:r w:rsidRPr="0042750D">
        <w:rPr>
          <w:szCs w:val="22"/>
        </w:rPr>
        <w:t>3</w:t>
      </w:r>
      <w:r w:rsidRPr="0042750D">
        <w:rPr>
          <w:szCs w:val="22"/>
        </w:rPr>
        <w:tab/>
        <w:t>to report annually to the Council and to the next plenipotentiary conference on the progress made by ITU on implementation of this resolution;</w:t>
      </w:r>
    </w:p>
    <w:p w14:paraId="14F812AE" w14:textId="77777777" w:rsidR="00C312F7" w:rsidRPr="0042750D" w:rsidRDefault="00C312F7" w:rsidP="00C312F7">
      <w:pPr>
        <w:rPr>
          <w:szCs w:val="22"/>
        </w:rPr>
      </w:pPr>
      <w:r w:rsidRPr="0042750D">
        <w:rPr>
          <w:szCs w:val="22"/>
        </w:rPr>
        <w:t>4</w:t>
      </w:r>
      <w:r w:rsidRPr="0042750D">
        <w:rPr>
          <w:szCs w:val="22"/>
        </w:rPr>
        <w:tab/>
        <w:t>to submit this resolution and other appropriate outcomes of ITU activities to meetings of relevant organizations, including UNFCCC, in order to reiterate the Union's commitment to sustainable global growth; and to ensure recognition of the importance of telecommunications/ICTs in mitigation and adaptation efforts as well as the critical role of ITU in this regard;</w:t>
      </w:r>
    </w:p>
    <w:p w14:paraId="44C25553" w14:textId="77777777" w:rsidR="00C312F7" w:rsidRPr="0042750D" w:rsidRDefault="00C312F7" w:rsidP="00C312F7">
      <w:pPr>
        <w:rPr>
          <w:szCs w:val="22"/>
        </w:rPr>
      </w:pPr>
      <w:r w:rsidRPr="0042750D">
        <w:rPr>
          <w:szCs w:val="22"/>
        </w:rPr>
        <w:t>5</w:t>
      </w:r>
      <w:r w:rsidRPr="0042750D">
        <w:rPr>
          <w:szCs w:val="22"/>
        </w:rPr>
        <w:tab/>
        <w:t>to cooperate with United Nations entities and others in activities related to climate change, working towards a progressive and measurable reduction in energy consumption and GHG emissions throughout the lifecycle of telecommunication/ICT equipment;</w:t>
      </w:r>
    </w:p>
    <w:p w14:paraId="6E5022AC" w14:textId="77777777" w:rsidR="00C312F7" w:rsidRPr="0042750D" w:rsidRDefault="00C312F7" w:rsidP="00C312F7">
      <w:pPr>
        <w:rPr>
          <w:szCs w:val="22"/>
        </w:rPr>
      </w:pPr>
      <w:r w:rsidRPr="0042750D">
        <w:rPr>
          <w:szCs w:val="22"/>
        </w:rPr>
        <w:t>6</w:t>
      </w:r>
      <w:r w:rsidRPr="0042750D">
        <w:rPr>
          <w:szCs w:val="22"/>
        </w:rPr>
        <w:tab/>
        <w:t>to report on the degree to which the telecommunication/ICT sector has contributed to the reduction of GHG and other emissions in other sectors through a reduction of their energy consumption;</w:t>
      </w:r>
    </w:p>
    <w:p w14:paraId="134F124E" w14:textId="77777777" w:rsidR="00C312F7" w:rsidRPr="0042750D" w:rsidRDefault="00C312F7" w:rsidP="00C312F7">
      <w:pPr>
        <w:rPr>
          <w:szCs w:val="22"/>
        </w:rPr>
      </w:pPr>
      <w:r w:rsidRPr="0042750D">
        <w:rPr>
          <w:szCs w:val="22"/>
        </w:rPr>
        <w:t>7</w:t>
      </w:r>
      <w:r w:rsidRPr="0042750D">
        <w:rPr>
          <w:szCs w:val="22"/>
        </w:rPr>
        <w:tab/>
        <w:t>to encourage Member States in the various regions to cooperate in sharing expertise and resources and identify a regional cooperation mechanism</w:t>
      </w:r>
      <w:r w:rsidRPr="0042750D">
        <w:rPr>
          <w:rStyle w:val="FootnoteReference"/>
          <w:sz w:val="22"/>
          <w:szCs w:val="22"/>
        </w:rPr>
        <w:footnoteReference w:customMarkFollows="1" w:id="16"/>
        <w:t>2</w:t>
      </w:r>
      <w:r w:rsidRPr="0042750D">
        <w:rPr>
          <w:szCs w:val="22"/>
        </w:rPr>
        <w:t>, including through support from ITU regional offices, so as to assist all Member States in the region in measurement and training;</w:t>
      </w:r>
    </w:p>
    <w:p w14:paraId="5B7DEA83" w14:textId="77777777" w:rsidR="00C312F7" w:rsidRPr="0042750D" w:rsidRDefault="00C312F7" w:rsidP="00C312F7">
      <w:pPr>
        <w:rPr>
          <w:szCs w:val="22"/>
        </w:rPr>
      </w:pPr>
      <w:r w:rsidRPr="0042750D">
        <w:rPr>
          <w:szCs w:val="22"/>
        </w:rPr>
        <w:t>8</w:t>
      </w:r>
      <w:r w:rsidRPr="0042750D">
        <w:rPr>
          <w:szCs w:val="22"/>
        </w:rPr>
        <w:tab/>
        <w:t>to assist Member States, in particular developing countries, in infrastructure development and capacity building, as well as with assistance from the ITU regional offices – within the available budget of the Union – in energy-efficiency measurement and development of guidelines for efficient e</w:t>
      </w:r>
      <w:r w:rsidRPr="0042750D">
        <w:rPr>
          <w:szCs w:val="22"/>
        </w:rPr>
        <w:noBreakHyphen/>
        <w:t>waste disposal;</w:t>
      </w:r>
    </w:p>
    <w:p w14:paraId="089A9BEE" w14:textId="77777777" w:rsidR="00C312F7" w:rsidRPr="0042750D" w:rsidRDefault="00C312F7" w:rsidP="00C312F7">
      <w:pPr>
        <w:rPr>
          <w:szCs w:val="22"/>
        </w:rPr>
      </w:pPr>
      <w:r w:rsidRPr="0042750D">
        <w:rPr>
          <w:szCs w:val="22"/>
        </w:rPr>
        <w:t>9</w:t>
      </w:r>
      <w:r w:rsidRPr="0042750D">
        <w:rPr>
          <w:szCs w:val="22"/>
        </w:rPr>
        <w:tab/>
        <w:t>to encourage the use of renewable energy technologies and systems, and to study and disseminate best practices in the field of renewable energy;</w:t>
      </w:r>
    </w:p>
    <w:p w14:paraId="2E5CA200" w14:textId="77777777" w:rsidR="00C312F7" w:rsidRPr="0042750D" w:rsidRDefault="00C312F7" w:rsidP="00C312F7">
      <w:pPr>
        <w:rPr>
          <w:szCs w:val="22"/>
        </w:rPr>
      </w:pPr>
      <w:r w:rsidRPr="0042750D">
        <w:rPr>
          <w:szCs w:val="22"/>
        </w:rPr>
        <w:t>10</w:t>
      </w:r>
      <w:r w:rsidRPr="0042750D">
        <w:rPr>
          <w:szCs w:val="22"/>
        </w:rPr>
        <w:tab/>
        <w:t>to support Member States, particularly developing countries, in adapting to and mitigating the impact of climate change in a number of areas, including smart water management, e</w:t>
      </w:r>
      <w:r w:rsidRPr="0042750D">
        <w:rPr>
          <w:szCs w:val="22"/>
        </w:rPr>
        <w:noBreakHyphen/>
        <w:t>waste management and treatment methods and the use of ICTs in disaster prediction, early warning, mitigation and relief,</w:t>
      </w:r>
    </w:p>
    <w:p w14:paraId="7B2D2145" w14:textId="77777777" w:rsidR="00C312F7" w:rsidRPr="0042750D" w:rsidRDefault="00C312F7" w:rsidP="00C312F7">
      <w:pPr>
        <w:pStyle w:val="Call"/>
        <w:rPr>
          <w:szCs w:val="22"/>
          <w:lang w:val="en-GB"/>
        </w:rPr>
      </w:pPr>
      <w:r w:rsidRPr="0042750D">
        <w:rPr>
          <w:szCs w:val="22"/>
          <w:lang w:val="en-GB"/>
        </w:rPr>
        <w:t>instructs the Directors of the three Bureaux, within the purview of their mandates</w:t>
      </w:r>
    </w:p>
    <w:p w14:paraId="0D625EB0" w14:textId="77777777" w:rsidR="00C312F7" w:rsidRPr="0042750D" w:rsidRDefault="00C312F7" w:rsidP="00C312F7">
      <w:pPr>
        <w:rPr>
          <w:szCs w:val="22"/>
        </w:rPr>
      </w:pPr>
      <w:r w:rsidRPr="0042750D">
        <w:rPr>
          <w:szCs w:val="22"/>
        </w:rPr>
        <w:t>1</w:t>
      </w:r>
      <w:r w:rsidRPr="0042750D">
        <w:rPr>
          <w:szCs w:val="22"/>
        </w:rPr>
        <w:tab/>
        <w:t>to help in the promotion of best practices and guidelines:</w:t>
      </w:r>
    </w:p>
    <w:p w14:paraId="11D73AEA" w14:textId="77777777" w:rsidR="00C312F7" w:rsidRPr="0042750D" w:rsidRDefault="00C312F7" w:rsidP="00C312F7">
      <w:pPr>
        <w:pStyle w:val="enumlev10"/>
        <w:rPr>
          <w:szCs w:val="22"/>
        </w:rPr>
      </w:pPr>
      <w:r w:rsidRPr="0042750D">
        <w:rPr>
          <w:szCs w:val="22"/>
        </w:rPr>
        <w:t>–</w:t>
      </w:r>
      <w:r w:rsidRPr="0042750D">
        <w:rPr>
          <w:szCs w:val="22"/>
        </w:rPr>
        <w:tab/>
        <w:t>to improve the energy efficiency of telecommunication/ICT equipment</w:t>
      </w:r>
    </w:p>
    <w:p w14:paraId="08FBE699" w14:textId="77777777" w:rsidR="00C312F7" w:rsidRPr="0042750D" w:rsidRDefault="00C312F7" w:rsidP="00C312F7">
      <w:pPr>
        <w:pStyle w:val="enumlev10"/>
        <w:rPr>
          <w:szCs w:val="22"/>
        </w:rPr>
      </w:pPr>
      <w:r w:rsidRPr="0042750D">
        <w:rPr>
          <w:szCs w:val="22"/>
        </w:rPr>
        <w:t>–</w:t>
      </w:r>
      <w:r w:rsidRPr="0042750D">
        <w:rPr>
          <w:szCs w:val="22"/>
        </w:rPr>
        <w:tab/>
        <w:t xml:space="preserve">to measure the carbon footprint of the telecommunication/ICT industry </w:t>
      </w:r>
    </w:p>
    <w:p w14:paraId="42CA28EA" w14:textId="77777777" w:rsidR="00C312F7" w:rsidRPr="0042750D" w:rsidRDefault="00C312F7" w:rsidP="00C312F7">
      <w:pPr>
        <w:pStyle w:val="enumlev10"/>
        <w:rPr>
          <w:szCs w:val="22"/>
        </w:rPr>
      </w:pPr>
      <w:r w:rsidRPr="0042750D">
        <w:rPr>
          <w:szCs w:val="22"/>
        </w:rPr>
        <w:t>–</w:t>
      </w:r>
      <w:r w:rsidRPr="0042750D">
        <w:rPr>
          <w:szCs w:val="22"/>
        </w:rPr>
        <w:tab/>
        <w:t>to monitor water resources through the use of telecommunications/ICTs</w:t>
      </w:r>
    </w:p>
    <w:p w14:paraId="60906EB9" w14:textId="77777777" w:rsidR="00C312F7" w:rsidRPr="0042750D" w:rsidRDefault="00C312F7" w:rsidP="00C312F7">
      <w:pPr>
        <w:pStyle w:val="enumlev10"/>
        <w:rPr>
          <w:szCs w:val="22"/>
        </w:rPr>
      </w:pPr>
      <w:r w:rsidRPr="0042750D">
        <w:rPr>
          <w:szCs w:val="22"/>
        </w:rPr>
        <w:t>–</w:t>
      </w:r>
      <w:r w:rsidRPr="0042750D">
        <w:rPr>
          <w:szCs w:val="22"/>
        </w:rPr>
        <w:tab/>
        <w:t>to mitigate the effects of climate change through the use of telecommunications/ICTs</w:t>
      </w:r>
    </w:p>
    <w:p w14:paraId="1FF4A79E" w14:textId="77777777" w:rsidR="00C312F7" w:rsidRPr="0042750D" w:rsidRDefault="00C312F7" w:rsidP="00C312F7">
      <w:pPr>
        <w:pStyle w:val="enumlev10"/>
        <w:rPr>
          <w:szCs w:val="22"/>
        </w:rPr>
      </w:pPr>
      <w:r w:rsidRPr="0042750D">
        <w:rPr>
          <w:szCs w:val="22"/>
        </w:rPr>
        <w:t>–</w:t>
      </w:r>
      <w:r w:rsidRPr="0042750D">
        <w:rPr>
          <w:szCs w:val="22"/>
        </w:rPr>
        <w:tab/>
        <w:t>to adapt to the effects of climate change through the use of telecommunications/ICTs</w:t>
      </w:r>
    </w:p>
    <w:p w14:paraId="07CF2E45" w14:textId="77777777" w:rsidR="00C312F7" w:rsidRPr="0042750D" w:rsidRDefault="00C312F7" w:rsidP="00C312F7">
      <w:pPr>
        <w:pStyle w:val="enumlev10"/>
        <w:rPr>
          <w:szCs w:val="22"/>
        </w:rPr>
      </w:pPr>
      <w:r w:rsidRPr="0042750D">
        <w:rPr>
          <w:szCs w:val="22"/>
        </w:rPr>
        <w:t>–</w:t>
      </w:r>
      <w:r w:rsidRPr="0042750D">
        <w:rPr>
          <w:szCs w:val="22"/>
        </w:rPr>
        <w:tab/>
        <w:t>to enable telecommunications/ICTs to contribute to disaster prediction, early warning, mitigation and relief;</w:t>
      </w:r>
    </w:p>
    <w:p w14:paraId="322EC6B0" w14:textId="77777777" w:rsidR="00C312F7" w:rsidRPr="0042750D" w:rsidRDefault="00C312F7" w:rsidP="00C312F7">
      <w:pPr>
        <w:rPr>
          <w:szCs w:val="22"/>
        </w:rPr>
      </w:pPr>
      <w:r w:rsidRPr="0042750D">
        <w:rPr>
          <w:szCs w:val="22"/>
        </w:rPr>
        <w:t>2</w:t>
      </w:r>
      <w:r w:rsidRPr="0042750D">
        <w:rPr>
          <w:szCs w:val="22"/>
        </w:rPr>
        <w:tab/>
        <w:t>to support the development of reports on ICTs, the environment and climate change, taking into consideration relevant studies, in particular the ongoing work of ITU</w:t>
      </w:r>
      <w:r w:rsidRPr="0042750D">
        <w:rPr>
          <w:szCs w:val="22"/>
        </w:rPr>
        <w:noBreakHyphen/>
        <w:t>T Study Group 5 and ITU</w:t>
      </w:r>
      <w:r w:rsidRPr="0042750D">
        <w:rPr>
          <w:szCs w:val="22"/>
        </w:rPr>
        <w:noBreakHyphen/>
        <w:t xml:space="preserve">D Study Groups 1 and 2 related to, </w:t>
      </w:r>
      <w:r w:rsidRPr="0042750D">
        <w:rPr>
          <w:i/>
          <w:iCs/>
          <w:szCs w:val="22"/>
        </w:rPr>
        <w:t>inter alia</w:t>
      </w:r>
      <w:r w:rsidRPr="0042750D">
        <w:rPr>
          <w:szCs w:val="22"/>
        </w:rPr>
        <w:t>, ICTs and climate change, and to assist affected countries with utilizing relevant applications for disaster preparedness, mitigation and response, and management of telecommunication/ICT waste;</w:t>
      </w:r>
    </w:p>
    <w:p w14:paraId="47891B90" w14:textId="77777777" w:rsidR="00C312F7" w:rsidRPr="0042750D" w:rsidRDefault="00C312F7" w:rsidP="00C312F7">
      <w:pPr>
        <w:rPr>
          <w:szCs w:val="22"/>
        </w:rPr>
      </w:pPr>
      <w:r w:rsidRPr="0042750D">
        <w:rPr>
          <w:szCs w:val="22"/>
        </w:rPr>
        <w:t>3</w:t>
      </w:r>
      <w:r w:rsidRPr="0042750D">
        <w:rPr>
          <w:szCs w:val="22"/>
        </w:rPr>
        <w:tab/>
        <w:t>to organize, in close collaboration among all three Bureaux, and within the budgetary limits of the Union, workshops and seminars to assist developing countries, by raising awareness and identifying their particular needs and challenges regarding the use of telecommunications/ICTs to address environment and climate-change issues, including e</w:t>
      </w:r>
      <w:r w:rsidRPr="0042750D">
        <w:rPr>
          <w:szCs w:val="22"/>
        </w:rPr>
        <w:noBreakHyphen/>
        <w:t>waste collection, dismantling, refurbishment and recycling, as well as sustainable and smart management of water,</w:t>
      </w:r>
    </w:p>
    <w:p w14:paraId="539B94B8" w14:textId="77777777" w:rsidR="001A7F88" w:rsidRPr="0042750D" w:rsidRDefault="001A7F88" w:rsidP="001A7F88">
      <w:pPr>
        <w:pStyle w:val="Call"/>
        <w:rPr>
          <w:szCs w:val="22"/>
          <w:lang w:val="en-GB"/>
        </w:rPr>
      </w:pPr>
      <w:r w:rsidRPr="0042750D">
        <w:rPr>
          <w:szCs w:val="22"/>
          <w:lang w:val="en-GB"/>
        </w:rPr>
        <w:t xml:space="preserve">instructs the Director of the Telecommunication Standardization Bureau </w:t>
      </w:r>
    </w:p>
    <w:p w14:paraId="12A52A8B" w14:textId="77777777" w:rsidR="001A7F88" w:rsidRPr="0042750D" w:rsidRDefault="001A7F88" w:rsidP="001A7F88">
      <w:pPr>
        <w:rPr>
          <w:szCs w:val="22"/>
        </w:rPr>
      </w:pPr>
      <w:r w:rsidRPr="0042750D">
        <w:rPr>
          <w:szCs w:val="22"/>
        </w:rPr>
        <w:t>1</w:t>
      </w:r>
      <w:r w:rsidRPr="0042750D">
        <w:rPr>
          <w:szCs w:val="22"/>
        </w:rPr>
        <w:tab/>
        <w:t>to share the outputs of ITU</w:t>
      </w:r>
      <w:r w:rsidRPr="0042750D">
        <w:rPr>
          <w:szCs w:val="22"/>
        </w:rPr>
        <w:noBreakHyphen/>
        <w:t>T Study Group 5 on ICTs and climate change and any other related study groups, in collaboration with other bodies, in the development of methodologies to assess:</w:t>
      </w:r>
    </w:p>
    <w:p w14:paraId="655DC5D9" w14:textId="77777777" w:rsidR="001A7F88" w:rsidRPr="0042750D" w:rsidRDefault="001A7F88" w:rsidP="001A7F88">
      <w:pPr>
        <w:pStyle w:val="enumlev10"/>
        <w:rPr>
          <w:szCs w:val="22"/>
        </w:rPr>
      </w:pPr>
      <w:r w:rsidRPr="0042750D">
        <w:rPr>
          <w:szCs w:val="22"/>
        </w:rPr>
        <w:t>i)</w:t>
      </w:r>
      <w:r w:rsidRPr="0042750D">
        <w:rPr>
          <w:szCs w:val="22"/>
        </w:rPr>
        <w:tab/>
        <w:t>the level of energy efficiency in the telecommunication/ICT sector and the application of telecommunications/ICTs in non-ICT sectors;</w:t>
      </w:r>
    </w:p>
    <w:p w14:paraId="073B3665" w14:textId="77777777" w:rsidR="001A7F88" w:rsidRPr="0042750D" w:rsidRDefault="001A7F88" w:rsidP="0074419F">
      <w:pPr>
        <w:pStyle w:val="enumlev10"/>
        <w:jc w:val="left"/>
        <w:rPr>
          <w:szCs w:val="22"/>
        </w:rPr>
      </w:pPr>
      <w:r w:rsidRPr="0042750D">
        <w:rPr>
          <w:szCs w:val="22"/>
        </w:rPr>
        <w:t>ii)</w:t>
      </w:r>
      <w:r w:rsidRPr="0042750D">
        <w:rPr>
          <w:szCs w:val="22"/>
        </w:rPr>
        <w:tab/>
        <w:t>the complete-lifecycle GHG emissions of telecommunication/ICT equipment, in collaboration with other relevant bodies, in order to establish best practice in the sector against an agreed set of methods for quantifying such emissions, to enable the benefits of reuse, refurbishment and recycling to be quantified in order to help achieve reductions in GHG emissions both in the telecommunication/ICT sector and in the use of ICTs in other sectors;</w:t>
      </w:r>
    </w:p>
    <w:p w14:paraId="05A27A51" w14:textId="77777777" w:rsidR="001A7F88" w:rsidRPr="0042750D" w:rsidRDefault="001A7F88" w:rsidP="001A7F88">
      <w:pPr>
        <w:rPr>
          <w:szCs w:val="22"/>
        </w:rPr>
      </w:pPr>
      <w:r w:rsidRPr="0042750D">
        <w:rPr>
          <w:szCs w:val="22"/>
        </w:rPr>
        <w:t>2</w:t>
      </w:r>
      <w:r w:rsidRPr="0042750D">
        <w:rPr>
          <w:szCs w:val="22"/>
        </w:rPr>
        <w:tab/>
        <w:t>to cooperate with United Nations entities and others in activities related to climate change, working towards a progressive and measurable reduction in energy consumption and GHG emissions throughout the lifecycle of telecommunication/ICT equipment;</w:t>
      </w:r>
    </w:p>
    <w:p w14:paraId="453B1CB0" w14:textId="77777777" w:rsidR="001A7F88" w:rsidRPr="0042750D" w:rsidRDefault="001A7F88" w:rsidP="001A7F88">
      <w:pPr>
        <w:rPr>
          <w:szCs w:val="22"/>
        </w:rPr>
      </w:pPr>
      <w:r w:rsidRPr="0042750D">
        <w:rPr>
          <w:szCs w:val="22"/>
        </w:rPr>
        <w:t>3</w:t>
      </w:r>
      <w:r w:rsidRPr="0042750D">
        <w:rPr>
          <w:szCs w:val="22"/>
        </w:rPr>
        <w:tab/>
        <w:t>to continue the current Joint Coordination Activity on ICT and climate change in specialist and specific discussions with other industries, drawing upon the expertise existing in other forums, industrial sectors (and their relevant forums) and academia, in order to:</w:t>
      </w:r>
    </w:p>
    <w:p w14:paraId="07C86CAC" w14:textId="77777777" w:rsidR="001A7F88" w:rsidRPr="0042750D" w:rsidRDefault="001A7F88" w:rsidP="0074419F">
      <w:pPr>
        <w:pStyle w:val="enumlev10"/>
        <w:jc w:val="left"/>
        <w:rPr>
          <w:szCs w:val="22"/>
        </w:rPr>
      </w:pPr>
      <w:r w:rsidRPr="0042750D">
        <w:rPr>
          <w:szCs w:val="22"/>
        </w:rPr>
        <w:t>i)</w:t>
      </w:r>
      <w:r w:rsidRPr="0042750D">
        <w:rPr>
          <w:szCs w:val="22"/>
        </w:rPr>
        <w:tab/>
        <w:t>demonstrate ITU leadership in GHG reductions and energy savings in the telecommunication/ICT sector;</w:t>
      </w:r>
    </w:p>
    <w:p w14:paraId="2EFDC911" w14:textId="77777777" w:rsidR="001A7F88" w:rsidRPr="0042750D" w:rsidRDefault="001A7F88" w:rsidP="0074419F">
      <w:pPr>
        <w:pStyle w:val="enumlev10"/>
        <w:jc w:val="left"/>
        <w:rPr>
          <w:szCs w:val="22"/>
        </w:rPr>
      </w:pPr>
      <w:r w:rsidRPr="0042750D">
        <w:rPr>
          <w:szCs w:val="22"/>
        </w:rPr>
        <w:t>ii)</w:t>
      </w:r>
      <w:r w:rsidRPr="0042750D">
        <w:rPr>
          <w:szCs w:val="22"/>
        </w:rPr>
        <w:tab/>
        <w:t>share knowledge and best practices on the deployment of pilot projects on the use of telecommunications/ICTs for the environment;</w:t>
      </w:r>
    </w:p>
    <w:p w14:paraId="59176F0F" w14:textId="77777777" w:rsidR="001A7F88" w:rsidRPr="0042750D" w:rsidRDefault="001A7F88" w:rsidP="001A7F88">
      <w:pPr>
        <w:pStyle w:val="enumlev10"/>
        <w:rPr>
          <w:szCs w:val="22"/>
        </w:rPr>
      </w:pPr>
      <w:r w:rsidRPr="0042750D">
        <w:rPr>
          <w:szCs w:val="22"/>
        </w:rPr>
        <w:t>iii)</w:t>
      </w:r>
      <w:r w:rsidRPr="0042750D">
        <w:rPr>
          <w:szCs w:val="22"/>
        </w:rPr>
        <w:tab/>
        <w:t>ensure that ITU actively leads in the application of ICTs in other industries and contributes to the reduction in GHG emissions through the use of telecommunications/ICTs;</w:t>
      </w:r>
    </w:p>
    <w:p w14:paraId="730C8323" w14:textId="77777777" w:rsidR="001A7F88" w:rsidRPr="0042750D" w:rsidRDefault="001A7F88" w:rsidP="001A7F88">
      <w:pPr>
        <w:rPr>
          <w:szCs w:val="22"/>
        </w:rPr>
      </w:pPr>
      <w:r w:rsidRPr="0042750D">
        <w:rPr>
          <w:szCs w:val="22"/>
        </w:rPr>
        <w:t>4</w:t>
      </w:r>
      <w:r w:rsidRPr="0042750D">
        <w:rPr>
          <w:szCs w:val="22"/>
        </w:rPr>
        <w:tab/>
        <w:t>to conduct work on implementing the outcomes of ITU's activities on the development of energy-saving and e</w:t>
      </w:r>
      <w:r w:rsidRPr="0042750D">
        <w:rPr>
          <w:szCs w:val="22"/>
        </w:rPr>
        <w:noBreakHyphen/>
        <w:t>waste standards;</w:t>
      </w:r>
    </w:p>
    <w:p w14:paraId="4686D585" w14:textId="1B307E72" w:rsidR="00F0236A" w:rsidRPr="0042750D" w:rsidRDefault="001A7F88" w:rsidP="001A7F88">
      <w:pPr>
        <w:spacing w:after="120"/>
        <w:rPr>
          <w:szCs w:val="22"/>
        </w:rPr>
      </w:pPr>
      <w:r w:rsidRPr="0042750D">
        <w:rPr>
          <w:szCs w:val="22"/>
        </w:rPr>
        <w:t>5</w:t>
      </w:r>
      <w:r w:rsidRPr="0042750D">
        <w:rPr>
          <w:szCs w:val="22"/>
        </w:rPr>
        <w:tab/>
        <w:t>to continue the work within ITU</w:t>
      </w:r>
      <w:r w:rsidRPr="0042750D">
        <w:rPr>
          <w:szCs w:val="22"/>
        </w:rPr>
        <w:noBreakHyphen/>
        <w:t>T aimed at bridging the gap in environmental sustainability, in particular in developing countries, and gauge the needs of the developing countries in the field of telecommunications/ICT, the environment and climate change</w:t>
      </w:r>
      <w:r w:rsidR="00F0236A" w:rsidRPr="0042750D">
        <w:rPr>
          <w:rFonts w:eastAsia="SimSun"/>
          <w:szCs w:val="22"/>
          <w:lang w:eastAsia="zh-CN"/>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7"/>
        <w:gridCol w:w="1683"/>
        <w:gridCol w:w="1129"/>
        <w:gridCol w:w="1338"/>
      </w:tblGrid>
      <w:tr w:rsidR="00F0236A" w:rsidRPr="0042750D" w14:paraId="786E3470" w14:textId="77777777" w:rsidTr="00D301E5">
        <w:trPr>
          <w:tblHeader/>
          <w:jc w:val="center"/>
        </w:trPr>
        <w:tc>
          <w:tcPr>
            <w:tcW w:w="1095" w:type="dxa"/>
            <w:tcBorders>
              <w:top w:val="single" w:sz="12" w:space="0" w:color="auto"/>
              <w:bottom w:val="single" w:sz="12" w:space="0" w:color="auto"/>
            </w:tcBorders>
            <w:shd w:val="clear" w:color="auto" w:fill="auto"/>
            <w:vAlign w:val="center"/>
          </w:tcPr>
          <w:p w14:paraId="3DBA34D8" w14:textId="77777777" w:rsidR="00F0236A" w:rsidRPr="0042750D" w:rsidRDefault="00F0236A" w:rsidP="001C595A">
            <w:pPr>
              <w:pStyle w:val="Tablehead"/>
              <w:keepNext w:val="0"/>
              <w:rPr>
                <w:sz w:val="24"/>
                <w:szCs w:val="24"/>
              </w:rPr>
            </w:pPr>
            <w:r w:rsidRPr="0042750D">
              <w:rPr>
                <w:sz w:val="24"/>
                <w:szCs w:val="24"/>
              </w:rPr>
              <w:t>Action Item</w:t>
            </w:r>
          </w:p>
        </w:tc>
        <w:tc>
          <w:tcPr>
            <w:tcW w:w="4687" w:type="dxa"/>
            <w:tcBorders>
              <w:top w:val="single" w:sz="12" w:space="0" w:color="auto"/>
              <w:bottom w:val="single" w:sz="12" w:space="0" w:color="auto"/>
            </w:tcBorders>
            <w:shd w:val="clear" w:color="auto" w:fill="auto"/>
            <w:vAlign w:val="center"/>
            <w:hideMark/>
          </w:tcPr>
          <w:p w14:paraId="2B8A2108" w14:textId="77777777" w:rsidR="00F0236A" w:rsidRPr="0042750D" w:rsidRDefault="00F0236A" w:rsidP="00DF36E1">
            <w:pPr>
              <w:pStyle w:val="Tablehead"/>
              <w:rPr>
                <w:sz w:val="24"/>
                <w:szCs w:val="24"/>
              </w:rPr>
            </w:pPr>
            <w:r w:rsidRPr="0042750D">
              <w:rPr>
                <w:sz w:val="24"/>
                <w:szCs w:val="24"/>
              </w:rPr>
              <w:t>Action</w:t>
            </w:r>
          </w:p>
        </w:tc>
        <w:tc>
          <w:tcPr>
            <w:tcW w:w="1683" w:type="dxa"/>
            <w:tcBorders>
              <w:top w:val="single" w:sz="12" w:space="0" w:color="auto"/>
              <w:bottom w:val="single" w:sz="12" w:space="0" w:color="auto"/>
            </w:tcBorders>
            <w:shd w:val="clear" w:color="auto" w:fill="auto"/>
            <w:vAlign w:val="center"/>
            <w:hideMark/>
          </w:tcPr>
          <w:p w14:paraId="6D21EC39" w14:textId="77777777" w:rsidR="00F0236A" w:rsidRPr="0042750D" w:rsidRDefault="00F0236A" w:rsidP="00DF36E1">
            <w:pPr>
              <w:pStyle w:val="Tablehead"/>
              <w:rPr>
                <w:sz w:val="24"/>
                <w:szCs w:val="24"/>
              </w:rPr>
            </w:pPr>
            <w:r w:rsidRPr="0042750D">
              <w:rPr>
                <w:sz w:val="24"/>
                <w:szCs w:val="24"/>
              </w:rPr>
              <w:t>Milestone</w:t>
            </w:r>
          </w:p>
        </w:tc>
        <w:tc>
          <w:tcPr>
            <w:tcW w:w="1129" w:type="dxa"/>
            <w:tcBorders>
              <w:top w:val="single" w:sz="12" w:space="0" w:color="auto"/>
              <w:bottom w:val="single" w:sz="12" w:space="0" w:color="auto"/>
            </w:tcBorders>
            <w:shd w:val="clear" w:color="auto" w:fill="auto"/>
          </w:tcPr>
          <w:p w14:paraId="49702903"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EE23DEA" w14:textId="77777777" w:rsidR="00F0236A" w:rsidRPr="0042750D" w:rsidRDefault="00F0236A" w:rsidP="00DF36E1">
            <w:pPr>
              <w:pStyle w:val="Tablehead"/>
              <w:rPr>
                <w:sz w:val="24"/>
                <w:szCs w:val="24"/>
              </w:rPr>
            </w:pPr>
            <w:r w:rsidRPr="0042750D">
              <w:rPr>
                <w:sz w:val="24"/>
                <w:szCs w:val="24"/>
              </w:rPr>
              <w:t>Completed</w:t>
            </w:r>
          </w:p>
        </w:tc>
      </w:tr>
      <w:tr w:rsidR="00FA50C4" w:rsidRPr="0042750D" w:rsidDel="00A93497" w14:paraId="0C20214C" w14:textId="77777777" w:rsidTr="00FA50C4">
        <w:trPr>
          <w:jc w:val="center"/>
        </w:trPr>
        <w:tc>
          <w:tcPr>
            <w:tcW w:w="1095" w:type="dxa"/>
            <w:vMerge w:val="restart"/>
            <w:tcBorders>
              <w:top w:val="single" w:sz="12" w:space="0" w:color="auto"/>
            </w:tcBorders>
            <w:shd w:val="clear" w:color="auto" w:fill="auto"/>
          </w:tcPr>
          <w:p w14:paraId="486F8ACA" w14:textId="76BF963C" w:rsidR="00FA50C4" w:rsidRPr="0042750D" w:rsidDel="00A93497" w:rsidRDefault="00FA50C4" w:rsidP="00AF3A63">
            <w:pPr>
              <w:pStyle w:val="Tabletext"/>
              <w:keepNext/>
              <w:keepLines/>
              <w:rPr>
                <w:b/>
                <w:bCs/>
                <w:sz w:val="24"/>
                <w:szCs w:val="24"/>
              </w:rPr>
            </w:pPr>
            <w:bookmarkStart w:id="306" w:name="Item77_01"/>
            <w:bookmarkStart w:id="307" w:name="Item77_05"/>
            <w:bookmarkStart w:id="308" w:name="Item77_04"/>
            <w:bookmarkStart w:id="309" w:name="Item77_06"/>
            <w:bookmarkStart w:id="310" w:name="Item77_07"/>
            <w:bookmarkStart w:id="311" w:name="Item77_08"/>
            <w:bookmarkStart w:id="312" w:name="Item77_09"/>
            <w:bookmarkStart w:id="313" w:name="Item77_10"/>
            <w:bookmarkStart w:id="314" w:name="Item77_11"/>
            <w:bookmarkEnd w:id="306"/>
            <w:bookmarkEnd w:id="307"/>
            <w:bookmarkEnd w:id="308"/>
            <w:bookmarkEnd w:id="309"/>
            <w:bookmarkEnd w:id="310"/>
            <w:bookmarkEnd w:id="311"/>
            <w:bookmarkEnd w:id="312"/>
            <w:bookmarkEnd w:id="313"/>
            <w:bookmarkEnd w:id="314"/>
            <w:r w:rsidRPr="0042750D">
              <w:rPr>
                <w:b/>
                <w:bCs/>
                <w:sz w:val="24"/>
                <w:szCs w:val="24"/>
              </w:rPr>
              <w:t>182-05</w:t>
            </w:r>
          </w:p>
        </w:tc>
        <w:tc>
          <w:tcPr>
            <w:tcW w:w="4687" w:type="dxa"/>
            <w:tcBorders>
              <w:top w:val="single" w:sz="12" w:space="0" w:color="auto"/>
            </w:tcBorders>
            <w:shd w:val="clear" w:color="auto" w:fill="auto"/>
          </w:tcPr>
          <w:p w14:paraId="7A2C524D" w14:textId="40554EAD" w:rsidR="00FA50C4" w:rsidRPr="0042750D" w:rsidDel="00A93497" w:rsidRDefault="00FA50C4" w:rsidP="00AF3A63">
            <w:pPr>
              <w:pStyle w:val="Tabletext"/>
              <w:keepNext/>
              <w:keepLines/>
              <w:rPr>
                <w:b/>
                <w:bCs/>
                <w:sz w:val="24"/>
                <w:szCs w:val="24"/>
              </w:rPr>
            </w:pPr>
            <w:r w:rsidRPr="0042750D">
              <w:rPr>
                <w:b/>
                <w:bCs/>
                <w:sz w:val="24"/>
                <w:szCs w:val="24"/>
              </w:rPr>
              <w:t xml:space="preserve">TSBDir to </w:t>
            </w:r>
            <w:r w:rsidRPr="0042750D">
              <w:rPr>
                <w:b/>
                <w:sz w:val="24"/>
                <w:szCs w:val="24"/>
              </w:rPr>
              <w:t>share the outputs of ITU</w:t>
            </w:r>
            <w:r w:rsidRPr="0042750D">
              <w:rPr>
                <w:b/>
                <w:sz w:val="24"/>
                <w:szCs w:val="24"/>
              </w:rPr>
              <w:noBreakHyphen/>
              <w:t>T Study Group 5 on ICTs and climate change and any other related study groups, in collaboration with other bodies, towards the development of methodologies</w:t>
            </w:r>
            <w:r w:rsidR="00423A93" w:rsidRPr="0042750D">
              <w:rPr>
                <w:b/>
                <w:sz w:val="24"/>
                <w:szCs w:val="24"/>
              </w:rPr>
              <w:t xml:space="preserve"> (</w:t>
            </w:r>
            <w:r w:rsidR="00423A93" w:rsidRPr="0042750D">
              <w:rPr>
                <w:b/>
                <w:i/>
                <w:sz w:val="24"/>
                <w:szCs w:val="24"/>
              </w:rPr>
              <w:t>instructs 1</w:t>
            </w:r>
            <w:r w:rsidR="00423A93" w:rsidRPr="0042750D">
              <w:rPr>
                <w:b/>
                <w:sz w:val="24"/>
                <w:szCs w:val="24"/>
              </w:rPr>
              <w:t>)</w:t>
            </w:r>
            <w:r w:rsidRPr="0042750D">
              <w:rPr>
                <w:b/>
                <w:sz w:val="24"/>
                <w:szCs w:val="24"/>
              </w:rPr>
              <w:t>.</w:t>
            </w:r>
          </w:p>
        </w:tc>
        <w:tc>
          <w:tcPr>
            <w:tcW w:w="1683" w:type="dxa"/>
            <w:tcBorders>
              <w:top w:val="single" w:sz="12" w:space="0" w:color="auto"/>
            </w:tcBorders>
            <w:shd w:val="clear" w:color="auto" w:fill="auto"/>
            <w:vAlign w:val="center"/>
          </w:tcPr>
          <w:p w14:paraId="115E5BE5" w14:textId="77777777" w:rsidR="00FA50C4" w:rsidRPr="0042750D" w:rsidDel="00A93497" w:rsidRDefault="00FA50C4" w:rsidP="00AF3A63">
            <w:pPr>
              <w:pStyle w:val="Tabletext"/>
              <w:keepNext/>
              <w:keepLines/>
              <w:jc w:val="center"/>
              <w:rPr>
                <w:b/>
                <w:bCs/>
                <w:sz w:val="24"/>
                <w:szCs w:val="24"/>
              </w:rPr>
            </w:pPr>
            <w:r w:rsidRPr="0042750D">
              <w:rPr>
                <w:b/>
                <w:bCs/>
                <w:sz w:val="24"/>
                <w:szCs w:val="24"/>
              </w:rPr>
              <w:t>Ongoing</w:t>
            </w:r>
          </w:p>
        </w:tc>
        <w:tc>
          <w:tcPr>
            <w:tcW w:w="1129" w:type="dxa"/>
            <w:tcBorders>
              <w:top w:val="single" w:sz="12" w:space="0" w:color="auto"/>
            </w:tcBorders>
            <w:shd w:val="clear" w:color="auto" w:fill="auto"/>
            <w:vAlign w:val="center"/>
          </w:tcPr>
          <w:p w14:paraId="6BF826D9" w14:textId="2675247F" w:rsidR="00FA50C4" w:rsidRPr="0042750D" w:rsidDel="00A93497" w:rsidRDefault="00077568" w:rsidP="00AF3A63">
            <w:pPr>
              <w:pStyle w:val="Tabletext"/>
              <w:keepNext/>
              <w:keepLines/>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29F737B0" w14:textId="77777777" w:rsidR="00FA50C4" w:rsidRPr="0042750D" w:rsidDel="00A93497" w:rsidRDefault="00FA50C4" w:rsidP="00AF3A63">
            <w:pPr>
              <w:pStyle w:val="Tabletext"/>
              <w:keepNext/>
              <w:keepLines/>
              <w:jc w:val="center"/>
              <w:rPr>
                <w:b/>
                <w:bCs/>
                <w:sz w:val="24"/>
                <w:szCs w:val="24"/>
              </w:rPr>
            </w:pPr>
          </w:p>
        </w:tc>
      </w:tr>
      <w:tr w:rsidR="00FA50C4" w:rsidRPr="0042750D" w:rsidDel="00A93497" w14:paraId="368D46C5" w14:textId="77777777" w:rsidTr="00D50A4E">
        <w:trPr>
          <w:jc w:val="center"/>
        </w:trPr>
        <w:tc>
          <w:tcPr>
            <w:tcW w:w="1095" w:type="dxa"/>
            <w:vMerge/>
            <w:tcBorders>
              <w:bottom w:val="single" w:sz="12" w:space="0" w:color="auto"/>
            </w:tcBorders>
            <w:shd w:val="clear" w:color="auto" w:fill="auto"/>
          </w:tcPr>
          <w:p w14:paraId="47AA2997" w14:textId="77777777" w:rsidR="00FA50C4" w:rsidRPr="0042750D" w:rsidRDefault="00FA50C4" w:rsidP="00AF3A63">
            <w:pPr>
              <w:pStyle w:val="Tabletext"/>
              <w:keepNext/>
              <w:keepLines/>
              <w:rPr>
                <w:sz w:val="24"/>
                <w:szCs w:val="24"/>
              </w:rPr>
            </w:pPr>
          </w:p>
        </w:tc>
        <w:tc>
          <w:tcPr>
            <w:tcW w:w="8837" w:type="dxa"/>
            <w:gridSpan w:val="4"/>
            <w:tcBorders>
              <w:bottom w:val="single" w:sz="12" w:space="0" w:color="auto"/>
            </w:tcBorders>
            <w:shd w:val="clear" w:color="auto" w:fill="auto"/>
          </w:tcPr>
          <w:p w14:paraId="4561CE22" w14:textId="6F0E9B20" w:rsidR="008D3CF5" w:rsidRPr="0042750D" w:rsidRDefault="009E19F9" w:rsidP="0074302C">
            <w:pPr>
              <w:keepNext/>
              <w:keepLines/>
              <w:spacing w:before="40" w:after="40"/>
            </w:pPr>
            <w:r w:rsidRPr="0042750D">
              <w:t xml:space="preserve">ITU-T SG5 in collaboration with SBTi, GeSi, GSMA and IEA </w:t>
            </w:r>
            <w:r w:rsidR="000A4ADB" w:rsidRPr="0042750D">
              <w:t xml:space="preserve">developed </w:t>
            </w:r>
            <w:r w:rsidRPr="0042750D">
              <w:t xml:space="preserve">Recommendation ITU-T </w:t>
            </w:r>
            <w:r w:rsidR="000A4ADB" w:rsidRPr="0042750D">
              <w:t>L.1470 (ex.</w:t>
            </w:r>
            <w:r w:rsidRPr="0042750D">
              <w:t>L.Trajectories</w:t>
            </w:r>
            <w:r w:rsidR="000A4ADB" w:rsidRPr="0042750D">
              <w:t>)</w:t>
            </w:r>
            <w:r w:rsidRPr="0042750D">
              <w:t xml:space="preserve"> on “GHG emissions trajectories for the ICT sector compatible with the UNFCCC Paris Agreement”. ITU-T SG5 is also developing a Supplement on Guidance for organizations interested in complying with the </w:t>
            </w:r>
            <w:r w:rsidR="00ED3AC6" w:rsidRPr="0042750D">
              <w:t>UNFCCC Paris Agreement target</w:t>
            </w:r>
            <w:r w:rsidR="000A4ADB" w:rsidRPr="0042750D">
              <w:t xml:space="preserve"> related to Recommendation ITU-T L.1470.</w:t>
            </w:r>
          </w:p>
          <w:p w14:paraId="660A5C8C" w14:textId="1E621DD4" w:rsidR="00FA50C4" w:rsidRPr="0042750D" w:rsidDel="00A93497" w:rsidRDefault="008D3CF5" w:rsidP="00524C78">
            <w:pPr>
              <w:pStyle w:val="Tabletext"/>
              <w:spacing w:before="120"/>
              <w:rPr>
                <w:szCs w:val="22"/>
              </w:rPr>
            </w:pPr>
            <w:r w:rsidRPr="0042750D">
              <w:rPr>
                <w:szCs w:val="22"/>
              </w:rPr>
              <w:t>ITU developed the report on Turning Digital Technology Innovation into Climate Action that was launched during the UN Climate Summit.</w:t>
            </w:r>
          </w:p>
        </w:tc>
      </w:tr>
      <w:tr w:rsidR="008B18A3" w:rsidRPr="0042750D" w:rsidDel="00A93497" w14:paraId="0D023F17" w14:textId="77777777" w:rsidTr="00D50A4E">
        <w:trPr>
          <w:jc w:val="center"/>
        </w:trPr>
        <w:tc>
          <w:tcPr>
            <w:tcW w:w="1095" w:type="dxa"/>
            <w:vMerge w:val="restart"/>
            <w:tcBorders>
              <w:top w:val="single" w:sz="12" w:space="0" w:color="auto"/>
            </w:tcBorders>
            <w:shd w:val="clear" w:color="auto" w:fill="auto"/>
          </w:tcPr>
          <w:p w14:paraId="54F4B920" w14:textId="24F0AA40" w:rsidR="008B18A3" w:rsidRPr="0042750D" w:rsidDel="00A93497" w:rsidRDefault="008B18A3" w:rsidP="008B18A3">
            <w:pPr>
              <w:pStyle w:val="Tabletext"/>
              <w:rPr>
                <w:b/>
                <w:bCs/>
                <w:sz w:val="24"/>
                <w:szCs w:val="24"/>
              </w:rPr>
            </w:pPr>
            <w:r w:rsidRPr="0042750D">
              <w:rPr>
                <w:b/>
                <w:bCs/>
                <w:sz w:val="24"/>
                <w:szCs w:val="24"/>
              </w:rPr>
              <w:t>182-06</w:t>
            </w:r>
          </w:p>
        </w:tc>
        <w:tc>
          <w:tcPr>
            <w:tcW w:w="4687" w:type="dxa"/>
            <w:tcBorders>
              <w:top w:val="single" w:sz="12" w:space="0" w:color="auto"/>
            </w:tcBorders>
            <w:shd w:val="clear" w:color="auto" w:fill="auto"/>
          </w:tcPr>
          <w:p w14:paraId="4B6EEED8" w14:textId="50F8DA89" w:rsidR="008B18A3" w:rsidRPr="0042750D" w:rsidDel="00A93497" w:rsidRDefault="008B18A3" w:rsidP="00D50A4E">
            <w:pPr>
              <w:pStyle w:val="Tabletext"/>
              <w:rPr>
                <w:b/>
                <w:bCs/>
                <w:sz w:val="24"/>
                <w:szCs w:val="24"/>
              </w:rPr>
            </w:pPr>
            <w:r w:rsidRPr="0042750D">
              <w:rPr>
                <w:b/>
                <w:bCs/>
                <w:sz w:val="24"/>
                <w:szCs w:val="24"/>
              </w:rPr>
              <w:t>TSBDir to cooperate with United Nations entities and others in activities related to climate change, working towards a progressive and measurable reduction in energy consumption and GHG emissions throughout the lifecycle of telecommunication/ICT equipment</w:t>
            </w:r>
            <w:r w:rsidR="00423A93" w:rsidRPr="0042750D">
              <w:rPr>
                <w:b/>
                <w:bCs/>
                <w:sz w:val="24"/>
                <w:szCs w:val="24"/>
              </w:rPr>
              <w:t xml:space="preserve"> (</w:t>
            </w:r>
            <w:r w:rsidR="00423A93" w:rsidRPr="0042750D">
              <w:rPr>
                <w:b/>
                <w:bCs/>
                <w:i/>
                <w:sz w:val="24"/>
                <w:szCs w:val="24"/>
              </w:rPr>
              <w:t>instructs 2</w:t>
            </w:r>
            <w:r w:rsidR="00423A93" w:rsidRPr="0042750D">
              <w:rPr>
                <w:b/>
                <w:bCs/>
                <w:sz w:val="24"/>
                <w:szCs w:val="24"/>
              </w:rPr>
              <w:t>)</w:t>
            </w:r>
            <w:r w:rsidRPr="0042750D">
              <w:rPr>
                <w:b/>
                <w:szCs w:val="22"/>
              </w:rPr>
              <w:t>.</w:t>
            </w:r>
          </w:p>
        </w:tc>
        <w:tc>
          <w:tcPr>
            <w:tcW w:w="1683" w:type="dxa"/>
            <w:tcBorders>
              <w:top w:val="single" w:sz="12" w:space="0" w:color="auto"/>
            </w:tcBorders>
            <w:shd w:val="clear" w:color="auto" w:fill="auto"/>
            <w:vAlign w:val="center"/>
          </w:tcPr>
          <w:p w14:paraId="79CDB5B9" w14:textId="77777777" w:rsidR="008B18A3" w:rsidRPr="0042750D" w:rsidDel="00A93497" w:rsidRDefault="008B18A3" w:rsidP="00D50A4E">
            <w:pPr>
              <w:pStyle w:val="Tabletext"/>
              <w:jc w:val="center"/>
              <w:rPr>
                <w:b/>
                <w:bCs/>
                <w:sz w:val="24"/>
                <w:szCs w:val="24"/>
              </w:rPr>
            </w:pPr>
            <w:r w:rsidRPr="0042750D">
              <w:rPr>
                <w:b/>
                <w:bCs/>
                <w:sz w:val="24"/>
                <w:szCs w:val="24"/>
              </w:rPr>
              <w:t>Ongoing</w:t>
            </w:r>
          </w:p>
        </w:tc>
        <w:tc>
          <w:tcPr>
            <w:tcW w:w="1129" w:type="dxa"/>
            <w:tcBorders>
              <w:top w:val="single" w:sz="12" w:space="0" w:color="auto"/>
            </w:tcBorders>
            <w:shd w:val="clear" w:color="auto" w:fill="auto"/>
            <w:vAlign w:val="center"/>
          </w:tcPr>
          <w:p w14:paraId="63C17191" w14:textId="08813807" w:rsidR="008B18A3" w:rsidRPr="0042750D" w:rsidDel="00A93497" w:rsidRDefault="001B45F8" w:rsidP="00D50A4E">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0F2EAF28" w14:textId="77777777" w:rsidR="008B18A3" w:rsidRPr="0042750D" w:rsidDel="00A93497" w:rsidRDefault="008B18A3" w:rsidP="00D50A4E">
            <w:pPr>
              <w:pStyle w:val="Tabletext"/>
              <w:jc w:val="center"/>
              <w:rPr>
                <w:b/>
                <w:bCs/>
                <w:sz w:val="24"/>
                <w:szCs w:val="24"/>
              </w:rPr>
            </w:pPr>
          </w:p>
        </w:tc>
      </w:tr>
      <w:tr w:rsidR="008B18A3" w:rsidRPr="0042750D" w:rsidDel="00A93497" w14:paraId="513B649F" w14:textId="77777777" w:rsidTr="00D50A4E">
        <w:trPr>
          <w:jc w:val="center"/>
        </w:trPr>
        <w:tc>
          <w:tcPr>
            <w:tcW w:w="1095" w:type="dxa"/>
            <w:vMerge/>
            <w:tcBorders>
              <w:bottom w:val="single" w:sz="12" w:space="0" w:color="auto"/>
            </w:tcBorders>
            <w:shd w:val="clear" w:color="auto" w:fill="auto"/>
          </w:tcPr>
          <w:p w14:paraId="2A3B199E" w14:textId="77777777" w:rsidR="008B18A3" w:rsidRPr="0042750D" w:rsidRDefault="008B18A3" w:rsidP="00D50A4E">
            <w:pPr>
              <w:pStyle w:val="Tabletext"/>
              <w:rPr>
                <w:sz w:val="24"/>
                <w:szCs w:val="24"/>
              </w:rPr>
            </w:pPr>
          </w:p>
        </w:tc>
        <w:tc>
          <w:tcPr>
            <w:tcW w:w="8837" w:type="dxa"/>
            <w:gridSpan w:val="4"/>
            <w:tcBorders>
              <w:bottom w:val="single" w:sz="12" w:space="0" w:color="auto"/>
            </w:tcBorders>
            <w:shd w:val="clear" w:color="auto" w:fill="auto"/>
          </w:tcPr>
          <w:p w14:paraId="38528815" w14:textId="350EE01F" w:rsidR="008B18A3" w:rsidRPr="0042750D" w:rsidDel="00A93497" w:rsidRDefault="00ED3AC6" w:rsidP="0074302C">
            <w:pPr>
              <w:keepNext/>
              <w:keepLines/>
              <w:spacing w:before="40" w:after="40"/>
            </w:pPr>
            <w:r w:rsidRPr="0042750D">
              <w:t>TSB is working together with 9 other UN Agencies and Programmes in the development of a Report on Frontier Technologies to protect the Environment &amp; tackle Climate Change.</w:t>
            </w:r>
          </w:p>
        </w:tc>
      </w:tr>
      <w:tr w:rsidR="008B18A3" w:rsidRPr="0042750D" w:rsidDel="00A93497" w14:paraId="5ABD032A" w14:textId="77777777" w:rsidTr="00D50A4E">
        <w:trPr>
          <w:jc w:val="center"/>
        </w:trPr>
        <w:tc>
          <w:tcPr>
            <w:tcW w:w="1095" w:type="dxa"/>
            <w:vMerge w:val="restart"/>
            <w:tcBorders>
              <w:top w:val="single" w:sz="12" w:space="0" w:color="auto"/>
            </w:tcBorders>
            <w:shd w:val="clear" w:color="auto" w:fill="auto"/>
          </w:tcPr>
          <w:p w14:paraId="1EBC4BC7" w14:textId="3F324E32" w:rsidR="008B18A3" w:rsidRPr="0042750D" w:rsidDel="00A93497" w:rsidRDefault="008B18A3" w:rsidP="008B18A3">
            <w:pPr>
              <w:pStyle w:val="Tabletext"/>
              <w:rPr>
                <w:b/>
                <w:bCs/>
                <w:sz w:val="24"/>
                <w:szCs w:val="24"/>
              </w:rPr>
            </w:pPr>
            <w:r w:rsidRPr="0042750D">
              <w:rPr>
                <w:b/>
                <w:bCs/>
                <w:sz w:val="24"/>
                <w:szCs w:val="24"/>
              </w:rPr>
              <w:t>182-08</w:t>
            </w:r>
          </w:p>
        </w:tc>
        <w:tc>
          <w:tcPr>
            <w:tcW w:w="4687" w:type="dxa"/>
            <w:tcBorders>
              <w:top w:val="single" w:sz="12" w:space="0" w:color="auto"/>
            </w:tcBorders>
            <w:shd w:val="clear" w:color="auto" w:fill="auto"/>
          </w:tcPr>
          <w:p w14:paraId="38B3E0B8" w14:textId="34B791FC" w:rsidR="008B18A3" w:rsidRPr="0042750D" w:rsidDel="00A93497" w:rsidRDefault="008B18A3" w:rsidP="00D50A4E">
            <w:pPr>
              <w:pStyle w:val="Tabletext"/>
              <w:rPr>
                <w:b/>
                <w:bCs/>
                <w:sz w:val="24"/>
                <w:szCs w:val="24"/>
              </w:rPr>
            </w:pPr>
            <w:r w:rsidRPr="0042750D">
              <w:rPr>
                <w:b/>
                <w:bCs/>
                <w:sz w:val="24"/>
                <w:szCs w:val="24"/>
              </w:rPr>
              <w:t xml:space="preserve">TSBDir to conduct work on implementing the outcomes of ITU's activities on the development of energy-saving </w:t>
            </w:r>
            <w:r w:rsidR="00585F9E" w:rsidRPr="0042750D">
              <w:rPr>
                <w:b/>
                <w:bCs/>
                <w:sz w:val="24"/>
                <w:szCs w:val="24"/>
              </w:rPr>
              <w:t>and e-</w:t>
            </w:r>
            <w:r w:rsidRPr="0042750D">
              <w:rPr>
                <w:b/>
                <w:bCs/>
                <w:sz w:val="24"/>
                <w:szCs w:val="24"/>
              </w:rPr>
              <w:t>waste standards</w:t>
            </w:r>
            <w:r w:rsidR="006161BC" w:rsidRPr="0042750D">
              <w:rPr>
                <w:b/>
                <w:bCs/>
                <w:sz w:val="24"/>
                <w:szCs w:val="24"/>
              </w:rPr>
              <w:t xml:space="preserve"> (</w:t>
            </w:r>
            <w:r w:rsidR="006161BC" w:rsidRPr="0042750D">
              <w:rPr>
                <w:b/>
                <w:bCs/>
                <w:i/>
                <w:sz w:val="24"/>
                <w:szCs w:val="24"/>
              </w:rPr>
              <w:t>instructs 4</w:t>
            </w:r>
            <w:r w:rsidR="006161BC" w:rsidRPr="0042750D">
              <w:rPr>
                <w:b/>
                <w:bCs/>
                <w:sz w:val="24"/>
                <w:szCs w:val="24"/>
              </w:rPr>
              <w:t>)</w:t>
            </w:r>
            <w:r w:rsidRPr="0042750D">
              <w:rPr>
                <w:b/>
                <w:szCs w:val="22"/>
              </w:rPr>
              <w:t>.</w:t>
            </w:r>
          </w:p>
        </w:tc>
        <w:tc>
          <w:tcPr>
            <w:tcW w:w="1683" w:type="dxa"/>
            <w:tcBorders>
              <w:top w:val="single" w:sz="12" w:space="0" w:color="auto"/>
            </w:tcBorders>
            <w:shd w:val="clear" w:color="auto" w:fill="auto"/>
            <w:vAlign w:val="center"/>
          </w:tcPr>
          <w:p w14:paraId="67C0BAFF" w14:textId="77777777" w:rsidR="008B18A3" w:rsidRPr="0042750D" w:rsidDel="00A93497" w:rsidRDefault="008B18A3" w:rsidP="00D50A4E">
            <w:pPr>
              <w:pStyle w:val="Tabletext"/>
              <w:jc w:val="center"/>
              <w:rPr>
                <w:b/>
                <w:bCs/>
                <w:sz w:val="24"/>
                <w:szCs w:val="24"/>
              </w:rPr>
            </w:pPr>
            <w:r w:rsidRPr="0042750D">
              <w:rPr>
                <w:b/>
                <w:bCs/>
                <w:sz w:val="24"/>
                <w:szCs w:val="24"/>
              </w:rPr>
              <w:t>Ongoing</w:t>
            </w:r>
          </w:p>
        </w:tc>
        <w:tc>
          <w:tcPr>
            <w:tcW w:w="1129" w:type="dxa"/>
            <w:tcBorders>
              <w:top w:val="single" w:sz="12" w:space="0" w:color="auto"/>
            </w:tcBorders>
            <w:shd w:val="clear" w:color="auto" w:fill="auto"/>
            <w:vAlign w:val="center"/>
          </w:tcPr>
          <w:p w14:paraId="67D2C5C4" w14:textId="53528155" w:rsidR="008B18A3" w:rsidRPr="0042750D" w:rsidDel="00A93497" w:rsidRDefault="00524C78" w:rsidP="00D50A4E">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1BF9D715" w14:textId="77777777" w:rsidR="008B18A3" w:rsidRPr="0042750D" w:rsidDel="00A93497" w:rsidRDefault="008B18A3" w:rsidP="00D50A4E">
            <w:pPr>
              <w:pStyle w:val="Tabletext"/>
              <w:jc w:val="center"/>
              <w:rPr>
                <w:b/>
                <w:bCs/>
                <w:sz w:val="24"/>
                <w:szCs w:val="24"/>
              </w:rPr>
            </w:pPr>
          </w:p>
        </w:tc>
      </w:tr>
      <w:tr w:rsidR="008B18A3" w:rsidRPr="0042750D" w:rsidDel="00A93497" w14:paraId="47BF10E2" w14:textId="77777777" w:rsidTr="00D50A4E">
        <w:trPr>
          <w:jc w:val="center"/>
        </w:trPr>
        <w:tc>
          <w:tcPr>
            <w:tcW w:w="1095" w:type="dxa"/>
            <w:vMerge/>
            <w:tcBorders>
              <w:bottom w:val="single" w:sz="12" w:space="0" w:color="auto"/>
            </w:tcBorders>
            <w:shd w:val="clear" w:color="auto" w:fill="auto"/>
          </w:tcPr>
          <w:p w14:paraId="202F477D" w14:textId="77777777" w:rsidR="008B18A3" w:rsidRPr="0042750D" w:rsidRDefault="008B18A3" w:rsidP="00D50A4E">
            <w:pPr>
              <w:pStyle w:val="Tabletext"/>
              <w:rPr>
                <w:sz w:val="24"/>
                <w:szCs w:val="24"/>
              </w:rPr>
            </w:pPr>
          </w:p>
        </w:tc>
        <w:tc>
          <w:tcPr>
            <w:tcW w:w="8837" w:type="dxa"/>
            <w:gridSpan w:val="4"/>
            <w:tcBorders>
              <w:bottom w:val="single" w:sz="12" w:space="0" w:color="auto"/>
            </w:tcBorders>
            <w:shd w:val="clear" w:color="auto" w:fill="auto"/>
          </w:tcPr>
          <w:p w14:paraId="25464985" w14:textId="77777777" w:rsidR="008B18A3" w:rsidRPr="0042750D" w:rsidRDefault="000A4ADB" w:rsidP="00D50A4E">
            <w:r w:rsidRPr="0042750D">
              <w:t>ITU-T SG5 together with Basel Convention has developed a MOOC on E-waste with focus on ITU-T Recommendation related to E-waste and Circular Economy.</w:t>
            </w:r>
          </w:p>
          <w:p w14:paraId="50D64918" w14:textId="1D14F169" w:rsidR="000A4ADB" w:rsidRPr="0042750D" w:rsidDel="00A93497" w:rsidRDefault="000A4ADB" w:rsidP="00524C78">
            <w:pPr>
              <w:spacing w:after="40"/>
            </w:pPr>
            <w:r w:rsidRPr="0042750D">
              <w:t xml:space="preserve">ITU-T SG5 </w:t>
            </w:r>
            <w:r w:rsidRPr="0042750D">
              <w:rPr>
                <w:szCs w:val="22"/>
              </w:rPr>
              <w:t>together with UNIDO started the implementation of the project "Strengthening of National Initiatives and Enhancement of Regional Cooperation for the Environmentally Sound Management of POPs in Waste of Electronic or Electrical Equipment (WEEE) in Latin-American Countries.</w:t>
            </w:r>
            <w:r w:rsidRPr="0042750D">
              <w:t xml:space="preserve"> ITU-T </w:t>
            </w:r>
            <w:r w:rsidR="0000272D" w:rsidRPr="0042750D">
              <w:t xml:space="preserve">SG5 </w:t>
            </w:r>
            <w:r w:rsidRPr="0042750D">
              <w:t xml:space="preserve">is working with two countries in Latin America </w:t>
            </w:r>
            <w:r w:rsidR="0000272D" w:rsidRPr="0042750D">
              <w:t>in the implementation of ITU</w:t>
            </w:r>
            <w:r w:rsidR="0000272D" w:rsidRPr="0042750D">
              <w:noBreakHyphen/>
              <w:t>T Recommendations related to E-waste and circular economy.</w:t>
            </w:r>
          </w:p>
        </w:tc>
      </w:tr>
      <w:tr w:rsidR="008B18A3" w:rsidRPr="0042750D" w:rsidDel="00A93497" w14:paraId="73F0131D" w14:textId="77777777" w:rsidTr="00D50A4E">
        <w:trPr>
          <w:jc w:val="center"/>
        </w:trPr>
        <w:tc>
          <w:tcPr>
            <w:tcW w:w="1095" w:type="dxa"/>
            <w:vMerge w:val="restart"/>
            <w:tcBorders>
              <w:top w:val="single" w:sz="12" w:space="0" w:color="auto"/>
            </w:tcBorders>
            <w:shd w:val="clear" w:color="auto" w:fill="auto"/>
          </w:tcPr>
          <w:p w14:paraId="7CCFCF0C" w14:textId="1607EC0A" w:rsidR="008B18A3" w:rsidRPr="0042750D" w:rsidDel="00A93497" w:rsidRDefault="008B18A3" w:rsidP="00027F2D">
            <w:pPr>
              <w:pStyle w:val="Tabletext"/>
              <w:keepNext/>
              <w:keepLines/>
              <w:rPr>
                <w:b/>
                <w:bCs/>
                <w:sz w:val="24"/>
                <w:szCs w:val="24"/>
              </w:rPr>
            </w:pPr>
            <w:r w:rsidRPr="0042750D">
              <w:rPr>
                <w:b/>
                <w:bCs/>
                <w:sz w:val="24"/>
                <w:szCs w:val="24"/>
              </w:rPr>
              <w:t>182-09</w:t>
            </w:r>
          </w:p>
        </w:tc>
        <w:tc>
          <w:tcPr>
            <w:tcW w:w="4687" w:type="dxa"/>
            <w:tcBorders>
              <w:top w:val="single" w:sz="12" w:space="0" w:color="auto"/>
            </w:tcBorders>
            <w:shd w:val="clear" w:color="auto" w:fill="auto"/>
          </w:tcPr>
          <w:p w14:paraId="4B46F42C" w14:textId="0D3EA8C2" w:rsidR="008B18A3" w:rsidRPr="0042750D" w:rsidDel="00A93497" w:rsidRDefault="008B18A3" w:rsidP="00D50A4E">
            <w:pPr>
              <w:pStyle w:val="Tabletext"/>
              <w:rPr>
                <w:b/>
                <w:bCs/>
                <w:sz w:val="24"/>
                <w:szCs w:val="24"/>
              </w:rPr>
            </w:pPr>
            <w:r w:rsidRPr="0042750D">
              <w:rPr>
                <w:b/>
                <w:bCs/>
                <w:sz w:val="24"/>
                <w:szCs w:val="24"/>
              </w:rPr>
              <w:t xml:space="preserve">TSBDir </w:t>
            </w:r>
            <w:r w:rsidR="00FC4A95" w:rsidRPr="0042750D">
              <w:rPr>
                <w:b/>
                <w:bCs/>
                <w:sz w:val="24"/>
                <w:szCs w:val="24"/>
              </w:rPr>
              <w:t>to continue the work within ITU-</w:t>
            </w:r>
            <w:r w:rsidRPr="0042750D">
              <w:rPr>
                <w:b/>
                <w:bCs/>
                <w:sz w:val="24"/>
                <w:szCs w:val="24"/>
              </w:rPr>
              <w:t>T aimed at bridging the gap in environmental sustainability, in particular in developing countries, and gauge the needs of the developing countries in the field of telecommunications/ICT, the environment and climate change</w:t>
            </w:r>
            <w:r w:rsidR="006161BC" w:rsidRPr="0042750D">
              <w:rPr>
                <w:b/>
                <w:bCs/>
                <w:sz w:val="24"/>
                <w:szCs w:val="24"/>
              </w:rPr>
              <w:t xml:space="preserve"> (</w:t>
            </w:r>
            <w:r w:rsidR="006161BC" w:rsidRPr="0042750D">
              <w:rPr>
                <w:b/>
                <w:bCs/>
                <w:i/>
                <w:sz w:val="24"/>
                <w:szCs w:val="24"/>
              </w:rPr>
              <w:t>instructs 5</w:t>
            </w:r>
            <w:r w:rsidR="006161BC" w:rsidRPr="0042750D">
              <w:rPr>
                <w:b/>
                <w:bCs/>
                <w:sz w:val="24"/>
                <w:szCs w:val="24"/>
              </w:rPr>
              <w:t>)</w:t>
            </w:r>
            <w:r w:rsidRPr="0042750D">
              <w:rPr>
                <w:b/>
                <w:szCs w:val="22"/>
              </w:rPr>
              <w:t>.</w:t>
            </w:r>
          </w:p>
        </w:tc>
        <w:tc>
          <w:tcPr>
            <w:tcW w:w="1683" w:type="dxa"/>
            <w:tcBorders>
              <w:top w:val="single" w:sz="12" w:space="0" w:color="auto"/>
            </w:tcBorders>
            <w:shd w:val="clear" w:color="auto" w:fill="auto"/>
            <w:vAlign w:val="center"/>
          </w:tcPr>
          <w:p w14:paraId="7C121CB7" w14:textId="77777777" w:rsidR="008B18A3" w:rsidRPr="0042750D" w:rsidDel="00A93497" w:rsidRDefault="008B18A3" w:rsidP="00D50A4E">
            <w:pPr>
              <w:pStyle w:val="Tabletext"/>
              <w:jc w:val="center"/>
              <w:rPr>
                <w:b/>
                <w:bCs/>
                <w:sz w:val="24"/>
                <w:szCs w:val="24"/>
              </w:rPr>
            </w:pPr>
            <w:r w:rsidRPr="0042750D">
              <w:rPr>
                <w:b/>
                <w:bCs/>
                <w:sz w:val="24"/>
                <w:szCs w:val="24"/>
              </w:rPr>
              <w:t>Ongoing</w:t>
            </w:r>
          </w:p>
        </w:tc>
        <w:tc>
          <w:tcPr>
            <w:tcW w:w="1129" w:type="dxa"/>
            <w:tcBorders>
              <w:top w:val="single" w:sz="12" w:space="0" w:color="auto"/>
            </w:tcBorders>
            <w:shd w:val="clear" w:color="auto" w:fill="auto"/>
            <w:vAlign w:val="center"/>
          </w:tcPr>
          <w:p w14:paraId="5DE4856D" w14:textId="33D077CF" w:rsidR="008B18A3" w:rsidRPr="0042750D" w:rsidDel="00A93497" w:rsidRDefault="00236D5F" w:rsidP="00D50A4E">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22DF84A3" w14:textId="77777777" w:rsidR="008B18A3" w:rsidRPr="0042750D" w:rsidDel="00A93497" w:rsidRDefault="008B18A3" w:rsidP="00D50A4E">
            <w:pPr>
              <w:pStyle w:val="Tabletext"/>
              <w:jc w:val="center"/>
              <w:rPr>
                <w:b/>
                <w:bCs/>
                <w:sz w:val="24"/>
                <w:szCs w:val="24"/>
              </w:rPr>
            </w:pPr>
          </w:p>
        </w:tc>
      </w:tr>
      <w:tr w:rsidR="008B18A3" w:rsidRPr="0042750D" w:rsidDel="00A93497" w14:paraId="3EAB36AC" w14:textId="77777777" w:rsidTr="00D50A4E">
        <w:trPr>
          <w:jc w:val="center"/>
        </w:trPr>
        <w:tc>
          <w:tcPr>
            <w:tcW w:w="1095" w:type="dxa"/>
            <w:vMerge/>
            <w:tcBorders>
              <w:bottom w:val="single" w:sz="12" w:space="0" w:color="auto"/>
            </w:tcBorders>
            <w:shd w:val="clear" w:color="auto" w:fill="auto"/>
          </w:tcPr>
          <w:p w14:paraId="5C1A3EB0" w14:textId="77777777" w:rsidR="008B18A3" w:rsidRPr="0042750D" w:rsidRDefault="008B18A3" w:rsidP="00D50A4E">
            <w:pPr>
              <w:pStyle w:val="Tabletext"/>
              <w:rPr>
                <w:sz w:val="24"/>
                <w:szCs w:val="24"/>
              </w:rPr>
            </w:pPr>
          </w:p>
        </w:tc>
        <w:tc>
          <w:tcPr>
            <w:tcW w:w="8837" w:type="dxa"/>
            <w:gridSpan w:val="4"/>
            <w:tcBorders>
              <w:bottom w:val="single" w:sz="12" w:space="0" w:color="auto"/>
            </w:tcBorders>
            <w:shd w:val="clear" w:color="auto" w:fill="auto"/>
          </w:tcPr>
          <w:p w14:paraId="22935310" w14:textId="68024900" w:rsidR="001C033A" w:rsidRPr="0042750D" w:rsidRDefault="00ED3AC6" w:rsidP="0074302C">
            <w:pPr>
              <w:spacing w:before="40" w:after="40"/>
            </w:pPr>
            <w:r w:rsidRPr="0042750D">
              <w:t>ITU-T SG20 approved Recommendation</w:t>
            </w:r>
            <w:r w:rsidR="0000272D" w:rsidRPr="0042750D">
              <w:t>s</w:t>
            </w:r>
            <w:r w:rsidRPr="0042750D">
              <w:t xml:space="preserve"> ITU-T Y.4207 on Requirements and capability framework of Smart Environmental Monitoring</w:t>
            </w:r>
            <w:r w:rsidR="0000272D" w:rsidRPr="0042750D">
              <w:t xml:space="preserve"> and ITU-T Y.4466 “Framework of smar greenhouse service”</w:t>
            </w:r>
            <w:r w:rsidRPr="0042750D">
              <w:t>.</w:t>
            </w:r>
          </w:p>
          <w:p w14:paraId="53D4A7D7" w14:textId="351F0397" w:rsidR="005B0221" w:rsidRPr="0042750D" w:rsidRDefault="001C033A" w:rsidP="0000272D">
            <w:r w:rsidRPr="0042750D">
              <w:t xml:space="preserve">ITU-T SG5 </w:t>
            </w:r>
            <w:r w:rsidR="0000272D" w:rsidRPr="0042750D">
              <w:t>approved</w:t>
            </w:r>
            <w:r w:rsidRPr="0042750D">
              <w:t xml:space="preserve"> Recommendations ITU-T L.1507 on “Use of ICT sites to support environmental sensing”, ITU-T L.1032 “Guidelines and Certification Schemes for e-Waste Recyclers” and ITU-T L.1022 “Circular Economy: Definitions and concepts for material efficiency for ICT”</w:t>
            </w:r>
            <w:r w:rsidR="0000272D" w:rsidRPr="0042750D">
              <w:t>,ITU-T L.1210 Sustainable power-feeding solutions for 5G networks, ITU-T L.1305 Data centre infrastructure management system based on big data and artificial intelligence technology, ITU-T L.1316 Energy efficiency framework, ITU-T L.1380 Smart energy solution for telecom sites, ITU-T L.1451 Methodology for assessing the aggregated positive sector-level impacts of ICT in other sectors, and ITU-T L.1470 GHG emissions trajectories for the ICT sector compatible with the UNFCCC Paris Agreement</w:t>
            </w:r>
            <w:r w:rsidRPr="0042750D">
              <w:t>.</w:t>
            </w:r>
          </w:p>
          <w:p w14:paraId="5F2ED79A" w14:textId="77777777" w:rsidR="008B18A3" w:rsidRPr="0042750D" w:rsidRDefault="005B0221" w:rsidP="0030376F">
            <w:pPr>
              <w:spacing w:after="40"/>
            </w:pPr>
            <w:r w:rsidRPr="0042750D">
              <w:t xml:space="preserve">ITU-T SG5 approved a new </w:t>
            </w:r>
            <w:hyperlink r:id="rId88" w:history="1">
              <w:r w:rsidRPr="0042750D">
                <w:rPr>
                  <w:rStyle w:val="Hyperlink"/>
                </w:rPr>
                <w:t>Focus Group on Environmental Efficiency for Artificial Intelligence and other emerging technologies (FG-AI4EE)</w:t>
              </w:r>
            </w:hyperlink>
            <w:r w:rsidR="00236D5F" w:rsidRPr="0042750D">
              <w:t>.</w:t>
            </w:r>
            <w:r w:rsidR="0000272D" w:rsidRPr="0042750D">
              <w:t xml:space="preserve"> The FG-AI4EE held its first meeting on 12 December 2019 in Vienna, Austria. The FG-AI4EE will carry out its work within the following three Working Groups:</w:t>
            </w:r>
          </w:p>
          <w:p w14:paraId="50F7A55F" w14:textId="2482C262" w:rsidR="0000272D" w:rsidRPr="0042750D" w:rsidRDefault="0000272D" w:rsidP="0000272D">
            <w:pPr>
              <w:pStyle w:val="ListParagraph"/>
              <w:numPr>
                <w:ilvl w:val="0"/>
                <w:numId w:val="19"/>
              </w:numPr>
              <w:spacing w:after="40"/>
            </w:pPr>
            <w:r w:rsidRPr="0042750D">
              <w:t>WG1 - Requirements of AI and other Emerging Technologies to Ensure Environmental Efficiency.</w:t>
            </w:r>
          </w:p>
          <w:p w14:paraId="2E0A6BAB" w14:textId="4767FFC5" w:rsidR="0000272D" w:rsidRPr="0042750D" w:rsidRDefault="0000272D" w:rsidP="0000272D">
            <w:pPr>
              <w:pStyle w:val="ListParagraph"/>
              <w:numPr>
                <w:ilvl w:val="0"/>
                <w:numId w:val="19"/>
              </w:numPr>
              <w:spacing w:after="40"/>
            </w:pPr>
            <w:r w:rsidRPr="0042750D">
              <w:t>WG2 - Assessment and Measurement of the Environmental Efficiency of AI and Emerging Technologies.</w:t>
            </w:r>
          </w:p>
          <w:p w14:paraId="75E3C937" w14:textId="7BCBFE0E" w:rsidR="0000272D" w:rsidRPr="0042750D" w:rsidDel="00A93497" w:rsidRDefault="0000272D" w:rsidP="00B25B15">
            <w:pPr>
              <w:pStyle w:val="ListParagraph"/>
              <w:numPr>
                <w:ilvl w:val="0"/>
                <w:numId w:val="19"/>
              </w:numPr>
              <w:spacing w:after="40"/>
            </w:pPr>
            <w:r w:rsidRPr="0042750D">
              <w:t>WG3 - Implementation Guidelines of AI and Emerging Technologies for Environmental Efficiency.</w:t>
            </w:r>
          </w:p>
        </w:tc>
      </w:tr>
      <w:tr w:rsidR="00A9745F" w:rsidRPr="0042750D" w:rsidDel="00A93497" w14:paraId="43EDFDA5" w14:textId="77777777" w:rsidTr="00D50A4E">
        <w:trPr>
          <w:jc w:val="center"/>
        </w:trPr>
        <w:tc>
          <w:tcPr>
            <w:tcW w:w="1095" w:type="dxa"/>
            <w:vMerge w:val="restart"/>
            <w:tcBorders>
              <w:top w:val="single" w:sz="12" w:space="0" w:color="auto"/>
            </w:tcBorders>
            <w:shd w:val="clear" w:color="auto" w:fill="auto"/>
          </w:tcPr>
          <w:p w14:paraId="69013534" w14:textId="77D4AD7F" w:rsidR="00A9745F" w:rsidRPr="0042750D" w:rsidDel="00A93497" w:rsidRDefault="00A9745F" w:rsidP="00D50A4E">
            <w:pPr>
              <w:pStyle w:val="Tabletext"/>
              <w:rPr>
                <w:b/>
                <w:bCs/>
                <w:sz w:val="24"/>
                <w:szCs w:val="24"/>
              </w:rPr>
            </w:pPr>
            <w:r w:rsidRPr="0042750D">
              <w:rPr>
                <w:b/>
                <w:bCs/>
                <w:sz w:val="24"/>
                <w:szCs w:val="24"/>
              </w:rPr>
              <w:t>182-10</w:t>
            </w:r>
          </w:p>
        </w:tc>
        <w:tc>
          <w:tcPr>
            <w:tcW w:w="4687" w:type="dxa"/>
            <w:tcBorders>
              <w:top w:val="single" w:sz="12" w:space="0" w:color="auto"/>
            </w:tcBorders>
            <w:shd w:val="clear" w:color="auto" w:fill="auto"/>
          </w:tcPr>
          <w:p w14:paraId="6E62EEF1" w14:textId="10F41FDF" w:rsidR="00A9745F" w:rsidRPr="0042750D" w:rsidDel="00A93497" w:rsidRDefault="00A9745F" w:rsidP="00D50A4E">
            <w:pPr>
              <w:pStyle w:val="Tabletext"/>
              <w:rPr>
                <w:b/>
                <w:bCs/>
                <w:sz w:val="24"/>
                <w:szCs w:val="24"/>
              </w:rPr>
            </w:pPr>
            <w:r w:rsidRPr="0042750D">
              <w:rPr>
                <w:b/>
                <w:bCs/>
                <w:sz w:val="24"/>
                <w:szCs w:val="24"/>
              </w:rPr>
              <w:t>TSBDir to help in the promotion of best practices and guidelines</w:t>
            </w:r>
            <w:r w:rsidR="006161BC" w:rsidRPr="0042750D">
              <w:rPr>
                <w:b/>
                <w:bCs/>
                <w:sz w:val="24"/>
                <w:szCs w:val="24"/>
              </w:rPr>
              <w:t xml:space="preserve"> (</w:t>
            </w:r>
            <w:r w:rsidR="006161BC" w:rsidRPr="0042750D">
              <w:rPr>
                <w:b/>
                <w:bCs/>
                <w:i/>
                <w:sz w:val="24"/>
                <w:szCs w:val="24"/>
              </w:rPr>
              <w:t>instructs 1</w:t>
            </w:r>
            <w:r w:rsidR="006161BC" w:rsidRPr="0042750D">
              <w:rPr>
                <w:b/>
                <w:bCs/>
                <w:sz w:val="24"/>
                <w:szCs w:val="24"/>
              </w:rPr>
              <w:t>)</w:t>
            </w:r>
            <w:r w:rsidRPr="0042750D">
              <w:rPr>
                <w:b/>
                <w:szCs w:val="22"/>
              </w:rPr>
              <w:t>.</w:t>
            </w:r>
          </w:p>
        </w:tc>
        <w:tc>
          <w:tcPr>
            <w:tcW w:w="1683" w:type="dxa"/>
            <w:tcBorders>
              <w:top w:val="single" w:sz="12" w:space="0" w:color="auto"/>
            </w:tcBorders>
            <w:shd w:val="clear" w:color="auto" w:fill="auto"/>
            <w:vAlign w:val="center"/>
          </w:tcPr>
          <w:p w14:paraId="647598B2" w14:textId="77777777" w:rsidR="00A9745F" w:rsidRPr="0042750D" w:rsidDel="00A93497" w:rsidRDefault="00A9745F" w:rsidP="00D50A4E">
            <w:pPr>
              <w:pStyle w:val="Tabletext"/>
              <w:jc w:val="center"/>
              <w:rPr>
                <w:b/>
                <w:bCs/>
                <w:sz w:val="24"/>
                <w:szCs w:val="24"/>
              </w:rPr>
            </w:pPr>
            <w:r w:rsidRPr="0042750D">
              <w:rPr>
                <w:b/>
                <w:bCs/>
                <w:sz w:val="24"/>
                <w:szCs w:val="24"/>
              </w:rPr>
              <w:t>Ongoing</w:t>
            </w:r>
          </w:p>
        </w:tc>
        <w:tc>
          <w:tcPr>
            <w:tcW w:w="1129" w:type="dxa"/>
            <w:tcBorders>
              <w:top w:val="single" w:sz="12" w:space="0" w:color="auto"/>
            </w:tcBorders>
            <w:shd w:val="clear" w:color="auto" w:fill="auto"/>
            <w:vAlign w:val="center"/>
          </w:tcPr>
          <w:p w14:paraId="0E6FDC54" w14:textId="5B30325F" w:rsidR="00A9745F" w:rsidRPr="0042750D" w:rsidDel="00A93497" w:rsidRDefault="00D301E5" w:rsidP="00D50A4E">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74643910" w14:textId="77777777" w:rsidR="00A9745F" w:rsidRPr="0042750D" w:rsidDel="00A93497" w:rsidRDefault="00A9745F" w:rsidP="00D50A4E">
            <w:pPr>
              <w:pStyle w:val="Tabletext"/>
              <w:jc w:val="center"/>
              <w:rPr>
                <w:b/>
                <w:bCs/>
                <w:sz w:val="24"/>
                <w:szCs w:val="24"/>
              </w:rPr>
            </w:pPr>
          </w:p>
        </w:tc>
      </w:tr>
      <w:tr w:rsidR="00A9745F" w:rsidRPr="0042750D" w:rsidDel="00A93497" w14:paraId="04A67D17" w14:textId="77777777" w:rsidTr="00D50A4E">
        <w:trPr>
          <w:jc w:val="center"/>
        </w:trPr>
        <w:tc>
          <w:tcPr>
            <w:tcW w:w="1095" w:type="dxa"/>
            <w:vMerge/>
            <w:tcBorders>
              <w:bottom w:val="single" w:sz="12" w:space="0" w:color="auto"/>
            </w:tcBorders>
            <w:shd w:val="clear" w:color="auto" w:fill="auto"/>
          </w:tcPr>
          <w:p w14:paraId="1C286CE6" w14:textId="77777777" w:rsidR="00A9745F" w:rsidRPr="0042750D" w:rsidRDefault="00A9745F" w:rsidP="00D50A4E">
            <w:pPr>
              <w:pStyle w:val="Tabletext"/>
              <w:rPr>
                <w:sz w:val="24"/>
                <w:szCs w:val="24"/>
              </w:rPr>
            </w:pPr>
          </w:p>
        </w:tc>
        <w:tc>
          <w:tcPr>
            <w:tcW w:w="8837" w:type="dxa"/>
            <w:gridSpan w:val="4"/>
            <w:tcBorders>
              <w:bottom w:val="single" w:sz="12" w:space="0" w:color="auto"/>
            </w:tcBorders>
            <w:shd w:val="clear" w:color="auto" w:fill="auto"/>
          </w:tcPr>
          <w:p w14:paraId="701441C0" w14:textId="27D79206" w:rsidR="00D617B6" w:rsidRPr="0042750D" w:rsidRDefault="00D617B6" w:rsidP="0074302C">
            <w:pPr>
              <w:spacing w:before="40" w:after="120"/>
            </w:pPr>
            <w:r w:rsidRPr="0042750D">
              <w:t>TSB organized the following events:</w:t>
            </w:r>
          </w:p>
          <w:p w14:paraId="5B3F7EAB" w14:textId="7FF938B4" w:rsidR="00D617B6" w:rsidRPr="0042750D" w:rsidRDefault="00DD025B" w:rsidP="00024A4C">
            <w:pPr>
              <w:spacing w:after="120"/>
            </w:pPr>
            <w:hyperlink r:id="rId89" w:history="1">
              <w:r w:rsidR="00D617B6" w:rsidRPr="0042750D">
                <w:rPr>
                  <w:rStyle w:val="Hyperlink"/>
                </w:rPr>
                <w:t>Thematic Workshop on Connecting the Circular model of E-waste Management to the Sustainable Development Goals</w:t>
              </w:r>
            </w:hyperlink>
            <w:r w:rsidR="00D617B6" w:rsidRPr="0042750D">
              <w:t xml:space="preserve"> on 11 April 2019 in Geneva, Switzerland</w:t>
            </w:r>
          </w:p>
          <w:p w14:paraId="61090767" w14:textId="7273B04D" w:rsidR="00D617B6" w:rsidRPr="0042750D" w:rsidRDefault="00DD025B" w:rsidP="00024A4C">
            <w:pPr>
              <w:spacing w:after="120"/>
            </w:pPr>
            <w:hyperlink r:id="rId90" w:history="1">
              <w:r w:rsidR="00D617B6" w:rsidRPr="0042750D">
                <w:rPr>
                  <w:rStyle w:val="Hyperlink"/>
                </w:rPr>
                <w:t>13</w:t>
              </w:r>
              <w:r w:rsidR="00D617B6" w:rsidRPr="0042750D">
                <w:rPr>
                  <w:rStyle w:val="Hyperlink"/>
                  <w:vertAlign w:val="superscript"/>
                </w:rPr>
                <w:t>th</w:t>
              </w:r>
              <w:r w:rsidR="00D617B6" w:rsidRPr="0042750D">
                <w:rPr>
                  <w:rStyle w:val="Hyperlink"/>
                </w:rPr>
                <w:t xml:space="preserve"> Symposium on ICT, Environment and Climate Change</w:t>
              </w:r>
            </w:hyperlink>
            <w:r w:rsidR="00D617B6" w:rsidRPr="0042750D">
              <w:t xml:space="preserve"> on 13 May 2019 in Geneva, Switzerland. This event was organized together with 8 United Nations Agencies and Programmes.</w:t>
            </w:r>
          </w:p>
          <w:p w14:paraId="0B399152" w14:textId="2093FC25" w:rsidR="00D617B6" w:rsidRPr="0042750D" w:rsidRDefault="00DD025B" w:rsidP="00024A4C">
            <w:pPr>
              <w:spacing w:after="120"/>
            </w:pPr>
            <w:hyperlink r:id="rId91" w:history="1">
              <w:r w:rsidR="00D617B6" w:rsidRPr="0042750D">
                <w:rPr>
                  <w:rStyle w:val="Hyperlink"/>
                </w:rPr>
                <w:t>STI Forum Side Event: Frontier Technologies to Protect the Environment and Tackle Climate Change</w:t>
              </w:r>
            </w:hyperlink>
            <w:r w:rsidR="00D617B6" w:rsidRPr="0042750D">
              <w:t xml:space="preserve"> on 14 May 2019 in New York, USA.</w:t>
            </w:r>
          </w:p>
          <w:p w14:paraId="5BFDA442" w14:textId="2A2CCB10" w:rsidR="00D617B6" w:rsidRPr="0042750D" w:rsidRDefault="00DD025B" w:rsidP="00024A4C">
            <w:pPr>
              <w:spacing w:after="120"/>
            </w:pPr>
            <w:hyperlink r:id="rId92" w:history="1">
              <w:r w:rsidR="00D617B6" w:rsidRPr="0042750D">
                <w:rPr>
                  <w:rStyle w:val="Hyperlink"/>
                </w:rPr>
                <w:t>Smart Environment Panel on New ITU standards on soft errors that affect telecommunications</w:t>
              </w:r>
            </w:hyperlink>
            <w:r w:rsidR="00D617B6" w:rsidRPr="0042750D">
              <w:t xml:space="preserve"> on 20 May 2019 in Geneva, Switzerland.</w:t>
            </w:r>
          </w:p>
          <w:p w14:paraId="1376F297" w14:textId="0E89F097" w:rsidR="00D617B6" w:rsidRPr="0042750D" w:rsidRDefault="00DD025B" w:rsidP="00024A4C">
            <w:pPr>
              <w:spacing w:after="120"/>
            </w:pPr>
            <w:hyperlink r:id="rId93" w:history="1">
              <w:r w:rsidR="00D617B6" w:rsidRPr="0042750D">
                <w:rPr>
                  <w:rStyle w:val="Hyperlink"/>
                </w:rPr>
                <w:t>Smart Environment Panel on GHG emissions trajectories for the ICT sector</w:t>
              </w:r>
            </w:hyperlink>
            <w:r w:rsidR="00D617B6" w:rsidRPr="0042750D">
              <w:t xml:space="preserve"> on 15 May 2019 in Geneva, Switzerland.</w:t>
            </w:r>
          </w:p>
          <w:p w14:paraId="0FD95CA3" w14:textId="191173B6" w:rsidR="00D617B6" w:rsidRPr="0042750D" w:rsidRDefault="00DD025B" w:rsidP="00024A4C">
            <w:pPr>
              <w:spacing w:after="120"/>
            </w:pPr>
            <w:hyperlink r:id="rId94" w:history="1">
              <w:r w:rsidR="00D617B6" w:rsidRPr="0042750D">
                <w:rPr>
                  <w:rStyle w:val="Hyperlink"/>
                </w:rPr>
                <w:t>HLPF Side Event: "Harnessing Frontier Technologies for Accelerating Climate Actions and the SDGs"</w:t>
              </w:r>
            </w:hyperlink>
            <w:r w:rsidR="00D617B6" w:rsidRPr="0042750D">
              <w:t xml:space="preserve"> on 9 July 2019 in New York, USA.</w:t>
            </w:r>
          </w:p>
          <w:p w14:paraId="11518F3D" w14:textId="11FC53BF" w:rsidR="00D617B6" w:rsidRPr="0042750D" w:rsidRDefault="00DD025B" w:rsidP="00024A4C">
            <w:pPr>
              <w:spacing w:after="120"/>
              <w:rPr>
                <w:rStyle w:val="Hyperlink"/>
              </w:rPr>
            </w:pPr>
            <w:hyperlink r:id="rId95" w:history="1">
              <w:r w:rsidR="00D617B6" w:rsidRPr="0042750D">
                <w:rPr>
                  <w:rStyle w:val="Hyperlink"/>
                </w:rPr>
                <w:t>ITU Training on "E-waste Management and Circular Economy"</w:t>
              </w:r>
            </w:hyperlink>
            <w:r w:rsidR="00D617B6" w:rsidRPr="0042750D">
              <w:t xml:space="preserve"> on 30 August 2019 in Abuja, Nigeria, </w:t>
            </w:r>
            <w:r w:rsidR="00B423B9" w:rsidRPr="0042750D">
              <w:t>which was held</w:t>
            </w:r>
            <w:r w:rsidR="00D617B6" w:rsidRPr="0042750D">
              <w:t xml:space="preserve"> during the </w:t>
            </w:r>
            <w:hyperlink r:id="rId96" w:history="1">
              <w:r w:rsidR="00D617B6" w:rsidRPr="0042750D">
                <w:rPr>
                  <w:rStyle w:val="Hyperlink"/>
                </w:rPr>
                <w:t>First Digital African Week.</w:t>
              </w:r>
            </w:hyperlink>
          </w:p>
          <w:p w14:paraId="6E18B8FF" w14:textId="77777777" w:rsidR="00457574" w:rsidRPr="0042750D" w:rsidRDefault="00457574" w:rsidP="00457574">
            <w:pPr>
              <w:spacing w:after="120"/>
            </w:pPr>
            <w:r w:rsidRPr="0042750D">
              <w:t>ITU Telecom World: Session on "Strategies to boost climate action in the ICT sector" on 11 September 2019 in Budapest, Hungary.</w:t>
            </w:r>
          </w:p>
          <w:p w14:paraId="29CFD8BD" w14:textId="4BFCB1DF" w:rsidR="00457574" w:rsidRPr="0042750D" w:rsidRDefault="00457574" w:rsidP="00457574">
            <w:pPr>
              <w:spacing w:after="120"/>
            </w:pPr>
            <w:r w:rsidRPr="0042750D">
              <w:t>ITU Telecom World: Session on "Frontier technologies for climate change" on 11 September 2019 in Budapest, Hungary.</w:t>
            </w:r>
          </w:p>
          <w:p w14:paraId="471B78B2" w14:textId="182578BE" w:rsidR="00A9745F" w:rsidRPr="0042750D" w:rsidRDefault="00DD025B" w:rsidP="00024A4C">
            <w:pPr>
              <w:spacing w:after="120"/>
            </w:pPr>
            <w:hyperlink r:id="rId97" w:history="1">
              <w:r w:rsidR="001A6371" w:rsidRPr="0042750D">
                <w:rPr>
                  <w:rStyle w:val="Hyperlink"/>
                </w:rPr>
                <w:t>Forum on "Frontier Technologies to Tackle Climate Change and Achieve a Circular Economy"</w:t>
              </w:r>
            </w:hyperlink>
            <w:r w:rsidR="001A6371" w:rsidRPr="0042750D">
              <w:t xml:space="preserve"> on 1 October 2019 in Valencia, Spain, </w:t>
            </w:r>
            <w:r w:rsidR="00B423B9" w:rsidRPr="0042750D">
              <w:t>which was</w:t>
            </w:r>
            <w:r w:rsidR="001A6371" w:rsidRPr="0042750D">
              <w:t xml:space="preserve"> held during the </w:t>
            </w:r>
            <w:hyperlink r:id="rId98" w:history="1">
              <w:r w:rsidR="001A6371" w:rsidRPr="0042750D">
                <w:rPr>
                  <w:rStyle w:val="Hyperlink"/>
                </w:rPr>
                <w:t>9</w:t>
              </w:r>
              <w:r w:rsidR="001A6371" w:rsidRPr="0042750D">
                <w:rPr>
                  <w:rStyle w:val="Hyperlink"/>
                  <w:vertAlign w:val="superscript"/>
                </w:rPr>
                <w:t>th</w:t>
              </w:r>
              <w:r w:rsidR="001A6371" w:rsidRPr="0042750D">
                <w:rPr>
                  <w:rStyle w:val="Hyperlink"/>
                </w:rPr>
                <w:t xml:space="preserve"> Green Standards Week</w:t>
              </w:r>
            </w:hyperlink>
            <w:r w:rsidR="001A6371" w:rsidRPr="0042750D">
              <w:t>.</w:t>
            </w:r>
          </w:p>
          <w:p w14:paraId="55E671BF" w14:textId="7C6FE7CF" w:rsidR="00B423B9" w:rsidRPr="0042750D" w:rsidDel="00A93497" w:rsidRDefault="00DD025B" w:rsidP="00024A4C">
            <w:pPr>
              <w:spacing w:after="120"/>
            </w:pPr>
            <w:hyperlink r:id="rId99" w:history="1">
              <w:r w:rsidR="00457574" w:rsidRPr="0042750D">
                <w:rPr>
                  <w:rStyle w:val="Hyperlink"/>
                </w:rPr>
                <w:t>Forum on “Environmental Efficiency for AI and other Emerging Technologies</w:t>
              </w:r>
            </w:hyperlink>
            <w:r w:rsidR="00457574" w:rsidRPr="0042750D">
              <w:t>” on 11 December 2019 in Vienna, Austria.</w:t>
            </w:r>
          </w:p>
        </w:tc>
      </w:tr>
    </w:tbl>
    <w:p w14:paraId="396EC91B"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48BF3579" w14:textId="1D401BE1" w:rsidR="00F0236A" w:rsidRPr="0042750D" w:rsidRDefault="002E7CEB" w:rsidP="00043514">
      <w:pPr>
        <w:pStyle w:val="Heading1"/>
        <w:keepNext/>
        <w:keepLines/>
        <w:rPr>
          <w:sz w:val="24"/>
          <w:szCs w:val="24"/>
          <w:lang w:val="en-GB"/>
        </w:rPr>
      </w:pPr>
      <w:bookmarkStart w:id="315" w:name="_Resolution_78_-"/>
      <w:bookmarkStart w:id="316" w:name="_Toc471715394"/>
      <w:bookmarkStart w:id="317" w:name="_Toc30749182"/>
      <w:bookmarkEnd w:id="315"/>
      <w:r w:rsidRPr="0042750D">
        <w:rPr>
          <w:sz w:val="24"/>
          <w:szCs w:val="24"/>
          <w:lang w:val="en-GB"/>
        </w:rPr>
        <w:t>RESOLUTION 183 (REV. BUSAN, 2014) – Telecommunication/Information and Communication Technology applications for e-health</w:t>
      </w:r>
      <w:bookmarkEnd w:id="316"/>
      <w:bookmarkEnd w:id="317"/>
    </w:p>
    <w:p w14:paraId="29BACD44" w14:textId="77777777" w:rsidR="00A033D4" w:rsidRPr="0042750D" w:rsidRDefault="00A033D4" w:rsidP="00043514">
      <w:pPr>
        <w:pStyle w:val="Call"/>
        <w:rPr>
          <w:szCs w:val="22"/>
          <w:lang w:val="en-GB" w:eastAsia="ko-KR"/>
        </w:rPr>
      </w:pPr>
      <w:r w:rsidRPr="0042750D">
        <w:rPr>
          <w:szCs w:val="22"/>
          <w:lang w:val="en-GB" w:eastAsia="ko-KR"/>
        </w:rPr>
        <w:t>resolves to instruct the Secretary-General</w:t>
      </w:r>
    </w:p>
    <w:p w14:paraId="7E617AC6" w14:textId="77777777" w:rsidR="00A033D4" w:rsidRPr="0042750D" w:rsidRDefault="00A033D4" w:rsidP="00043514">
      <w:pPr>
        <w:keepNext/>
        <w:keepLines/>
        <w:rPr>
          <w:szCs w:val="22"/>
        </w:rPr>
      </w:pPr>
      <w:r w:rsidRPr="0042750D">
        <w:rPr>
          <w:szCs w:val="22"/>
        </w:rPr>
        <w:t>1</w:t>
      </w:r>
      <w:r w:rsidRPr="0042750D">
        <w:rPr>
          <w:szCs w:val="22"/>
        </w:rPr>
        <w:tab/>
        <w:t>to give priority consideration to the expansion of telecommunication/ICT initiatives for e</w:t>
      </w:r>
      <w:r w:rsidRPr="0042750D">
        <w:rPr>
          <w:szCs w:val="22"/>
        </w:rPr>
        <w:noBreakHyphen/>
        <w:t>health in the work of ITU, and to coordinate e-health-related activities between the ITU Radiocommunication Sector (ITU-R), ITU</w:t>
      </w:r>
      <w:r w:rsidRPr="0042750D">
        <w:rPr>
          <w:szCs w:val="22"/>
        </w:rPr>
        <w:noBreakHyphen/>
        <w:t>T, ITU</w:t>
      </w:r>
      <w:r w:rsidRPr="0042750D">
        <w:rPr>
          <w:szCs w:val="22"/>
        </w:rPr>
        <w:noBreakHyphen/>
        <w:t>D and other relevant organizations;</w:t>
      </w:r>
    </w:p>
    <w:p w14:paraId="7CAFEC4C" w14:textId="77777777" w:rsidR="00A033D4" w:rsidRPr="0042750D" w:rsidRDefault="00A033D4" w:rsidP="00A033D4">
      <w:pPr>
        <w:rPr>
          <w:szCs w:val="22"/>
        </w:rPr>
      </w:pPr>
      <w:r w:rsidRPr="0042750D">
        <w:rPr>
          <w:szCs w:val="22"/>
        </w:rPr>
        <w:t xml:space="preserve">2 </w:t>
      </w:r>
      <w:r w:rsidRPr="0042750D">
        <w:rPr>
          <w:szCs w:val="22"/>
        </w:rPr>
        <w:tab/>
        <w:t>to continue and further develop ITU activities on telecommunication/ICT applications for e-health in order to contribute to the wider global efforts concerning e</w:t>
      </w:r>
      <w:r w:rsidRPr="0042750D">
        <w:rPr>
          <w:szCs w:val="22"/>
        </w:rPr>
        <w:noBreakHyphen/>
        <w:t>health,</w:t>
      </w:r>
    </w:p>
    <w:p w14:paraId="04090EE2" w14:textId="77777777" w:rsidR="00A033D4" w:rsidRPr="0042750D" w:rsidRDefault="00A033D4" w:rsidP="00A033D4">
      <w:pPr>
        <w:pStyle w:val="Call"/>
        <w:rPr>
          <w:szCs w:val="22"/>
          <w:lang w:val="en-GB" w:eastAsia="ko-KR"/>
        </w:rPr>
      </w:pPr>
      <w:r w:rsidRPr="0042750D">
        <w:rPr>
          <w:szCs w:val="22"/>
          <w:lang w:val="en-GB" w:eastAsia="ko-KR"/>
        </w:rPr>
        <w:t>instructs the Secretary-General, in consultation with the Directors of the Bureaux</w:t>
      </w:r>
    </w:p>
    <w:p w14:paraId="6A8C9D89" w14:textId="77777777" w:rsidR="00A033D4" w:rsidRPr="0042750D" w:rsidRDefault="00A033D4" w:rsidP="00A033D4">
      <w:pPr>
        <w:rPr>
          <w:szCs w:val="22"/>
        </w:rPr>
      </w:pPr>
      <w:r w:rsidRPr="0042750D">
        <w:rPr>
          <w:szCs w:val="22"/>
        </w:rPr>
        <w:t>1</w:t>
      </w:r>
      <w:r w:rsidRPr="0042750D">
        <w:rPr>
          <w:szCs w:val="22"/>
        </w:rPr>
        <w:tab/>
        <w:t>to identify and document examples of best practice for e-health in the field of telecommunications/ICT, for dissemination among ITU Member States and Sector Members;</w:t>
      </w:r>
    </w:p>
    <w:p w14:paraId="2F847BC5" w14:textId="77777777" w:rsidR="00A033D4" w:rsidRPr="0042750D" w:rsidRDefault="00A033D4" w:rsidP="00A033D4">
      <w:pPr>
        <w:rPr>
          <w:szCs w:val="22"/>
        </w:rPr>
      </w:pPr>
      <w:r w:rsidRPr="0042750D">
        <w:rPr>
          <w:szCs w:val="22"/>
        </w:rPr>
        <w:t>2</w:t>
      </w:r>
      <w:r w:rsidRPr="0042750D">
        <w:rPr>
          <w:szCs w:val="22"/>
        </w:rPr>
        <w:tab/>
        <w:t>to report information and developments to Member States through an appropriate mechanism;</w:t>
      </w:r>
    </w:p>
    <w:p w14:paraId="22E22652" w14:textId="77777777" w:rsidR="00A033D4" w:rsidRPr="0042750D" w:rsidRDefault="00A033D4" w:rsidP="00A033D4">
      <w:pPr>
        <w:rPr>
          <w:szCs w:val="22"/>
        </w:rPr>
      </w:pPr>
      <w:r w:rsidRPr="0042750D">
        <w:rPr>
          <w:szCs w:val="22"/>
        </w:rPr>
        <w:t>3</w:t>
      </w:r>
      <w:r w:rsidRPr="0042750D">
        <w:rPr>
          <w:szCs w:val="22"/>
        </w:rPr>
        <w:tab/>
        <w:t>to coordinate on e-health-related activities with ITU</w:t>
      </w:r>
      <w:r w:rsidRPr="0042750D">
        <w:rPr>
          <w:szCs w:val="22"/>
        </w:rPr>
        <w:noBreakHyphen/>
        <w:t>R, ITU</w:t>
      </w:r>
      <w:r w:rsidRPr="0042750D">
        <w:rPr>
          <w:szCs w:val="22"/>
        </w:rPr>
        <w:noBreakHyphen/>
        <w:t>T and ITU</w:t>
      </w:r>
      <w:r w:rsidRPr="0042750D">
        <w:rPr>
          <w:szCs w:val="22"/>
        </w:rPr>
        <w:noBreakHyphen/>
        <w:t>D, and in particular to promote awareness, mainstreaming and capacity building in the creation of telecommunication/ICT e-health standards, reporting findings to the ITU Council as appropriate;</w:t>
      </w:r>
    </w:p>
    <w:p w14:paraId="38524BB4" w14:textId="6EBF1100" w:rsidR="00F0236A" w:rsidRPr="0042750D" w:rsidRDefault="00A033D4" w:rsidP="004A6F38">
      <w:pPr>
        <w:spacing w:after="240"/>
        <w:rPr>
          <w:i/>
          <w:iCs/>
          <w:szCs w:val="22"/>
        </w:rPr>
      </w:pPr>
      <w:r w:rsidRPr="0042750D">
        <w:rPr>
          <w:szCs w:val="22"/>
        </w:rPr>
        <w:t>4</w:t>
      </w:r>
      <w:r w:rsidRPr="0042750D">
        <w:rPr>
          <w:szCs w:val="22"/>
        </w:rPr>
        <w:tab/>
        <w:t>to work collaboratively on e-health-related activities with WHO and other organizations external to ITU that have a mandate to address health issues, as well as ITU-R, ITU-T and ITU</w:t>
      </w:r>
      <w:r w:rsidRPr="0042750D">
        <w:rPr>
          <w:szCs w:val="22"/>
        </w:rPr>
        <w:noBreakHyphen/>
        <w:t>D and, in particular, develop programmes that enable developing countries to introduce e</w:t>
      </w:r>
      <w:r w:rsidRPr="0042750D">
        <w:rPr>
          <w:szCs w:val="22"/>
        </w:rPr>
        <w:noBreakHyphen/>
        <w:t>health services safely and effectively</w:t>
      </w:r>
      <w:r w:rsidR="00F0236A" w:rsidRPr="0042750D">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0"/>
        <w:gridCol w:w="1273"/>
        <w:gridCol w:w="1627"/>
        <w:gridCol w:w="1338"/>
      </w:tblGrid>
      <w:tr w:rsidR="00F0236A" w:rsidRPr="0042750D" w14:paraId="39CDE0CA" w14:textId="77777777" w:rsidTr="00A9745F">
        <w:trPr>
          <w:jc w:val="center"/>
        </w:trPr>
        <w:tc>
          <w:tcPr>
            <w:tcW w:w="1134" w:type="dxa"/>
            <w:tcBorders>
              <w:top w:val="single" w:sz="12" w:space="0" w:color="auto"/>
              <w:bottom w:val="single" w:sz="12" w:space="0" w:color="auto"/>
            </w:tcBorders>
            <w:shd w:val="clear" w:color="auto" w:fill="auto"/>
            <w:vAlign w:val="center"/>
          </w:tcPr>
          <w:p w14:paraId="482F154D" w14:textId="77777777" w:rsidR="00F0236A" w:rsidRPr="0042750D" w:rsidRDefault="00F0236A" w:rsidP="00DF36E1">
            <w:pPr>
              <w:pStyle w:val="Tablehead"/>
              <w:rPr>
                <w:sz w:val="24"/>
                <w:szCs w:val="24"/>
              </w:rPr>
            </w:pPr>
            <w:r w:rsidRPr="0042750D">
              <w:rPr>
                <w:sz w:val="24"/>
                <w:szCs w:val="24"/>
              </w:rPr>
              <w:t>Action Item</w:t>
            </w:r>
          </w:p>
        </w:tc>
        <w:tc>
          <w:tcPr>
            <w:tcW w:w="4560" w:type="dxa"/>
            <w:tcBorders>
              <w:top w:val="single" w:sz="12" w:space="0" w:color="auto"/>
              <w:bottom w:val="single" w:sz="12" w:space="0" w:color="auto"/>
            </w:tcBorders>
            <w:shd w:val="clear" w:color="auto" w:fill="auto"/>
            <w:vAlign w:val="center"/>
            <w:hideMark/>
          </w:tcPr>
          <w:p w14:paraId="51510DCD" w14:textId="77777777" w:rsidR="00F0236A" w:rsidRPr="0042750D" w:rsidRDefault="00F0236A" w:rsidP="00DF36E1">
            <w:pPr>
              <w:pStyle w:val="Tablehead"/>
              <w:rPr>
                <w:sz w:val="24"/>
                <w:szCs w:val="24"/>
              </w:rPr>
            </w:pPr>
            <w:r w:rsidRPr="0042750D">
              <w:rPr>
                <w:sz w:val="24"/>
                <w:szCs w:val="24"/>
              </w:rPr>
              <w:t>Action</w:t>
            </w:r>
          </w:p>
        </w:tc>
        <w:tc>
          <w:tcPr>
            <w:tcW w:w="1273" w:type="dxa"/>
            <w:tcBorders>
              <w:top w:val="single" w:sz="12" w:space="0" w:color="auto"/>
              <w:bottom w:val="single" w:sz="12" w:space="0" w:color="auto"/>
            </w:tcBorders>
            <w:shd w:val="clear" w:color="auto" w:fill="auto"/>
            <w:vAlign w:val="center"/>
            <w:hideMark/>
          </w:tcPr>
          <w:p w14:paraId="2D8B61B7" w14:textId="77777777" w:rsidR="00F0236A" w:rsidRPr="0042750D" w:rsidRDefault="00F0236A" w:rsidP="00DF36E1">
            <w:pPr>
              <w:pStyle w:val="Tablehead"/>
              <w:rPr>
                <w:sz w:val="24"/>
                <w:szCs w:val="24"/>
              </w:rPr>
            </w:pPr>
            <w:r w:rsidRPr="0042750D">
              <w:rPr>
                <w:sz w:val="24"/>
                <w:szCs w:val="24"/>
              </w:rPr>
              <w:t>Milestone</w:t>
            </w:r>
          </w:p>
        </w:tc>
        <w:tc>
          <w:tcPr>
            <w:tcW w:w="1627" w:type="dxa"/>
            <w:tcBorders>
              <w:top w:val="single" w:sz="12" w:space="0" w:color="auto"/>
              <w:bottom w:val="single" w:sz="12" w:space="0" w:color="auto"/>
            </w:tcBorders>
            <w:shd w:val="clear" w:color="auto" w:fill="auto"/>
          </w:tcPr>
          <w:p w14:paraId="57308711"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BBA6BFE"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5267AFCB" w14:textId="77777777" w:rsidTr="002B433F">
        <w:trPr>
          <w:jc w:val="center"/>
        </w:trPr>
        <w:tc>
          <w:tcPr>
            <w:tcW w:w="1134" w:type="dxa"/>
            <w:vMerge w:val="restart"/>
            <w:tcBorders>
              <w:top w:val="single" w:sz="12" w:space="0" w:color="auto"/>
            </w:tcBorders>
            <w:shd w:val="clear" w:color="auto" w:fill="auto"/>
          </w:tcPr>
          <w:p w14:paraId="2A35866B" w14:textId="46A64603" w:rsidR="00F0236A" w:rsidRPr="0042750D" w:rsidRDefault="00A033D4" w:rsidP="00DF36E1">
            <w:pPr>
              <w:pStyle w:val="Tabletext"/>
              <w:rPr>
                <w:b/>
                <w:bCs/>
                <w:sz w:val="24"/>
                <w:szCs w:val="24"/>
              </w:rPr>
            </w:pPr>
            <w:r w:rsidRPr="0042750D">
              <w:rPr>
                <w:b/>
                <w:bCs/>
                <w:sz w:val="24"/>
                <w:szCs w:val="24"/>
              </w:rPr>
              <w:t>183</w:t>
            </w:r>
            <w:r w:rsidR="00F0236A" w:rsidRPr="0042750D">
              <w:rPr>
                <w:b/>
                <w:bCs/>
                <w:sz w:val="24"/>
                <w:szCs w:val="24"/>
              </w:rPr>
              <w:t>-01</w:t>
            </w:r>
          </w:p>
        </w:tc>
        <w:tc>
          <w:tcPr>
            <w:tcW w:w="4560" w:type="dxa"/>
            <w:tcBorders>
              <w:top w:val="single" w:sz="12" w:space="0" w:color="auto"/>
              <w:bottom w:val="single" w:sz="2" w:space="0" w:color="auto"/>
            </w:tcBorders>
            <w:shd w:val="clear" w:color="auto" w:fill="auto"/>
            <w:hideMark/>
          </w:tcPr>
          <w:p w14:paraId="627272F6" w14:textId="0EF85B02" w:rsidR="00F0236A" w:rsidRPr="0042750D" w:rsidRDefault="00A9745F" w:rsidP="00A9745F">
            <w:pPr>
              <w:pStyle w:val="Tabletext"/>
              <w:rPr>
                <w:b/>
                <w:bCs/>
                <w:sz w:val="24"/>
                <w:szCs w:val="24"/>
              </w:rPr>
            </w:pPr>
            <w:r w:rsidRPr="0042750D">
              <w:rPr>
                <w:b/>
                <w:bCs/>
                <w:sz w:val="24"/>
                <w:szCs w:val="24"/>
              </w:rPr>
              <w:t>TSBDir to g</w:t>
            </w:r>
            <w:r w:rsidR="00A033D4" w:rsidRPr="0042750D">
              <w:rPr>
                <w:b/>
                <w:bCs/>
                <w:sz w:val="24"/>
                <w:szCs w:val="24"/>
              </w:rPr>
              <w:t>ive priority consideration to the expansion of ICT initiatives for e-health in the work of ITU</w:t>
            </w:r>
            <w:r w:rsidR="004A6F38" w:rsidRPr="0042750D">
              <w:rPr>
                <w:b/>
                <w:bCs/>
                <w:sz w:val="24"/>
                <w:szCs w:val="24"/>
              </w:rPr>
              <w:t xml:space="preserve"> (</w:t>
            </w:r>
            <w:r w:rsidR="004A6F38" w:rsidRPr="0042750D">
              <w:rPr>
                <w:b/>
                <w:bCs/>
                <w:i/>
                <w:sz w:val="24"/>
                <w:szCs w:val="24"/>
              </w:rPr>
              <w:t>resolves 1</w:t>
            </w:r>
            <w:r w:rsidR="004A6F38" w:rsidRPr="0042750D">
              <w:rPr>
                <w:b/>
                <w:bCs/>
                <w:sz w:val="24"/>
                <w:szCs w:val="24"/>
              </w:rPr>
              <w:t>)</w:t>
            </w:r>
            <w:r w:rsidR="00A033D4" w:rsidRPr="0042750D">
              <w:rPr>
                <w:b/>
                <w:bCs/>
                <w:sz w:val="24"/>
                <w:szCs w:val="24"/>
              </w:rPr>
              <w:t>.</w:t>
            </w:r>
          </w:p>
        </w:tc>
        <w:tc>
          <w:tcPr>
            <w:tcW w:w="1273" w:type="dxa"/>
            <w:tcBorders>
              <w:top w:val="single" w:sz="12" w:space="0" w:color="auto"/>
              <w:bottom w:val="single" w:sz="2" w:space="0" w:color="auto"/>
            </w:tcBorders>
            <w:shd w:val="clear" w:color="auto" w:fill="auto"/>
            <w:vAlign w:val="center"/>
          </w:tcPr>
          <w:p w14:paraId="5BB13B21" w14:textId="77777777" w:rsidR="00F0236A" w:rsidRPr="0042750D" w:rsidRDefault="00F0236A" w:rsidP="00DF36E1">
            <w:pPr>
              <w:pStyle w:val="Tabletext"/>
              <w:jc w:val="center"/>
              <w:rPr>
                <w:b/>
                <w:bCs/>
                <w:sz w:val="24"/>
                <w:szCs w:val="24"/>
              </w:rPr>
            </w:pPr>
            <w:r w:rsidRPr="0042750D">
              <w:rPr>
                <w:b/>
                <w:bCs/>
                <w:sz w:val="24"/>
                <w:szCs w:val="24"/>
              </w:rPr>
              <w:t>Ongoing</w:t>
            </w:r>
          </w:p>
        </w:tc>
        <w:tc>
          <w:tcPr>
            <w:tcW w:w="1627" w:type="dxa"/>
            <w:tcBorders>
              <w:top w:val="single" w:sz="12" w:space="0" w:color="auto"/>
              <w:bottom w:val="single" w:sz="2" w:space="0" w:color="auto"/>
            </w:tcBorders>
            <w:shd w:val="clear" w:color="auto" w:fill="auto"/>
            <w:vAlign w:val="center"/>
          </w:tcPr>
          <w:p w14:paraId="3936532E" w14:textId="36A09B24" w:rsidR="00F0236A" w:rsidRPr="0042750D" w:rsidRDefault="002B433F"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7421DEA7" w14:textId="77777777" w:rsidR="00F0236A" w:rsidRPr="0042750D" w:rsidRDefault="00F0236A" w:rsidP="00DF36E1">
            <w:pPr>
              <w:pStyle w:val="Tabletext"/>
              <w:jc w:val="center"/>
              <w:rPr>
                <w:b/>
                <w:bCs/>
                <w:sz w:val="24"/>
                <w:szCs w:val="24"/>
              </w:rPr>
            </w:pPr>
          </w:p>
        </w:tc>
      </w:tr>
      <w:tr w:rsidR="00F0236A" w:rsidRPr="0042750D" w14:paraId="1A05594C" w14:textId="77777777" w:rsidTr="002B433F">
        <w:trPr>
          <w:jc w:val="center"/>
        </w:trPr>
        <w:tc>
          <w:tcPr>
            <w:tcW w:w="1134" w:type="dxa"/>
            <w:vMerge/>
            <w:shd w:val="clear" w:color="auto" w:fill="auto"/>
          </w:tcPr>
          <w:p w14:paraId="6ECFD3CA" w14:textId="77777777" w:rsidR="00F0236A" w:rsidRPr="0042750D" w:rsidRDefault="00F0236A" w:rsidP="00DF36E1">
            <w:pPr>
              <w:pStyle w:val="Tabletext"/>
              <w:rPr>
                <w:sz w:val="24"/>
                <w:szCs w:val="24"/>
              </w:rPr>
            </w:pPr>
          </w:p>
        </w:tc>
        <w:tc>
          <w:tcPr>
            <w:tcW w:w="8798" w:type="dxa"/>
            <w:gridSpan w:val="4"/>
            <w:tcBorders>
              <w:top w:val="single" w:sz="2" w:space="0" w:color="auto"/>
            </w:tcBorders>
            <w:shd w:val="clear" w:color="auto" w:fill="auto"/>
          </w:tcPr>
          <w:p w14:paraId="3E3BDFCC" w14:textId="2AA783CD" w:rsidR="00F0236A" w:rsidRPr="0042750D" w:rsidRDefault="002B433F" w:rsidP="0074302C">
            <w:pPr>
              <w:spacing w:before="40" w:after="40"/>
            </w:pPr>
            <w:r w:rsidRPr="0042750D">
              <w:t xml:space="preserve">The AI for Good summit in 2018 and 2019 had health tracks where the use of AI for health was explored. From the 2018 event, the idea to create a Focus Group on AI for health with the support and participation of WHO was launched, which was created by ITU-T SG16 and held its first meeting in September 2018. It has since held 6 meetings and it is progressing the development of a common framework for benchmarking AI-based health solutions. It counts with the participation of representatives of key stakeholders, including health (medical device) regulators, AI experts, academia and industry. Currently, 12 use cases are being explored. More details at </w:t>
            </w:r>
            <w:hyperlink r:id="rId100" w:history="1">
              <w:r w:rsidRPr="0042750D">
                <w:rPr>
                  <w:rStyle w:val="Hyperlink"/>
                </w:rPr>
                <w:t>www.itu.int/go/fgai4h</w:t>
              </w:r>
            </w:hyperlink>
            <w:r w:rsidRPr="0042750D">
              <w:t>.</w:t>
            </w:r>
          </w:p>
        </w:tc>
      </w:tr>
      <w:tr w:rsidR="00A9745F" w:rsidRPr="0042750D" w14:paraId="582059B3" w14:textId="77777777" w:rsidTr="00380503">
        <w:trPr>
          <w:jc w:val="center"/>
        </w:trPr>
        <w:tc>
          <w:tcPr>
            <w:tcW w:w="1134" w:type="dxa"/>
            <w:vMerge w:val="restart"/>
            <w:tcBorders>
              <w:top w:val="single" w:sz="12" w:space="0" w:color="auto"/>
            </w:tcBorders>
            <w:shd w:val="clear" w:color="auto" w:fill="auto"/>
          </w:tcPr>
          <w:p w14:paraId="789E4778" w14:textId="070B3449" w:rsidR="00A9745F" w:rsidRPr="0042750D" w:rsidRDefault="00A9745F" w:rsidP="001338AC">
            <w:pPr>
              <w:pStyle w:val="Tabletext"/>
              <w:rPr>
                <w:b/>
                <w:bCs/>
                <w:sz w:val="24"/>
                <w:szCs w:val="24"/>
              </w:rPr>
            </w:pPr>
            <w:bookmarkStart w:id="318" w:name="Item78_01"/>
            <w:bookmarkStart w:id="319" w:name="Item78_02"/>
            <w:bookmarkStart w:id="320" w:name="Item78_04"/>
            <w:bookmarkStart w:id="321" w:name="Item78_05"/>
            <w:bookmarkStart w:id="322" w:name="Item78_06"/>
            <w:bookmarkStart w:id="323" w:name="Item78_07"/>
            <w:bookmarkEnd w:id="318"/>
            <w:bookmarkEnd w:id="319"/>
            <w:bookmarkEnd w:id="320"/>
            <w:bookmarkEnd w:id="321"/>
            <w:bookmarkEnd w:id="322"/>
            <w:bookmarkEnd w:id="323"/>
            <w:r w:rsidRPr="0042750D">
              <w:rPr>
                <w:b/>
                <w:bCs/>
                <w:sz w:val="24"/>
                <w:szCs w:val="24"/>
              </w:rPr>
              <w:t>183-02</w:t>
            </w:r>
          </w:p>
        </w:tc>
        <w:tc>
          <w:tcPr>
            <w:tcW w:w="4560" w:type="dxa"/>
            <w:tcBorders>
              <w:top w:val="single" w:sz="12" w:space="0" w:color="auto"/>
              <w:bottom w:val="single" w:sz="2" w:space="0" w:color="auto"/>
            </w:tcBorders>
            <w:shd w:val="clear" w:color="auto" w:fill="auto"/>
            <w:hideMark/>
          </w:tcPr>
          <w:p w14:paraId="6B28BE2D" w14:textId="75A2FE95" w:rsidR="00A9745F" w:rsidRPr="0042750D" w:rsidRDefault="00A9745F" w:rsidP="001338AC">
            <w:pPr>
              <w:pStyle w:val="Tabletext"/>
              <w:rPr>
                <w:b/>
                <w:bCs/>
                <w:sz w:val="24"/>
                <w:szCs w:val="24"/>
              </w:rPr>
            </w:pPr>
            <w:r w:rsidRPr="0042750D">
              <w:rPr>
                <w:b/>
                <w:bCs/>
                <w:sz w:val="24"/>
                <w:szCs w:val="24"/>
              </w:rPr>
              <w:t>TSBDir to continue and further develop ITU activities on telecommunication/ICT applications for e-health in order to contribute to the wider global efforts concerning e health</w:t>
            </w:r>
            <w:r w:rsidR="004A6F38" w:rsidRPr="0042750D">
              <w:rPr>
                <w:b/>
                <w:bCs/>
                <w:sz w:val="24"/>
                <w:szCs w:val="24"/>
              </w:rPr>
              <w:t xml:space="preserve"> (</w:t>
            </w:r>
            <w:r w:rsidR="004A6F38" w:rsidRPr="0042750D">
              <w:rPr>
                <w:b/>
                <w:bCs/>
                <w:i/>
                <w:sz w:val="24"/>
                <w:szCs w:val="24"/>
              </w:rPr>
              <w:t>resolves 2</w:t>
            </w:r>
            <w:r w:rsidR="004A6F38" w:rsidRPr="0042750D">
              <w:rPr>
                <w:b/>
                <w:bCs/>
                <w:sz w:val="24"/>
                <w:szCs w:val="24"/>
              </w:rPr>
              <w:t>)</w:t>
            </w:r>
            <w:r w:rsidRPr="0042750D">
              <w:rPr>
                <w:b/>
                <w:bCs/>
                <w:sz w:val="24"/>
                <w:szCs w:val="24"/>
              </w:rPr>
              <w:t>.</w:t>
            </w:r>
          </w:p>
        </w:tc>
        <w:tc>
          <w:tcPr>
            <w:tcW w:w="1273" w:type="dxa"/>
            <w:tcBorders>
              <w:top w:val="single" w:sz="12" w:space="0" w:color="auto"/>
              <w:bottom w:val="single" w:sz="2" w:space="0" w:color="auto"/>
            </w:tcBorders>
            <w:shd w:val="clear" w:color="auto" w:fill="auto"/>
            <w:vAlign w:val="center"/>
          </w:tcPr>
          <w:p w14:paraId="1514C0A8" w14:textId="77777777" w:rsidR="00A9745F" w:rsidRPr="0042750D" w:rsidRDefault="00A9745F" w:rsidP="001338AC">
            <w:pPr>
              <w:pStyle w:val="Tabletext"/>
              <w:jc w:val="center"/>
              <w:rPr>
                <w:b/>
                <w:bCs/>
                <w:sz w:val="24"/>
                <w:szCs w:val="24"/>
              </w:rPr>
            </w:pPr>
            <w:r w:rsidRPr="0042750D">
              <w:rPr>
                <w:b/>
                <w:bCs/>
                <w:sz w:val="24"/>
                <w:szCs w:val="24"/>
              </w:rPr>
              <w:t>Ongoing</w:t>
            </w:r>
          </w:p>
        </w:tc>
        <w:tc>
          <w:tcPr>
            <w:tcW w:w="1627" w:type="dxa"/>
            <w:tcBorders>
              <w:top w:val="single" w:sz="12" w:space="0" w:color="auto"/>
              <w:bottom w:val="single" w:sz="2" w:space="0" w:color="auto"/>
            </w:tcBorders>
            <w:shd w:val="clear" w:color="auto" w:fill="auto"/>
            <w:vAlign w:val="center"/>
          </w:tcPr>
          <w:p w14:paraId="582FADB1" w14:textId="2D27E622" w:rsidR="00A9745F" w:rsidRPr="0042750D" w:rsidRDefault="00901D1A" w:rsidP="001338AC">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38275623" w14:textId="77777777" w:rsidR="00A9745F" w:rsidRPr="0042750D" w:rsidRDefault="00A9745F" w:rsidP="001338AC">
            <w:pPr>
              <w:pStyle w:val="Tabletext"/>
              <w:jc w:val="center"/>
              <w:rPr>
                <w:b/>
                <w:bCs/>
                <w:sz w:val="24"/>
                <w:szCs w:val="24"/>
              </w:rPr>
            </w:pPr>
          </w:p>
        </w:tc>
      </w:tr>
      <w:tr w:rsidR="00A9745F" w:rsidRPr="0042750D" w14:paraId="5BFD04F7" w14:textId="77777777" w:rsidTr="00380503">
        <w:trPr>
          <w:jc w:val="center"/>
        </w:trPr>
        <w:tc>
          <w:tcPr>
            <w:tcW w:w="1134" w:type="dxa"/>
            <w:vMerge/>
            <w:shd w:val="clear" w:color="auto" w:fill="auto"/>
          </w:tcPr>
          <w:p w14:paraId="6C1E11D3" w14:textId="77777777" w:rsidR="00A9745F" w:rsidRPr="0042750D" w:rsidRDefault="00A9745F" w:rsidP="001338AC">
            <w:pPr>
              <w:pStyle w:val="Tabletext"/>
              <w:rPr>
                <w:sz w:val="24"/>
                <w:szCs w:val="24"/>
              </w:rPr>
            </w:pPr>
          </w:p>
        </w:tc>
        <w:tc>
          <w:tcPr>
            <w:tcW w:w="8798" w:type="dxa"/>
            <w:gridSpan w:val="4"/>
            <w:tcBorders>
              <w:top w:val="single" w:sz="2" w:space="0" w:color="auto"/>
            </w:tcBorders>
            <w:shd w:val="clear" w:color="auto" w:fill="auto"/>
          </w:tcPr>
          <w:p w14:paraId="74F9101A" w14:textId="77777777" w:rsidR="00901D1A" w:rsidRPr="0042750D" w:rsidRDefault="00901D1A" w:rsidP="001338AC">
            <w:pPr>
              <w:spacing w:before="40"/>
              <w:rPr>
                <w:rFonts w:eastAsiaTheme="minorHAnsi"/>
                <w:szCs w:val="22"/>
                <w:lang w:eastAsia="en-US"/>
              </w:rPr>
            </w:pPr>
            <w:r w:rsidRPr="0042750D">
              <w:t>ITU-T SG5 approved revised Recommendation ITU-T K.100 “Measurement of radio frequency electromagnetic fields to determine compliance with human exposure limits when a base station is put into service” which provides information on measurement techniques and procedures for assessing compliance with the general public electromagnetic fields (EMFs) exposure limits when a new base station (BS) is put into service, taking into account effects of the environment and other relevant radio frequency sources present in its surrounding.</w:t>
            </w:r>
          </w:p>
          <w:p w14:paraId="11EBA17F" w14:textId="77777777" w:rsidR="00901D1A" w:rsidRPr="0042750D" w:rsidRDefault="00901D1A" w:rsidP="001338AC">
            <w:r w:rsidRPr="0042750D">
              <w:t>SG5 also approved Appendix II to ITU-T K.90 “Evaluation techniques and working procedures for compliance with exposure limits of network operator personnel to power-frequency electromagnetic fields. Description of the program EMFACDC”, and approved Appendix IX to ITU-T K.91 “Manhole type base station” which presents the measurement results of radio frequency exposure from manhole-type base stations installed underground using the measurement methods introduced in this guideline, in order to evaluate the exposure from these base stations.</w:t>
            </w:r>
          </w:p>
          <w:p w14:paraId="179F35EB" w14:textId="1DFAED0B" w:rsidR="00901D1A" w:rsidRPr="0042750D" w:rsidRDefault="00901D1A" w:rsidP="001338AC">
            <w:r w:rsidRPr="0042750D">
              <w:t>SG5 also approved ITU-T K.Suppl.9 (revised) “5G technology and human exposure to RF EMF” which contains an analysis of the impact of the implementation of 5G mobile systems with respect to the exposure level of electromagnetic fields (EMF) around radiocommunication infrastructure.</w:t>
            </w:r>
          </w:p>
          <w:p w14:paraId="3AE00515" w14:textId="77777777" w:rsidR="00901D1A" w:rsidRPr="0042750D" w:rsidRDefault="00901D1A" w:rsidP="001338AC">
            <w:r w:rsidRPr="0042750D">
              <w:t>ITU-T SG16 approved revised Recommendation ITU_T H.846 “Conformance of ITU-T H.810 personal health system: Personal Health Devices interface Part 6: Personal Health Gateway” which provides a test suite structure (TSS) and the test purposes (TP) for Personal Health Gateways in the Personal Health Devices (PHD) interface, based on the requirements defined in the Recommendations of the ITU-T H.810 sub-series, of which Recommendation ITU T H.810 (2017) is the base Recommendation. The objective of this test specification is to provide a high probability of interoperability at this interface.</w:t>
            </w:r>
          </w:p>
          <w:p w14:paraId="3F2FB75E" w14:textId="62391087" w:rsidR="00901D1A" w:rsidRPr="0042750D" w:rsidRDefault="00901D1A" w:rsidP="001338AC">
            <w:r w:rsidRPr="0042750D">
              <w:t>SG16 approved revised Recommendation ITU-T H.849 “Conformance of ITU-T H.810 personal health system: Personal Health Devices interface Part 9: Transcoding for Bluetooth Low Energy: Personal Health Devices”, and approved Recommendation ITU-T H.871 “Safe listening guidelines for personal sound amplifiers” which complements recommendation ITU-T H.870 “Guidelines for safe listening devices/systems”.</w:t>
            </w:r>
          </w:p>
          <w:p w14:paraId="5CD9812A" w14:textId="6550FEA5" w:rsidR="00A9745F" w:rsidRPr="0042750D" w:rsidRDefault="00901D1A" w:rsidP="001338AC">
            <w:pPr>
              <w:spacing w:after="40"/>
            </w:pPr>
            <w:r w:rsidRPr="0042750D">
              <w:t xml:space="preserve">SG16 </w:t>
            </w:r>
            <w:r w:rsidR="00391BA7" w:rsidRPr="0042750D">
              <w:t>also approved</w:t>
            </w:r>
            <w:r w:rsidRPr="0042750D">
              <w:t xml:space="preserve"> Recommendation ITU-T F.780.1 “Framework for telemedicine systems using ultra-high definition imaging” which describes requirements for using ultra-high definition (UHD) imaging, such as 4K and 8K video, for telemedicine. The purpose of these requirements is to use UHD systems as part of endoscope and/or microsope for medical practices. This document also describes a list of requirements for using a UHD-based “endosopic video camera” as a medical device. In addition, Annex A describes the requirements on the use of this technology as a medical device.</w:t>
            </w:r>
          </w:p>
          <w:p w14:paraId="589EB7C6" w14:textId="45C80B88" w:rsidR="00391BA7" w:rsidRPr="0042750D" w:rsidRDefault="00391BA7" w:rsidP="001338AC">
            <w:pPr>
              <w:spacing w:after="40"/>
            </w:pPr>
            <w:r w:rsidRPr="0042750D">
              <w:t xml:space="preserve">SG16 is maintaining an e-health standardization roadmap, see </w:t>
            </w:r>
            <w:hyperlink r:id="rId101" w:history="1">
              <w:r w:rsidRPr="0042750D">
                <w:rPr>
                  <w:rStyle w:val="Hyperlink"/>
                </w:rPr>
                <w:t>https://www.itu.int/en/ITU-T/studygroups/2017-2020/16/Pages/rm/ehealth.aspx</w:t>
              </w:r>
            </w:hyperlink>
            <w:r w:rsidRPr="0042750D">
              <w:t>.</w:t>
            </w:r>
          </w:p>
        </w:tc>
      </w:tr>
      <w:tr w:rsidR="00A9745F" w:rsidRPr="0042750D" w14:paraId="16236344" w14:textId="77777777" w:rsidTr="00901D1A">
        <w:trPr>
          <w:jc w:val="center"/>
        </w:trPr>
        <w:tc>
          <w:tcPr>
            <w:tcW w:w="1134" w:type="dxa"/>
            <w:vMerge w:val="restart"/>
            <w:tcBorders>
              <w:top w:val="single" w:sz="12" w:space="0" w:color="auto"/>
            </w:tcBorders>
            <w:shd w:val="clear" w:color="auto" w:fill="auto"/>
          </w:tcPr>
          <w:p w14:paraId="7B729B2A" w14:textId="283DBA43" w:rsidR="00A9745F" w:rsidRPr="0042750D" w:rsidRDefault="00A9745F" w:rsidP="001338AC">
            <w:pPr>
              <w:pStyle w:val="Tabletext"/>
              <w:rPr>
                <w:b/>
                <w:bCs/>
                <w:sz w:val="24"/>
                <w:szCs w:val="24"/>
              </w:rPr>
            </w:pPr>
            <w:r w:rsidRPr="0042750D">
              <w:rPr>
                <w:b/>
                <w:bCs/>
                <w:sz w:val="24"/>
                <w:szCs w:val="24"/>
              </w:rPr>
              <w:t>183-03</w:t>
            </w:r>
          </w:p>
        </w:tc>
        <w:tc>
          <w:tcPr>
            <w:tcW w:w="4560" w:type="dxa"/>
            <w:tcBorders>
              <w:top w:val="single" w:sz="12" w:space="0" w:color="auto"/>
              <w:bottom w:val="single" w:sz="2" w:space="0" w:color="auto"/>
            </w:tcBorders>
            <w:shd w:val="clear" w:color="auto" w:fill="auto"/>
            <w:hideMark/>
          </w:tcPr>
          <w:p w14:paraId="76B794FD" w14:textId="18B3F04E" w:rsidR="00A9745F" w:rsidRPr="0042750D" w:rsidRDefault="00A9745F" w:rsidP="00380EF6">
            <w:pPr>
              <w:pStyle w:val="Tabletext"/>
              <w:keepNext/>
              <w:keepLines/>
              <w:rPr>
                <w:b/>
                <w:bCs/>
                <w:sz w:val="24"/>
                <w:szCs w:val="24"/>
              </w:rPr>
            </w:pPr>
            <w:r w:rsidRPr="0042750D">
              <w:rPr>
                <w:b/>
                <w:bCs/>
                <w:sz w:val="24"/>
                <w:szCs w:val="24"/>
              </w:rPr>
              <w:t>TSBDir to work collaboratively with WHO and ITU-R,T,D to develop programmes that enable developing countries to introduce e-health services safely and effectively, and report info and developments to MemberStates through an appropriate mechanism</w:t>
            </w:r>
            <w:r w:rsidR="004A6F38" w:rsidRPr="0042750D">
              <w:rPr>
                <w:b/>
                <w:bCs/>
                <w:sz w:val="24"/>
                <w:szCs w:val="24"/>
              </w:rPr>
              <w:t xml:space="preserve"> (</w:t>
            </w:r>
            <w:r w:rsidR="004A6F38" w:rsidRPr="0042750D">
              <w:rPr>
                <w:b/>
                <w:bCs/>
                <w:i/>
                <w:sz w:val="24"/>
                <w:szCs w:val="24"/>
              </w:rPr>
              <w:t>instructs 4</w:t>
            </w:r>
            <w:r w:rsidR="004A6F38" w:rsidRPr="0042750D">
              <w:rPr>
                <w:b/>
                <w:bCs/>
                <w:sz w:val="24"/>
                <w:szCs w:val="24"/>
              </w:rPr>
              <w:t>)</w:t>
            </w:r>
            <w:r w:rsidRPr="0042750D">
              <w:rPr>
                <w:b/>
                <w:bCs/>
                <w:sz w:val="24"/>
                <w:szCs w:val="24"/>
              </w:rPr>
              <w:t>.</w:t>
            </w:r>
          </w:p>
        </w:tc>
        <w:tc>
          <w:tcPr>
            <w:tcW w:w="1273" w:type="dxa"/>
            <w:tcBorders>
              <w:top w:val="single" w:sz="12" w:space="0" w:color="auto"/>
              <w:bottom w:val="single" w:sz="2" w:space="0" w:color="auto"/>
            </w:tcBorders>
            <w:shd w:val="clear" w:color="auto" w:fill="auto"/>
            <w:vAlign w:val="center"/>
          </w:tcPr>
          <w:p w14:paraId="7BDB9C20" w14:textId="77777777" w:rsidR="00A9745F" w:rsidRPr="0042750D" w:rsidRDefault="00A9745F" w:rsidP="00380EF6">
            <w:pPr>
              <w:pStyle w:val="Tabletext"/>
              <w:keepNext/>
              <w:keepLines/>
              <w:jc w:val="center"/>
              <w:rPr>
                <w:b/>
                <w:bCs/>
                <w:sz w:val="24"/>
                <w:szCs w:val="24"/>
              </w:rPr>
            </w:pPr>
            <w:r w:rsidRPr="0042750D">
              <w:rPr>
                <w:b/>
                <w:bCs/>
                <w:sz w:val="24"/>
                <w:szCs w:val="24"/>
              </w:rPr>
              <w:t>Ongoing</w:t>
            </w:r>
          </w:p>
        </w:tc>
        <w:tc>
          <w:tcPr>
            <w:tcW w:w="1627" w:type="dxa"/>
            <w:tcBorders>
              <w:top w:val="single" w:sz="12" w:space="0" w:color="auto"/>
              <w:bottom w:val="single" w:sz="2" w:space="0" w:color="auto"/>
            </w:tcBorders>
            <w:shd w:val="clear" w:color="auto" w:fill="auto"/>
            <w:vAlign w:val="center"/>
          </w:tcPr>
          <w:p w14:paraId="33017F52" w14:textId="6CAA8DAE" w:rsidR="00A9745F" w:rsidRPr="0042750D" w:rsidRDefault="00901D1A" w:rsidP="00380EF6">
            <w:pPr>
              <w:pStyle w:val="Tabletext"/>
              <w:keepNext/>
              <w:keepLines/>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5B7E44D4" w14:textId="77777777" w:rsidR="00A9745F" w:rsidRPr="0042750D" w:rsidRDefault="00A9745F" w:rsidP="00380EF6">
            <w:pPr>
              <w:pStyle w:val="Tabletext"/>
              <w:keepNext/>
              <w:keepLines/>
              <w:jc w:val="center"/>
              <w:rPr>
                <w:b/>
                <w:bCs/>
                <w:sz w:val="24"/>
                <w:szCs w:val="24"/>
              </w:rPr>
            </w:pPr>
          </w:p>
        </w:tc>
      </w:tr>
      <w:tr w:rsidR="00A9745F" w:rsidRPr="0042750D" w14:paraId="3E628E49" w14:textId="77777777" w:rsidTr="00901D1A">
        <w:trPr>
          <w:jc w:val="center"/>
        </w:trPr>
        <w:tc>
          <w:tcPr>
            <w:tcW w:w="1134" w:type="dxa"/>
            <w:vMerge/>
            <w:shd w:val="clear" w:color="auto" w:fill="auto"/>
          </w:tcPr>
          <w:p w14:paraId="66A3F0E8" w14:textId="77777777" w:rsidR="00A9745F" w:rsidRPr="0042750D" w:rsidRDefault="00A9745F" w:rsidP="00D50A4E">
            <w:pPr>
              <w:pStyle w:val="Tabletext"/>
              <w:rPr>
                <w:sz w:val="24"/>
                <w:szCs w:val="24"/>
              </w:rPr>
            </w:pPr>
          </w:p>
        </w:tc>
        <w:tc>
          <w:tcPr>
            <w:tcW w:w="8798" w:type="dxa"/>
            <w:gridSpan w:val="4"/>
            <w:tcBorders>
              <w:top w:val="single" w:sz="2" w:space="0" w:color="auto"/>
            </w:tcBorders>
            <w:shd w:val="clear" w:color="auto" w:fill="auto"/>
          </w:tcPr>
          <w:p w14:paraId="3A5DDFE1" w14:textId="75D4409F" w:rsidR="00A9745F" w:rsidRPr="0042750D" w:rsidRDefault="00901D1A" w:rsidP="0074302C">
            <w:pPr>
              <w:keepNext/>
              <w:keepLines/>
              <w:spacing w:before="40" w:after="40"/>
            </w:pPr>
            <w:r w:rsidRPr="0042750D">
              <w:t xml:space="preserve">Joint work with WHO led to the development by ITU-T SG16 of </w:t>
            </w:r>
            <w:hyperlink r:id="rId102" w:history="1">
              <w:r w:rsidRPr="0042750D">
                <w:rPr>
                  <w:rStyle w:val="Hyperlink"/>
                </w:rPr>
                <w:t>ITU-T H.870</w:t>
              </w:r>
            </w:hyperlink>
            <w:r w:rsidRPr="0042750D">
              <w:t xml:space="preserve"> with guidelines for safe listening when using personal music players. WHO also published the document as a WHO standard, with a launch event in February 2019, together with an implementation toolkit developed jointly by ITU-T, ITU-D and WHO (</w:t>
            </w:r>
            <w:hyperlink r:id="rId103" w:history="1">
              <w:r w:rsidRPr="0042750D">
                <w:rPr>
                  <w:rStyle w:val="Hyperlink"/>
                </w:rPr>
                <w:t>https://news.itu.int/celebrating-power-music-and-safe-listening-itu-who/</w:t>
              </w:r>
            </w:hyperlink>
            <w:r w:rsidRPr="0042750D">
              <w:t>).</w:t>
            </w:r>
          </w:p>
        </w:tc>
      </w:tr>
    </w:tbl>
    <w:p w14:paraId="3C281F35"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01859305" w14:textId="0CA1F6A0" w:rsidR="00F0236A" w:rsidRPr="0042750D" w:rsidRDefault="00C56347" w:rsidP="00515FDC">
      <w:pPr>
        <w:pStyle w:val="Heading1"/>
        <w:ind w:left="357" w:hanging="357"/>
        <w:rPr>
          <w:sz w:val="24"/>
          <w:szCs w:val="24"/>
          <w:lang w:val="en-GB"/>
        </w:rPr>
      </w:pPr>
      <w:bookmarkStart w:id="324" w:name="_Toc30749183"/>
      <w:r w:rsidRPr="0042750D">
        <w:rPr>
          <w:sz w:val="24"/>
          <w:szCs w:val="24"/>
          <w:lang w:val="en-GB"/>
        </w:rPr>
        <w:t>RESOLUTION 184 (Guadalajara, 2010) – Facilitating digital inclusion initiatives for indigenous peoples</w:t>
      </w:r>
      <w:bookmarkEnd w:id="324"/>
    </w:p>
    <w:p w14:paraId="6E182DA9" w14:textId="77777777" w:rsidR="00C56347" w:rsidRPr="0042750D" w:rsidRDefault="00C56347" w:rsidP="00515FDC">
      <w:pPr>
        <w:pStyle w:val="Call"/>
        <w:keepNext w:val="0"/>
        <w:keepLines w:val="0"/>
        <w:rPr>
          <w:szCs w:val="22"/>
          <w:lang w:val="en-GB"/>
        </w:rPr>
      </w:pPr>
      <w:r w:rsidRPr="0042750D">
        <w:rPr>
          <w:szCs w:val="22"/>
          <w:lang w:val="en-GB"/>
        </w:rPr>
        <w:t>resolves</w:t>
      </w:r>
    </w:p>
    <w:p w14:paraId="309C9BE4" w14:textId="77777777" w:rsidR="00C56347" w:rsidRPr="0042750D" w:rsidRDefault="00C56347" w:rsidP="00515FDC">
      <w:pPr>
        <w:rPr>
          <w:rStyle w:val="msoins0"/>
          <w:szCs w:val="22"/>
        </w:rPr>
      </w:pPr>
      <w:r w:rsidRPr="0042750D">
        <w:rPr>
          <w:szCs w:val="22"/>
        </w:rPr>
        <w:t>1</w:t>
      </w:r>
      <w:r w:rsidRPr="0042750D">
        <w:rPr>
          <w:szCs w:val="22"/>
        </w:rPr>
        <w:tab/>
        <w:t xml:space="preserve">to adapt the rules governing the ITU fellowships to the existing ITU-D initiatives for digital inclusion, and extend the provision of ITU fellowships to indigenous peoples, considering that their special situation is equivalent to that of LDCs, so they can attend workshops, </w:t>
      </w:r>
      <w:r w:rsidRPr="0042750D">
        <w:rPr>
          <w:rStyle w:val="msoins0"/>
          <w:szCs w:val="22"/>
        </w:rPr>
        <w:t xml:space="preserve">seminars, events or other types of capacity-building events organized by </w:t>
      </w:r>
      <w:r w:rsidRPr="0042750D">
        <w:rPr>
          <w:szCs w:val="22"/>
        </w:rPr>
        <w:t>ITU for</w:t>
      </w:r>
      <w:r w:rsidRPr="0042750D">
        <w:rPr>
          <w:rStyle w:val="msoins0"/>
          <w:szCs w:val="22"/>
        </w:rPr>
        <w:t xml:space="preserve"> these specific groups towards facilitating their digital inclusion;</w:t>
      </w:r>
    </w:p>
    <w:p w14:paraId="3F126C5E" w14:textId="524424F4" w:rsidR="00F0236A" w:rsidRPr="0042750D" w:rsidRDefault="00C56347" w:rsidP="00672466">
      <w:pPr>
        <w:spacing w:after="120"/>
        <w:rPr>
          <w:szCs w:val="22"/>
        </w:rPr>
      </w:pPr>
      <w:r w:rsidRPr="0042750D">
        <w:rPr>
          <w:szCs w:val="22"/>
        </w:rPr>
        <w:t>2</w:t>
      </w:r>
      <w:r w:rsidRPr="0042750D">
        <w:rPr>
          <w:szCs w:val="22"/>
        </w:rPr>
        <w:tab/>
        <w:t>to establish collaboration and validation mechanisms with the administrations and any other relevant organization within the United Nations system, as well as with any regional and national organizations dealing with indigenous peoples, in order to facilitate the implementation of Resolutions 46 (Doha, 2006) and 68 (Hyderabad, 2010) and better identify indigenous participants in ITU events as potential benefi</w:t>
      </w:r>
      <w:r w:rsidR="00672466" w:rsidRPr="0042750D">
        <w:rPr>
          <w:szCs w:val="22"/>
        </w:rPr>
        <w:t>ciaries of the said fellowships</w:t>
      </w:r>
      <w:r w:rsidR="00F0236A" w:rsidRPr="0042750D">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3"/>
        <w:gridCol w:w="1300"/>
        <w:gridCol w:w="1146"/>
        <w:gridCol w:w="1338"/>
      </w:tblGrid>
      <w:tr w:rsidR="00F0236A" w:rsidRPr="0042750D" w14:paraId="03290069" w14:textId="77777777" w:rsidTr="00A9745F">
        <w:trPr>
          <w:jc w:val="center"/>
        </w:trPr>
        <w:tc>
          <w:tcPr>
            <w:tcW w:w="1135" w:type="dxa"/>
            <w:tcBorders>
              <w:top w:val="single" w:sz="12" w:space="0" w:color="auto"/>
              <w:bottom w:val="single" w:sz="12" w:space="0" w:color="auto"/>
            </w:tcBorders>
            <w:shd w:val="clear" w:color="auto" w:fill="auto"/>
            <w:vAlign w:val="center"/>
          </w:tcPr>
          <w:p w14:paraId="40D41E20" w14:textId="77777777" w:rsidR="00F0236A" w:rsidRPr="0042750D" w:rsidRDefault="00F0236A" w:rsidP="00DF36E1">
            <w:pPr>
              <w:pStyle w:val="Tablehead"/>
              <w:rPr>
                <w:sz w:val="24"/>
                <w:szCs w:val="24"/>
              </w:rPr>
            </w:pPr>
            <w:r w:rsidRPr="0042750D">
              <w:rPr>
                <w:sz w:val="24"/>
                <w:szCs w:val="24"/>
              </w:rPr>
              <w:t>Action Item</w:t>
            </w:r>
          </w:p>
        </w:tc>
        <w:tc>
          <w:tcPr>
            <w:tcW w:w="5013" w:type="dxa"/>
            <w:tcBorders>
              <w:top w:val="single" w:sz="12" w:space="0" w:color="auto"/>
              <w:bottom w:val="single" w:sz="12" w:space="0" w:color="auto"/>
            </w:tcBorders>
            <w:shd w:val="clear" w:color="auto" w:fill="auto"/>
            <w:vAlign w:val="center"/>
            <w:hideMark/>
          </w:tcPr>
          <w:p w14:paraId="24949282" w14:textId="77777777" w:rsidR="00F0236A" w:rsidRPr="0042750D" w:rsidRDefault="00F0236A" w:rsidP="00DF36E1">
            <w:pPr>
              <w:pStyle w:val="Tablehead"/>
              <w:rPr>
                <w:sz w:val="24"/>
                <w:szCs w:val="24"/>
              </w:rPr>
            </w:pPr>
            <w:r w:rsidRPr="0042750D">
              <w:rPr>
                <w:sz w:val="24"/>
                <w:szCs w:val="24"/>
              </w:rPr>
              <w:t>Action</w:t>
            </w:r>
          </w:p>
        </w:tc>
        <w:tc>
          <w:tcPr>
            <w:tcW w:w="1300" w:type="dxa"/>
            <w:tcBorders>
              <w:top w:val="single" w:sz="12" w:space="0" w:color="auto"/>
              <w:bottom w:val="single" w:sz="12" w:space="0" w:color="auto"/>
            </w:tcBorders>
            <w:shd w:val="clear" w:color="auto" w:fill="auto"/>
            <w:vAlign w:val="center"/>
            <w:hideMark/>
          </w:tcPr>
          <w:p w14:paraId="72C559BE" w14:textId="77777777" w:rsidR="00F0236A" w:rsidRPr="0042750D" w:rsidRDefault="00F0236A" w:rsidP="00DF36E1">
            <w:pPr>
              <w:pStyle w:val="Tablehead"/>
              <w:rPr>
                <w:sz w:val="24"/>
                <w:szCs w:val="24"/>
              </w:rPr>
            </w:pPr>
            <w:r w:rsidRPr="0042750D">
              <w:rPr>
                <w:sz w:val="24"/>
                <w:szCs w:val="24"/>
              </w:rPr>
              <w:t>Milestone</w:t>
            </w:r>
          </w:p>
        </w:tc>
        <w:tc>
          <w:tcPr>
            <w:tcW w:w="1146" w:type="dxa"/>
            <w:tcBorders>
              <w:top w:val="single" w:sz="12" w:space="0" w:color="auto"/>
              <w:bottom w:val="single" w:sz="12" w:space="0" w:color="auto"/>
            </w:tcBorders>
            <w:shd w:val="clear" w:color="auto" w:fill="auto"/>
          </w:tcPr>
          <w:p w14:paraId="1810CA08"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723600F"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3E95D12D" w14:textId="77777777" w:rsidTr="00A9745F">
        <w:trPr>
          <w:cantSplit/>
          <w:jc w:val="center"/>
        </w:trPr>
        <w:tc>
          <w:tcPr>
            <w:tcW w:w="1135" w:type="dxa"/>
            <w:vMerge w:val="restart"/>
            <w:tcBorders>
              <w:top w:val="single" w:sz="12" w:space="0" w:color="auto"/>
            </w:tcBorders>
            <w:shd w:val="clear" w:color="auto" w:fill="auto"/>
          </w:tcPr>
          <w:p w14:paraId="57017145" w14:textId="771636C4" w:rsidR="00F0236A" w:rsidRPr="0042750D" w:rsidRDefault="00672466" w:rsidP="00DF36E1">
            <w:pPr>
              <w:pStyle w:val="Tabletext"/>
              <w:rPr>
                <w:b/>
                <w:bCs/>
                <w:sz w:val="24"/>
                <w:szCs w:val="24"/>
              </w:rPr>
            </w:pPr>
            <w:r w:rsidRPr="0042750D">
              <w:rPr>
                <w:b/>
                <w:bCs/>
                <w:sz w:val="24"/>
                <w:szCs w:val="24"/>
              </w:rPr>
              <w:t>184</w:t>
            </w:r>
            <w:r w:rsidR="00F0236A" w:rsidRPr="0042750D">
              <w:rPr>
                <w:b/>
                <w:bCs/>
                <w:sz w:val="24"/>
                <w:szCs w:val="24"/>
              </w:rPr>
              <w:t>-01</w:t>
            </w:r>
          </w:p>
        </w:tc>
        <w:tc>
          <w:tcPr>
            <w:tcW w:w="5013" w:type="dxa"/>
            <w:tcBorders>
              <w:top w:val="single" w:sz="12" w:space="0" w:color="auto"/>
              <w:bottom w:val="single" w:sz="2" w:space="0" w:color="auto"/>
            </w:tcBorders>
            <w:shd w:val="clear" w:color="auto" w:fill="auto"/>
            <w:hideMark/>
          </w:tcPr>
          <w:p w14:paraId="6D633597" w14:textId="6EF5BC14" w:rsidR="00F0236A" w:rsidRPr="0042750D" w:rsidRDefault="00A9745F" w:rsidP="00A9745F">
            <w:pPr>
              <w:pStyle w:val="Tabletext"/>
              <w:rPr>
                <w:b/>
                <w:bCs/>
                <w:sz w:val="24"/>
                <w:szCs w:val="24"/>
              </w:rPr>
            </w:pPr>
            <w:r w:rsidRPr="0042750D">
              <w:rPr>
                <w:b/>
                <w:bCs/>
                <w:sz w:val="24"/>
                <w:szCs w:val="24"/>
              </w:rPr>
              <w:t xml:space="preserve">TSBDir to </w:t>
            </w:r>
            <w:r w:rsidR="00672466" w:rsidRPr="0042750D">
              <w:rPr>
                <w:b/>
                <w:bCs/>
                <w:sz w:val="24"/>
                <w:szCs w:val="24"/>
              </w:rPr>
              <w:t>extend the provision of ITU fellowships to indigenous peoples</w:t>
            </w:r>
            <w:r w:rsidR="003A2AA3" w:rsidRPr="0042750D">
              <w:rPr>
                <w:b/>
                <w:bCs/>
                <w:sz w:val="24"/>
                <w:szCs w:val="24"/>
              </w:rPr>
              <w:t xml:space="preserve"> (</w:t>
            </w:r>
            <w:r w:rsidR="003A2AA3" w:rsidRPr="0042750D">
              <w:rPr>
                <w:b/>
                <w:bCs/>
                <w:i/>
                <w:sz w:val="24"/>
                <w:szCs w:val="24"/>
              </w:rPr>
              <w:t>resoloves 1</w:t>
            </w:r>
            <w:r w:rsidR="003A2AA3" w:rsidRPr="0042750D">
              <w:rPr>
                <w:b/>
                <w:bCs/>
                <w:sz w:val="24"/>
                <w:szCs w:val="24"/>
              </w:rPr>
              <w:t>)</w:t>
            </w:r>
            <w:r w:rsidR="00672466" w:rsidRPr="0042750D">
              <w:rPr>
                <w:b/>
                <w:bCs/>
                <w:sz w:val="24"/>
                <w:szCs w:val="24"/>
              </w:rPr>
              <w:t>.</w:t>
            </w:r>
          </w:p>
        </w:tc>
        <w:tc>
          <w:tcPr>
            <w:tcW w:w="1300" w:type="dxa"/>
            <w:tcBorders>
              <w:top w:val="single" w:sz="12" w:space="0" w:color="auto"/>
              <w:bottom w:val="single" w:sz="2" w:space="0" w:color="auto"/>
            </w:tcBorders>
            <w:shd w:val="clear" w:color="auto" w:fill="auto"/>
            <w:vAlign w:val="center"/>
          </w:tcPr>
          <w:p w14:paraId="120BC450"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6" w:type="dxa"/>
            <w:tcBorders>
              <w:top w:val="single" w:sz="12" w:space="0" w:color="auto"/>
              <w:bottom w:val="single" w:sz="2" w:space="0" w:color="auto"/>
            </w:tcBorders>
            <w:shd w:val="clear" w:color="auto" w:fill="auto"/>
            <w:vAlign w:val="center"/>
          </w:tcPr>
          <w:p w14:paraId="6876FE9C" w14:textId="2D325C20" w:rsidR="00F0236A" w:rsidRPr="0042750D" w:rsidRDefault="00F0236A" w:rsidP="00DF36E1">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812A6CD" w14:textId="77777777" w:rsidR="00F0236A" w:rsidRPr="0042750D" w:rsidRDefault="00F0236A" w:rsidP="00DF36E1">
            <w:pPr>
              <w:pStyle w:val="Tabletext"/>
              <w:jc w:val="center"/>
              <w:rPr>
                <w:b/>
                <w:bCs/>
                <w:sz w:val="24"/>
                <w:szCs w:val="24"/>
              </w:rPr>
            </w:pPr>
          </w:p>
        </w:tc>
      </w:tr>
      <w:tr w:rsidR="00F0236A" w:rsidRPr="0042750D" w14:paraId="2E11D435" w14:textId="77777777" w:rsidTr="00A4778B">
        <w:trPr>
          <w:cantSplit/>
          <w:jc w:val="center"/>
        </w:trPr>
        <w:tc>
          <w:tcPr>
            <w:tcW w:w="1135" w:type="dxa"/>
            <w:vMerge/>
            <w:tcBorders>
              <w:bottom w:val="single" w:sz="12" w:space="0" w:color="auto"/>
            </w:tcBorders>
            <w:shd w:val="clear" w:color="auto" w:fill="auto"/>
          </w:tcPr>
          <w:p w14:paraId="148688DC" w14:textId="77777777" w:rsidR="00F0236A" w:rsidRPr="0042750D" w:rsidRDefault="00F0236A" w:rsidP="00DF36E1">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083D2DC7" w14:textId="01F5F599" w:rsidR="008B46FD" w:rsidRPr="0042750D" w:rsidRDefault="008B46FD" w:rsidP="008906C1">
            <w:pPr>
              <w:pStyle w:val="Tabletext"/>
              <w:rPr>
                <w:szCs w:val="22"/>
              </w:rPr>
            </w:pPr>
          </w:p>
        </w:tc>
      </w:tr>
    </w:tbl>
    <w:bookmarkStart w:id="325" w:name="Item79_01"/>
    <w:bookmarkStart w:id="326" w:name="Item79_02"/>
    <w:bookmarkStart w:id="327" w:name="Item79_03"/>
    <w:bookmarkStart w:id="328" w:name="Item79_04"/>
    <w:bookmarkStart w:id="329" w:name="Item79_05"/>
    <w:bookmarkStart w:id="330" w:name="Item79_06"/>
    <w:bookmarkEnd w:id="325"/>
    <w:bookmarkEnd w:id="326"/>
    <w:bookmarkEnd w:id="327"/>
    <w:bookmarkEnd w:id="328"/>
    <w:bookmarkEnd w:id="329"/>
    <w:bookmarkEnd w:id="330"/>
    <w:p w14:paraId="291209B9"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33874DD3" w14:textId="4B8CA02A" w:rsidR="00F0236A" w:rsidRPr="0042750D" w:rsidRDefault="006A56C2" w:rsidP="00646DE3">
      <w:pPr>
        <w:keepNext/>
        <w:keepLines/>
        <w:rPr>
          <w:b/>
          <w:bCs/>
          <w:sz w:val="24"/>
        </w:rPr>
      </w:pPr>
      <w:r w:rsidRPr="0042750D">
        <w:rPr>
          <w:rFonts w:eastAsia="Times New Roman"/>
          <w:b/>
          <w:color w:val="000000"/>
          <w:sz w:val="24"/>
          <w:u w:val="single"/>
          <w:lang w:eastAsia="x-none"/>
        </w:rPr>
        <w:t>RESOLUTION 188 (REV. DUBAI, 2018) – Combating counterfeit telecommunication/information and communication technology devices</w:t>
      </w:r>
    </w:p>
    <w:p w14:paraId="6B9859D6" w14:textId="77777777" w:rsidR="006A56C2" w:rsidRPr="0042750D" w:rsidRDefault="006A56C2" w:rsidP="00646DE3">
      <w:pPr>
        <w:pStyle w:val="Call"/>
        <w:rPr>
          <w:szCs w:val="22"/>
          <w:lang w:val="en-GB"/>
        </w:rPr>
      </w:pPr>
      <w:r w:rsidRPr="0042750D">
        <w:rPr>
          <w:szCs w:val="22"/>
          <w:lang w:val="en-GB"/>
        </w:rPr>
        <w:t>resolves to instruct the Directors of the three Bureaux</w:t>
      </w:r>
    </w:p>
    <w:p w14:paraId="4EBB5064" w14:textId="77777777" w:rsidR="006A56C2" w:rsidRPr="0042750D" w:rsidRDefault="006A56C2" w:rsidP="00380503">
      <w:pPr>
        <w:rPr>
          <w:szCs w:val="22"/>
        </w:rPr>
      </w:pPr>
      <w:r w:rsidRPr="0042750D">
        <w:rPr>
          <w:szCs w:val="22"/>
        </w:rPr>
        <w:t>1</w:t>
      </w:r>
      <w:r w:rsidRPr="0042750D">
        <w:rPr>
          <w:szCs w:val="22"/>
        </w:rPr>
        <w:tab/>
        <w:t xml:space="preserve">to assist Member States in addressing their concerns with respect to counterfeit </w:t>
      </w:r>
      <w:r w:rsidRPr="0042750D">
        <w:rPr>
          <w:rFonts w:eastAsia="MS Mincho"/>
          <w:szCs w:val="22"/>
        </w:rPr>
        <w:t xml:space="preserve">telecommunication/ICT devices, </w:t>
      </w:r>
      <w:r w:rsidRPr="0042750D">
        <w:rPr>
          <w:szCs w:val="22"/>
        </w:rPr>
        <w:t>through information sharing, seminars and workshops, at regional or global level, including conformity assessment systems;</w:t>
      </w:r>
    </w:p>
    <w:p w14:paraId="1330DE4A" w14:textId="3B677751" w:rsidR="00F0236A" w:rsidRPr="0042750D" w:rsidRDefault="006A56C2" w:rsidP="006A56C2">
      <w:pPr>
        <w:spacing w:after="120"/>
        <w:rPr>
          <w:rFonts w:eastAsia="MS Mincho"/>
          <w:szCs w:val="22"/>
        </w:rPr>
      </w:pPr>
      <w:r w:rsidRPr="0042750D">
        <w:rPr>
          <w:szCs w:val="22"/>
        </w:rPr>
        <w:t>2</w:t>
      </w:r>
      <w:r w:rsidRPr="0042750D">
        <w:rPr>
          <w:szCs w:val="22"/>
        </w:rPr>
        <w:tab/>
        <w:t xml:space="preserve">to assist all the membership, </w:t>
      </w:r>
      <w:r w:rsidRPr="0042750D">
        <w:rPr>
          <w:rFonts w:eastAsia="MS Mincho"/>
          <w:szCs w:val="22"/>
        </w:rPr>
        <w:t>considering relevant ITU</w:t>
      </w:r>
      <w:r w:rsidRPr="0042750D">
        <w:rPr>
          <w:rFonts w:eastAsia="MS Mincho"/>
          <w:szCs w:val="22"/>
        </w:rPr>
        <w:noBreakHyphen/>
        <w:t>T recommendations,</w:t>
      </w:r>
      <w:r w:rsidRPr="0042750D">
        <w:rPr>
          <w:szCs w:val="22"/>
        </w:rPr>
        <w:t xml:space="preserve"> in taking the necessary actions to prevent or detect the tampering with (making unauthorized changes to) and/or duplication of </w:t>
      </w:r>
      <w:r w:rsidRPr="0042750D">
        <w:rPr>
          <w:rFonts w:eastAsia="MS Mincho"/>
          <w:szCs w:val="22"/>
        </w:rPr>
        <w:t>unique device identifiers, interacting with other telecommunication SDOs related to these matters</w:t>
      </w:r>
      <w:r w:rsidR="00F0236A" w:rsidRPr="0042750D">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F0236A" w:rsidRPr="0042750D" w14:paraId="6C6CF881" w14:textId="77777777" w:rsidTr="00043514">
        <w:trPr>
          <w:tblHeader/>
          <w:jc w:val="center"/>
        </w:trPr>
        <w:tc>
          <w:tcPr>
            <w:tcW w:w="1117" w:type="dxa"/>
            <w:tcBorders>
              <w:top w:val="single" w:sz="12" w:space="0" w:color="auto"/>
              <w:bottom w:val="single" w:sz="12" w:space="0" w:color="auto"/>
            </w:tcBorders>
            <w:shd w:val="clear" w:color="auto" w:fill="auto"/>
            <w:vAlign w:val="center"/>
          </w:tcPr>
          <w:p w14:paraId="54CC7680" w14:textId="77777777" w:rsidR="00F0236A" w:rsidRPr="0042750D" w:rsidRDefault="00F0236A" w:rsidP="00515FDC">
            <w:pPr>
              <w:pStyle w:val="Tablehead"/>
              <w:keepNext w:val="0"/>
              <w:rPr>
                <w:sz w:val="24"/>
                <w:szCs w:val="24"/>
              </w:rPr>
            </w:pPr>
            <w:r w:rsidRPr="0042750D">
              <w:rPr>
                <w:sz w:val="24"/>
                <w:szCs w:val="24"/>
              </w:rPr>
              <w:t>Action Item</w:t>
            </w:r>
          </w:p>
        </w:tc>
        <w:tc>
          <w:tcPr>
            <w:tcW w:w="4777" w:type="dxa"/>
            <w:tcBorders>
              <w:top w:val="single" w:sz="12" w:space="0" w:color="auto"/>
              <w:bottom w:val="single" w:sz="12" w:space="0" w:color="auto"/>
            </w:tcBorders>
            <w:shd w:val="clear" w:color="auto" w:fill="auto"/>
            <w:vAlign w:val="center"/>
            <w:hideMark/>
          </w:tcPr>
          <w:p w14:paraId="42EB007D" w14:textId="77777777" w:rsidR="00F0236A" w:rsidRPr="0042750D" w:rsidRDefault="00F0236A" w:rsidP="00DF36E1">
            <w:pPr>
              <w:pStyle w:val="Tablehead"/>
              <w:keepLines/>
              <w:rPr>
                <w:sz w:val="24"/>
                <w:szCs w:val="24"/>
              </w:rPr>
            </w:pPr>
            <w:r w:rsidRPr="0042750D">
              <w:rPr>
                <w:sz w:val="24"/>
                <w:szCs w:val="24"/>
              </w:rPr>
              <w:t>Action</w:t>
            </w:r>
          </w:p>
        </w:tc>
        <w:tc>
          <w:tcPr>
            <w:tcW w:w="1563" w:type="dxa"/>
            <w:tcBorders>
              <w:top w:val="single" w:sz="12" w:space="0" w:color="auto"/>
              <w:bottom w:val="single" w:sz="12" w:space="0" w:color="auto"/>
            </w:tcBorders>
            <w:shd w:val="clear" w:color="auto" w:fill="auto"/>
            <w:vAlign w:val="center"/>
            <w:hideMark/>
          </w:tcPr>
          <w:p w14:paraId="4C7E9C24" w14:textId="77777777" w:rsidR="00F0236A" w:rsidRPr="0042750D" w:rsidRDefault="00F0236A" w:rsidP="00DF36E1">
            <w:pPr>
              <w:pStyle w:val="Tablehead"/>
              <w:keepLines/>
              <w:rPr>
                <w:sz w:val="24"/>
                <w:szCs w:val="24"/>
              </w:rPr>
            </w:pPr>
            <w:r w:rsidRPr="0042750D">
              <w:rPr>
                <w:sz w:val="24"/>
                <w:szCs w:val="24"/>
              </w:rPr>
              <w:t>Milestone</w:t>
            </w:r>
          </w:p>
        </w:tc>
        <w:tc>
          <w:tcPr>
            <w:tcW w:w="1139" w:type="dxa"/>
            <w:tcBorders>
              <w:top w:val="single" w:sz="12" w:space="0" w:color="auto"/>
              <w:bottom w:val="single" w:sz="12" w:space="0" w:color="auto"/>
            </w:tcBorders>
            <w:shd w:val="clear" w:color="auto" w:fill="auto"/>
          </w:tcPr>
          <w:p w14:paraId="3038FE06" w14:textId="77777777" w:rsidR="00F0236A" w:rsidRPr="0042750D" w:rsidRDefault="00F0236A" w:rsidP="00DF36E1">
            <w:pPr>
              <w:pStyle w:val="Tablehead"/>
              <w:keepLines/>
              <w:rPr>
                <w:sz w:val="24"/>
                <w:szCs w:val="24"/>
              </w:rPr>
            </w:pPr>
            <w:r w:rsidRPr="0042750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760A11" w14:textId="77777777" w:rsidR="00F0236A" w:rsidRPr="0042750D" w:rsidRDefault="00F0236A" w:rsidP="00DF36E1">
            <w:pPr>
              <w:pStyle w:val="Tablehead"/>
              <w:keepLines/>
              <w:rPr>
                <w:sz w:val="24"/>
                <w:szCs w:val="24"/>
              </w:rPr>
            </w:pPr>
            <w:r w:rsidRPr="0042750D">
              <w:rPr>
                <w:sz w:val="24"/>
                <w:szCs w:val="24"/>
              </w:rPr>
              <w:t>Completed</w:t>
            </w:r>
          </w:p>
        </w:tc>
      </w:tr>
      <w:tr w:rsidR="00F0236A" w:rsidRPr="0042750D" w14:paraId="33E98809" w14:textId="77777777" w:rsidTr="00A4778B">
        <w:trPr>
          <w:jc w:val="center"/>
        </w:trPr>
        <w:tc>
          <w:tcPr>
            <w:tcW w:w="1117" w:type="dxa"/>
            <w:vMerge w:val="restart"/>
            <w:tcBorders>
              <w:top w:val="single" w:sz="12" w:space="0" w:color="auto"/>
            </w:tcBorders>
            <w:shd w:val="clear" w:color="auto" w:fill="auto"/>
          </w:tcPr>
          <w:p w14:paraId="2B864DE6" w14:textId="5BE1B418" w:rsidR="00F0236A" w:rsidRPr="0042750D" w:rsidRDefault="006A56C2" w:rsidP="00515FDC">
            <w:pPr>
              <w:pStyle w:val="Tabletext"/>
              <w:rPr>
                <w:b/>
                <w:bCs/>
                <w:sz w:val="24"/>
                <w:szCs w:val="24"/>
              </w:rPr>
            </w:pPr>
            <w:r w:rsidRPr="0042750D">
              <w:rPr>
                <w:b/>
                <w:bCs/>
                <w:sz w:val="24"/>
                <w:szCs w:val="24"/>
              </w:rPr>
              <w:t>188</w:t>
            </w:r>
            <w:r w:rsidR="00F0236A" w:rsidRPr="0042750D">
              <w:rPr>
                <w:b/>
                <w:bCs/>
                <w:sz w:val="24"/>
                <w:szCs w:val="24"/>
              </w:rPr>
              <w:t>-01</w:t>
            </w:r>
          </w:p>
        </w:tc>
        <w:tc>
          <w:tcPr>
            <w:tcW w:w="4777" w:type="dxa"/>
            <w:tcBorders>
              <w:top w:val="single" w:sz="12" w:space="0" w:color="auto"/>
              <w:bottom w:val="single" w:sz="2" w:space="0" w:color="auto"/>
            </w:tcBorders>
            <w:shd w:val="clear" w:color="auto" w:fill="auto"/>
            <w:hideMark/>
          </w:tcPr>
          <w:p w14:paraId="5A672CB9" w14:textId="057701A5" w:rsidR="00F0236A" w:rsidRPr="0042750D" w:rsidRDefault="006A56C2" w:rsidP="00515FDC">
            <w:pPr>
              <w:pStyle w:val="Tabletext"/>
              <w:rPr>
                <w:b/>
                <w:bCs/>
                <w:sz w:val="24"/>
                <w:szCs w:val="24"/>
              </w:rPr>
            </w:pPr>
            <w:r w:rsidRPr="0042750D">
              <w:rPr>
                <w:b/>
                <w:bCs/>
                <w:sz w:val="24"/>
                <w:szCs w:val="24"/>
              </w:rPr>
              <w:t>TSBDir to assist Member States in addressing their concerns with respect to counterfeit telecommunication/ICT devices, through information sharing, seminars and workshops, at regional or global level, including conformity assessment systems</w:t>
            </w:r>
            <w:r w:rsidR="003A2AA3" w:rsidRPr="0042750D">
              <w:rPr>
                <w:b/>
                <w:bCs/>
                <w:sz w:val="24"/>
                <w:szCs w:val="24"/>
              </w:rPr>
              <w:t xml:space="preserve"> (</w:t>
            </w:r>
            <w:r w:rsidR="003A2AA3" w:rsidRPr="0042750D">
              <w:rPr>
                <w:b/>
                <w:bCs/>
                <w:i/>
                <w:sz w:val="24"/>
                <w:szCs w:val="24"/>
              </w:rPr>
              <w:t>resolves 1</w:t>
            </w:r>
            <w:r w:rsidR="003A2AA3" w:rsidRPr="0042750D">
              <w:rPr>
                <w:b/>
                <w:bCs/>
                <w:sz w:val="24"/>
                <w:szCs w:val="24"/>
              </w:rPr>
              <w:t>)</w:t>
            </w:r>
            <w:r w:rsidRPr="0042750D">
              <w:rPr>
                <w:b/>
                <w:bCs/>
                <w:sz w:val="24"/>
                <w:szCs w:val="24"/>
              </w:rPr>
              <w:t>.</w:t>
            </w:r>
          </w:p>
        </w:tc>
        <w:tc>
          <w:tcPr>
            <w:tcW w:w="1563" w:type="dxa"/>
            <w:tcBorders>
              <w:top w:val="single" w:sz="12" w:space="0" w:color="auto"/>
              <w:bottom w:val="single" w:sz="2" w:space="0" w:color="auto"/>
            </w:tcBorders>
            <w:shd w:val="clear" w:color="auto" w:fill="auto"/>
            <w:vAlign w:val="center"/>
          </w:tcPr>
          <w:p w14:paraId="432B8994" w14:textId="77777777" w:rsidR="00F0236A" w:rsidRPr="0042750D" w:rsidRDefault="00F0236A" w:rsidP="00515FDC">
            <w:pPr>
              <w:pStyle w:val="Tabletext"/>
              <w:jc w:val="center"/>
              <w:rPr>
                <w:b/>
                <w:bCs/>
                <w:sz w:val="24"/>
                <w:szCs w:val="24"/>
              </w:rPr>
            </w:pPr>
            <w:r w:rsidRPr="0042750D">
              <w:rPr>
                <w:b/>
                <w:bCs/>
                <w:sz w:val="24"/>
                <w:szCs w:val="24"/>
              </w:rPr>
              <w:t>Ongoing</w:t>
            </w:r>
          </w:p>
        </w:tc>
        <w:tc>
          <w:tcPr>
            <w:tcW w:w="1139" w:type="dxa"/>
            <w:tcBorders>
              <w:top w:val="single" w:sz="12" w:space="0" w:color="auto"/>
              <w:bottom w:val="single" w:sz="2" w:space="0" w:color="auto"/>
            </w:tcBorders>
            <w:shd w:val="clear" w:color="auto" w:fill="auto"/>
            <w:vAlign w:val="center"/>
          </w:tcPr>
          <w:p w14:paraId="7849BA78" w14:textId="515260ED" w:rsidR="00F0236A" w:rsidRPr="0042750D" w:rsidRDefault="00380503" w:rsidP="00515FDC">
            <w:pPr>
              <w:pStyle w:val="Tabletext"/>
              <w:jc w:val="center"/>
              <w:rPr>
                <w:b/>
                <w:bCs/>
                <w:sz w:val="24"/>
                <w:szCs w:val="24"/>
              </w:rPr>
            </w:pPr>
            <w:r w:rsidRPr="0042750D">
              <w:rPr>
                <w:b/>
                <w:bCs/>
                <w:sz w:val="24"/>
                <w:szCs w:val="24"/>
              </w:rPr>
              <w:t>√</w:t>
            </w:r>
          </w:p>
        </w:tc>
        <w:tc>
          <w:tcPr>
            <w:tcW w:w="1336" w:type="dxa"/>
            <w:tcBorders>
              <w:top w:val="single" w:sz="12" w:space="0" w:color="auto"/>
              <w:bottom w:val="single" w:sz="2" w:space="0" w:color="auto"/>
            </w:tcBorders>
            <w:shd w:val="clear" w:color="auto" w:fill="auto"/>
            <w:vAlign w:val="center"/>
          </w:tcPr>
          <w:p w14:paraId="3F838747" w14:textId="77777777" w:rsidR="00F0236A" w:rsidRPr="0042750D" w:rsidRDefault="00F0236A" w:rsidP="00515FDC">
            <w:pPr>
              <w:pStyle w:val="Tabletext"/>
              <w:jc w:val="center"/>
              <w:rPr>
                <w:b/>
                <w:bCs/>
                <w:sz w:val="24"/>
                <w:szCs w:val="24"/>
              </w:rPr>
            </w:pPr>
          </w:p>
        </w:tc>
      </w:tr>
      <w:tr w:rsidR="00F0236A" w:rsidRPr="0042750D" w14:paraId="679EF524" w14:textId="77777777" w:rsidTr="00A4778B">
        <w:trPr>
          <w:jc w:val="center"/>
        </w:trPr>
        <w:tc>
          <w:tcPr>
            <w:tcW w:w="1117" w:type="dxa"/>
            <w:vMerge/>
            <w:tcBorders>
              <w:bottom w:val="single" w:sz="12" w:space="0" w:color="auto"/>
            </w:tcBorders>
            <w:shd w:val="clear" w:color="auto" w:fill="auto"/>
          </w:tcPr>
          <w:p w14:paraId="2114818F" w14:textId="77777777" w:rsidR="00F0236A" w:rsidRPr="0042750D" w:rsidRDefault="00F0236A" w:rsidP="00515FDC">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14195B63" w14:textId="77777777" w:rsidR="00380503" w:rsidRPr="0042750D" w:rsidRDefault="00380503" w:rsidP="00515FDC">
            <w:pPr>
              <w:pStyle w:val="Tabletext"/>
              <w:rPr>
                <w:szCs w:val="22"/>
              </w:rPr>
            </w:pPr>
            <w:r w:rsidRPr="0042750D">
              <w:rPr>
                <w:szCs w:val="22"/>
              </w:rPr>
              <w:t>In March 2019, following Member States consultation (Resolution 1 of WTSA-16), ITU-T SG11 approved new Recommendation ITU-T Q.5050 “Framework for solution to combat counterfeit ICT devices” which contains the reference framework and requirements to be considered when deploying solutions to combat the circulation and use of counterfeit ICT devices.</w:t>
            </w:r>
          </w:p>
          <w:p w14:paraId="3F0095A4" w14:textId="703C8E62" w:rsidR="00F0236A" w:rsidRPr="0042750D" w:rsidRDefault="00380503" w:rsidP="00515FDC">
            <w:pPr>
              <w:pStyle w:val="Tabletext"/>
              <w:rPr>
                <w:szCs w:val="22"/>
              </w:rPr>
            </w:pPr>
            <w:r w:rsidRPr="0042750D">
              <w:rPr>
                <w:szCs w:val="22"/>
              </w:rPr>
              <w:t xml:space="preserve">TSB is organizing Regional Workshops on combating counterfeiting ICT devices. The third ITU-T Study Group 11 Regional Workshop for Africa on “Counterfeit ICT Devices, Conformance and Interoperability Testing Challenges in Africa” </w:t>
            </w:r>
            <w:r w:rsidR="004A6354" w:rsidRPr="0042750D">
              <w:rPr>
                <w:szCs w:val="22"/>
              </w:rPr>
              <w:t>took</w:t>
            </w:r>
            <w:r w:rsidRPr="0042750D">
              <w:rPr>
                <w:szCs w:val="22"/>
              </w:rPr>
              <w:t xml:space="preserve"> place in Tunis (Tunisia) on 30 September 2019</w:t>
            </w:r>
            <w:r w:rsidR="004A6354" w:rsidRPr="0042750D">
              <w:rPr>
                <w:szCs w:val="22"/>
              </w:rPr>
              <w:t xml:space="preserve">, back-to-back with </w:t>
            </w:r>
            <w:r w:rsidRPr="0042750D">
              <w:rPr>
                <w:szCs w:val="22"/>
              </w:rPr>
              <w:t>the ITU-T SG11 Regional group meeting for Africa (SG11RG-AFR).</w:t>
            </w:r>
          </w:p>
          <w:p w14:paraId="1479971D" w14:textId="77777777" w:rsidR="004A6354" w:rsidRPr="0042750D" w:rsidRDefault="004A6354" w:rsidP="00515FDC">
            <w:pPr>
              <w:pStyle w:val="Tabletext"/>
              <w:rPr>
                <w:color w:val="000000" w:themeColor="text1"/>
                <w:lang w:eastAsia="ko-KR"/>
              </w:rPr>
            </w:pPr>
            <w:r w:rsidRPr="0042750D">
              <w:rPr>
                <w:color w:val="000000" w:themeColor="text1"/>
                <w:lang w:eastAsia="ko-KR"/>
              </w:rPr>
              <w:t xml:space="preserve">SG11RG-AFR considered a necessity to begin extensive discussion within the region for implementation of strategies for combating counterfeiting mobile devices and fraud. This decision was based on the draft </w:t>
            </w:r>
            <w:r w:rsidRPr="0042750D">
              <w:rPr>
                <w:szCs w:val="22"/>
              </w:rPr>
              <w:t>contribution “</w:t>
            </w:r>
            <w:r w:rsidRPr="0042750D">
              <w:rPr>
                <w:color w:val="000000" w:themeColor="text1"/>
                <w:lang w:eastAsia="ko-KR"/>
              </w:rPr>
              <w:t>Framework on combating counterfeit and stolen ICT mobile devices in Africa region” which was discussed at the SG11RG-AFR meeting and further submitted to SG11 meeting (October 2019).</w:t>
            </w:r>
          </w:p>
          <w:p w14:paraId="2ABB1EF2" w14:textId="17A6E18B" w:rsidR="004A6354" w:rsidRPr="0042750D" w:rsidRDefault="004A6354" w:rsidP="00515FDC">
            <w:pPr>
              <w:pStyle w:val="Tabletext"/>
              <w:rPr>
                <w:szCs w:val="22"/>
              </w:rPr>
            </w:pPr>
            <w:r w:rsidRPr="0042750D">
              <w:rPr>
                <w:color w:val="000000" w:themeColor="text1"/>
                <w:lang w:eastAsia="ko-KR"/>
              </w:rPr>
              <w:t>In this regard, there is call for African regulators associations to arrange a joint meeting in order to set up a common strategy based on the proposed technical report. This approach will help all Members States of the Africa region to protect innovations, brands and genuine products in the market and support products circulation to protect health, safety and security of consumers in the Africa region.</w:t>
            </w:r>
          </w:p>
        </w:tc>
      </w:tr>
      <w:tr w:rsidR="00F0236A" w:rsidRPr="0042750D" w14:paraId="7BDDD7F9" w14:textId="77777777" w:rsidTr="00A4778B">
        <w:trPr>
          <w:jc w:val="center"/>
        </w:trPr>
        <w:tc>
          <w:tcPr>
            <w:tcW w:w="1117" w:type="dxa"/>
            <w:vMerge w:val="restart"/>
            <w:tcBorders>
              <w:top w:val="single" w:sz="12" w:space="0" w:color="auto"/>
            </w:tcBorders>
            <w:shd w:val="clear" w:color="auto" w:fill="auto"/>
          </w:tcPr>
          <w:p w14:paraId="582F4E01" w14:textId="2BF96105" w:rsidR="00F0236A" w:rsidRPr="0042750D" w:rsidRDefault="00D2038A" w:rsidP="00DF36E1">
            <w:pPr>
              <w:pStyle w:val="Tabletext"/>
              <w:rPr>
                <w:b/>
                <w:bCs/>
                <w:sz w:val="24"/>
                <w:szCs w:val="24"/>
              </w:rPr>
            </w:pPr>
            <w:r w:rsidRPr="0042750D">
              <w:rPr>
                <w:b/>
                <w:bCs/>
                <w:sz w:val="24"/>
                <w:szCs w:val="24"/>
              </w:rPr>
              <w:t>188-02</w:t>
            </w:r>
          </w:p>
        </w:tc>
        <w:tc>
          <w:tcPr>
            <w:tcW w:w="4777" w:type="dxa"/>
            <w:tcBorders>
              <w:top w:val="single" w:sz="12" w:space="0" w:color="auto"/>
            </w:tcBorders>
            <w:shd w:val="clear" w:color="auto" w:fill="auto"/>
            <w:hideMark/>
          </w:tcPr>
          <w:p w14:paraId="29D053BB" w14:textId="4B576412" w:rsidR="00F0236A" w:rsidRPr="0042750D" w:rsidRDefault="00D2038A" w:rsidP="00DF36E1">
            <w:pPr>
              <w:pStyle w:val="Tabletext"/>
              <w:rPr>
                <w:b/>
                <w:bCs/>
                <w:sz w:val="24"/>
                <w:szCs w:val="24"/>
              </w:rPr>
            </w:pPr>
            <w:r w:rsidRPr="0042750D">
              <w:rPr>
                <w:b/>
                <w:bCs/>
                <w:sz w:val="24"/>
                <w:szCs w:val="24"/>
              </w:rPr>
              <w:t>TSBDir to assist all the membership, considering relevant ITU-T recommendations, in taking the necessary actions to prevent or detect the tampering with (making unauthorized changes to) and/or duplication of unique device identifiers, interacting with other telecommunication SDOs related to these matters</w:t>
            </w:r>
            <w:r w:rsidR="003A2AA3" w:rsidRPr="0042750D">
              <w:rPr>
                <w:b/>
                <w:bCs/>
                <w:sz w:val="24"/>
                <w:szCs w:val="24"/>
              </w:rPr>
              <w:t xml:space="preserve"> (</w:t>
            </w:r>
            <w:r w:rsidR="003A2AA3" w:rsidRPr="0042750D">
              <w:rPr>
                <w:b/>
                <w:bCs/>
                <w:i/>
                <w:sz w:val="24"/>
                <w:szCs w:val="24"/>
              </w:rPr>
              <w:t>resolves 2</w:t>
            </w:r>
            <w:r w:rsidR="003A2AA3" w:rsidRPr="0042750D">
              <w:rPr>
                <w:b/>
                <w:bCs/>
                <w:sz w:val="24"/>
                <w:szCs w:val="24"/>
              </w:rPr>
              <w:t>)</w:t>
            </w:r>
            <w:r w:rsidRPr="0042750D">
              <w:rPr>
                <w:b/>
                <w:bCs/>
                <w:sz w:val="24"/>
                <w:szCs w:val="24"/>
              </w:rPr>
              <w:t>.</w:t>
            </w:r>
          </w:p>
        </w:tc>
        <w:tc>
          <w:tcPr>
            <w:tcW w:w="1563" w:type="dxa"/>
            <w:tcBorders>
              <w:top w:val="single" w:sz="12" w:space="0" w:color="auto"/>
            </w:tcBorders>
            <w:shd w:val="clear" w:color="auto" w:fill="auto"/>
            <w:vAlign w:val="center"/>
          </w:tcPr>
          <w:p w14:paraId="3828FED5" w14:textId="546D504F" w:rsidR="00F0236A" w:rsidRPr="0042750D" w:rsidRDefault="00D2038A" w:rsidP="00DF36E1">
            <w:pPr>
              <w:pStyle w:val="Tabletext"/>
              <w:jc w:val="center"/>
              <w:rPr>
                <w:b/>
                <w:bCs/>
                <w:sz w:val="24"/>
                <w:szCs w:val="24"/>
              </w:rPr>
            </w:pPr>
            <w:r w:rsidRPr="0042750D">
              <w:rPr>
                <w:b/>
                <w:bCs/>
                <w:sz w:val="24"/>
                <w:szCs w:val="24"/>
              </w:rPr>
              <w:t>Ongoing</w:t>
            </w:r>
          </w:p>
        </w:tc>
        <w:tc>
          <w:tcPr>
            <w:tcW w:w="1139" w:type="dxa"/>
            <w:tcBorders>
              <w:top w:val="single" w:sz="12" w:space="0" w:color="auto"/>
            </w:tcBorders>
            <w:shd w:val="clear" w:color="auto" w:fill="auto"/>
            <w:vAlign w:val="center"/>
          </w:tcPr>
          <w:p w14:paraId="17C4F950" w14:textId="6A8C0320" w:rsidR="00F0236A" w:rsidRPr="0042750D" w:rsidRDefault="00380503" w:rsidP="00DF36E1">
            <w:pPr>
              <w:pStyle w:val="Tabletext"/>
              <w:jc w:val="center"/>
              <w:rPr>
                <w:b/>
                <w:bCs/>
                <w:sz w:val="24"/>
                <w:szCs w:val="24"/>
              </w:rPr>
            </w:pPr>
            <w:r w:rsidRPr="0042750D">
              <w:rPr>
                <w:b/>
                <w:bCs/>
                <w:sz w:val="24"/>
                <w:szCs w:val="24"/>
              </w:rPr>
              <w:t>√</w:t>
            </w:r>
          </w:p>
        </w:tc>
        <w:tc>
          <w:tcPr>
            <w:tcW w:w="1336" w:type="dxa"/>
            <w:tcBorders>
              <w:top w:val="single" w:sz="12" w:space="0" w:color="auto"/>
            </w:tcBorders>
            <w:shd w:val="clear" w:color="auto" w:fill="auto"/>
            <w:vAlign w:val="center"/>
          </w:tcPr>
          <w:p w14:paraId="7A9D33EC" w14:textId="77777777" w:rsidR="00F0236A" w:rsidRPr="0042750D" w:rsidRDefault="00F0236A" w:rsidP="00DF36E1">
            <w:pPr>
              <w:pStyle w:val="Tabletext"/>
              <w:jc w:val="center"/>
              <w:rPr>
                <w:b/>
                <w:bCs/>
                <w:sz w:val="24"/>
                <w:szCs w:val="24"/>
              </w:rPr>
            </w:pPr>
          </w:p>
        </w:tc>
      </w:tr>
      <w:tr w:rsidR="00F0236A" w:rsidRPr="0042750D" w14:paraId="302BB4DD" w14:textId="77777777" w:rsidTr="00A4778B">
        <w:trPr>
          <w:jc w:val="center"/>
        </w:trPr>
        <w:tc>
          <w:tcPr>
            <w:tcW w:w="1117" w:type="dxa"/>
            <w:vMerge/>
            <w:shd w:val="clear" w:color="auto" w:fill="auto"/>
          </w:tcPr>
          <w:p w14:paraId="08B35363" w14:textId="77777777" w:rsidR="00F0236A" w:rsidRPr="0042750D" w:rsidRDefault="00F0236A" w:rsidP="00DF36E1">
            <w:pPr>
              <w:pStyle w:val="Tabletext"/>
              <w:rPr>
                <w:sz w:val="24"/>
                <w:szCs w:val="24"/>
              </w:rPr>
            </w:pPr>
          </w:p>
        </w:tc>
        <w:tc>
          <w:tcPr>
            <w:tcW w:w="8815" w:type="dxa"/>
            <w:gridSpan w:val="4"/>
            <w:shd w:val="clear" w:color="auto" w:fill="auto"/>
          </w:tcPr>
          <w:p w14:paraId="0ED5443E" w14:textId="77777777" w:rsidR="00F0236A" w:rsidRPr="0042750D" w:rsidRDefault="00380503" w:rsidP="00380503">
            <w:pPr>
              <w:pStyle w:val="Tabletext"/>
              <w:rPr>
                <w:szCs w:val="22"/>
              </w:rPr>
            </w:pPr>
            <w:r w:rsidRPr="0042750D">
              <w:rPr>
                <w:szCs w:val="22"/>
              </w:rPr>
              <w:t>Following the decision of Council-18 </w:t>
            </w:r>
            <w:r w:rsidRPr="0042750D">
              <w:rPr>
                <w:i/>
                <w:iCs/>
                <w:szCs w:val="22"/>
              </w:rPr>
              <w:t>(</w:t>
            </w:r>
            <w:hyperlink r:id="rId104" w:history="1">
              <w:r w:rsidRPr="0042750D">
                <w:rPr>
                  <w:rStyle w:val="Hyperlink"/>
                  <w:i/>
                  <w:iCs/>
                  <w:szCs w:val="22"/>
                </w:rPr>
                <w:t>C18/107</w:t>
              </w:r>
            </w:hyperlink>
            <w:r w:rsidRPr="0042750D">
              <w:rPr>
                <w:i/>
                <w:iCs/>
                <w:szCs w:val="22"/>
              </w:rPr>
              <w:t>, clause 2)</w:t>
            </w:r>
            <w:r w:rsidRPr="0042750D">
              <w:rPr>
                <w:szCs w:val="22"/>
              </w:rPr>
              <w:t>, ITU, in particular TSB, should be studying the questions raised by members on IMEI security in one of the ITU-T study groups. Council-18 report </w:t>
            </w:r>
            <w:r w:rsidRPr="0042750D">
              <w:rPr>
                <w:i/>
                <w:iCs/>
                <w:szCs w:val="22"/>
              </w:rPr>
              <w:t>(</w:t>
            </w:r>
            <w:hyperlink r:id="rId105" w:history="1">
              <w:r w:rsidRPr="0042750D">
                <w:rPr>
                  <w:rStyle w:val="Hyperlink"/>
                  <w:i/>
                  <w:iCs/>
                  <w:szCs w:val="22"/>
                </w:rPr>
                <w:t>C18/107</w:t>
              </w:r>
            </w:hyperlink>
            <w:r w:rsidRPr="0042750D">
              <w:rPr>
                <w:i/>
                <w:iCs/>
                <w:szCs w:val="22"/>
              </w:rPr>
              <w:t>) </w:t>
            </w:r>
            <w:r w:rsidRPr="0042750D">
              <w:rPr>
                <w:szCs w:val="22"/>
              </w:rPr>
              <w:t xml:space="preserve">requested </w:t>
            </w:r>
            <w:r w:rsidRPr="0042750D">
              <w:rPr>
                <w:i/>
                <w:iCs/>
                <w:szCs w:val="22"/>
              </w:rPr>
              <w:t>“ITU-T study groups, in particular Study Group 11, to continue to develop Recommendations, technical reports and guidelines to address the problems posed by counterfeits"</w:t>
            </w:r>
            <w:r w:rsidRPr="0042750D">
              <w:rPr>
                <w:szCs w:val="22"/>
              </w:rPr>
              <w:t>.</w:t>
            </w:r>
            <w:r w:rsidRPr="0042750D">
              <w:rPr>
                <w:szCs w:val="22"/>
              </w:rPr>
              <w:br/>
              <w:t>In this regard, following the contribution received and the report prepared by TSB, ITU-T SG11 decided to start a new work item TR-RLB-IMEI "Reliability of IMEI identifier". This technical report contains a study about key vulnerabilities on IMEI reprogramming on mobile devices and proposals to improve IMEI reliability.</w:t>
            </w:r>
          </w:p>
          <w:p w14:paraId="26A7C675" w14:textId="512AE7DE" w:rsidR="005F4B42" w:rsidRPr="0042750D" w:rsidRDefault="005F4B42" w:rsidP="005F4B42">
            <w:pPr>
              <w:pStyle w:val="Tabletext"/>
              <w:rPr>
                <w:szCs w:val="22"/>
              </w:rPr>
            </w:pPr>
            <w:r w:rsidRPr="0042750D">
              <w:rPr>
                <w:szCs w:val="22"/>
              </w:rPr>
              <w:t>SG11 started two new work items:</w:t>
            </w:r>
          </w:p>
          <w:p w14:paraId="0D75385F" w14:textId="39ABACC9" w:rsidR="005F4B42" w:rsidRPr="0042750D" w:rsidRDefault="005F4B42" w:rsidP="005F4B42">
            <w:pPr>
              <w:pStyle w:val="Tabletext"/>
              <w:numPr>
                <w:ilvl w:val="0"/>
                <w:numId w:val="21"/>
              </w:numPr>
              <w:tabs>
                <w:tab w:val="clear" w:pos="567"/>
                <w:tab w:val="left" w:pos="736"/>
              </w:tabs>
              <w:rPr>
                <w:szCs w:val="22"/>
              </w:rPr>
            </w:pPr>
            <w:r w:rsidRPr="0042750D">
              <w:rPr>
                <w:szCs w:val="22"/>
              </w:rPr>
              <w:t xml:space="preserve">draft Recommendation </w:t>
            </w:r>
            <w:r w:rsidR="00B25B15" w:rsidRPr="0042750D">
              <w:rPr>
                <w:szCs w:val="22"/>
              </w:rPr>
              <w:t xml:space="preserve">ITU-T </w:t>
            </w:r>
            <w:r w:rsidRPr="0042750D">
              <w:rPr>
                <w:szCs w:val="22"/>
              </w:rPr>
              <w:t>Q.Bl-Audit "Audit interface for blacklisting IMEI" which which defines the interfaces between blacklist provider audit system and Telecom Service Provider's Equipment Identity Register (EIR) to audit and reconcile whether the TSP is complying with the Blacklist provided by the competent entity;</w:t>
            </w:r>
          </w:p>
          <w:p w14:paraId="6292AE0B" w14:textId="7ECC8F4D" w:rsidR="005F4B42" w:rsidRPr="0042750D" w:rsidRDefault="005F4B42" w:rsidP="005F4B42">
            <w:pPr>
              <w:pStyle w:val="Tabletext"/>
              <w:numPr>
                <w:ilvl w:val="0"/>
                <w:numId w:val="21"/>
              </w:numPr>
              <w:tabs>
                <w:tab w:val="clear" w:pos="567"/>
                <w:tab w:val="left" w:pos="736"/>
              </w:tabs>
              <w:rPr>
                <w:szCs w:val="22"/>
              </w:rPr>
            </w:pPr>
            <w:r w:rsidRPr="0042750D">
              <w:rPr>
                <w:szCs w:val="22"/>
              </w:rPr>
              <w:t xml:space="preserve">Draft Recommendation </w:t>
            </w:r>
            <w:r w:rsidR="00B25B15" w:rsidRPr="0042750D">
              <w:rPr>
                <w:szCs w:val="22"/>
              </w:rPr>
              <w:t xml:space="preserve">ITU-T </w:t>
            </w:r>
            <w:r w:rsidRPr="0042750D">
              <w:rPr>
                <w:szCs w:val="22"/>
              </w:rPr>
              <w:t>Q.DEV_DUI "Addressing ICT mobile devices with duplicate unique identifiers" which describes mechanisms to enable detection of duplicate or cloned mobile devices present on operator networks, as well as mechanisms for validating the legitimacy of such devices once detected. Furthermore, this document discusses mechanisms for identifying devices with duplicate device identifiers across countries.</w:t>
            </w:r>
          </w:p>
        </w:tc>
      </w:tr>
    </w:tbl>
    <w:bookmarkStart w:id="331" w:name="Item80_04"/>
    <w:bookmarkEnd w:id="331"/>
    <w:p w14:paraId="5411FC77"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53876E9C" w14:textId="243AEF59" w:rsidR="00F0236A" w:rsidRPr="0042750D" w:rsidRDefault="003173D9" w:rsidP="00F0236A">
      <w:pPr>
        <w:pStyle w:val="Heading1"/>
        <w:rPr>
          <w:sz w:val="24"/>
          <w:szCs w:val="24"/>
          <w:lang w:val="en-GB"/>
        </w:rPr>
      </w:pPr>
      <w:bookmarkStart w:id="332" w:name="_Opinion_1_-"/>
      <w:bookmarkStart w:id="333" w:name="_Resolution_83_-"/>
      <w:bookmarkStart w:id="334" w:name="_Toc30749184"/>
      <w:bookmarkEnd w:id="332"/>
      <w:bookmarkEnd w:id="333"/>
      <w:r w:rsidRPr="0042750D">
        <w:rPr>
          <w:sz w:val="24"/>
          <w:szCs w:val="24"/>
          <w:lang w:val="en-GB"/>
        </w:rPr>
        <w:t>RESOLUTION 189 (REV. DUBAI, 2018) – Assisting Member States to combat and deter mobile device theft</w:t>
      </w:r>
      <w:bookmarkEnd w:id="334"/>
    </w:p>
    <w:p w14:paraId="3557481D" w14:textId="77777777" w:rsidR="003173D9" w:rsidRPr="0042750D" w:rsidRDefault="003173D9" w:rsidP="003173D9">
      <w:pPr>
        <w:pStyle w:val="Call"/>
        <w:rPr>
          <w:lang w:val="en-GB"/>
        </w:rPr>
      </w:pPr>
      <w:r w:rsidRPr="0042750D">
        <w:rPr>
          <w:lang w:val="en-GB"/>
        </w:rPr>
        <w:t>resolves</w:t>
      </w:r>
    </w:p>
    <w:p w14:paraId="70764398" w14:textId="77777777" w:rsidR="003173D9" w:rsidRPr="0042750D" w:rsidRDefault="003173D9" w:rsidP="003173D9">
      <w:r w:rsidRPr="0042750D">
        <w:t xml:space="preserve">to explore </w:t>
      </w:r>
      <w:r w:rsidRPr="0042750D">
        <w:rPr>
          <w:lang w:eastAsia="ko-KR"/>
        </w:rPr>
        <w:t>and encourage the development of</w:t>
      </w:r>
      <w:r w:rsidRPr="0042750D">
        <w:t xml:space="preserve"> ways and means to </w:t>
      </w:r>
      <w:r w:rsidRPr="0042750D">
        <w:rPr>
          <w:lang w:eastAsia="ko-KR"/>
        </w:rPr>
        <w:t xml:space="preserve">continue to </w:t>
      </w:r>
      <w:r w:rsidRPr="0042750D">
        <w:t xml:space="preserve">combat and deter mobile device theft, taking into account </w:t>
      </w:r>
      <w:r w:rsidRPr="0042750D">
        <w:rPr>
          <w:i/>
          <w:iCs/>
        </w:rPr>
        <w:t>considering d)</w:t>
      </w:r>
      <w:r w:rsidRPr="0042750D">
        <w:t xml:space="preserve"> above,</w:t>
      </w:r>
    </w:p>
    <w:p w14:paraId="17F33892" w14:textId="77777777" w:rsidR="003173D9" w:rsidRPr="0042750D" w:rsidRDefault="003173D9" w:rsidP="003173D9">
      <w:pPr>
        <w:pStyle w:val="Call"/>
        <w:rPr>
          <w:lang w:val="en-GB"/>
        </w:rPr>
      </w:pPr>
      <w:r w:rsidRPr="0042750D">
        <w:rPr>
          <w:lang w:val="en-GB" w:eastAsia="ko-KR"/>
        </w:rPr>
        <w:t>instructs the Secretary-General</w:t>
      </w:r>
    </w:p>
    <w:p w14:paraId="68CDFEDF" w14:textId="77777777" w:rsidR="003173D9" w:rsidRPr="0042750D" w:rsidRDefault="003173D9" w:rsidP="00A9745F">
      <w:pPr>
        <w:spacing w:after="120"/>
      </w:pPr>
      <w:r w:rsidRPr="0042750D">
        <w:t>to report to the ITU Council, as appropriate, on progress of the work,</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3"/>
        <w:gridCol w:w="1336"/>
        <w:gridCol w:w="1143"/>
        <w:gridCol w:w="1338"/>
      </w:tblGrid>
      <w:tr w:rsidR="00F0236A" w:rsidRPr="0042750D" w14:paraId="26AEB9AF" w14:textId="77777777" w:rsidTr="00A9745F">
        <w:trPr>
          <w:jc w:val="center"/>
        </w:trPr>
        <w:tc>
          <w:tcPr>
            <w:tcW w:w="1132" w:type="dxa"/>
            <w:tcBorders>
              <w:top w:val="single" w:sz="12" w:space="0" w:color="auto"/>
              <w:bottom w:val="single" w:sz="12" w:space="0" w:color="auto"/>
            </w:tcBorders>
            <w:shd w:val="clear" w:color="auto" w:fill="auto"/>
            <w:vAlign w:val="center"/>
          </w:tcPr>
          <w:p w14:paraId="582395BE" w14:textId="77777777" w:rsidR="00F0236A" w:rsidRPr="0042750D" w:rsidRDefault="00F0236A" w:rsidP="00515FDC">
            <w:pPr>
              <w:pStyle w:val="Tablehead"/>
              <w:keepNext w:val="0"/>
              <w:pageBreakBefore/>
              <w:rPr>
                <w:sz w:val="24"/>
                <w:szCs w:val="24"/>
              </w:rPr>
            </w:pPr>
            <w:r w:rsidRPr="0042750D">
              <w:rPr>
                <w:sz w:val="24"/>
                <w:szCs w:val="24"/>
              </w:rPr>
              <w:t>Action Item</w:t>
            </w:r>
          </w:p>
        </w:tc>
        <w:tc>
          <w:tcPr>
            <w:tcW w:w="4983" w:type="dxa"/>
            <w:tcBorders>
              <w:top w:val="single" w:sz="12" w:space="0" w:color="auto"/>
              <w:bottom w:val="single" w:sz="12" w:space="0" w:color="auto"/>
            </w:tcBorders>
            <w:shd w:val="clear" w:color="auto" w:fill="auto"/>
            <w:vAlign w:val="center"/>
            <w:hideMark/>
          </w:tcPr>
          <w:p w14:paraId="683485D8" w14:textId="77777777" w:rsidR="00F0236A" w:rsidRPr="0042750D" w:rsidRDefault="00F0236A" w:rsidP="00DF36E1">
            <w:pPr>
              <w:pStyle w:val="Tablehead"/>
              <w:rPr>
                <w:sz w:val="24"/>
                <w:szCs w:val="24"/>
              </w:rPr>
            </w:pPr>
            <w:r w:rsidRPr="0042750D">
              <w:rPr>
                <w:sz w:val="24"/>
                <w:szCs w:val="24"/>
              </w:rPr>
              <w:t>Action</w:t>
            </w:r>
          </w:p>
        </w:tc>
        <w:tc>
          <w:tcPr>
            <w:tcW w:w="1336" w:type="dxa"/>
            <w:tcBorders>
              <w:top w:val="single" w:sz="12" w:space="0" w:color="auto"/>
              <w:bottom w:val="single" w:sz="12" w:space="0" w:color="auto"/>
            </w:tcBorders>
            <w:shd w:val="clear" w:color="auto" w:fill="auto"/>
            <w:vAlign w:val="center"/>
            <w:hideMark/>
          </w:tcPr>
          <w:p w14:paraId="41FF97EB" w14:textId="77777777" w:rsidR="00F0236A" w:rsidRPr="0042750D" w:rsidRDefault="00F0236A" w:rsidP="00DF36E1">
            <w:pPr>
              <w:pStyle w:val="Tablehead"/>
              <w:rPr>
                <w:sz w:val="24"/>
                <w:szCs w:val="24"/>
              </w:rPr>
            </w:pPr>
            <w:r w:rsidRPr="0042750D">
              <w:rPr>
                <w:sz w:val="24"/>
                <w:szCs w:val="24"/>
              </w:rPr>
              <w:t>Milestone</w:t>
            </w:r>
          </w:p>
        </w:tc>
        <w:tc>
          <w:tcPr>
            <w:tcW w:w="1143" w:type="dxa"/>
            <w:tcBorders>
              <w:top w:val="single" w:sz="12" w:space="0" w:color="auto"/>
              <w:bottom w:val="single" w:sz="12" w:space="0" w:color="auto"/>
            </w:tcBorders>
            <w:shd w:val="clear" w:color="auto" w:fill="auto"/>
          </w:tcPr>
          <w:p w14:paraId="0573F428"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C6A5794"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6A7D08F4" w14:textId="77777777" w:rsidTr="00A9745F">
        <w:trPr>
          <w:cantSplit/>
          <w:jc w:val="center"/>
        </w:trPr>
        <w:tc>
          <w:tcPr>
            <w:tcW w:w="1132" w:type="dxa"/>
            <w:vMerge w:val="restart"/>
            <w:tcBorders>
              <w:top w:val="single" w:sz="12" w:space="0" w:color="auto"/>
            </w:tcBorders>
            <w:shd w:val="clear" w:color="auto" w:fill="auto"/>
          </w:tcPr>
          <w:p w14:paraId="18163E27" w14:textId="3D4E75D1" w:rsidR="00F0236A" w:rsidRPr="0042750D" w:rsidRDefault="003173D9" w:rsidP="00DF36E1">
            <w:pPr>
              <w:pStyle w:val="Tabletext"/>
              <w:rPr>
                <w:b/>
                <w:bCs/>
                <w:sz w:val="24"/>
                <w:szCs w:val="24"/>
              </w:rPr>
            </w:pPr>
            <w:r w:rsidRPr="0042750D">
              <w:rPr>
                <w:b/>
                <w:bCs/>
                <w:sz w:val="24"/>
                <w:szCs w:val="24"/>
              </w:rPr>
              <w:t>189</w:t>
            </w:r>
            <w:r w:rsidR="00F0236A" w:rsidRPr="0042750D">
              <w:rPr>
                <w:b/>
                <w:bCs/>
                <w:sz w:val="24"/>
                <w:szCs w:val="24"/>
              </w:rPr>
              <w:t>-01</w:t>
            </w:r>
          </w:p>
        </w:tc>
        <w:tc>
          <w:tcPr>
            <w:tcW w:w="4983" w:type="dxa"/>
            <w:tcBorders>
              <w:top w:val="single" w:sz="12" w:space="0" w:color="auto"/>
              <w:bottom w:val="single" w:sz="2" w:space="0" w:color="auto"/>
            </w:tcBorders>
            <w:shd w:val="clear" w:color="auto" w:fill="auto"/>
            <w:hideMark/>
          </w:tcPr>
          <w:p w14:paraId="285B0DE6" w14:textId="16A55CBD" w:rsidR="00F0236A" w:rsidRPr="0042750D" w:rsidRDefault="00804516" w:rsidP="00804516">
            <w:pPr>
              <w:pStyle w:val="Tabletext"/>
              <w:rPr>
                <w:b/>
                <w:bCs/>
                <w:sz w:val="24"/>
                <w:szCs w:val="24"/>
              </w:rPr>
            </w:pPr>
            <w:r w:rsidRPr="0042750D">
              <w:rPr>
                <w:b/>
                <w:bCs/>
                <w:sz w:val="24"/>
                <w:szCs w:val="24"/>
              </w:rPr>
              <w:t>TSBDir to explore and encourage the development of ways and means to continue to combat and deter mobile device theft</w:t>
            </w:r>
            <w:r w:rsidR="00912618" w:rsidRPr="0042750D">
              <w:rPr>
                <w:b/>
                <w:bCs/>
                <w:sz w:val="24"/>
                <w:szCs w:val="24"/>
              </w:rPr>
              <w:t xml:space="preserve"> (</w:t>
            </w:r>
            <w:r w:rsidR="00912618" w:rsidRPr="0042750D">
              <w:rPr>
                <w:b/>
                <w:bCs/>
                <w:i/>
                <w:sz w:val="24"/>
                <w:szCs w:val="24"/>
              </w:rPr>
              <w:t>resolves</w:t>
            </w:r>
            <w:r w:rsidR="00912618" w:rsidRPr="0042750D">
              <w:rPr>
                <w:b/>
                <w:bCs/>
                <w:sz w:val="24"/>
                <w:szCs w:val="24"/>
              </w:rPr>
              <w:t>)</w:t>
            </w:r>
            <w:r w:rsidRPr="0042750D">
              <w:rPr>
                <w:b/>
                <w:bCs/>
                <w:sz w:val="24"/>
                <w:szCs w:val="24"/>
              </w:rPr>
              <w:t>.</w:t>
            </w:r>
          </w:p>
        </w:tc>
        <w:tc>
          <w:tcPr>
            <w:tcW w:w="1336" w:type="dxa"/>
            <w:tcBorders>
              <w:top w:val="single" w:sz="12" w:space="0" w:color="auto"/>
              <w:bottom w:val="single" w:sz="2" w:space="0" w:color="auto"/>
            </w:tcBorders>
            <w:shd w:val="clear" w:color="auto" w:fill="auto"/>
            <w:vAlign w:val="center"/>
          </w:tcPr>
          <w:p w14:paraId="4830FF14"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3" w:type="dxa"/>
            <w:tcBorders>
              <w:top w:val="single" w:sz="12" w:space="0" w:color="auto"/>
              <w:bottom w:val="single" w:sz="2" w:space="0" w:color="auto"/>
            </w:tcBorders>
            <w:shd w:val="clear" w:color="auto" w:fill="auto"/>
            <w:vAlign w:val="center"/>
          </w:tcPr>
          <w:p w14:paraId="1AB689E5" w14:textId="53665ED9" w:rsidR="00F0236A" w:rsidRPr="0042750D" w:rsidRDefault="00917888"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67D4D1AF" w14:textId="77777777" w:rsidR="00F0236A" w:rsidRPr="0042750D" w:rsidRDefault="00F0236A" w:rsidP="00DF36E1">
            <w:pPr>
              <w:pStyle w:val="Tabletext"/>
              <w:jc w:val="center"/>
              <w:rPr>
                <w:b/>
                <w:bCs/>
                <w:sz w:val="24"/>
                <w:szCs w:val="24"/>
              </w:rPr>
            </w:pPr>
          </w:p>
        </w:tc>
      </w:tr>
      <w:tr w:rsidR="00F0236A" w:rsidRPr="0042750D" w14:paraId="5A4AC4C9" w14:textId="77777777" w:rsidTr="00091191">
        <w:trPr>
          <w:jc w:val="center"/>
        </w:trPr>
        <w:tc>
          <w:tcPr>
            <w:tcW w:w="1132" w:type="dxa"/>
            <w:vMerge/>
            <w:tcBorders>
              <w:bottom w:val="single" w:sz="12" w:space="0" w:color="auto"/>
            </w:tcBorders>
            <w:shd w:val="clear" w:color="auto" w:fill="auto"/>
          </w:tcPr>
          <w:p w14:paraId="59CD656F" w14:textId="77777777" w:rsidR="00F0236A" w:rsidRPr="0042750D" w:rsidRDefault="00F0236A" w:rsidP="00DF36E1">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10B55A36" w14:textId="0607C8FF" w:rsidR="005F4B42" w:rsidRPr="0042750D" w:rsidRDefault="005F4B42" w:rsidP="005F4B42">
            <w:pPr>
              <w:pStyle w:val="Tabletext"/>
              <w:jc w:val="both"/>
              <w:rPr>
                <w:szCs w:val="22"/>
              </w:rPr>
            </w:pPr>
            <w:r w:rsidRPr="0042750D">
              <w:rPr>
                <w:szCs w:val="22"/>
              </w:rPr>
              <w:t xml:space="preserve"> ITU-T SG11 determined draft new Recommendation ITU-T Q.5051 “Framework for Combating the use of Stolen Mobile Devices” which contains the reference framework and requirements that should be considered when deploying solutions to combat the use of stolen Mobile Devices.</w:t>
            </w:r>
          </w:p>
          <w:p w14:paraId="37B949A3" w14:textId="15434637" w:rsidR="00260F2C" w:rsidRPr="0042750D" w:rsidRDefault="005F4B42" w:rsidP="005F4B42">
            <w:pPr>
              <w:pStyle w:val="Tabletext"/>
              <w:jc w:val="both"/>
              <w:rPr>
                <w:szCs w:val="22"/>
              </w:rPr>
            </w:pPr>
            <w:r w:rsidRPr="0042750D">
              <w:rPr>
                <w:szCs w:val="22"/>
              </w:rPr>
              <w:t>Following discussion at the SG11RG-AFR meeting and submitted contribution, SG11 started a framework on combating counterfeit and stolen mobile devices in African region, which defines requirements for the deployment of a harmonised system to combat the circulation and use of counterfeit/stolen mobile devices in the African region.</w:t>
            </w:r>
          </w:p>
        </w:tc>
      </w:tr>
      <w:tr w:rsidR="00A9745F" w:rsidRPr="0042750D" w14:paraId="493B09E1" w14:textId="77777777" w:rsidTr="00D50A4E">
        <w:trPr>
          <w:cantSplit/>
          <w:jc w:val="center"/>
        </w:trPr>
        <w:tc>
          <w:tcPr>
            <w:tcW w:w="1132" w:type="dxa"/>
            <w:vMerge w:val="restart"/>
            <w:tcBorders>
              <w:top w:val="single" w:sz="12" w:space="0" w:color="auto"/>
            </w:tcBorders>
            <w:shd w:val="clear" w:color="auto" w:fill="auto"/>
          </w:tcPr>
          <w:p w14:paraId="3F5FEF16" w14:textId="153F1AE0" w:rsidR="00A9745F" w:rsidRPr="0042750D" w:rsidRDefault="00A9745F" w:rsidP="00A9745F">
            <w:pPr>
              <w:pStyle w:val="Tabletext"/>
              <w:rPr>
                <w:b/>
                <w:bCs/>
                <w:sz w:val="24"/>
                <w:szCs w:val="24"/>
              </w:rPr>
            </w:pPr>
            <w:bookmarkStart w:id="335" w:name="Item83_01"/>
            <w:bookmarkStart w:id="336" w:name="Item83_02"/>
            <w:bookmarkEnd w:id="335"/>
            <w:bookmarkEnd w:id="336"/>
            <w:r w:rsidRPr="0042750D">
              <w:rPr>
                <w:b/>
                <w:bCs/>
                <w:sz w:val="24"/>
                <w:szCs w:val="24"/>
              </w:rPr>
              <w:t>189-02</w:t>
            </w:r>
          </w:p>
        </w:tc>
        <w:tc>
          <w:tcPr>
            <w:tcW w:w="4983" w:type="dxa"/>
            <w:tcBorders>
              <w:top w:val="single" w:sz="12" w:space="0" w:color="auto"/>
              <w:bottom w:val="single" w:sz="2" w:space="0" w:color="auto"/>
            </w:tcBorders>
            <w:shd w:val="clear" w:color="auto" w:fill="auto"/>
            <w:hideMark/>
          </w:tcPr>
          <w:p w14:paraId="3C1A1761" w14:textId="231A186D" w:rsidR="00A9745F" w:rsidRPr="0042750D" w:rsidRDefault="00A9745F" w:rsidP="00A9745F">
            <w:pPr>
              <w:pStyle w:val="Tabletext"/>
              <w:rPr>
                <w:b/>
                <w:bCs/>
                <w:sz w:val="24"/>
                <w:szCs w:val="24"/>
              </w:rPr>
            </w:pPr>
            <w:r w:rsidRPr="0042750D">
              <w:rPr>
                <w:b/>
                <w:bCs/>
                <w:sz w:val="24"/>
                <w:szCs w:val="24"/>
              </w:rPr>
              <w:t>TSBDir to contribute to SecGen’s report to Council, as appropriate, on progress of the work</w:t>
            </w:r>
            <w:r w:rsidR="00912618" w:rsidRPr="0042750D">
              <w:rPr>
                <w:b/>
                <w:bCs/>
                <w:sz w:val="24"/>
                <w:szCs w:val="24"/>
              </w:rPr>
              <w:t xml:space="preserve"> (</w:t>
            </w:r>
            <w:r w:rsidR="00912618" w:rsidRPr="0042750D">
              <w:rPr>
                <w:b/>
                <w:bCs/>
                <w:i/>
                <w:sz w:val="24"/>
                <w:szCs w:val="24"/>
              </w:rPr>
              <w:t>instructs</w:t>
            </w:r>
            <w:r w:rsidR="00912618" w:rsidRPr="0042750D">
              <w:rPr>
                <w:b/>
                <w:bCs/>
                <w:sz w:val="24"/>
                <w:szCs w:val="24"/>
              </w:rPr>
              <w:t>)</w:t>
            </w:r>
            <w:r w:rsidRPr="0042750D">
              <w:rPr>
                <w:b/>
                <w:bCs/>
                <w:sz w:val="24"/>
                <w:szCs w:val="24"/>
              </w:rPr>
              <w:t>.</w:t>
            </w:r>
          </w:p>
        </w:tc>
        <w:tc>
          <w:tcPr>
            <w:tcW w:w="1336" w:type="dxa"/>
            <w:tcBorders>
              <w:top w:val="single" w:sz="12" w:space="0" w:color="auto"/>
              <w:bottom w:val="single" w:sz="2" w:space="0" w:color="auto"/>
            </w:tcBorders>
            <w:shd w:val="clear" w:color="auto" w:fill="auto"/>
            <w:vAlign w:val="center"/>
          </w:tcPr>
          <w:p w14:paraId="4FFFBB14" w14:textId="7DF41A2B" w:rsidR="00A9745F" w:rsidRPr="0042750D" w:rsidRDefault="00A9745F" w:rsidP="00D50A4E">
            <w:pPr>
              <w:pStyle w:val="Tabletext"/>
              <w:jc w:val="center"/>
              <w:rPr>
                <w:b/>
                <w:bCs/>
                <w:sz w:val="24"/>
                <w:szCs w:val="24"/>
              </w:rPr>
            </w:pPr>
            <w:r w:rsidRPr="0042750D">
              <w:rPr>
                <w:b/>
                <w:bCs/>
                <w:sz w:val="24"/>
                <w:szCs w:val="24"/>
              </w:rPr>
              <w:t>Council</w:t>
            </w:r>
          </w:p>
        </w:tc>
        <w:tc>
          <w:tcPr>
            <w:tcW w:w="1143" w:type="dxa"/>
            <w:tcBorders>
              <w:top w:val="single" w:sz="12" w:space="0" w:color="auto"/>
              <w:bottom w:val="single" w:sz="2" w:space="0" w:color="auto"/>
            </w:tcBorders>
            <w:shd w:val="clear" w:color="auto" w:fill="auto"/>
            <w:vAlign w:val="center"/>
          </w:tcPr>
          <w:p w14:paraId="20B8DC1D" w14:textId="545C3A42" w:rsidR="00A9745F" w:rsidRPr="0042750D" w:rsidRDefault="00917888"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6EE102F3" w14:textId="77777777" w:rsidR="00A9745F" w:rsidRPr="0042750D" w:rsidRDefault="00A9745F" w:rsidP="00D50A4E">
            <w:pPr>
              <w:pStyle w:val="Tabletext"/>
              <w:jc w:val="center"/>
              <w:rPr>
                <w:b/>
                <w:bCs/>
                <w:sz w:val="24"/>
                <w:szCs w:val="24"/>
              </w:rPr>
            </w:pPr>
          </w:p>
        </w:tc>
      </w:tr>
      <w:tr w:rsidR="00A9745F" w:rsidRPr="0042750D" w14:paraId="3B62D22C" w14:textId="77777777" w:rsidTr="00D50A4E">
        <w:trPr>
          <w:jc w:val="center"/>
        </w:trPr>
        <w:tc>
          <w:tcPr>
            <w:tcW w:w="1132" w:type="dxa"/>
            <w:vMerge/>
            <w:tcBorders>
              <w:bottom w:val="single" w:sz="12" w:space="0" w:color="auto"/>
            </w:tcBorders>
            <w:shd w:val="clear" w:color="auto" w:fill="auto"/>
          </w:tcPr>
          <w:p w14:paraId="78F6E243" w14:textId="77777777" w:rsidR="00A9745F" w:rsidRPr="0042750D" w:rsidRDefault="00A9745F" w:rsidP="00D50A4E">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32532944" w14:textId="7249463E" w:rsidR="00A9745F" w:rsidRPr="0042750D" w:rsidRDefault="00917888" w:rsidP="00D50A4E">
            <w:pPr>
              <w:pStyle w:val="Tabletext"/>
              <w:jc w:val="both"/>
              <w:rPr>
                <w:szCs w:val="22"/>
              </w:rPr>
            </w:pPr>
            <w:r w:rsidRPr="0042750D">
              <w:rPr>
                <w:szCs w:val="22"/>
              </w:rPr>
              <w:t xml:space="preserve">Current activities on mobile device theft are highlighted for Resolution 188 (PP-18) in </w:t>
            </w:r>
            <w:hyperlink r:id="rId106" w:history="1">
              <w:r w:rsidRPr="0042750D">
                <w:rPr>
                  <w:rStyle w:val="Hyperlink"/>
                  <w:szCs w:val="22"/>
                </w:rPr>
                <w:t>C19/35</w:t>
              </w:r>
            </w:hyperlink>
            <w:r w:rsidRPr="0042750D">
              <w:rPr>
                <w:szCs w:val="22"/>
              </w:rPr>
              <w:t xml:space="preserve"> Annex 1.</w:t>
            </w:r>
          </w:p>
        </w:tc>
      </w:tr>
    </w:tbl>
    <w:p w14:paraId="051F3075"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4B8F485E" w14:textId="08F25344" w:rsidR="00F0236A" w:rsidRPr="0042750D" w:rsidRDefault="00E74D69" w:rsidP="00027F2D">
      <w:pPr>
        <w:pStyle w:val="Heading1"/>
        <w:keepNext/>
        <w:keepLines/>
        <w:rPr>
          <w:sz w:val="24"/>
          <w:szCs w:val="24"/>
          <w:lang w:val="en-GB"/>
        </w:rPr>
      </w:pPr>
      <w:bookmarkStart w:id="337" w:name="_Resolution_84_-"/>
      <w:bookmarkStart w:id="338" w:name="_Toc30749185"/>
      <w:bookmarkEnd w:id="337"/>
      <w:r w:rsidRPr="0042750D">
        <w:rPr>
          <w:sz w:val="24"/>
          <w:szCs w:val="24"/>
          <w:lang w:val="en-GB"/>
        </w:rPr>
        <w:t>RESOLUTION 190 (BUSAN, 2014) – Countering misappropriation and misuse of international telecommunication numbering resources</w:t>
      </w:r>
      <w:bookmarkEnd w:id="338"/>
    </w:p>
    <w:p w14:paraId="7EBD2D66" w14:textId="77777777" w:rsidR="00E74D69" w:rsidRPr="0042750D" w:rsidRDefault="00E74D69" w:rsidP="00027F2D">
      <w:pPr>
        <w:pStyle w:val="Call"/>
        <w:rPr>
          <w:snapToGrid w:val="0"/>
          <w:szCs w:val="22"/>
          <w:lang w:val="en-GB"/>
        </w:rPr>
      </w:pPr>
      <w:r w:rsidRPr="0042750D">
        <w:rPr>
          <w:szCs w:val="22"/>
          <w:lang w:val="en-GB"/>
        </w:rPr>
        <w:t>resolves</w:t>
      </w:r>
    </w:p>
    <w:p w14:paraId="3A83912D" w14:textId="77777777" w:rsidR="00E74D69" w:rsidRPr="0042750D" w:rsidRDefault="00E74D69" w:rsidP="00027F2D">
      <w:pPr>
        <w:keepNext/>
        <w:keepLines/>
        <w:rPr>
          <w:szCs w:val="22"/>
        </w:rPr>
      </w:pPr>
      <w:r w:rsidRPr="0042750D">
        <w:rPr>
          <w:szCs w:val="22"/>
        </w:rPr>
        <w:t>to continue to study ways and means to improve the understanding, identification and resolution of misappropriation and misuse of ITU</w:t>
      </w:r>
      <w:r w:rsidRPr="0042750D">
        <w:rPr>
          <w:szCs w:val="22"/>
        </w:rPr>
        <w:noBreakHyphen/>
        <w:t>T E.164 telephone numbers through activities of ITU</w:t>
      </w:r>
      <w:r w:rsidRPr="0042750D">
        <w:rPr>
          <w:szCs w:val="22"/>
        </w:rPr>
        <w:noBreakHyphen/>
        <w:t>T and ITU</w:t>
      </w:r>
      <w:r w:rsidRPr="0042750D">
        <w:rPr>
          <w:szCs w:val="22"/>
        </w:rPr>
        <w:noBreakHyphen/>
        <w:t>D study groups,</w:t>
      </w:r>
    </w:p>
    <w:p w14:paraId="64652D35" w14:textId="77777777" w:rsidR="00E74D69" w:rsidRPr="0042750D" w:rsidRDefault="00E74D69" w:rsidP="00380EF6">
      <w:pPr>
        <w:pStyle w:val="Call"/>
        <w:keepNext w:val="0"/>
        <w:keepLines w:val="0"/>
        <w:rPr>
          <w:snapToGrid w:val="0"/>
          <w:szCs w:val="22"/>
          <w:lang w:val="en-GB"/>
        </w:rPr>
      </w:pPr>
      <w:r w:rsidRPr="0042750D">
        <w:rPr>
          <w:snapToGrid w:val="0"/>
          <w:szCs w:val="22"/>
          <w:lang w:val="en-GB"/>
        </w:rPr>
        <w:t xml:space="preserve">instructs the Director of the </w:t>
      </w:r>
      <w:r w:rsidRPr="0042750D">
        <w:rPr>
          <w:szCs w:val="22"/>
          <w:lang w:val="en-GB"/>
        </w:rPr>
        <w:t>Telecommunication</w:t>
      </w:r>
      <w:r w:rsidRPr="0042750D">
        <w:rPr>
          <w:snapToGrid w:val="0"/>
          <w:szCs w:val="22"/>
          <w:lang w:val="en-GB"/>
        </w:rPr>
        <w:t xml:space="preserve"> Standardization Bureau and the Director of the Telecommunication Development Bureau</w:t>
      </w:r>
    </w:p>
    <w:p w14:paraId="18843D7F" w14:textId="77777777" w:rsidR="00E74D69" w:rsidRPr="0042750D" w:rsidRDefault="00E74D69" w:rsidP="00E74D69">
      <w:pPr>
        <w:rPr>
          <w:szCs w:val="22"/>
        </w:rPr>
      </w:pPr>
      <w:r w:rsidRPr="0042750D">
        <w:rPr>
          <w:szCs w:val="22"/>
        </w:rPr>
        <w:t>1</w:t>
      </w:r>
      <w:r w:rsidRPr="0042750D">
        <w:rPr>
          <w:szCs w:val="22"/>
        </w:rPr>
        <w:tab/>
        <w:t>to collaborate in the effective implementation of this resolution;</w:t>
      </w:r>
    </w:p>
    <w:p w14:paraId="2437F28D" w14:textId="77777777" w:rsidR="00E74D69" w:rsidRPr="0042750D" w:rsidRDefault="00E74D69" w:rsidP="00E74D69">
      <w:pPr>
        <w:rPr>
          <w:szCs w:val="22"/>
        </w:rPr>
      </w:pPr>
      <w:r w:rsidRPr="0042750D">
        <w:rPr>
          <w:szCs w:val="22"/>
        </w:rPr>
        <w:t>2</w:t>
      </w:r>
      <w:r w:rsidRPr="0042750D">
        <w:rPr>
          <w:szCs w:val="22"/>
        </w:rPr>
        <w:tab/>
        <w:t>to collaborate so as to avoid overlap and duplication of effort in studying issues related to number misappropriation and misuse;</w:t>
      </w:r>
    </w:p>
    <w:p w14:paraId="534305A3" w14:textId="6DAC884E" w:rsidR="00F0236A" w:rsidRPr="0042750D" w:rsidRDefault="00E74D69" w:rsidP="00E74D69">
      <w:pPr>
        <w:spacing w:after="120"/>
        <w:rPr>
          <w:szCs w:val="22"/>
        </w:rPr>
      </w:pPr>
      <w:r w:rsidRPr="0042750D">
        <w:rPr>
          <w:szCs w:val="22"/>
        </w:rPr>
        <w:t>3</w:t>
      </w:r>
      <w:r w:rsidRPr="0042750D">
        <w:rPr>
          <w:szCs w:val="22"/>
        </w:rPr>
        <w:tab/>
        <w:t>to continue to work with regions, subregions and countries, in particular developing countries</w:t>
      </w:r>
      <w:r w:rsidRPr="0042750D">
        <w:rPr>
          <w:rStyle w:val="FootnoteReference"/>
          <w:sz w:val="22"/>
          <w:szCs w:val="22"/>
        </w:rPr>
        <w:footnoteReference w:customMarkFollows="1" w:id="17"/>
        <w:t>1</w:t>
      </w:r>
      <w:r w:rsidRPr="0042750D">
        <w:rPr>
          <w:szCs w:val="22"/>
        </w:rPr>
        <w:t>, to develop national legal and regulatory frameworks that are sufficient to ensure best practices in ITU</w:t>
      </w:r>
      <w:r w:rsidRPr="0042750D">
        <w:rPr>
          <w:szCs w:val="22"/>
        </w:rPr>
        <w:noBreakHyphen/>
        <w:t>T E.164 telephone numbering management in order to counter telephone number misappropriation and misuse</w:t>
      </w:r>
      <w:r w:rsidR="00F0236A" w:rsidRPr="0042750D">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6"/>
        <w:gridCol w:w="1335"/>
        <w:gridCol w:w="1143"/>
        <w:gridCol w:w="1338"/>
      </w:tblGrid>
      <w:tr w:rsidR="00F0236A" w:rsidRPr="0042750D" w14:paraId="2A5EB039" w14:textId="77777777" w:rsidTr="00D4481B">
        <w:trPr>
          <w:tblHeader/>
          <w:jc w:val="center"/>
        </w:trPr>
        <w:tc>
          <w:tcPr>
            <w:tcW w:w="1130" w:type="dxa"/>
            <w:tcBorders>
              <w:top w:val="single" w:sz="12" w:space="0" w:color="auto"/>
              <w:bottom w:val="single" w:sz="12" w:space="0" w:color="auto"/>
            </w:tcBorders>
            <w:shd w:val="clear" w:color="auto" w:fill="auto"/>
            <w:vAlign w:val="center"/>
          </w:tcPr>
          <w:p w14:paraId="4D3C18A7" w14:textId="77777777" w:rsidR="00F0236A" w:rsidRPr="0042750D" w:rsidRDefault="00F0236A" w:rsidP="00515FDC">
            <w:pPr>
              <w:pStyle w:val="Tablehead"/>
              <w:keepNext w:val="0"/>
              <w:pageBreakBefore/>
              <w:rPr>
                <w:sz w:val="24"/>
                <w:szCs w:val="24"/>
              </w:rPr>
            </w:pPr>
            <w:r w:rsidRPr="0042750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58AA1BA" w14:textId="77777777" w:rsidR="00F0236A" w:rsidRPr="0042750D" w:rsidRDefault="00F0236A" w:rsidP="00DF36E1">
            <w:pPr>
              <w:pStyle w:val="Tablehead"/>
              <w:rPr>
                <w:sz w:val="24"/>
                <w:szCs w:val="24"/>
              </w:rPr>
            </w:pPr>
            <w:r w:rsidRPr="0042750D">
              <w:rPr>
                <w:sz w:val="24"/>
                <w:szCs w:val="24"/>
              </w:rPr>
              <w:t>Action</w:t>
            </w:r>
          </w:p>
        </w:tc>
        <w:tc>
          <w:tcPr>
            <w:tcW w:w="1335" w:type="dxa"/>
            <w:tcBorders>
              <w:top w:val="single" w:sz="12" w:space="0" w:color="auto"/>
              <w:bottom w:val="single" w:sz="12" w:space="0" w:color="auto"/>
            </w:tcBorders>
            <w:shd w:val="clear" w:color="auto" w:fill="auto"/>
            <w:vAlign w:val="center"/>
            <w:hideMark/>
          </w:tcPr>
          <w:p w14:paraId="026B14FF" w14:textId="77777777" w:rsidR="00F0236A" w:rsidRPr="0042750D" w:rsidRDefault="00F0236A" w:rsidP="00DF36E1">
            <w:pPr>
              <w:pStyle w:val="Tablehead"/>
              <w:rPr>
                <w:sz w:val="24"/>
                <w:szCs w:val="24"/>
              </w:rPr>
            </w:pPr>
            <w:r w:rsidRPr="0042750D">
              <w:rPr>
                <w:sz w:val="24"/>
                <w:szCs w:val="24"/>
              </w:rPr>
              <w:t>Milestone</w:t>
            </w:r>
          </w:p>
        </w:tc>
        <w:tc>
          <w:tcPr>
            <w:tcW w:w="1143" w:type="dxa"/>
            <w:tcBorders>
              <w:top w:val="single" w:sz="12" w:space="0" w:color="auto"/>
              <w:bottom w:val="single" w:sz="12" w:space="0" w:color="auto"/>
            </w:tcBorders>
            <w:shd w:val="clear" w:color="auto" w:fill="auto"/>
          </w:tcPr>
          <w:p w14:paraId="6111257E"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9D84F14"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2C005134" w14:textId="77777777" w:rsidTr="00A9745F">
        <w:trPr>
          <w:jc w:val="center"/>
        </w:trPr>
        <w:tc>
          <w:tcPr>
            <w:tcW w:w="1130" w:type="dxa"/>
            <w:vMerge w:val="restart"/>
            <w:tcBorders>
              <w:top w:val="single" w:sz="12" w:space="0" w:color="auto"/>
            </w:tcBorders>
            <w:shd w:val="clear" w:color="auto" w:fill="auto"/>
          </w:tcPr>
          <w:p w14:paraId="0D9B3B26" w14:textId="5FE2D828" w:rsidR="00F0236A" w:rsidRPr="0042750D" w:rsidRDefault="00E74D69" w:rsidP="00DF36E1">
            <w:pPr>
              <w:pStyle w:val="Tabletext"/>
              <w:rPr>
                <w:b/>
                <w:bCs/>
                <w:sz w:val="24"/>
                <w:szCs w:val="24"/>
              </w:rPr>
            </w:pPr>
            <w:r w:rsidRPr="0042750D">
              <w:rPr>
                <w:b/>
                <w:bCs/>
                <w:sz w:val="24"/>
                <w:szCs w:val="24"/>
              </w:rPr>
              <w:t>190-</w:t>
            </w:r>
            <w:r w:rsidR="00F0236A" w:rsidRPr="0042750D">
              <w:rPr>
                <w:b/>
                <w:bCs/>
                <w:sz w:val="24"/>
                <w:szCs w:val="24"/>
              </w:rPr>
              <w:t>01</w:t>
            </w:r>
          </w:p>
        </w:tc>
        <w:tc>
          <w:tcPr>
            <w:tcW w:w="4986" w:type="dxa"/>
            <w:tcBorders>
              <w:top w:val="single" w:sz="12" w:space="0" w:color="auto"/>
              <w:bottom w:val="single" w:sz="2" w:space="0" w:color="auto"/>
            </w:tcBorders>
            <w:shd w:val="clear" w:color="auto" w:fill="auto"/>
            <w:hideMark/>
          </w:tcPr>
          <w:p w14:paraId="1738DC60" w14:textId="0BDBA25D" w:rsidR="00F0236A" w:rsidRPr="0042750D" w:rsidRDefault="00A9745F" w:rsidP="00A9745F">
            <w:pPr>
              <w:pStyle w:val="Tabletext"/>
              <w:rPr>
                <w:b/>
                <w:bCs/>
                <w:sz w:val="24"/>
                <w:szCs w:val="24"/>
              </w:rPr>
            </w:pPr>
            <w:r w:rsidRPr="0042750D">
              <w:rPr>
                <w:b/>
                <w:bCs/>
                <w:sz w:val="24"/>
                <w:szCs w:val="24"/>
              </w:rPr>
              <w:t>TSBDir to c</w:t>
            </w:r>
            <w:r w:rsidR="00E74D69" w:rsidRPr="0042750D">
              <w:rPr>
                <w:b/>
                <w:bCs/>
                <w:sz w:val="24"/>
                <w:szCs w:val="24"/>
              </w:rPr>
              <w:t>ontinue to work with M</w:t>
            </w:r>
            <w:r w:rsidRPr="0042750D">
              <w:rPr>
                <w:b/>
                <w:bCs/>
                <w:sz w:val="24"/>
                <w:szCs w:val="24"/>
              </w:rPr>
              <w:t>ember</w:t>
            </w:r>
            <w:r w:rsidR="00E74D69" w:rsidRPr="0042750D">
              <w:rPr>
                <w:b/>
                <w:bCs/>
                <w:sz w:val="24"/>
                <w:szCs w:val="24"/>
              </w:rPr>
              <w:t>S</w:t>
            </w:r>
            <w:r w:rsidRPr="0042750D">
              <w:rPr>
                <w:b/>
                <w:bCs/>
                <w:sz w:val="24"/>
                <w:szCs w:val="24"/>
              </w:rPr>
              <w:t>tates</w:t>
            </w:r>
            <w:r w:rsidR="00E74D69" w:rsidRPr="0042750D">
              <w:rPr>
                <w:b/>
                <w:bCs/>
                <w:sz w:val="24"/>
                <w:szCs w:val="24"/>
              </w:rPr>
              <w:t xml:space="preserve">, in particular developing countries, to develop regulatory frameworks to ensure best practes in telephone numbering </w:t>
            </w:r>
            <w:r w:rsidR="00912618" w:rsidRPr="0042750D">
              <w:rPr>
                <w:b/>
                <w:bCs/>
                <w:sz w:val="24"/>
                <w:szCs w:val="24"/>
              </w:rPr>
              <w:t>mgmt. (</w:t>
            </w:r>
            <w:r w:rsidR="00912618" w:rsidRPr="0042750D">
              <w:rPr>
                <w:b/>
                <w:bCs/>
                <w:i/>
                <w:sz w:val="24"/>
                <w:szCs w:val="24"/>
              </w:rPr>
              <w:t>resolves</w:t>
            </w:r>
            <w:r w:rsidR="00912618" w:rsidRPr="0042750D">
              <w:rPr>
                <w:b/>
                <w:bCs/>
                <w:sz w:val="24"/>
                <w:szCs w:val="24"/>
              </w:rPr>
              <w:t>)</w:t>
            </w:r>
            <w:r w:rsidR="00E74D69" w:rsidRPr="0042750D">
              <w:rPr>
                <w:b/>
                <w:bCs/>
                <w:sz w:val="24"/>
                <w:szCs w:val="24"/>
              </w:rPr>
              <w:t>.</w:t>
            </w:r>
          </w:p>
        </w:tc>
        <w:tc>
          <w:tcPr>
            <w:tcW w:w="1335" w:type="dxa"/>
            <w:tcBorders>
              <w:top w:val="single" w:sz="12" w:space="0" w:color="auto"/>
              <w:bottom w:val="single" w:sz="2" w:space="0" w:color="auto"/>
            </w:tcBorders>
            <w:shd w:val="clear" w:color="auto" w:fill="auto"/>
            <w:vAlign w:val="center"/>
          </w:tcPr>
          <w:p w14:paraId="7B6B11DC"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3" w:type="dxa"/>
            <w:tcBorders>
              <w:top w:val="single" w:sz="12" w:space="0" w:color="auto"/>
              <w:bottom w:val="single" w:sz="2" w:space="0" w:color="auto"/>
            </w:tcBorders>
            <w:shd w:val="clear" w:color="auto" w:fill="auto"/>
            <w:vAlign w:val="center"/>
          </w:tcPr>
          <w:p w14:paraId="55990D99" w14:textId="7907BC3D" w:rsidR="00F0236A" w:rsidRPr="0042750D" w:rsidRDefault="0074419F" w:rsidP="00DF36E1">
            <w:pPr>
              <w:pStyle w:val="Tabletext"/>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6BAB76FA" w14:textId="77777777" w:rsidR="00F0236A" w:rsidRPr="0042750D" w:rsidRDefault="00F0236A" w:rsidP="00DF36E1">
            <w:pPr>
              <w:pStyle w:val="Tabletext"/>
              <w:jc w:val="center"/>
              <w:rPr>
                <w:b/>
                <w:bCs/>
                <w:sz w:val="24"/>
                <w:szCs w:val="24"/>
              </w:rPr>
            </w:pPr>
          </w:p>
        </w:tc>
      </w:tr>
      <w:tr w:rsidR="00F0236A" w:rsidRPr="0042750D" w14:paraId="3BCFBF55" w14:textId="77777777" w:rsidTr="00BD6575">
        <w:trPr>
          <w:jc w:val="center"/>
        </w:trPr>
        <w:tc>
          <w:tcPr>
            <w:tcW w:w="1130" w:type="dxa"/>
            <w:vMerge/>
            <w:tcBorders>
              <w:bottom w:val="single" w:sz="12" w:space="0" w:color="auto"/>
            </w:tcBorders>
            <w:shd w:val="clear" w:color="auto" w:fill="auto"/>
          </w:tcPr>
          <w:p w14:paraId="2337FF73" w14:textId="77777777" w:rsidR="00F0236A" w:rsidRPr="0042750D"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10843AC8" w14:textId="2C8AB944" w:rsidR="00D9191A" w:rsidRPr="0042750D" w:rsidRDefault="00D9191A" w:rsidP="0074302C">
            <w:pPr>
              <w:spacing w:before="40"/>
            </w:pPr>
            <w:r w:rsidRPr="0042750D">
              <w:t xml:space="preserve">Recommendation ITU-T E.156 </w:t>
            </w:r>
            <w:r w:rsidR="001E0C35" w:rsidRPr="0042750D">
              <w:t xml:space="preserve">(revised) </w:t>
            </w:r>
            <w:r w:rsidRPr="0042750D">
              <w:t xml:space="preserve">"Guidelines for ITU-T action on reported misuse of E.164 number resources" </w:t>
            </w:r>
            <w:r w:rsidR="001E0C35" w:rsidRPr="0042750D">
              <w:t>was determined by</w:t>
            </w:r>
            <w:r w:rsidRPr="0042750D">
              <w:t xml:space="preserve"> ITU-T SG2. SG2 </w:t>
            </w:r>
            <w:r w:rsidR="00694A7F" w:rsidRPr="0042750D">
              <w:t>is progressinga</w:t>
            </w:r>
            <w:r w:rsidRPr="0042750D">
              <w:t xml:space="preserve"> technical report TR.EENM “Guidelines for effective and efficient national numbering resources administration”.</w:t>
            </w:r>
          </w:p>
        </w:tc>
      </w:tr>
      <w:tr w:rsidR="00A9745F" w:rsidRPr="0042750D" w14:paraId="458AD230" w14:textId="77777777" w:rsidTr="00A9745F">
        <w:trPr>
          <w:jc w:val="center"/>
        </w:trPr>
        <w:tc>
          <w:tcPr>
            <w:tcW w:w="1130" w:type="dxa"/>
            <w:vMerge w:val="restart"/>
            <w:tcBorders>
              <w:top w:val="single" w:sz="12" w:space="0" w:color="auto"/>
            </w:tcBorders>
            <w:shd w:val="clear" w:color="auto" w:fill="auto"/>
          </w:tcPr>
          <w:p w14:paraId="320D52A2" w14:textId="0D5443A5" w:rsidR="00A9745F" w:rsidRPr="0042750D" w:rsidRDefault="00A9745F" w:rsidP="002C2CDF">
            <w:pPr>
              <w:pStyle w:val="Tabletext"/>
              <w:keepNext/>
              <w:keepLines/>
              <w:rPr>
                <w:b/>
                <w:bCs/>
                <w:sz w:val="24"/>
                <w:szCs w:val="24"/>
              </w:rPr>
            </w:pPr>
            <w:bookmarkStart w:id="339" w:name="Item84_01"/>
            <w:bookmarkStart w:id="340" w:name="Item84_02"/>
            <w:bookmarkStart w:id="341" w:name="Item84_03"/>
            <w:bookmarkStart w:id="342" w:name="Item84_04"/>
            <w:bookmarkEnd w:id="339"/>
            <w:bookmarkEnd w:id="340"/>
            <w:bookmarkEnd w:id="341"/>
            <w:bookmarkEnd w:id="342"/>
            <w:r w:rsidRPr="0042750D">
              <w:rPr>
                <w:b/>
                <w:bCs/>
                <w:sz w:val="24"/>
                <w:szCs w:val="24"/>
              </w:rPr>
              <w:t>190-02</w:t>
            </w:r>
          </w:p>
        </w:tc>
        <w:tc>
          <w:tcPr>
            <w:tcW w:w="4986" w:type="dxa"/>
            <w:tcBorders>
              <w:top w:val="single" w:sz="12" w:space="0" w:color="auto"/>
              <w:bottom w:val="single" w:sz="2" w:space="0" w:color="auto"/>
            </w:tcBorders>
            <w:shd w:val="clear" w:color="auto" w:fill="auto"/>
            <w:hideMark/>
          </w:tcPr>
          <w:p w14:paraId="4427DB41" w14:textId="15B18659" w:rsidR="00A9745F" w:rsidRPr="0042750D" w:rsidRDefault="00A9745F" w:rsidP="002C2CDF">
            <w:pPr>
              <w:pStyle w:val="Tabletext"/>
              <w:keepNext/>
              <w:keepLines/>
              <w:rPr>
                <w:b/>
                <w:bCs/>
                <w:sz w:val="24"/>
                <w:szCs w:val="24"/>
              </w:rPr>
            </w:pPr>
            <w:r w:rsidRPr="0042750D">
              <w:rPr>
                <w:b/>
                <w:bCs/>
                <w:sz w:val="24"/>
                <w:szCs w:val="24"/>
              </w:rPr>
              <w:t xml:space="preserve">TSBDir to </w:t>
            </w:r>
            <w:r w:rsidRPr="0042750D">
              <w:rPr>
                <w:b/>
                <w:sz w:val="24"/>
                <w:szCs w:val="24"/>
              </w:rPr>
              <w:t>collaborate with BDTDir in the effective implementation of this resolution so as to avoid overlap and duplication of effort in studying issues related to number misappropriation and misuse</w:t>
            </w:r>
            <w:r w:rsidR="00912618" w:rsidRPr="0042750D">
              <w:rPr>
                <w:b/>
                <w:sz w:val="24"/>
                <w:szCs w:val="24"/>
              </w:rPr>
              <w:t xml:space="preserve"> (</w:t>
            </w:r>
            <w:r w:rsidR="00912618" w:rsidRPr="0042750D">
              <w:rPr>
                <w:b/>
                <w:i/>
                <w:sz w:val="24"/>
                <w:szCs w:val="24"/>
              </w:rPr>
              <w:t>instructs 1</w:t>
            </w:r>
            <w:r w:rsidR="00912618" w:rsidRPr="0042750D">
              <w:rPr>
                <w:b/>
                <w:sz w:val="24"/>
                <w:szCs w:val="24"/>
              </w:rPr>
              <w:t>)</w:t>
            </w:r>
            <w:r w:rsidRPr="0042750D">
              <w:rPr>
                <w:b/>
                <w:sz w:val="24"/>
                <w:szCs w:val="24"/>
              </w:rPr>
              <w:t>.</w:t>
            </w:r>
          </w:p>
        </w:tc>
        <w:tc>
          <w:tcPr>
            <w:tcW w:w="1335" w:type="dxa"/>
            <w:tcBorders>
              <w:top w:val="single" w:sz="12" w:space="0" w:color="auto"/>
              <w:bottom w:val="single" w:sz="2" w:space="0" w:color="auto"/>
            </w:tcBorders>
            <w:shd w:val="clear" w:color="auto" w:fill="auto"/>
            <w:vAlign w:val="center"/>
          </w:tcPr>
          <w:p w14:paraId="4813349D" w14:textId="77777777" w:rsidR="00A9745F" w:rsidRPr="0042750D" w:rsidRDefault="00A9745F" w:rsidP="00D50A4E">
            <w:pPr>
              <w:pStyle w:val="Tabletext"/>
              <w:jc w:val="center"/>
              <w:rPr>
                <w:b/>
                <w:bCs/>
                <w:sz w:val="24"/>
                <w:szCs w:val="24"/>
              </w:rPr>
            </w:pPr>
            <w:r w:rsidRPr="0042750D">
              <w:rPr>
                <w:b/>
                <w:bCs/>
                <w:sz w:val="24"/>
                <w:szCs w:val="24"/>
              </w:rPr>
              <w:t>Ongoing</w:t>
            </w:r>
          </w:p>
        </w:tc>
        <w:tc>
          <w:tcPr>
            <w:tcW w:w="1143" w:type="dxa"/>
            <w:tcBorders>
              <w:top w:val="single" w:sz="12" w:space="0" w:color="auto"/>
              <w:bottom w:val="single" w:sz="2" w:space="0" w:color="auto"/>
            </w:tcBorders>
            <w:shd w:val="clear" w:color="auto" w:fill="auto"/>
            <w:vAlign w:val="center"/>
          </w:tcPr>
          <w:p w14:paraId="23D6495F" w14:textId="77777777" w:rsidR="00A9745F" w:rsidRPr="0042750D" w:rsidRDefault="00A9745F" w:rsidP="00D50A4E">
            <w:pPr>
              <w:pStyle w:val="Tabletext"/>
              <w:jc w:val="center"/>
              <w:rPr>
                <w:b/>
                <w:bCs/>
                <w:sz w:val="24"/>
                <w:szCs w:val="24"/>
              </w:rPr>
            </w:pPr>
          </w:p>
        </w:tc>
        <w:tc>
          <w:tcPr>
            <w:tcW w:w="1338" w:type="dxa"/>
            <w:tcBorders>
              <w:top w:val="single" w:sz="12" w:space="0" w:color="auto"/>
            </w:tcBorders>
            <w:shd w:val="clear" w:color="auto" w:fill="auto"/>
            <w:vAlign w:val="center"/>
          </w:tcPr>
          <w:p w14:paraId="6EC98F49" w14:textId="77777777" w:rsidR="00A9745F" w:rsidRPr="0042750D" w:rsidRDefault="00A9745F" w:rsidP="00D50A4E">
            <w:pPr>
              <w:pStyle w:val="Tabletext"/>
              <w:jc w:val="center"/>
              <w:rPr>
                <w:b/>
                <w:bCs/>
                <w:sz w:val="24"/>
                <w:szCs w:val="24"/>
              </w:rPr>
            </w:pPr>
          </w:p>
        </w:tc>
      </w:tr>
      <w:tr w:rsidR="00A9745F" w:rsidRPr="0042750D" w14:paraId="7BCC50A7" w14:textId="77777777" w:rsidTr="00D50A4E">
        <w:trPr>
          <w:jc w:val="center"/>
        </w:trPr>
        <w:tc>
          <w:tcPr>
            <w:tcW w:w="1130" w:type="dxa"/>
            <w:vMerge/>
            <w:tcBorders>
              <w:bottom w:val="single" w:sz="12" w:space="0" w:color="auto"/>
            </w:tcBorders>
            <w:shd w:val="clear" w:color="auto" w:fill="auto"/>
          </w:tcPr>
          <w:p w14:paraId="79AE6036" w14:textId="77777777" w:rsidR="00A9745F" w:rsidRPr="0042750D" w:rsidRDefault="00A9745F" w:rsidP="00D50A4E">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31AE0396" w14:textId="77777777" w:rsidR="00A9745F" w:rsidRPr="0042750D" w:rsidRDefault="00A9745F" w:rsidP="0074302C">
            <w:pPr>
              <w:spacing w:before="40" w:after="40"/>
            </w:pPr>
          </w:p>
        </w:tc>
      </w:tr>
      <w:tr w:rsidR="00A9745F" w:rsidRPr="0042750D" w14:paraId="2F5011D1" w14:textId="77777777" w:rsidTr="00D50A4E">
        <w:trPr>
          <w:jc w:val="center"/>
        </w:trPr>
        <w:tc>
          <w:tcPr>
            <w:tcW w:w="1130" w:type="dxa"/>
            <w:vMerge w:val="restart"/>
            <w:tcBorders>
              <w:top w:val="single" w:sz="12" w:space="0" w:color="auto"/>
            </w:tcBorders>
            <w:shd w:val="clear" w:color="auto" w:fill="auto"/>
          </w:tcPr>
          <w:p w14:paraId="2B4DE8BE" w14:textId="48FEE453" w:rsidR="00A9745F" w:rsidRPr="0042750D" w:rsidRDefault="00A9745F" w:rsidP="0074419F">
            <w:pPr>
              <w:pStyle w:val="Tabletext"/>
              <w:keepNext/>
              <w:keepLines/>
              <w:rPr>
                <w:b/>
                <w:bCs/>
                <w:sz w:val="24"/>
                <w:szCs w:val="24"/>
              </w:rPr>
            </w:pPr>
            <w:r w:rsidRPr="0042750D">
              <w:rPr>
                <w:b/>
                <w:bCs/>
                <w:sz w:val="24"/>
                <w:szCs w:val="24"/>
              </w:rPr>
              <w:t>190-03</w:t>
            </w:r>
          </w:p>
        </w:tc>
        <w:tc>
          <w:tcPr>
            <w:tcW w:w="4986" w:type="dxa"/>
            <w:tcBorders>
              <w:top w:val="single" w:sz="12" w:space="0" w:color="auto"/>
              <w:bottom w:val="single" w:sz="2" w:space="0" w:color="auto"/>
            </w:tcBorders>
            <w:shd w:val="clear" w:color="auto" w:fill="auto"/>
            <w:hideMark/>
          </w:tcPr>
          <w:p w14:paraId="66E69B9C" w14:textId="5BA71DFA" w:rsidR="00A9745F" w:rsidRPr="0042750D" w:rsidRDefault="00A9745F" w:rsidP="0074419F">
            <w:pPr>
              <w:pStyle w:val="Tabletext"/>
              <w:keepNext/>
              <w:keepLines/>
              <w:rPr>
                <w:b/>
                <w:bCs/>
                <w:sz w:val="24"/>
                <w:szCs w:val="24"/>
              </w:rPr>
            </w:pPr>
            <w:r w:rsidRPr="0042750D">
              <w:rPr>
                <w:b/>
                <w:bCs/>
                <w:sz w:val="24"/>
                <w:szCs w:val="24"/>
              </w:rPr>
              <w:t xml:space="preserve">TSBDir to </w:t>
            </w:r>
            <w:r w:rsidRPr="0042750D">
              <w:rPr>
                <w:b/>
                <w:sz w:val="24"/>
                <w:szCs w:val="24"/>
              </w:rPr>
              <w:t>continue to work with regions, subregions and countries, in particular developing countries</w:t>
            </w:r>
            <w:r w:rsidRPr="0042750D">
              <w:rPr>
                <w:rStyle w:val="FootnoteReference"/>
                <w:b/>
                <w:sz w:val="24"/>
                <w:szCs w:val="24"/>
              </w:rPr>
              <w:footnoteReference w:customMarkFollows="1" w:id="18"/>
              <w:t>1</w:t>
            </w:r>
            <w:r w:rsidRPr="0042750D">
              <w:rPr>
                <w:b/>
                <w:sz w:val="24"/>
                <w:szCs w:val="24"/>
              </w:rPr>
              <w:t>, to develop national legal and regulatory frameworks that are sufficient to ensure best practices in ITU</w:t>
            </w:r>
            <w:r w:rsidRPr="0042750D">
              <w:rPr>
                <w:b/>
                <w:sz w:val="24"/>
                <w:szCs w:val="24"/>
              </w:rPr>
              <w:noBreakHyphen/>
              <w:t>T E.164 telephone numbering management in order to counter telephone number misappropriation and misuse</w:t>
            </w:r>
            <w:r w:rsidR="00912618" w:rsidRPr="0042750D">
              <w:rPr>
                <w:b/>
                <w:sz w:val="24"/>
                <w:szCs w:val="24"/>
              </w:rPr>
              <w:t xml:space="preserve"> (</w:t>
            </w:r>
            <w:r w:rsidR="00912618" w:rsidRPr="0042750D">
              <w:rPr>
                <w:b/>
                <w:i/>
                <w:sz w:val="24"/>
                <w:szCs w:val="24"/>
              </w:rPr>
              <w:t>instructs 3</w:t>
            </w:r>
            <w:r w:rsidR="00912618" w:rsidRPr="0042750D">
              <w:rPr>
                <w:b/>
                <w:sz w:val="24"/>
                <w:szCs w:val="24"/>
              </w:rPr>
              <w:t>)</w:t>
            </w:r>
            <w:r w:rsidRPr="0042750D">
              <w:rPr>
                <w:b/>
                <w:sz w:val="24"/>
                <w:szCs w:val="24"/>
              </w:rPr>
              <w:t>.</w:t>
            </w:r>
          </w:p>
        </w:tc>
        <w:tc>
          <w:tcPr>
            <w:tcW w:w="1335" w:type="dxa"/>
            <w:tcBorders>
              <w:top w:val="single" w:sz="12" w:space="0" w:color="auto"/>
              <w:bottom w:val="single" w:sz="2" w:space="0" w:color="auto"/>
            </w:tcBorders>
            <w:shd w:val="clear" w:color="auto" w:fill="auto"/>
            <w:vAlign w:val="center"/>
          </w:tcPr>
          <w:p w14:paraId="37ECA0AA" w14:textId="77777777" w:rsidR="00A9745F" w:rsidRPr="0042750D" w:rsidRDefault="00A9745F" w:rsidP="0074419F">
            <w:pPr>
              <w:pStyle w:val="Tabletext"/>
              <w:keepNext/>
              <w:keepLines/>
              <w:jc w:val="center"/>
              <w:rPr>
                <w:b/>
                <w:bCs/>
                <w:sz w:val="24"/>
                <w:szCs w:val="24"/>
              </w:rPr>
            </w:pPr>
            <w:r w:rsidRPr="0042750D">
              <w:rPr>
                <w:b/>
                <w:bCs/>
                <w:sz w:val="24"/>
                <w:szCs w:val="24"/>
              </w:rPr>
              <w:t>Ongoing</w:t>
            </w:r>
          </w:p>
        </w:tc>
        <w:tc>
          <w:tcPr>
            <w:tcW w:w="1143" w:type="dxa"/>
            <w:tcBorders>
              <w:top w:val="single" w:sz="12" w:space="0" w:color="auto"/>
              <w:bottom w:val="single" w:sz="2" w:space="0" w:color="auto"/>
            </w:tcBorders>
            <w:shd w:val="clear" w:color="auto" w:fill="auto"/>
            <w:vAlign w:val="center"/>
          </w:tcPr>
          <w:p w14:paraId="0BDC704E" w14:textId="001534BC" w:rsidR="00A9745F" w:rsidRPr="0042750D" w:rsidRDefault="0074419F" w:rsidP="0074419F">
            <w:pPr>
              <w:pStyle w:val="Tabletext"/>
              <w:keepNext/>
              <w:keepLines/>
              <w:jc w:val="center"/>
              <w:rPr>
                <w:b/>
                <w:bCs/>
                <w:sz w:val="24"/>
                <w:szCs w:val="24"/>
              </w:rPr>
            </w:pPr>
            <w:r w:rsidRPr="0042750D">
              <w:rPr>
                <w:b/>
                <w:bCs/>
                <w:sz w:val="24"/>
                <w:szCs w:val="24"/>
              </w:rPr>
              <w:t>√</w:t>
            </w:r>
          </w:p>
        </w:tc>
        <w:tc>
          <w:tcPr>
            <w:tcW w:w="1338" w:type="dxa"/>
            <w:tcBorders>
              <w:top w:val="single" w:sz="12" w:space="0" w:color="auto"/>
            </w:tcBorders>
            <w:shd w:val="clear" w:color="auto" w:fill="auto"/>
            <w:vAlign w:val="center"/>
          </w:tcPr>
          <w:p w14:paraId="22CD0BF2" w14:textId="77777777" w:rsidR="00A9745F" w:rsidRPr="0042750D" w:rsidRDefault="00A9745F" w:rsidP="0074419F">
            <w:pPr>
              <w:pStyle w:val="Tabletext"/>
              <w:keepNext/>
              <w:keepLines/>
              <w:jc w:val="center"/>
              <w:rPr>
                <w:b/>
                <w:bCs/>
                <w:sz w:val="24"/>
                <w:szCs w:val="24"/>
              </w:rPr>
            </w:pPr>
          </w:p>
        </w:tc>
      </w:tr>
      <w:tr w:rsidR="00A9745F" w:rsidRPr="0042750D" w14:paraId="36C1D5C4" w14:textId="77777777" w:rsidTr="00D50A4E">
        <w:trPr>
          <w:jc w:val="center"/>
        </w:trPr>
        <w:tc>
          <w:tcPr>
            <w:tcW w:w="1130" w:type="dxa"/>
            <w:vMerge/>
            <w:tcBorders>
              <w:bottom w:val="single" w:sz="12" w:space="0" w:color="auto"/>
            </w:tcBorders>
            <w:shd w:val="clear" w:color="auto" w:fill="auto"/>
          </w:tcPr>
          <w:p w14:paraId="2DC83CAB" w14:textId="77777777" w:rsidR="00A9745F" w:rsidRPr="0042750D" w:rsidRDefault="00A9745F" w:rsidP="0074419F">
            <w:pPr>
              <w:pStyle w:val="Tabletext"/>
              <w:keepNext/>
              <w:keepLines/>
              <w:rPr>
                <w:sz w:val="24"/>
                <w:szCs w:val="24"/>
              </w:rPr>
            </w:pPr>
          </w:p>
        </w:tc>
        <w:tc>
          <w:tcPr>
            <w:tcW w:w="8802" w:type="dxa"/>
            <w:gridSpan w:val="4"/>
            <w:tcBorders>
              <w:top w:val="single" w:sz="2" w:space="0" w:color="auto"/>
              <w:bottom w:val="single" w:sz="12" w:space="0" w:color="auto"/>
            </w:tcBorders>
            <w:shd w:val="clear" w:color="auto" w:fill="auto"/>
          </w:tcPr>
          <w:p w14:paraId="0AD16101" w14:textId="77777777" w:rsidR="009C65BB" w:rsidRPr="0042750D" w:rsidRDefault="00DD025B" w:rsidP="0074302C">
            <w:pPr>
              <w:spacing w:before="40"/>
            </w:pPr>
            <w:hyperlink r:id="rId107" w:history="1">
              <w:r w:rsidR="009C65BB" w:rsidRPr="0042750D">
                <w:rPr>
                  <w:bCs/>
                  <w:color w:val="0000FF"/>
                  <w:u w:val="single"/>
                </w:rPr>
                <w:t>ITU Regional Standardization Forum (RSF) on “Addressing Competition Issues in ICT Economy”</w:t>
              </w:r>
            </w:hyperlink>
            <w:r w:rsidR="009C65BB" w:rsidRPr="0042750D">
              <w:t>, Colombo, Sri Lanka, 1 October 2019.</w:t>
            </w:r>
          </w:p>
          <w:p w14:paraId="1D830C0D" w14:textId="77777777" w:rsidR="009C65BB" w:rsidRPr="0042750D" w:rsidRDefault="00DD025B" w:rsidP="009C65BB">
            <w:pPr>
              <w:rPr>
                <w:rFonts w:asciiTheme="majorBidi" w:hAnsiTheme="majorBidi" w:cstheme="majorBidi"/>
                <w:szCs w:val="22"/>
              </w:rPr>
            </w:pPr>
            <w:hyperlink r:id="rId108" w:history="1">
              <w:r w:rsidR="009C65BB" w:rsidRPr="0042750D">
                <w:rPr>
                  <w:rStyle w:val="Hyperlink"/>
                </w:rPr>
                <w:t>ITU Inter-regional Standardization Forum on “Operational issues on numbering, emergency service and OTTs”</w:t>
              </w:r>
            </w:hyperlink>
            <w:r w:rsidR="009C65BB" w:rsidRPr="0042750D">
              <w:t>, Dubai, United Emirates on 22 October 2019.</w:t>
            </w:r>
          </w:p>
          <w:p w14:paraId="4B5616D3" w14:textId="64AB0191" w:rsidR="00A9745F" w:rsidRPr="0042750D" w:rsidRDefault="00DD025B" w:rsidP="0074419F">
            <w:pPr>
              <w:keepNext/>
              <w:keepLines/>
            </w:pPr>
            <w:hyperlink r:id="rId109" w:history="1">
              <w:r w:rsidR="002C7D3A" w:rsidRPr="0042750D">
                <w:rPr>
                  <w:rStyle w:val="Hyperlink"/>
                </w:rPr>
                <w:t>ITU Regional Workshop on Telecom Numbering Planning and Policies for Arab and Africa Region</w:t>
              </w:r>
            </w:hyperlink>
            <w:r w:rsidR="002C7D3A" w:rsidRPr="0042750D">
              <w:t xml:space="preserve"> </w:t>
            </w:r>
            <w:r w:rsidR="005C7B3D" w:rsidRPr="0042750D">
              <w:t xml:space="preserve">was held </w:t>
            </w:r>
            <w:r w:rsidR="002C7D3A" w:rsidRPr="0042750D">
              <w:t xml:space="preserve">on 25 April 2018 and </w:t>
            </w:r>
            <w:r w:rsidR="005C7B3D" w:rsidRPr="0042750D">
              <w:t>followed by</w:t>
            </w:r>
            <w:r w:rsidR="002C7D3A" w:rsidRPr="0042750D">
              <w:t xml:space="preserve"> the meeting</w:t>
            </w:r>
            <w:r w:rsidR="005C7B3D" w:rsidRPr="0042750D">
              <w:t>s</w:t>
            </w:r>
            <w:r w:rsidR="002C7D3A" w:rsidRPr="0042750D">
              <w:t xml:space="preserve"> of </w:t>
            </w:r>
            <w:hyperlink r:id="rId110" w:history="1">
              <w:r w:rsidR="002C7D3A" w:rsidRPr="0042750D">
                <w:rPr>
                  <w:rStyle w:val="Hyperlink"/>
                </w:rPr>
                <w:t>ITU-T SG2 Regional Group</w:t>
              </w:r>
              <w:r w:rsidR="005C7B3D" w:rsidRPr="0042750D">
                <w:rPr>
                  <w:rStyle w:val="Hyperlink"/>
                </w:rPr>
                <w:t xml:space="preserve"> for Africa (SG2RG-AFR) and ITU-T SG2 Regional Group </w:t>
              </w:r>
              <w:r w:rsidR="002C7D3A" w:rsidRPr="0042750D">
                <w:rPr>
                  <w:rStyle w:val="Hyperlink"/>
                </w:rPr>
                <w:t>for the Arab Region (SG2RG-ARB)</w:t>
              </w:r>
            </w:hyperlink>
            <w:r w:rsidR="002C7D3A" w:rsidRPr="0042750D">
              <w:t xml:space="preserve"> </w:t>
            </w:r>
            <w:r w:rsidR="005C7B3D" w:rsidRPr="0042750D">
              <w:t>from</w:t>
            </w:r>
            <w:r w:rsidR="002C7D3A" w:rsidRPr="0042750D">
              <w:t xml:space="preserve"> 26 </w:t>
            </w:r>
            <w:r w:rsidR="005C7B3D" w:rsidRPr="0042750D">
              <w:t>to</w:t>
            </w:r>
            <w:r w:rsidR="002C7D3A" w:rsidRPr="0042750D">
              <w:t xml:space="preserve"> 27 April 2018.</w:t>
            </w:r>
          </w:p>
          <w:p w14:paraId="058E8211" w14:textId="54BD85A4" w:rsidR="002C7D3A" w:rsidRPr="0042750D" w:rsidRDefault="00DD025B" w:rsidP="0074419F">
            <w:pPr>
              <w:keepNext/>
              <w:keepLines/>
              <w:rPr>
                <w:rFonts w:eastAsia="Batang"/>
              </w:rPr>
            </w:pPr>
            <w:hyperlink r:id="rId111" w:history="1">
              <w:r w:rsidR="002C7D3A" w:rsidRPr="0042750D">
                <w:rPr>
                  <w:rStyle w:val="Hyperlink"/>
                </w:rPr>
                <w:t>ITU Interregional Workshop on ITU International Numbering Resources for the Arab and Africa Region</w:t>
              </w:r>
            </w:hyperlink>
            <w:r w:rsidR="002C7D3A" w:rsidRPr="0042750D">
              <w:rPr>
                <w:rStyle w:val="Hyperlink"/>
              </w:rPr>
              <w:t>s</w:t>
            </w:r>
            <w:r w:rsidR="002C7D3A" w:rsidRPr="0042750D">
              <w:t xml:space="preserve"> </w:t>
            </w:r>
            <w:r w:rsidR="005C7B3D" w:rsidRPr="0042750D">
              <w:t xml:space="preserve">was held </w:t>
            </w:r>
            <w:r w:rsidR="002C7D3A" w:rsidRPr="0042750D">
              <w:t xml:space="preserve">from 2 to 4 (AM) December 2018 and was </w:t>
            </w:r>
            <w:r w:rsidR="005C7B3D" w:rsidRPr="0042750D">
              <w:t>followed by</w:t>
            </w:r>
            <w:r w:rsidR="002C7D3A" w:rsidRPr="0042750D">
              <w:t xml:space="preserve"> the meeting</w:t>
            </w:r>
            <w:r w:rsidR="005C7B3D" w:rsidRPr="0042750D">
              <w:t>s</w:t>
            </w:r>
            <w:r w:rsidR="002C7D3A" w:rsidRPr="0042750D">
              <w:t xml:space="preserve"> of </w:t>
            </w:r>
            <w:r w:rsidR="005C7B3D" w:rsidRPr="0042750D">
              <w:t xml:space="preserve">SG2RG-AFR and </w:t>
            </w:r>
            <w:r w:rsidR="002C7D3A" w:rsidRPr="0042750D">
              <w:t>SG2RG-ARB</w:t>
            </w:r>
            <w:r w:rsidR="005C7B3D" w:rsidRPr="0042750D">
              <w:t xml:space="preserve"> </w:t>
            </w:r>
            <w:r w:rsidR="006B4C58" w:rsidRPr="0042750D">
              <w:t>from</w:t>
            </w:r>
            <w:r w:rsidR="002C7D3A" w:rsidRPr="0042750D">
              <w:t xml:space="preserve"> </w:t>
            </w:r>
            <w:r w:rsidR="002C7D3A" w:rsidRPr="0042750D">
              <w:rPr>
                <w:rFonts w:eastAsia="Batang"/>
              </w:rPr>
              <w:t>4 (PM) to 6 December 2018.</w:t>
            </w:r>
          </w:p>
          <w:p w14:paraId="75CC395F" w14:textId="2E841B7A" w:rsidR="002C7D3A" w:rsidRPr="0042750D" w:rsidRDefault="005C7B3D" w:rsidP="00D1619A">
            <w:pPr>
              <w:keepNext/>
              <w:keepLines/>
              <w:spacing w:after="40"/>
            </w:pPr>
            <w:r w:rsidRPr="0042750D">
              <w:t>ITU Regional Workshop on ITU International Numbering Resources (INRs) for the Americas region was held from 25 to 26 March 2019 and was followed by the meeting of ITU-T Study Group 2 Regional Group for the Americas (SG2RG-AMR).</w:t>
            </w:r>
          </w:p>
        </w:tc>
      </w:tr>
    </w:tbl>
    <w:p w14:paraId="3FBDEF34"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1A2C403E" w14:textId="1EDFF3FF" w:rsidR="00F0236A" w:rsidRPr="0042750D" w:rsidRDefault="00D05E59" w:rsidP="00515FDC">
      <w:pPr>
        <w:pStyle w:val="Heading1"/>
        <w:keepNext/>
        <w:keepLines/>
        <w:rPr>
          <w:sz w:val="24"/>
          <w:szCs w:val="24"/>
          <w:lang w:val="en-GB"/>
        </w:rPr>
      </w:pPr>
      <w:bookmarkStart w:id="343" w:name="_Resolution_85_-"/>
      <w:bookmarkStart w:id="344" w:name="_Toc30749186"/>
      <w:bookmarkEnd w:id="343"/>
      <w:r w:rsidRPr="0042750D">
        <w:rPr>
          <w:sz w:val="24"/>
          <w:szCs w:val="24"/>
          <w:lang w:val="en-GB"/>
        </w:rPr>
        <w:t>RESOLUTION 191 (REV. DUBAI, 2018) –</w:t>
      </w:r>
      <w:r w:rsidR="001314A5" w:rsidRPr="0042750D">
        <w:rPr>
          <w:sz w:val="24"/>
          <w:szCs w:val="24"/>
          <w:lang w:val="en-GB"/>
        </w:rPr>
        <w:t xml:space="preserve"> </w:t>
      </w:r>
      <w:r w:rsidRPr="0042750D">
        <w:rPr>
          <w:sz w:val="24"/>
          <w:szCs w:val="24"/>
          <w:lang w:val="en-GB"/>
        </w:rPr>
        <w:t>Strategy for the coordination of efforts among the three Sectors of the Union</w:t>
      </w:r>
      <w:bookmarkEnd w:id="344"/>
    </w:p>
    <w:p w14:paraId="28FC0257" w14:textId="77777777" w:rsidR="003946FE" w:rsidRPr="0042750D" w:rsidRDefault="003946FE" w:rsidP="00515FDC">
      <w:pPr>
        <w:pStyle w:val="Call"/>
        <w:rPr>
          <w:szCs w:val="22"/>
          <w:lang w:val="en-GB"/>
        </w:rPr>
      </w:pPr>
      <w:r w:rsidRPr="0042750D">
        <w:rPr>
          <w:szCs w:val="22"/>
          <w:lang w:val="en-GB"/>
        </w:rPr>
        <w:t>resolves</w:t>
      </w:r>
    </w:p>
    <w:p w14:paraId="66F29A98" w14:textId="77777777" w:rsidR="003946FE" w:rsidRPr="0042750D" w:rsidRDefault="003946FE" w:rsidP="00515FDC">
      <w:pPr>
        <w:keepNext/>
        <w:keepLines/>
        <w:rPr>
          <w:szCs w:val="22"/>
        </w:rPr>
      </w:pPr>
      <w:r w:rsidRPr="0042750D">
        <w:rPr>
          <w:szCs w:val="22"/>
        </w:rPr>
        <w:t>that the Radiocommunication Advisory Group (RAG), TSAG and the Telecommunication Development Advisory Group (TDAG), including through ISCG, shall continue to consider current and new activities and their distribution among ITU</w:t>
      </w:r>
      <w:r w:rsidRPr="0042750D">
        <w:rPr>
          <w:szCs w:val="22"/>
        </w:rPr>
        <w:noBreakHyphen/>
        <w:t>R, ITU</w:t>
      </w:r>
      <w:r w:rsidRPr="0042750D">
        <w:rPr>
          <w:szCs w:val="22"/>
        </w:rPr>
        <w:noBreakHyphen/>
        <w:t>T and ITU</w:t>
      </w:r>
      <w:r w:rsidRPr="0042750D">
        <w:rPr>
          <w:szCs w:val="22"/>
        </w:rPr>
        <w:noBreakHyphen/>
        <w:t>D for approval by the ITU Member States in accordance with the procedures for approval of new and revised Questions,</w:t>
      </w:r>
    </w:p>
    <w:p w14:paraId="0421B501" w14:textId="77777777" w:rsidR="003946FE" w:rsidRPr="0042750D" w:rsidRDefault="003946FE" w:rsidP="003946FE">
      <w:pPr>
        <w:pStyle w:val="Call"/>
        <w:rPr>
          <w:szCs w:val="22"/>
          <w:lang w:val="en-GB"/>
        </w:rPr>
      </w:pPr>
      <w:r w:rsidRPr="0042750D">
        <w:rPr>
          <w:szCs w:val="22"/>
          <w:lang w:val="en-GB"/>
        </w:rPr>
        <w:t>invites</w:t>
      </w:r>
    </w:p>
    <w:p w14:paraId="1C299D8A" w14:textId="77777777" w:rsidR="003946FE" w:rsidRPr="0042750D" w:rsidRDefault="003946FE" w:rsidP="003946FE">
      <w:pPr>
        <w:rPr>
          <w:szCs w:val="22"/>
        </w:rPr>
      </w:pPr>
      <w:r w:rsidRPr="0042750D">
        <w:rPr>
          <w:szCs w:val="22"/>
        </w:rPr>
        <w:t>1</w:t>
      </w:r>
      <w:r w:rsidRPr="0042750D">
        <w:rPr>
          <w:szCs w:val="22"/>
        </w:rPr>
        <w:tab/>
        <w:t>RAG, TSAG and TDAG to continue to assist ISCG in identifying of subjects common to the three Sectors and mechanisms to enhance cooperation and collaboration in all Sectors on matters of mutual interest;</w:t>
      </w:r>
    </w:p>
    <w:p w14:paraId="038D7720" w14:textId="77777777" w:rsidR="003946FE" w:rsidRPr="0042750D" w:rsidRDefault="003946FE" w:rsidP="003946FE">
      <w:pPr>
        <w:rPr>
          <w:szCs w:val="22"/>
        </w:rPr>
      </w:pPr>
      <w:r w:rsidRPr="0042750D">
        <w:rPr>
          <w:szCs w:val="22"/>
        </w:rPr>
        <w:t>2</w:t>
      </w:r>
      <w:r w:rsidRPr="0042750D">
        <w:rPr>
          <w:szCs w:val="22"/>
        </w:rPr>
        <w:tab/>
        <w:t>the Directors of the Radiocommunication, Telecommunication Standardization and Telecommunication Development Bureaux and ISC</w:t>
      </w:r>
      <w:r w:rsidRPr="0042750D">
        <w:rPr>
          <w:szCs w:val="22"/>
        </w:rPr>
        <w:noBreakHyphen/>
        <w:t>TF to report to ISCG and the respective Sector advisory groups on options for improving cooperation at the secretariat level to ensure that close coordination is maximized,</w:t>
      </w:r>
    </w:p>
    <w:p w14:paraId="651FBEBF" w14:textId="77777777" w:rsidR="003946FE" w:rsidRPr="0042750D" w:rsidRDefault="003946FE" w:rsidP="003946FE">
      <w:pPr>
        <w:pStyle w:val="Call"/>
        <w:rPr>
          <w:szCs w:val="22"/>
          <w:lang w:val="en-GB"/>
        </w:rPr>
      </w:pPr>
      <w:r w:rsidRPr="0042750D">
        <w:rPr>
          <w:szCs w:val="22"/>
          <w:lang w:val="en-GB"/>
        </w:rPr>
        <w:t>instructs the Secretary-General</w:t>
      </w:r>
    </w:p>
    <w:p w14:paraId="0DE5811A" w14:textId="77777777" w:rsidR="003946FE" w:rsidRPr="0042750D" w:rsidRDefault="003946FE" w:rsidP="003946FE">
      <w:pPr>
        <w:rPr>
          <w:szCs w:val="22"/>
        </w:rPr>
      </w:pPr>
      <w:r w:rsidRPr="0042750D">
        <w:rPr>
          <w:szCs w:val="22"/>
        </w:rPr>
        <w:t>1</w:t>
      </w:r>
      <w:r w:rsidRPr="0042750D">
        <w:rPr>
          <w:szCs w:val="22"/>
        </w:rPr>
        <w:tab/>
        <w:t>to continue enhancing a coordination and cooperation strategy for effective and efficient efforts in areas of mutual interest to the three ITU Sectors and the General Secretariat, in order to avoid duplication of effort and optimize the use of resources of the Union;</w:t>
      </w:r>
    </w:p>
    <w:p w14:paraId="38968283" w14:textId="77777777" w:rsidR="003946FE" w:rsidRPr="0042750D" w:rsidRDefault="003946FE" w:rsidP="003946FE">
      <w:pPr>
        <w:rPr>
          <w:szCs w:val="22"/>
        </w:rPr>
      </w:pPr>
      <w:r w:rsidRPr="0042750D">
        <w:rPr>
          <w:szCs w:val="22"/>
        </w:rPr>
        <w:t>2</w:t>
      </w:r>
      <w:r w:rsidRPr="0042750D">
        <w:rPr>
          <w:szCs w:val="22"/>
        </w:rPr>
        <w:tab/>
        <w:t>to identify all forms and examples of overlapping functions and activities among ITU Sectors as well as the General Secretariat, and propose solutions to address them;</w:t>
      </w:r>
    </w:p>
    <w:p w14:paraId="01199AAF" w14:textId="77777777" w:rsidR="003946FE" w:rsidRPr="0042750D" w:rsidRDefault="003946FE" w:rsidP="003946FE">
      <w:pPr>
        <w:rPr>
          <w:szCs w:val="22"/>
        </w:rPr>
      </w:pPr>
      <w:r w:rsidRPr="0042750D">
        <w:rPr>
          <w:szCs w:val="22"/>
        </w:rPr>
        <w:t>3</w:t>
      </w:r>
      <w:r w:rsidRPr="0042750D">
        <w:rPr>
          <w:szCs w:val="22"/>
        </w:rPr>
        <w:tab/>
        <w:t>to update the list containing the areas of mutual interest to the three Sectors and the General Secretariat pursuant to the mandates of each ITU assembly and conference;</w:t>
      </w:r>
    </w:p>
    <w:p w14:paraId="68D68B46" w14:textId="77777777" w:rsidR="003946FE" w:rsidRPr="0042750D" w:rsidRDefault="003946FE" w:rsidP="003946FE">
      <w:pPr>
        <w:rPr>
          <w:szCs w:val="22"/>
        </w:rPr>
      </w:pPr>
      <w:r w:rsidRPr="0042750D">
        <w:rPr>
          <w:szCs w:val="22"/>
        </w:rPr>
        <w:t>4</w:t>
      </w:r>
      <w:r w:rsidRPr="0042750D">
        <w:rPr>
          <w:szCs w:val="22"/>
        </w:rPr>
        <w:tab/>
        <w:t>to submit to the Council and to the Plenipotentiary Conference reports on the coordination activities carried out among the different Sectors and the General Secretariat in each such area, as well as the results obtained;</w:t>
      </w:r>
    </w:p>
    <w:p w14:paraId="09A9E9D4" w14:textId="77777777" w:rsidR="003946FE" w:rsidRPr="0042750D" w:rsidRDefault="003946FE" w:rsidP="003946FE">
      <w:pPr>
        <w:rPr>
          <w:szCs w:val="22"/>
        </w:rPr>
      </w:pPr>
      <w:r w:rsidRPr="0042750D">
        <w:rPr>
          <w:szCs w:val="22"/>
        </w:rPr>
        <w:t>5</w:t>
      </w:r>
      <w:r w:rsidRPr="0042750D">
        <w:rPr>
          <w:szCs w:val="22"/>
        </w:rPr>
        <w:tab/>
        <w:t>to continue ensure close interaction and regular exchange of information between ISCG and ISC-TF;</w:t>
      </w:r>
    </w:p>
    <w:p w14:paraId="31F5270C" w14:textId="6B07A7A9" w:rsidR="00F0236A" w:rsidRPr="0042750D" w:rsidRDefault="003946FE" w:rsidP="003946FE">
      <w:pPr>
        <w:spacing w:after="120"/>
        <w:rPr>
          <w:szCs w:val="22"/>
        </w:rPr>
      </w:pPr>
      <w:r w:rsidRPr="0042750D">
        <w:rPr>
          <w:szCs w:val="22"/>
        </w:rPr>
        <w:t>6</w:t>
      </w:r>
      <w:r w:rsidRPr="0042750D">
        <w:rPr>
          <w:szCs w:val="22"/>
        </w:rPr>
        <w:tab/>
        <w:t>to present a report to the next plenipotentiary conference on the implementation of this resolution</w:t>
      </w:r>
      <w:r w:rsidR="00F0236A" w:rsidRPr="0042750D">
        <w:rPr>
          <w:szCs w:val="22"/>
        </w:rPr>
        <w:t>.</w:t>
      </w:r>
    </w:p>
    <w:p w14:paraId="6E2B224C" w14:textId="77777777" w:rsidR="00F72410" w:rsidRPr="0042750D" w:rsidRDefault="00F72410" w:rsidP="00F72410">
      <w:pPr>
        <w:pStyle w:val="Call"/>
        <w:rPr>
          <w:lang w:val="en-GB"/>
        </w:rPr>
      </w:pPr>
      <w:r w:rsidRPr="0042750D">
        <w:rPr>
          <w:lang w:val="en-GB"/>
        </w:rPr>
        <w:t>instructs the Secretary</w:t>
      </w:r>
      <w:r w:rsidRPr="0042750D">
        <w:rPr>
          <w:lang w:val="en-GB"/>
        </w:rPr>
        <w:noBreakHyphen/>
        <w:t>General and the Directors of the three Bureaux</w:t>
      </w:r>
    </w:p>
    <w:p w14:paraId="07CFA05E" w14:textId="77777777" w:rsidR="00F72410" w:rsidRPr="0042750D" w:rsidRDefault="00F72410" w:rsidP="00F72410">
      <w:r w:rsidRPr="0042750D">
        <w:t>1</w:t>
      </w:r>
      <w:r w:rsidRPr="0042750D">
        <w:tab/>
        <w:t>to ensure reporting to the Council of the coordination activities carried out among the different Sectors in each area identified as being of mutual interest, as well as the results obtained;</w:t>
      </w:r>
    </w:p>
    <w:p w14:paraId="4347F936" w14:textId="77777777" w:rsidR="00F72410" w:rsidRPr="0042750D" w:rsidRDefault="00F72410" w:rsidP="00F72410">
      <w:r w:rsidRPr="0042750D">
        <w:t>2</w:t>
      </w:r>
      <w:r w:rsidRPr="0042750D">
        <w:tab/>
        <w:t>to identify all forms and examples of overlapping functions and activities between ITU Sectors as well as the General Secretariat, and propose solutions to address them;</w:t>
      </w:r>
    </w:p>
    <w:p w14:paraId="3B3055E6" w14:textId="77777777" w:rsidR="00F72410" w:rsidRPr="0042750D" w:rsidRDefault="00F72410" w:rsidP="00F72410">
      <w:r w:rsidRPr="0042750D">
        <w:t>3</w:t>
      </w:r>
      <w:r w:rsidRPr="0042750D">
        <w:tab/>
        <w:t>to ensure that the agendas of the respective advisory groups include coordination with the other Sectors, so that strategies and actions are suggested for optimal development of the areas of common interest;</w:t>
      </w:r>
    </w:p>
    <w:p w14:paraId="485C24C2" w14:textId="77777777" w:rsidR="00F72410" w:rsidRPr="0042750D" w:rsidRDefault="00F72410" w:rsidP="00F72410">
      <w:pPr>
        <w:spacing w:after="120"/>
      </w:pPr>
      <w:r w:rsidRPr="0042750D">
        <w:t>4</w:t>
      </w:r>
      <w:r w:rsidRPr="0042750D">
        <w:tab/>
        <w:t>to provide support to ISCG and to the Sector advisory groups in the inter-Sector coordination activity in areas of mutual interest,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3"/>
        <w:gridCol w:w="1336"/>
        <w:gridCol w:w="1143"/>
        <w:gridCol w:w="1338"/>
      </w:tblGrid>
      <w:tr w:rsidR="00F0236A" w:rsidRPr="0042750D" w14:paraId="26FA3E7F" w14:textId="77777777" w:rsidTr="0076116F">
        <w:trPr>
          <w:cantSplit/>
          <w:tblHeader/>
          <w:jc w:val="center"/>
        </w:trPr>
        <w:tc>
          <w:tcPr>
            <w:tcW w:w="1132" w:type="dxa"/>
            <w:tcBorders>
              <w:top w:val="single" w:sz="12" w:space="0" w:color="auto"/>
              <w:bottom w:val="single" w:sz="12" w:space="0" w:color="auto"/>
            </w:tcBorders>
            <w:shd w:val="clear" w:color="auto" w:fill="auto"/>
            <w:vAlign w:val="center"/>
          </w:tcPr>
          <w:p w14:paraId="24E7C1C4" w14:textId="77777777" w:rsidR="00F0236A" w:rsidRPr="0042750D" w:rsidRDefault="00F0236A" w:rsidP="00F361B0">
            <w:pPr>
              <w:pStyle w:val="Tablehead"/>
              <w:keepNext w:val="0"/>
              <w:rPr>
                <w:sz w:val="24"/>
                <w:szCs w:val="24"/>
              </w:rPr>
            </w:pPr>
            <w:r w:rsidRPr="0042750D">
              <w:rPr>
                <w:sz w:val="24"/>
                <w:szCs w:val="24"/>
              </w:rPr>
              <w:t>Action Item</w:t>
            </w:r>
          </w:p>
        </w:tc>
        <w:tc>
          <w:tcPr>
            <w:tcW w:w="4983" w:type="dxa"/>
            <w:tcBorders>
              <w:top w:val="single" w:sz="12" w:space="0" w:color="auto"/>
              <w:bottom w:val="single" w:sz="12" w:space="0" w:color="auto"/>
            </w:tcBorders>
            <w:shd w:val="clear" w:color="auto" w:fill="auto"/>
            <w:vAlign w:val="center"/>
            <w:hideMark/>
          </w:tcPr>
          <w:p w14:paraId="6A013DD7" w14:textId="77777777" w:rsidR="00F0236A" w:rsidRPr="0042750D" w:rsidRDefault="00F0236A" w:rsidP="00DF36E1">
            <w:pPr>
              <w:pStyle w:val="Tablehead"/>
              <w:rPr>
                <w:sz w:val="24"/>
                <w:szCs w:val="24"/>
              </w:rPr>
            </w:pPr>
            <w:r w:rsidRPr="0042750D">
              <w:rPr>
                <w:sz w:val="24"/>
                <w:szCs w:val="24"/>
              </w:rPr>
              <w:t>Action</w:t>
            </w:r>
          </w:p>
        </w:tc>
        <w:tc>
          <w:tcPr>
            <w:tcW w:w="1336" w:type="dxa"/>
            <w:tcBorders>
              <w:top w:val="single" w:sz="12" w:space="0" w:color="auto"/>
              <w:bottom w:val="single" w:sz="12" w:space="0" w:color="auto"/>
            </w:tcBorders>
            <w:shd w:val="clear" w:color="auto" w:fill="auto"/>
            <w:vAlign w:val="center"/>
            <w:hideMark/>
          </w:tcPr>
          <w:p w14:paraId="4CAE3F71" w14:textId="77777777" w:rsidR="00F0236A" w:rsidRPr="0042750D" w:rsidRDefault="00F0236A" w:rsidP="00DF36E1">
            <w:pPr>
              <w:pStyle w:val="Tablehead"/>
              <w:rPr>
                <w:sz w:val="24"/>
                <w:szCs w:val="24"/>
              </w:rPr>
            </w:pPr>
            <w:r w:rsidRPr="0042750D">
              <w:rPr>
                <w:sz w:val="24"/>
                <w:szCs w:val="24"/>
              </w:rPr>
              <w:t>Milestone</w:t>
            </w:r>
          </w:p>
        </w:tc>
        <w:tc>
          <w:tcPr>
            <w:tcW w:w="1143" w:type="dxa"/>
            <w:tcBorders>
              <w:top w:val="single" w:sz="12" w:space="0" w:color="auto"/>
              <w:bottom w:val="single" w:sz="12" w:space="0" w:color="auto"/>
            </w:tcBorders>
            <w:shd w:val="clear" w:color="auto" w:fill="auto"/>
          </w:tcPr>
          <w:p w14:paraId="53C49FD3"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9345052"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199AB95E" w14:textId="77777777" w:rsidTr="0076116F">
        <w:trPr>
          <w:cantSplit/>
          <w:jc w:val="center"/>
        </w:trPr>
        <w:tc>
          <w:tcPr>
            <w:tcW w:w="1132" w:type="dxa"/>
            <w:vMerge w:val="restart"/>
            <w:tcBorders>
              <w:top w:val="single" w:sz="12" w:space="0" w:color="auto"/>
            </w:tcBorders>
            <w:shd w:val="clear" w:color="auto" w:fill="auto"/>
          </w:tcPr>
          <w:p w14:paraId="693C4668" w14:textId="26D6D61B" w:rsidR="00F0236A" w:rsidRPr="0042750D" w:rsidRDefault="003946FE" w:rsidP="00DF36E1">
            <w:pPr>
              <w:pStyle w:val="Tabletext"/>
              <w:rPr>
                <w:b/>
                <w:bCs/>
                <w:sz w:val="24"/>
                <w:szCs w:val="24"/>
              </w:rPr>
            </w:pPr>
            <w:r w:rsidRPr="0042750D">
              <w:rPr>
                <w:b/>
                <w:bCs/>
                <w:sz w:val="24"/>
                <w:szCs w:val="24"/>
              </w:rPr>
              <w:t>191</w:t>
            </w:r>
            <w:r w:rsidR="00F0236A" w:rsidRPr="0042750D">
              <w:rPr>
                <w:b/>
                <w:bCs/>
                <w:sz w:val="24"/>
                <w:szCs w:val="24"/>
              </w:rPr>
              <w:t>-01</w:t>
            </w:r>
          </w:p>
        </w:tc>
        <w:tc>
          <w:tcPr>
            <w:tcW w:w="4983" w:type="dxa"/>
            <w:tcBorders>
              <w:top w:val="single" w:sz="12" w:space="0" w:color="auto"/>
              <w:bottom w:val="single" w:sz="2" w:space="0" w:color="auto"/>
            </w:tcBorders>
            <w:shd w:val="clear" w:color="auto" w:fill="auto"/>
            <w:hideMark/>
          </w:tcPr>
          <w:p w14:paraId="4865ED6E" w14:textId="69487463" w:rsidR="00F0236A" w:rsidRPr="0042750D" w:rsidRDefault="0076116F" w:rsidP="0076116F">
            <w:pPr>
              <w:pStyle w:val="Tabletext"/>
              <w:rPr>
                <w:b/>
                <w:bCs/>
                <w:sz w:val="24"/>
                <w:szCs w:val="24"/>
              </w:rPr>
            </w:pPr>
            <w:r w:rsidRPr="0042750D">
              <w:rPr>
                <w:b/>
                <w:bCs/>
                <w:sz w:val="24"/>
                <w:szCs w:val="24"/>
              </w:rPr>
              <w:t xml:space="preserve">TSBDir to contribute to </w:t>
            </w:r>
            <w:r w:rsidR="004A6D0A" w:rsidRPr="0042750D">
              <w:rPr>
                <w:b/>
                <w:bCs/>
                <w:sz w:val="24"/>
                <w:szCs w:val="24"/>
              </w:rPr>
              <w:t>SecGen</w:t>
            </w:r>
            <w:r w:rsidRPr="0042750D">
              <w:rPr>
                <w:b/>
                <w:bCs/>
                <w:sz w:val="24"/>
                <w:szCs w:val="24"/>
              </w:rPr>
              <w:t xml:space="preserve">’s report </w:t>
            </w:r>
            <w:r w:rsidR="004A6D0A" w:rsidRPr="0042750D">
              <w:rPr>
                <w:b/>
                <w:bCs/>
                <w:sz w:val="24"/>
                <w:szCs w:val="24"/>
              </w:rPr>
              <w:t>to the next plenipotentiary conference on the implementation of this resolution</w:t>
            </w:r>
            <w:r w:rsidR="000B65E5" w:rsidRPr="0042750D">
              <w:rPr>
                <w:b/>
                <w:bCs/>
                <w:sz w:val="24"/>
                <w:szCs w:val="24"/>
              </w:rPr>
              <w:t xml:space="preserve"> (</w:t>
            </w:r>
            <w:r w:rsidR="000B65E5" w:rsidRPr="0042750D">
              <w:rPr>
                <w:b/>
                <w:bCs/>
                <w:i/>
                <w:sz w:val="24"/>
                <w:szCs w:val="24"/>
              </w:rPr>
              <w:t>instructs 6</w:t>
            </w:r>
            <w:r w:rsidR="000B65E5" w:rsidRPr="0042750D">
              <w:rPr>
                <w:b/>
                <w:bCs/>
                <w:sz w:val="24"/>
                <w:szCs w:val="24"/>
              </w:rPr>
              <w:t>)</w:t>
            </w:r>
            <w:r w:rsidR="004A6D0A" w:rsidRPr="0042750D">
              <w:rPr>
                <w:b/>
                <w:bCs/>
                <w:sz w:val="24"/>
                <w:szCs w:val="24"/>
              </w:rPr>
              <w:t>.</w:t>
            </w:r>
          </w:p>
        </w:tc>
        <w:tc>
          <w:tcPr>
            <w:tcW w:w="1336" w:type="dxa"/>
            <w:tcBorders>
              <w:top w:val="single" w:sz="12" w:space="0" w:color="auto"/>
              <w:bottom w:val="single" w:sz="2" w:space="0" w:color="auto"/>
            </w:tcBorders>
            <w:shd w:val="clear" w:color="auto" w:fill="auto"/>
            <w:vAlign w:val="center"/>
          </w:tcPr>
          <w:p w14:paraId="09527326" w14:textId="424CE3B2" w:rsidR="00F0236A" w:rsidRPr="0042750D" w:rsidRDefault="003076BC" w:rsidP="003946FE">
            <w:pPr>
              <w:pStyle w:val="Tabletext"/>
              <w:jc w:val="center"/>
              <w:rPr>
                <w:b/>
                <w:bCs/>
                <w:sz w:val="24"/>
                <w:szCs w:val="24"/>
              </w:rPr>
            </w:pPr>
            <w:r w:rsidRPr="0042750D">
              <w:rPr>
                <w:b/>
                <w:bCs/>
                <w:sz w:val="24"/>
                <w:szCs w:val="24"/>
              </w:rPr>
              <w:t>PP-22</w:t>
            </w:r>
          </w:p>
        </w:tc>
        <w:tc>
          <w:tcPr>
            <w:tcW w:w="1143" w:type="dxa"/>
            <w:tcBorders>
              <w:top w:val="single" w:sz="12" w:space="0" w:color="auto"/>
              <w:bottom w:val="single" w:sz="2" w:space="0" w:color="auto"/>
            </w:tcBorders>
            <w:shd w:val="clear" w:color="auto" w:fill="auto"/>
            <w:vAlign w:val="center"/>
          </w:tcPr>
          <w:p w14:paraId="3B1838A5" w14:textId="69D36DCD" w:rsidR="00F0236A" w:rsidRPr="0042750D" w:rsidRDefault="00F0236A" w:rsidP="00DF36E1">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2B41E27E" w14:textId="18A25F47" w:rsidR="00F0236A" w:rsidRPr="0042750D" w:rsidRDefault="00F0236A" w:rsidP="00DF36E1">
            <w:pPr>
              <w:pStyle w:val="Tabletext"/>
              <w:jc w:val="center"/>
              <w:rPr>
                <w:b/>
                <w:bCs/>
                <w:sz w:val="24"/>
                <w:szCs w:val="24"/>
              </w:rPr>
            </w:pPr>
          </w:p>
        </w:tc>
      </w:tr>
      <w:tr w:rsidR="00F0236A" w:rsidRPr="0042750D" w14:paraId="5E1AF339" w14:textId="77777777" w:rsidTr="00DF36E1">
        <w:trPr>
          <w:cantSplit/>
          <w:jc w:val="center"/>
        </w:trPr>
        <w:tc>
          <w:tcPr>
            <w:tcW w:w="1132" w:type="dxa"/>
            <w:vMerge/>
            <w:shd w:val="clear" w:color="auto" w:fill="auto"/>
            <w:vAlign w:val="center"/>
          </w:tcPr>
          <w:p w14:paraId="5FC60A76" w14:textId="77777777" w:rsidR="00F0236A" w:rsidRPr="0042750D" w:rsidRDefault="00F0236A" w:rsidP="00DF36E1">
            <w:pPr>
              <w:pStyle w:val="Tabletext"/>
              <w:rPr>
                <w:sz w:val="24"/>
                <w:szCs w:val="24"/>
              </w:rPr>
            </w:pPr>
          </w:p>
        </w:tc>
        <w:tc>
          <w:tcPr>
            <w:tcW w:w="8800" w:type="dxa"/>
            <w:gridSpan w:val="4"/>
            <w:tcBorders>
              <w:top w:val="single" w:sz="2" w:space="0" w:color="auto"/>
            </w:tcBorders>
            <w:shd w:val="clear" w:color="auto" w:fill="auto"/>
          </w:tcPr>
          <w:p w14:paraId="4B8C3D5D" w14:textId="496BEF51" w:rsidR="00F0236A" w:rsidRPr="0042750D" w:rsidRDefault="00F0236A" w:rsidP="00DF36E1">
            <w:pPr>
              <w:pStyle w:val="Tabletext"/>
              <w:rPr>
                <w:szCs w:val="22"/>
              </w:rPr>
            </w:pPr>
          </w:p>
        </w:tc>
      </w:tr>
      <w:tr w:rsidR="004B65B0" w:rsidRPr="0042750D" w14:paraId="4960A89E" w14:textId="77777777" w:rsidTr="00F361B0">
        <w:trPr>
          <w:jc w:val="center"/>
        </w:trPr>
        <w:tc>
          <w:tcPr>
            <w:tcW w:w="1132" w:type="dxa"/>
            <w:vMerge w:val="restart"/>
            <w:tcBorders>
              <w:top w:val="single" w:sz="12" w:space="0" w:color="auto"/>
            </w:tcBorders>
            <w:shd w:val="clear" w:color="auto" w:fill="auto"/>
          </w:tcPr>
          <w:p w14:paraId="2C9E811C" w14:textId="207BEF77" w:rsidR="004B65B0" w:rsidRPr="0042750D" w:rsidRDefault="004B65B0" w:rsidP="006D1FD4">
            <w:pPr>
              <w:pStyle w:val="Tabletext"/>
              <w:keepNext/>
              <w:keepLines/>
              <w:rPr>
                <w:b/>
                <w:bCs/>
                <w:sz w:val="24"/>
                <w:szCs w:val="24"/>
              </w:rPr>
            </w:pPr>
            <w:bookmarkStart w:id="345" w:name="Item85_01"/>
            <w:bookmarkEnd w:id="345"/>
            <w:r w:rsidRPr="0042750D">
              <w:rPr>
                <w:b/>
                <w:bCs/>
                <w:sz w:val="24"/>
                <w:szCs w:val="24"/>
              </w:rPr>
              <w:t>191-02</w:t>
            </w:r>
          </w:p>
        </w:tc>
        <w:tc>
          <w:tcPr>
            <w:tcW w:w="4983" w:type="dxa"/>
            <w:tcBorders>
              <w:top w:val="single" w:sz="12" w:space="0" w:color="auto"/>
              <w:bottom w:val="single" w:sz="2" w:space="0" w:color="auto"/>
            </w:tcBorders>
            <w:shd w:val="clear" w:color="auto" w:fill="auto"/>
            <w:hideMark/>
          </w:tcPr>
          <w:p w14:paraId="29E5F33E" w14:textId="490689F5" w:rsidR="004B65B0" w:rsidRPr="0042750D" w:rsidRDefault="004B65B0" w:rsidP="006D1FD4">
            <w:pPr>
              <w:pStyle w:val="Tabletext"/>
              <w:keepNext/>
              <w:keepLines/>
              <w:rPr>
                <w:b/>
                <w:bCs/>
                <w:sz w:val="24"/>
                <w:szCs w:val="24"/>
              </w:rPr>
            </w:pPr>
            <w:r w:rsidRPr="0042750D">
              <w:rPr>
                <w:b/>
                <w:bCs/>
                <w:sz w:val="24"/>
                <w:szCs w:val="24"/>
              </w:rPr>
              <w:t>TSBDir to ensure reporting to the Council of the coordination activities carried out among the different Sectors in each area identified as being of mutual interest, as well as the results obtained</w:t>
            </w:r>
            <w:r w:rsidR="0077109A" w:rsidRPr="0042750D">
              <w:rPr>
                <w:b/>
                <w:bCs/>
                <w:sz w:val="24"/>
                <w:szCs w:val="24"/>
              </w:rPr>
              <w:t xml:space="preserve"> (</w:t>
            </w:r>
            <w:r w:rsidR="0077109A" w:rsidRPr="0042750D">
              <w:rPr>
                <w:b/>
                <w:bCs/>
                <w:i/>
                <w:sz w:val="24"/>
                <w:szCs w:val="24"/>
              </w:rPr>
              <w:t>instructs 4</w:t>
            </w:r>
            <w:r w:rsidR="0077109A" w:rsidRPr="0042750D">
              <w:rPr>
                <w:b/>
                <w:bCs/>
                <w:sz w:val="24"/>
                <w:szCs w:val="24"/>
              </w:rPr>
              <w:t>)</w:t>
            </w:r>
            <w:r w:rsidRPr="0042750D">
              <w:rPr>
                <w:b/>
                <w:bCs/>
                <w:sz w:val="24"/>
                <w:szCs w:val="24"/>
              </w:rPr>
              <w:t>.</w:t>
            </w:r>
          </w:p>
        </w:tc>
        <w:tc>
          <w:tcPr>
            <w:tcW w:w="1336" w:type="dxa"/>
            <w:tcBorders>
              <w:top w:val="single" w:sz="12" w:space="0" w:color="auto"/>
              <w:bottom w:val="single" w:sz="2" w:space="0" w:color="auto"/>
            </w:tcBorders>
            <w:shd w:val="clear" w:color="auto" w:fill="auto"/>
            <w:vAlign w:val="center"/>
          </w:tcPr>
          <w:p w14:paraId="75B14C7D" w14:textId="22C55F8E" w:rsidR="004B65B0" w:rsidRPr="0042750D" w:rsidRDefault="00A6383F" w:rsidP="006D1FD4">
            <w:pPr>
              <w:pStyle w:val="Tabletext"/>
              <w:keepNext/>
              <w:keepLines/>
              <w:jc w:val="center"/>
              <w:rPr>
                <w:b/>
                <w:bCs/>
                <w:sz w:val="24"/>
                <w:szCs w:val="24"/>
              </w:rPr>
            </w:pPr>
            <w:r w:rsidRPr="0042750D">
              <w:rPr>
                <w:b/>
                <w:bCs/>
                <w:sz w:val="24"/>
                <w:szCs w:val="24"/>
              </w:rPr>
              <w:t>Council</w:t>
            </w:r>
          </w:p>
        </w:tc>
        <w:tc>
          <w:tcPr>
            <w:tcW w:w="1143" w:type="dxa"/>
            <w:tcBorders>
              <w:top w:val="single" w:sz="12" w:space="0" w:color="auto"/>
              <w:bottom w:val="single" w:sz="2" w:space="0" w:color="auto"/>
            </w:tcBorders>
            <w:shd w:val="clear" w:color="auto" w:fill="auto"/>
            <w:vAlign w:val="center"/>
          </w:tcPr>
          <w:p w14:paraId="2DD055BE" w14:textId="4112A9AE" w:rsidR="004B65B0" w:rsidRPr="0042750D" w:rsidRDefault="00585F9E" w:rsidP="006D1FD4">
            <w:pPr>
              <w:pStyle w:val="Tabletext"/>
              <w:keepNext/>
              <w:keepLines/>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2C761717" w14:textId="77777777" w:rsidR="004B65B0" w:rsidRPr="0042750D" w:rsidRDefault="004B65B0" w:rsidP="006D1FD4">
            <w:pPr>
              <w:pStyle w:val="Tabletext"/>
              <w:keepNext/>
              <w:keepLines/>
              <w:jc w:val="center"/>
              <w:rPr>
                <w:b/>
                <w:bCs/>
                <w:sz w:val="24"/>
                <w:szCs w:val="24"/>
              </w:rPr>
            </w:pPr>
          </w:p>
        </w:tc>
      </w:tr>
      <w:tr w:rsidR="004B65B0" w:rsidRPr="0042750D" w14:paraId="2C8F836E" w14:textId="77777777" w:rsidTr="00F361B0">
        <w:trPr>
          <w:jc w:val="center"/>
        </w:trPr>
        <w:tc>
          <w:tcPr>
            <w:tcW w:w="1132" w:type="dxa"/>
            <w:vMerge/>
            <w:shd w:val="clear" w:color="auto" w:fill="auto"/>
            <w:vAlign w:val="center"/>
          </w:tcPr>
          <w:p w14:paraId="1C319862" w14:textId="77777777" w:rsidR="004B65B0" w:rsidRPr="0042750D" w:rsidRDefault="004B65B0" w:rsidP="006D1FD4">
            <w:pPr>
              <w:pStyle w:val="Tabletext"/>
              <w:keepNext/>
              <w:keepLines/>
              <w:rPr>
                <w:sz w:val="24"/>
                <w:szCs w:val="24"/>
              </w:rPr>
            </w:pPr>
          </w:p>
        </w:tc>
        <w:tc>
          <w:tcPr>
            <w:tcW w:w="8800" w:type="dxa"/>
            <w:gridSpan w:val="4"/>
            <w:tcBorders>
              <w:top w:val="single" w:sz="2" w:space="0" w:color="auto"/>
            </w:tcBorders>
            <w:shd w:val="clear" w:color="auto" w:fill="auto"/>
          </w:tcPr>
          <w:p w14:paraId="35AF990E" w14:textId="6B47850D" w:rsidR="004B65B0" w:rsidRPr="0042750D" w:rsidRDefault="00585F9E" w:rsidP="006D1FD4">
            <w:pPr>
              <w:pStyle w:val="Tabletext"/>
              <w:keepNext/>
              <w:keepLines/>
              <w:rPr>
                <w:szCs w:val="22"/>
              </w:rPr>
            </w:pPr>
            <w:r w:rsidRPr="0042750D">
              <w:rPr>
                <w:szCs w:val="22"/>
              </w:rPr>
              <w:t xml:space="preserve">See </w:t>
            </w:r>
            <w:hyperlink r:id="rId112" w:history="1">
              <w:r w:rsidRPr="0042750D">
                <w:rPr>
                  <w:rStyle w:val="Hyperlink"/>
                  <w:szCs w:val="22"/>
                </w:rPr>
                <w:t>C19/38</w:t>
              </w:r>
            </w:hyperlink>
            <w:r w:rsidRPr="0042750D">
              <w:rPr>
                <w:szCs w:val="22"/>
              </w:rPr>
              <w:t xml:space="preserve"> Rev.1</w:t>
            </w:r>
          </w:p>
        </w:tc>
      </w:tr>
      <w:tr w:rsidR="004B65B0" w:rsidRPr="0042750D" w14:paraId="1701112D" w14:textId="77777777" w:rsidTr="00024A4C">
        <w:trPr>
          <w:jc w:val="center"/>
        </w:trPr>
        <w:tc>
          <w:tcPr>
            <w:tcW w:w="1132" w:type="dxa"/>
            <w:vMerge w:val="restart"/>
            <w:tcBorders>
              <w:top w:val="single" w:sz="12" w:space="0" w:color="auto"/>
            </w:tcBorders>
            <w:shd w:val="clear" w:color="auto" w:fill="auto"/>
          </w:tcPr>
          <w:p w14:paraId="545AF976" w14:textId="09AF144B" w:rsidR="004B65B0" w:rsidRPr="0042750D" w:rsidRDefault="004B65B0" w:rsidP="00024A4C">
            <w:pPr>
              <w:pStyle w:val="Tabletext"/>
              <w:rPr>
                <w:b/>
                <w:bCs/>
                <w:sz w:val="24"/>
                <w:szCs w:val="24"/>
              </w:rPr>
            </w:pPr>
            <w:r w:rsidRPr="0042750D">
              <w:rPr>
                <w:b/>
                <w:bCs/>
                <w:sz w:val="24"/>
                <w:szCs w:val="24"/>
              </w:rPr>
              <w:t>191-03</w:t>
            </w:r>
          </w:p>
        </w:tc>
        <w:tc>
          <w:tcPr>
            <w:tcW w:w="4983" w:type="dxa"/>
            <w:tcBorders>
              <w:top w:val="single" w:sz="12" w:space="0" w:color="auto"/>
              <w:bottom w:val="single" w:sz="2" w:space="0" w:color="auto"/>
            </w:tcBorders>
            <w:shd w:val="clear" w:color="auto" w:fill="auto"/>
            <w:hideMark/>
          </w:tcPr>
          <w:p w14:paraId="28B205F0" w14:textId="25FFA01A" w:rsidR="004B65B0" w:rsidRPr="0042750D" w:rsidRDefault="004B65B0" w:rsidP="00024A4C">
            <w:pPr>
              <w:pStyle w:val="Tabletext"/>
              <w:rPr>
                <w:b/>
                <w:bCs/>
                <w:sz w:val="24"/>
                <w:szCs w:val="24"/>
              </w:rPr>
            </w:pPr>
            <w:r w:rsidRPr="0042750D">
              <w:rPr>
                <w:b/>
                <w:bCs/>
                <w:sz w:val="24"/>
                <w:szCs w:val="24"/>
              </w:rPr>
              <w:t>TSBDir to ensure that the agenda of TSAG include coordination with the other Sectors.</w:t>
            </w:r>
          </w:p>
          <w:p w14:paraId="509A90B8" w14:textId="74F5F712" w:rsidR="004B65B0" w:rsidRPr="0042750D" w:rsidRDefault="004B65B0" w:rsidP="00024A4C">
            <w:pPr>
              <w:pStyle w:val="Tabletext"/>
              <w:rPr>
                <w:b/>
                <w:bCs/>
                <w:sz w:val="24"/>
                <w:szCs w:val="24"/>
              </w:rPr>
            </w:pPr>
            <w:r w:rsidRPr="0042750D">
              <w:rPr>
                <w:b/>
                <w:bCs/>
                <w:sz w:val="24"/>
                <w:szCs w:val="24"/>
              </w:rPr>
              <w:t>TSBDir to provide support to TSAG in the inter-Sector coordination activity in areas of mutual interest</w:t>
            </w:r>
            <w:r w:rsidR="0077109A" w:rsidRPr="0042750D">
              <w:rPr>
                <w:b/>
                <w:bCs/>
                <w:sz w:val="24"/>
                <w:szCs w:val="24"/>
              </w:rPr>
              <w:t xml:space="preserve"> (</w:t>
            </w:r>
            <w:r w:rsidR="0077109A" w:rsidRPr="0042750D">
              <w:rPr>
                <w:b/>
                <w:bCs/>
                <w:i/>
                <w:sz w:val="24"/>
                <w:szCs w:val="24"/>
              </w:rPr>
              <w:t>instructs 4</w:t>
            </w:r>
            <w:r w:rsidR="0077109A" w:rsidRPr="0042750D">
              <w:rPr>
                <w:b/>
                <w:bCs/>
                <w:sz w:val="24"/>
                <w:szCs w:val="24"/>
              </w:rPr>
              <w:t>)</w:t>
            </w:r>
            <w:r w:rsidRPr="0042750D">
              <w:rPr>
                <w:b/>
                <w:bCs/>
                <w:sz w:val="24"/>
                <w:szCs w:val="24"/>
              </w:rPr>
              <w:t>.</w:t>
            </w:r>
          </w:p>
        </w:tc>
        <w:tc>
          <w:tcPr>
            <w:tcW w:w="1336" w:type="dxa"/>
            <w:tcBorders>
              <w:top w:val="single" w:sz="12" w:space="0" w:color="auto"/>
              <w:bottom w:val="single" w:sz="2" w:space="0" w:color="auto"/>
            </w:tcBorders>
            <w:shd w:val="clear" w:color="auto" w:fill="auto"/>
            <w:vAlign w:val="center"/>
          </w:tcPr>
          <w:p w14:paraId="54AEB617" w14:textId="2C1EE4C4" w:rsidR="004B65B0" w:rsidRPr="0042750D" w:rsidRDefault="00176A8F" w:rsidP="00024A4C">
            <w:pPr>
              <w:pStyle w:val="Tabletext"/>
              <w:jc w:val="center"/>
              <w:rPr>
                <w:b/>
                <w:bCs/>
                <w:sz w:val="24"/>
                <w:szCs w:val="24"/>
              </w:rPr>
            </w:pPr>
            <w:r w:rsidRPr="0042750D">
              <w:rPr>
                <w:b/>
                <w:bCs/>
                <w:sz w:val="24"/>
                <w:szCs w:val="24"/>
              </w:rPr>
              <w:t>TSAG</w:t>
            </w:r>
          </w:p>
        </w:tc>
        <w:tc>
          <w:tcPr>
            <w:tcW w:w="1143" w:type="dxa"/>
            <w:tcBorders>
              <w:top w:val="single" w:sz="12" w:space="0" w:color="auto"/>
              <w:bottom w:val="single" w:sz="2" w:space="0" w:color="auto"/>
            </w:tcBorders>
            <w:shd w:val="clear" w:color="auto" w:fill="auto"/>
            <w:vAlign w:val="center"/>
          </w:tcPr>
          <w:p w14:paraId="4D8C62A0" w14:textId="3593B799" w:rsidR="004B65B0" w:rsidRPr="0042750D" w:rsidRDefault="005032F5" w:rsidP="00024A4C">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1DB07EE6" w14:textId="77777777" w:rsidR="004B65B0" w:rsidRPr="0042750D" w:rsidRDefault="004B65B0" w:rsidP="00024A4C">
            <w:pPr>
              <w:pStyle w:val="Tabletext"/>
              <w:jc w:val="center"/>
              <w:rPr>
                <w:b/>
                <w:bCs/>
                <w:sz w:val="24"/>
                <w:szCs w:val="24"/>
              </w:rPr>
            </w:pPr>
          </w:p>
        </w:tc>
      </w:tr>
      <w:tr w:rsidR="004B65B0" w:rsidRPr="0042750D" w14:paraId="15FA97BF" w14:textId="77777777" w:rsidTr="00024A4C">
        <w:trPr>
          <w:jc w:val="center"/>
        </w:trPr>
        <w:tc>
          <w:tcPr>
            <w:tcW w:w="1132" w:type="dxa"/>
            <w:vMerge/>
            <w:shd w:val="clear" w:color="auto" w:fill="auto"/>
            <w:vAlign w:val="center"/>
          </w:tcPr>
          <w:p w14:paraId="1EFCBA1A" w14:textId="77777777" w:rsidR="004B65B0" w:rsidRPr="0042750D" w:rsidRDefault="004B65B0" w:rsidP="00024A4C">
            <w:pPr>
              <w:pStyle w:val="Tabletext"/>
              <w:rPr>
                <w:sz w:val="24"/>
                <w:szCs w:val="24"/>
              </w:rPr>
            </w:pPr>
          </w:p>
        </w:tc>
        <w:tc>
          <w:tcPr>
            <w:tcW w:w="8800" w:type="dxa"/>
            <w:gridSpan w:val="4"/>
            <w:tcBorders>
              <w:top w:val="single" w:sz="2" w:space="0" w:color="auto"/>
            </w:tcBorders>
            <w:shd w:val="clear" w:color="auto" w:fill="auto"/>
          </w:tcPr>
          <w:p w14:paraId="607C273F" w14:textId="3F88D037" w:rsidR="004B65B0" w:rsidRPr="0042750D" w:rsidRDefault="005032F5" w:rsidP="00024A4C">
            <w:pPr>
              <w:pStyle w:val="Tabletext"/>
              <w:rPr>
                <w:szCs w:val="22"/>
              </w:rPr>
            </w:pPr>
            <w:r w:rsidRPr="0042750D">
              <w:rPr>
                <w:szCs w:val="22"/>
              </w:rPr>
              <w:t xml:space="preserve">TSAG continues to actively support inter-Sector coordination through TSAG </w:t>
            </w:r>
            <w:r w:rsidR="00ED6B38" w:rsidRPr="0042750D">
              <w:rPr>
                <w:szCs w:val="22"/>
              </w:rPr>
              <w:t>RG-SC which</w:t>
            </w:r>
            <w:r w:rsidR="00FC4A95" w:rsidRPr="0042750D">
              <w:rPr>
                <w:szCs w:val="22"/>
              </w:rPr>
              <w:t>,</w:t>
            </w:r>
            <w:r w:rsidR="00ED6B38" w:rsidRPr="0042750D">
              <w:rPr>
                <w:szCs w:val="22"/>
              </w:rPr>
              <w:t xml:space="preserve"> at each TSAG meeting</w:t>
            </w:r>
            <w:r w:rsidR="00FC4A95" w:rsidRPr="0042750D">
              <w:rPr>
                <w:szCs w:val="22"/>
              </w:rPr>
              <w:t>,</w:t>
            </w:r>
            <w:r w:rsidR="00ED6B38" w:rsidRPr="0042750D">
              <w:rPr>
                <w:szCs w:val="22"/>
              </w:rPr>
              <w:t xml:space="preserve"> </w:t>
            </w:r>
            <w:r w:rsidR="001B5A7B" w:rsidRPr="0042750D">
              <w:rPr>
                <w:szCs w:val="22"/>
              </w:rPr>
              <w:t xml:space="preserve">addresses inter-Sector coordination in a separate agenda item, and is </w:t>
            </w:r>
            <w:r w:rsidR="00ED6B38" w:rsidRPr="0042750D">
              <w:rPr>
                <w:szCs w:val="22"/>
              </w:rPr>
              <w:t>updat</w:t>
            </w:r>
            <w:r w:rsidR="001B5A7B" w:rsidRPr="0042750D">
              <w:rPr>
                <w:szCs w:val="22"/>
              </w:rPr>
              <w:t>ing</w:t>
            </w:r>
            <w:r w:rsidR="00ED6B38" w:rsidRPr="0042750D">
              <w:rPr>
                <w:szCs w:val="22"/>
              </w:rPr>
              <w:t xml:space="preserve"> the tables for matching of ITU-D SG 1 and 2 Questions of interest to ITU-T study groups, and for matching of ITU-R WPs of interest to ITU-T study groups.</w:t>
            </w:r>
          </w:p>
        </w:tc>
      </w:tr>
      <w:tr w:rsidR="0076116F" w:rsidRPr="0042750D" w14:paraId="162B0593" w14:textId="77777777" w:rsidTr="0076116F">
        <w:trPr>
          <w:cantSplit/>
          <w:jc w:val="center"/>
        </w:trPr>
        <w:tc>
          <w:tcPr>
            <w:tcW w:w="1132" w:type="dxa"/>
            <w:vMerge w:val="restart"/>
            <w:tcBorders>
              <w:top w:val="single" w:sz="12" w:space="0" w:color="auto"/>
            </w:tcBorders>
            <w:shd w:val="clear" w:color="auto" w:fill="auto"/>
          </w:tcPr>
          <w:p w14:paraId="666BFCDF" w14:textId="5CD75627" w:rsidR="0076116F" w:rsidRPr="0042750D" w:rsidRDefault="0076116F" w:rsidP="0076116F">
            <w:pPr>
              <w:pStyle w:val="Tabletext"/>
              <w:rPr>
                <w:b/>
                <w:bCs/>
                <w:sz w:val="24"/>
                <w:szCs w:val="24"/>
              </w:rPr>
            </w:pPr>
            <w:r w:rsidRPr="0042750D">
              <w:rPr>
                <w:b/>
                <w:bCs/>
                <w:sz w:val="24"/>
                <w:szCs w:val="24"/>
              </w:rPr>
              <w:t>191-04</w:t>
            </w:r>
          </w:p>
        </w:tc>
        <w:tc>
          <w:tcPr>
            <w:tcW w:w="4983" w:type="dxa"/>
            <w:tcBorders>
              <w:top w:val="single" w:sz="12" w:space="0" w:color="auto"/>
              <w:bottom w:val="single" w:sz="2" w:space="0" w:color="auto"/>
            </w:tcBorders>
            <w:shd w:val="clear" w:color="auto" w:fill="auto"/>
            <w:hideMark/>
          </w:tcPr>
          <w:p w14:paraId="0638AFB3" w14:textId="27108413" w:rsidR="0076116F" w:rsidRPr="0042750D" w:rsidRDefault="0076116F" w:rsidP="0076116F">
            <w:pPr>
              <w:pStyle w:val="Tabletext"/>
              <w:rPr>
                <w:b/>
                <w:bCs/>
                <w:sz w:val="24"/>
                <w:szCs w:val="24"/>
              </w:rPr>
            </w:pPr>
            <w:r w:rsidRPr="0042750D">
              <w:rPr>
                <w:b/>
                <w:sz w:val="24"/>
                <w:szCs w:val="24"/>
              </w:rPr>
              <w:t>TSAG shall continue to consider current and new activities and their distribution among ITU</w:t>
            </w:r>
            <w:r w:rsidRPr="0042750D">
              <w:rPr>
                <w:b/>
                <w:sz w:val="24"/>
                <w:szCs w:val="24"/>
              </w:rPr>
              <w:noBreakHyphen/>
              <w:t>R, ITU</w:t>
            </w:r>
            <w:r w:rsidRPr="0042750D">
              <w:rPr>
                <w:b/>
                <w:sz w:val="24"/>
                <w:szCs w:val="24"/>
              </w:rPr>
              <w:noBreakHyphen/>
              <w:t>T and ITU</w:t>
            </w:r>
            <w:r w:rsidRPr="0042750D">
              <w:rPr>
                <w:b/>
                <w:sz w:val="24"/>
                <w:szCs w:val="24"/>
              </w:rPr>
              <w:noBreakHyphen/>
              <w:t>D for approval by the ITU Member States in accordance with the procedures for approval of new and revised Questions</w:t>
            </w:r>
            <w:r w:rsidR="00197653" w:rsidRPr="0042750D">
              <w:rPr>
                <w:b/>
                <w:sz w:val="24"/>
                <w:szCs w:val="24"/>
              </w:rPr>
              <w:t xml:space="preserve"> (</w:t>
            </w:r>
            <w:r w:rsidR="00197653" w:rsidRPr="0042750D">
              <w:rPr>
                <w:b/>
                <w:i/>
                <w:sz w:val="24"/>
                <w:szCs w:val="24"/>
              </w:rPr>
              <w:t>resolves</w:t>
            </w:r>
            <w:r w:rsidR="00197653" w:rsidRPr="0042750D">
              <w:rPr>
                <w:b/>
                <w:sz w:val="24"/>
                <w:szCs w:val="24"/>
              </w:rPr>
              <w:t>)</w:t>
            </w:r>
            <w:r w:rsidRPr="0042750D">
              <w:rPr>
                <w:b/>
                <w:sz w:val="24"/>
                <w:szCs w:val="24"/>
              </w:rPr>
              <w:t>.</w:t>
            </w:r>
          </w:p>
        </w:tc>
        <w:tc>
          <w:tcPr>
            <w:tcW w:w="1336" w:type="dxa"/>
            <w:tcBorders>
              <w:top w:val="single" w:sz="12" w:space="0" w:color="auto"/>
              <w:bottom w:val="single" w:sz="2" w:space="0" w:color="auto"/>
            </w:tcBorders>
            <w:shd w:val="clear" w:color="auto" w:fill="auto"/>
            <w:vAlign w:val="center"/>
          </w:tcPr>
          <w:p w14:paraId="47B92052" w14:textId="77777777" w:rsidR="0076116F" w:rsidRPr="0042750D" w:rsidRDefault="0076116F" w:rsidP="00D50A4E">
            <w:pPr>
              <w:pStyle w:val="Tabletext"/>
              <w:jc w:val="center"/>
              <w:rPr>
                <w:b/>
                <w:bCs/>
                <w:sz w:val="24"/>
                <w:szCs w:val="24"/>
              </w:rPr>
            </w:pPr>
            <w:r w:rsidRPr="0042750D">
              <w:rPr>
                <w:b/>
                <w:bCs/>
                <w:sz w:val="24"/>
                <w:szCs w:val="24"/>
              </w:rPr>
              <w:t>TSAG</w:t>
            </w:r>
          </w:p>
        </w:tc>
        <w:tc>
          <w:tcPr>
            <w:tcW w:w="1143" w:type="dxa"/>
            <w:tcBorders>
              <w:top w:val="single" w:sz="12" w:space="0" w:color="auto"/>
              <w:bottom w:val="single" w:sz="2" w:space="0" w:color="auto"/>
            </w:tcBorders>
            <w:shd w:val="clear" w:color="auto" w:fill="auto"/>
            <w:vAlign w:val="center"/>
          </w:tcPr>
          <w:p w14:paraId="2419CFC5" w14:textId="0B7367EA" w:rsidR="0076116F" w:rsidRPr="0042750D" w:rsidRDefault="00FC4A95"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0D447436" w14:textId="77777777" w:rsidR="0076116F" w:rsidRPr="0042750D" w:rsidRDefault="0076116F" w:rsidP="00D50A4E">
            <w:pPr>
              <w:pStyle w:val="Tabletext"/>
              <w:jc w:val="center"/>
              <w:rPr>
                <w:b/>
                <w:bCs/>
                <w:sz w:val="24"/>
                <w:szCs w:val="24"/>
              </w:rPr>
            </w:pPr>
          </w:p>
        </w:tc>
      </w:tr>
      <w:tr w:rsidR="0076116F" w:rsidRPr="0042750D" w14:paraId="5E04A3E6" w14:textId="77777777" w:rsidTr="00D50A4E">
        <w:trPr>
          <w:cantSplit/>
          <w:jc w:val="center"/>
        </w:trPr>
        <w:tc>
          <w:tcPr>
            <w:tcW w:w="1132" w:type="dxa"/>
            <w:vMerge/>
            <w:shd w:val="clear" w:color="auto" w:fill="auto"/>
            <w:vAlign w:val="center"/>
          </w:tcPr>
          <w:p w14:paraId="0B819699" w14:textId="77777777" w:rsidR="0076116F" w:rsidRPr="0042750D" w:rsidRDefault="0076116F" w:rsidP="00D50A4E">
            <w:pPr>
              <w:pStyle w:val="Tabletext"/>
              <w:rPr>
                <w:sz w:val="24"/>
                <w:szCs w:val="24"/>
              </w:rPr>
            </w:pPr>
          </w:p>
        </w:tc>
        <w:tc>
          <w:tcPr>
            <w:tcW w:w="8800" w:type="dxa"/>
            <w:gridSpan w:val="4"/>
            <w:tcBorders>
              <w:top w:val="single" w:sz="2" w:space="0" w:color="auto"/>
            </w:tcBorders>
            <w:shd w:val="clear" w:color="auto" w:fill="auto"/>
          </w:tcPr>
          <w:p w14:paraId="057B15EC" w14:textId="50C8808F" w:rsidR="0076116F" w:rsidRPr="0042750D" w:rsidRDefault="00385A0D" w:rsidP="001D278B">
            <w:pPr>
              <w:pStyle w:val="Tabletext"/>
              <w:rPr>
                <w:szCs w:val="22"/>
              </w:rPr>
            </w:pPr>
            <w:r w:rsidRPr="0042750D">
              <w:rPr>
                <w:szCs w:val="22"/>
              </w:rPr>
              <w:t>The 3</w:t>
            </w:r>
            <w:r w:rsidRPr="0042750D">
              <w:rPr>
                <w:szCs w:val="22"/>
                <w:vertAlign w:val="superscript"/>
              </w:rPr>
              <w:t>rd</w:t>
            </w:r>
            <w:r w:rsidRPr="0042750D">
              <w:rPr>
                <w:szCs w:val="22"/>
              </w:rPr>
              <w:t xml:space="preserve"> TSAG meeting liaised the proposal for a new ITU-T Focus Group on Quantum Information Technology for Networks (FG-QIT4N) with </w:t>
            </w:r>
            <w:r w:rsidR="001D278B" w:rsidRPr="0042750D">
              <w:rPr>
                <w:szCs w:val="22"/>
              </w:rPr>
              <w:t xml:space="preserve">all </w:t>
            </w:r>
            <w:r w:rsidRPr="0042750D">
              <w:rPr>
                <w:szCs w:val="22"/>
              </w:rPr>
              <w:t>ITU-T SGs.</w:t>
            </w:r>
          </w:p>
        </w:tc>
      </w:tr>
      <w:tr w:rsidR="0076116F" w:rsidRPr="0042750D" w14:paraId="4E6E0958" w14:textId="77777777" w:rsidTr="00D50A4E">
        <w:trPr>
          <w:cantSplit/>
          <w:jc w:val="center"/>
        </w:trPr>
        <w:tc>
          <w:tcPr>
            <w:tcW w:w="1132" w:type="dxa"/>
            <w:vMerge w:val="restart"/>
            <w:tcBorders>
              <w:top w:val="single" w:sz="12" w:space="0" w:color="auto"/>
            </w:tcBorders>
            <w:shd w:val="clear" w:color="auto" w:fill="auto"/>
          </w:tcPr>
          <w:p w14:paraId="32393CA9" w14:textId="28FACB7D" w:rsidR="0076116F" w:rsidRPr="0042750D" w:rsidRDefault="0076116F" w:rsidP="0076116F">
            <w:pPr>
              <w:pStyle w:val="Tabletext"/>
              <w:rPr>
                <w:b/>
                <w:bCs/>
                <w:sz w:val="24"/>
                <w:szCs w:val="24"/>
              </w:rPr>
            </w:pPr>
            <w:r w:rsidRPr="0042750D">
              <w:rPr>
                <w:b/>
                <w:bCs/>
                <w:sz w:val="24"/>
                <w:szCs w:val="24"/>
              </w:rPr>
              <w:t>191-05</w:t>
            </w:r>
          </w:p>
        </w:tc>
        <w:tc>
          <w:tcPr>
            <w:tcW w:w="4983" w:type="dxa"/>
            <w:tcBorders>
              <w:top w:val="single" w:sz="12" w:space="0" w:color="auto"/>
              <w:bottom w:val="single" w:sz="2" w:space="0" w:color="auto"/>
            </w:tcBorders>
            <w:shd w:val="clear" w:color="auto" w:fill="auto"/>
            <w:hideMark/>
          </w:tcPr>
          <w:p w14:paraId="58D8FD6E" w14:textId="1C8971E0" w:rsidR="0076116F" w:rsidRPr="0042750D" w:rsidRDefault="0076116F" w:rsidP="0076116F">
            <w:pPr>
              <w:pStyle w:val="Tabletext"/>
              <w:rPr>
                <w:b/>
                <w:bCs/>
                <w:sz w:val="24"/>
                <w:szCs w:val="24"/>
              </w:rPr>
            </w:pPr>
            <w:r w:rsidRPr="0042750D">
              <w:rPr>
                <w:b/>
                <w:sz w:val="24"/>
                <w:szCs w:val="24"/>
              </w:rPr>
              <w:t>TSAG to continue to assist ISCG in identifying of subjects common to the three Sectors and mechanisms to enhance cooperation and collaboration in all Sectors on matters of mutual interest</w:t>
            </w:r>
            <w:r w:rsidR="00826A0C" w:rsidRPr="0042750D">
              <w:rPr>
                <w:b/>
                <w:sz w:val="24"/>
                <w:szCs w:val="24"/>
              </w:rPr>
              <w:t xml:space="preserve"> (</w:t>
            </w:r>
            <w:r w:rsidR="00826A0C" w:rsidRPr="0042750D">
              <w:rPr>
                <w:b/>
                <w:i/>
                <w:sz w:val="24"/>
                <w:szCs w:val="24"/>
              </w:rPr>
              <w:t>invites 1</w:t>
            </w:r>
            <w:r w:rsidR="00826A0C" w:rsidRPr="0042750D">
              <w:rPr>
                <w:b/>
                <w:sz w:val="24"/>
                <w:szCs w:val="24"/>
              </w:rPr>
              <w:t>)</w:t>
            </w:r>
            <w:r w:rsidRPr="0042750D">
              <w:rPr>
                <w:b/>
                <w:sz w:val="24"/>
                <w:szCs w:val="24"/>
              </w:rPr>
              <w:t>.</w:t>
            </w:r>
          </w:p>
        </w:tc>
        <w:tc>
          <w:tcPr>
            <w:tcW w:w="1336" w:type="dxa"/>
            <w:tcBorders>
              <w:top w:val="single" w:sz="12" w:space="0" w:color="auto"/>
              <w:bottom w:val="single" w:sz="2" w:space="0" w:color="auto"/>
            </w:tcBorders>
            <w:shd w:val="clear" w:color="auto" w:fill="auto"/>
            <w:vAlign w:val="center"/>
          </w:tcPr>
          <w:p w14:paraId="177F3D3B" w14:textId="77777777" w:rsidR="0076116F" w:rsidRPr="0042750D" w:rsidRDefault="0076116F" w:rsidP="00D50A4E">
            <w:pPr>
              <w:pStyle w:val="Tabletext"/>
              <w:jc w:val="center"/>
              <w:rPr>
                <w:b/>
                <w:bCs/>
                <w:sz w:val="24"/>
                <w:szCs w:val="24"/>
              </w:rPr>
            </w:pPr>
            <w:r w:rsidRPr="0042750D">
              <w:rPr>
                <w:b/>
                <w:bCs/>
                <w:sz w:val="24"/>
                <w:szCs w:val="24"/>
              </w:rPr>
              <w:t>TSAG</w:t>
            </w:r>
          </w:p>
        </w:tc>
        <w:tc>
          <w:tcPr>
            <w:tcW w:w="1143" w:type="dxa"/>
            <w:tcBorders>
              <w:top w:val="single" w:sz="12" w:space="0" w:color="auto"/>
              <w:bottom w:val="single" w:sz="2" w:space="0" w:color="auto"/>
            </w:tcBorders>
            <w:shd w:val="clear" w:color="auto" w:fill="auto"/>
            <w:vAlign w:val="center"/>
          </w:tcPr>
          <w:p w14:paraId="075CB2DD" w14:textId="4E9B422F" w:rsidR="0076116F" w:rsidRPr="0042750D" w:rsidRDefault="006A60CF"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0A468521" w14:textId="77777777" w:rsidR="0076116F" w:rsidRPr="0042750D" w:rsidRDefault="0076116F" w:rsidP="00D50A4E">
            <w:pPr>
              <w:pStyle w:val="Tabletext"/>
              <w:jc w:val="center"/>
              <w:rPr>
                <w:b/>
                <w:bCs/>
                <w:sz w:val="24"/>
                <w:szCs w:val="24"/>
              </w:rPr>
            </w:pPr>
          </w:p>
        </w:tc>
      </w:tr>
      <w:tr w:rsidR="0076116F" w:rsidRPr="0042750D" w14:paraId="3E13F719" w14:textId="77777777" w:rsidTr="00D50A4E">
        <w:trPr>
          <w:cantSplit/>
          <w:jc w:val="center"/>
        </w:trPr>
        <w:tc>
          <w:tcPr>
            <w:tcW w:w="1132" w:type="dxa"/>
            <w:vMerge/>
            <w:shd w:val="clear" w:color="auto" w:fill="auto"/>
            <w:vAlign w:val="center"/>
          </w:tcPr>
          <w:p w14:paraId="6E69644F" w14:textId="77777777" w:rsidR="0076116F" w:rsidRPr="0042750D" w:rsidRDefault="0076116F" w:rsidP="00D50A4E">
            <w:pPr>
              <w:pStyle w:val="Tabletext"/>
              <w:rPr>
                <w:sz w:val="24"/>
                <w:szCs w:val="24"/>
              </w:rPr>
            </w:pPr>
          </w:p>
        </w:tc>
        <w:tc>
          <w:tcPr>
            <w:tcW w:w="8800" w:type="dxa"/>
            <w:gridSpan w:val="4"/>
            <w:tcBorders>
              <w:top w:val="single" w:sz="2" w:space="0" w:color="auto"/>
            </w:tcBorders>
            <w:shd w:val="clear" w:color="auto" w:fill="auto"/>
          </w:tcPr>
          <w:p w14:paraId="5C3A27C1" w14:textId="57A4690B" w:rsidR="0076116F" w:rsidRPr="0042750D" w:rsidRDefault="00A9601A" w:rsidP="00A9601A">
            <w:pPr>
              <w:pStyle w:val="Tabletext"/>
              <w:rPr>
                <w:szCs w:val="22"/>
              </w:rPr>
            </w:pPr>
            <w:r w:rsidRPr="0042750D">
              <w:rPr>
                <w:szCs w:val="22"/>
              </w:rPr>
              <w:t>The 3</w:t>
            </w:r>
            <w:r w:rsidRPr="0042750D">
              <w:rPr>
                <w:szCs w:val="22"/>
                <w:vertAlign w:val="superscript"/>
              </w:rPr>
              <w:t>rd</w:t>
            </w:r>
            <w:r w:rsidRPr="0042750D">
              <w:rPr>
                <w:szCs w:val="22"/>
              </w:rPr>
              <w:t xml:space="preserve"> TSAG meeting sent </w:t>
            </w:r>
            <w:hyperlink r:id="rId113" w:tgtFrame="_blank" w:tooltip="Click here to see more details" w:history="1">
              <w:r w:rsidRPr="0042750D">
                <w:rPr>
                  <w:rStyle w:val="Hyperlink"/>
                  <w:rFonts w:eastAsiaTheme="majorEastAsia"/>
                </w:rPr>
                <w:t>TSAG - LS 14</w:t>
              </w:r>
            </w:hyperlink>
            <w:r w:rsidRPr="0042750D">
              <w:t xml:space="preserve"> to ISCG.</w:t>
            </w:r>
            <w:r w:rsidR="003F28C1" w:rsidRPr="0042750D">
              <w:t xml:space="preserve"> The 4</w:t>
            </w:r>
            <w:r w:rsidR="003F28C1" w:rsidRPr="0042750D">
              <w:rPr>
                <w:vertAlign w:val="superscript"/>
              </w:rPr>
              <w:t>th</w:t>
            </w:r>
            <w:r w:rsidR="003F28C1" w:rsidRPr="0042750D">
              <w:t xml:space="preserve"> TSAG meeting send </w:t>
            </w:r>
            <w:hyperlink r:id="rId114" w:history="1">
              <w:r w:rsidR="003F28C1" w:rsidRPr="0042750D">
                <w:rPr>
                  <w:rStyle w:val="Hyperlink"/>
                </w:rPr>
                <w:t>TSAG-LS22</w:t>
              </w:r>
            </w:hyperlink>
            <w:r w:rsidR="003F28C1" w:rsidRPr="0042750D">
              <w:t xml:space="preserve"> to ISCG.</w:t>
            </w:r>
          </w:p>
        </w:tc>
      </w:tr>
      <w:tr w:rsidR="0076116F" w:rsidRPr="0042750D" w14:paraId="688B9660" w14:textId="77777777" w:rsidTr="00D50A4E">
        <w:trPr>
          <w:cantSplit/>
          <w:jc w:val="center"/>
        </w:trPr>
        <w:tc>
          <w:tcPr>
            <w:tcW w:w="1132" w:type="dxa"/>
            <w:vMerge w:val="restart"/>
            <w:tcBorders>
              <w:top w:val="single" w:sz="12" w:space="0" w:color="auto"/>
            </w:tcBorders>
            <w:shd w:val="clear" w:color="auto" w:fill="auto"/>
          </w:tcPr>
          <w:p w14:paraId="7628C5F6" w14:textId="4EE8C0D0" w:rsidR="0076116F" w:rsidRPr="0042750D" w:rsidRDefault="0076116F" w:rsidP="0076116F">
            <w:pPr>
              <w:pStyle w:val="Tabletext"/>
              <w:rPr>
                <w:b/>
                <w:bCs/>
                <w:sz w:val="24"/>
                <w:szCs w:val="24"/>
              </w:rPr>
            </w:pPr>
            <w:r w:rsidRPr="0042750D">
              <w:rPr>
                <w:b/>
                <w:bCs/>
                <w:sz w:val="24"/>
                <w:szCs w:val="24"/>
              </w:rPr>
              <w:t>191-06</w:t>
            </w:r>
          </w:p>
        </w:tc>
        <w:tc>
          <w:tcPr>
            <w:tcW w:w="4983" w:type="dxa"/>
            <w:tcBorders>
              <w:top w:val="single" w:sz="12" w:space="0" w:color="auto"/>
              <w:bottom w:val="single" w:sz="2" w:space="0" w:color="auto"/>
            </w:tcBorders>
            <w:shd w:val="clear" w:color="auto" w:fill="auto"/>
            <w:hideMark/>
          </w:tcPr>
          <w:p w14:paraId="153F7790" w14:textId="68E38219" w:rsidR="0076116F" w:rsidRPr="0042750D" w:rsidRDefault="0076116F" w:rsidP="0076116F">
            <w:pPr>
              <w:pStyle w:val="Tabletext"/>
              <w:rPr>
                <w:b/>
                <w:bCs/>
                <w:sz w:val="24"/>
                <w:szCs w:val="24"/>
              </w:rPr>
            </w:pPr>
            <w:r w:rsidRPr="0042750D">
              <w:rPr>
                <w:b/>
                <w:sz w:val="24"/>
                <w:szCs w:val="24"/>
              </w:rPr>
              <w:t>TSBDir to report to ISCG and TSAG on options for improving cooperation at the secretariat level to ensure that close coordination is maximized</w:t>
            </w:r>
            <w:r w:rsidR="00826A0C" w:rsidRPr="0042750D">
              <w:rPr>
                <w:b/>
                <w:sz w:val="24"/>
                <w:szCs w:val="24"/>
              </w:rPr>
              <w:t xml:space="preserve"> (</w:t>
            </w:r>
            <w:r w:rsidR="00826A0C" w:rsidRPr="0042750D">
              <w:rPr>
                <w:b/>
                <w:i/>
                <w:sz w:val="24"/>
                <w:szCs w:val="24"/>
              </w:rPr>
              <w:t>invites 2</w:t>
            </w:r>
            <w:r w:rsidR="00826A0C" w:rsidRPr="0042750D">
              <w:rPr>
                <w:b/>
                <w:sz w:val="24"/>
                <w:szCs w:val="24"/>
              </w:rPr>
              <w:t>)</w:t>
            </w:r>
            <w:r w:rsidRPr="0042750D">
              <w:rPr>
                <w:b/>
                <w:sz w:val="24"/>
                <w:szCs w:val="24"/>
              </w:rPr>
              <w:t>.</w:t>
            </w:r>
          </w:p>
        </w:tc>
        <w:tc>
          <w:tcPr>
            <w:tcW w:w="1336" w:type="dxa"/>
            <w:tcBorders>
              <w:top w:val="single" w:sz="12" w:space="0" w:color="auto"/>
              <w:bottom w:val="single" w:sz="2" w:space="0" w:color="auto"/>
            </w:tcBorders>
            <w:shd w:val="clear" w:color="auto" w:fill="auto"/>
            <w:vAlign w:val="center"/>
          </w:tcPr>
          <w:p w14:paraId="3EDA9944" w14:textId="41195A6E" w:rsidR="0076116F" w:rsidRPr="0042750D" w:rsidRDefault="0076116F" w:rsidP="00D50A4E">
            <w:pPr>
              <w:pStyle w:val="Tabletext"/>
              <w:jc w:val="center"/>
              <w:rPr>
                <w:b/>
                <w:bCs/>
                <w:sz w:val="24"/>
                <w:szCs w:val="24"/>
              </w:rPr>
            </w:pPr>
            <w:r w:rsidRPr="0042750D">
              <w:rPr>
                <w:b/>
                <w:bCs/>
                <w:sz w:val="24"/>
                <w:szCs w:val="24"/>
              </w:rPr>
              <w:t>Ongoing</w:t>
            </w:r>
          </w:p>
        </w:tc>
        <w:tc>
          <w:tcPr>
            <w:tcW w:w="1143" w:type="dxa"/>
            <w:tcBorders>
              <w:top w:val="single" w:sz="12" w:space="0" w:color="auto"/>
              <w:bottom w:val="single" w:sz="2" w:space="0" w:color="auto"/>
            </w:tcBorders>
            <w:shd w:val="clear" w:color="auto" w:fill="auto"/>
            <w:vAlign w:val="center"/>
          </w:tcPr>
          <w:p w14:paraId="6336AA41" w14:textId="77777777" w:rsidR="0076116F" w:rsidRPr="0042750D" w:rsidRDefault="0076116F" w:rsidP="00D50A4E">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432E76AD" w14:textId="77777777" w:rsidR="0076116F" w:rsidRPr="0042750D" w:rsidRDefault="0076116F" w:rsidP="00D50A4E">
            <w:pPr>
              <w:pStyle w:val="Tabletext"/>
              <w:jc w:val="center"/>
              <w:rPr>
                <w:b/>
                <w:bCs/>
                <w:sz w:val="24"/>
                <w:szCs w:val="24"/>
              </w:rPr>
            </w:pPr>
          </w:p>
        </w:tc>
      </w:tr>
      <w:tr w:rsidR="0076116F" w:rsidRPr="0042750D" w14:paraId="00B11C50" w14:textId="77777777" w:rsidTr="00D50A4E">
        <w:trPr>
          <w:cantSplit/>
          <w:jc w:val="center"/>
        </w:trPr>
        <w:tc>
          <w:tcPr>
            <w:tcW w:w="1132" w:type="dxa"/>
            <w:vMerge/>
            <w:shd w:val="clear" w:color="auto" w:fill="auto"/>
            <w:vAlign w:val="center"/>
          </w:tcPr>
          <w:p w14:paraId="4E14BE4F" w14:textId="77777777" w:rsidR="0076116F" w:rsidRPr="0042750D" w:rsidRDefault="0076116F" w:rsidP="00D50A4E">
            <w:pPr>
              <w:pStyle w:val="Tabletext"/>
              <w:rPr>
                <w:sz w:val="24"/>
                <w:szCs w:val="24"/>
              </w:rPr>
            </w:pPr>
          </w:p>
        </w:tc>
        <w:tc>
          <w:tcPr>
            <w:tcW w:w="8800" w:type="dxa"/>
            <w:gridSpan w:val="4"/>
            <w:tcBorders>
              <w:top w:val="single" w:sz="2" w:space="0" w:color="auto"/>
            </w:tcBorders>
            <w:shd w:val="clear" w:color="auto" w:fill="auto"/>
          </w:tcPr>
          <w:p w14:paraId="0CD5C9F3" w14:textId="77777777" w:rsidR="0076116F" w:rsidRPr="0042750D" w:rsidRDefault="0076116F" w:rsidP="00D50A4E">
            <w:pPr>
              <w:pStyle w:val="Tabletext"/>
              <w:rPr>
                <w:szCs w:val="22"/>
              </w:rPr>
            </w:pPr>
          </w:p>
        </w:tc>
      </w:tr>
      <w:tr w:rsidR="00C22D7A" w:rsidRPr="0042750D" w14:paraId="05508C4C" w14:textId="77777777" w:rsidTr="00B37746">
        <w:trPr>
          <w:cantSplit/>
          <w:jc w:val="center"/>
        </w:trPr>
        <w:tc>
          <w:tcPr>
            <w:tcW w:w="1132" w:type="dxa"/>
            <w:vMerge w:val="restart"/>
            <w:tcBorders>
              <w:top w:val="single" w:sz="12" w:space="0" w:color="auto"/>
            </w:tcBorders>
            <w:shd w:val="clear" w:color="auto" w:fill="auto"/>
          </w:tcPr>
          <w:p w14:paraId="73359668" w14:textId="691DC60B" w:rsidR="00C22D7A" w:rsidRPr="0042750D" w:rsidRDefault="00C22D7A" w:rsidP="003F7C87">
            <w:pPr>
              <w:pStyle w:val="Tabletext"/>
              <w:keepNext/>
              <w:keepLines/>
              <w:rPr>
                <w:b/>
                <w:bCs/>
                <w:sz w:val="24"/>
                <w:szCs w:val="24"/>
              </w:rPr>
            </w:pPr>
            <w:r w:rsidRPr="0042750D">
              <w:rPr>
                <w:b/>
                <w:bCs/>
                <w:sz w:val="24"/>
                <w:szCs w:val="24"/>
              </w:rPr>
              <w:t>191-07</w:t>
            </w:r>
          </w:p>
        </w:tc>
        <w:tc>
          <w:tcPr>
            <w:tcW w:w="4983" w:type="dxa"/>
            <w:tcBorders>
              <w:top w:val="single" w:sz="12" w:space="0" w:color="auto"/>
              <w:bottom w:val="single" w:sz="2" w:space="0" w:color="auto"/>
            </w:tcBorders>
            <w:shd w:val="clear" w:color="auto" w:fill="auto"/>
            <w:hideMark/>
          </w:tcPr>
          <w:p w14:paraId="69D7FB2E" w14:textId="7A19547E" w:rsidR="00C22D7A" w:rsidRPr="0042750D" w:rsidRDefault="00C22D7A" w:rsidP="003F7C87">
            <w:pPr>
              <w:pStyle w:val="Tabletext"/>
              <w:keepNext/>
              <w:keepLines/>
              <w:rPr>
                <w:b/>
                <w:bCs/>
                <w:sz w:val="24"/>
                <w:szCs w:val="24"/>
              </w:rPr>
            </w:pPr>
            <w:r w:rsidRPr="0042750D">
              <w:rPr>
                <w:b/>
                <w:sz w:val="24"/>
                <w:szCs w:val="24"/>
              </w:rPr>
              <w:t>TSBDir to contribute to SecGen’s activity to identify all forms and examples of overlapping functions and activities between ITU-T and the other ITU Sectors as well as the General Secretariat, and propose solutions to address them</w:t>
            </w:r>
            <w:r w:rsidR="00826A0C" w:rsidRPr="0042750D">
              <w:rPr>
                <w:b/>
                <w:sz w:val="24"/>
                <w:szCs w:val="24"/>
              </w:rPr>
              <w:t xml:space="preserve"> (</w:t>
            </w:r>
            <w:r w:rsidR="00826A0C" w:rsidRPr="0042750D">
              <w:rPr>
                <w:b/>
                <w:i/>
                <w:sz w:val="24"/>
                <w:szCs w:val="24"/>
              </w:rPr>
              <w:t>instructs 2</w:t>
            </w:r>
            <w:r w:rsidR="00826A0C" w:rsidRPr="0042750D">
              <w:rPr>
                <w:b/>
                <w:sz w:val="24"/>
                <w:szCs w:val="24"/>
              </w:rPr>
              <w:t>)</w:t>
            </w:r>
            <w:r w:rsidRPr="0042750D">
              <w:rPr>
                <w:b/>
                <w:sz w:val="24"/>
                <w:szCs w:val="24"/>
              </w:rPr>
              <w:t>.</w:t>
            </w:r>
          </w:p>
        </w:tc>
        <w:tc>
          <w:tcPr>
            <w:tcW w:w="1336" w:type="dxa"/>
            <w:tcBorders>
              <w:top w:val="single" w:sz="12" w:space="0" w:color="auto"/>
              <w:bottom w:val="single" w:sz="2" w:space="0" w:color="auto"/>
            </w:tcBorders>
            <w:shd w:val="clear" w:color="auto" w:fill="auto"/>
            <w:vAlign w:val="center"/>
          </w:tcPr>
          <w:p w14:paraId="1DCC0707" w14:textId="77777777" w:rsidR="00C22D7A" w:rsidRPr="0042750D" w:rsidRDefault="00C22D7A" w:rsidP="003F7C87">
            <w:pPr>
              <w:pStyle w:val="Tabletext"/>
              <w:keepNext/>
              <w:keepLines/>
              <w:jc w:val="center"/>
              <w:rPr>
                <w:b/>
                <w:bCs/>
                <w:sz w:val="24"/>
                <w:szCs w:val="24"/>
              </w:rPr>
            </w:pPr>
            <w:r w:rsidRPr="0042750D">
              <w:rPr>
                <w:b/>
                <w:bCs/>
                <w:sz w:val="24"/>
                <w:szCs w:val="24"/>
              </w:rPr>
              <w:t>Ongoing</w:t>
            </w:r>
          </w:p>
        </w:tc>
        <w:tc>
          <w:tcPr>
            <w:tcW w:w="1143" w:type="dxa"/>
            <w:tcBorders>
              <w:top w:val="single" w:sz="12" w:space="0" w:color="auto"/>
              <w:bottom w:val="single" w:sz="2" w:space="0" w:color="auto"/>
            </w:tcBorders>
            <w:shd w:val="clear" w:color="auto" w:fill="auto"/>
            <w:vAlign w:val="center"/>
          </w:tcPr>
          <w:p w14:paraId="37365FED" w14:textId="77777777" w:rsidR="00C22D7A" w:rsidRPr="0042750D" w:rsidRDefault="00C22D7A" w:rsidP="003F7C87">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C0ACC68" w14:textId="77777777" w:rsidR="00C22D7A" w:rsidRPr="0042750D" w:rsidRDefault="00C22D7A" w:rsidP="003F7C87">
            <w:pPr>
              <w:pStyle w:val="Tabletext"/>
              <w:keepNext/>
              <w:keepLines/>
              <w:jc w:val="center"/>
              <w:rPr>
                <w:b/>
                <w:bCs/>
                <w:sz w:val="24"/>
                <w:szCs w:val="24"/>
              </w:rPr>
            </w:pPr>
          </w:p>
        </w:tc>
      </w:tr>
      <w:tr w:rsidR="00C22D7A" w:rsidRPr="0042750D" w14:paraId="038FFFAF" w14:textId="77777777" w:rsidTr="00B37746">
        <w:trPr>
          <w:cantSplit/>
          <w:jc w:val="center"/>
        </w:trPr>
        <w:tc>
          <w:tcPr>
            <w:tcW w:w="1132" w:type="dxa"/>
            <w:vMerge/>
            <w:shd w:val="clear" w:color="auto" w:fill="auto"/>
            <w:vAlign w:val="center"/>
          </w:tcPr>
          <w:p w14:paraId="7E230344" w14:textId="77777777" w:rsidR="00C22D7A" w:rsidRPr="0042750D" w:rsidRDefault="00C22D7A" w:rsidP="003F7C87">
            <w:pPr>
              <w:pStyle w:val="Tabletext"/>
              <w:keepNext/>
              <w:keepLines/>
              <w:rPr>
                <w:sz w:val="24"/>
                <w:szCs w:val="24"/>
              </w:rPr>
            </w:pPr>
          </w:p>
        </w:tc>
        <w:tc>
          <w:tcPr>
            <w:tcW w:w="8800" w:type="dxa"/>
            <w:gridSpan w:val="4"/>
            <w:tcBorders>
              <w:top w:val="single" w:sz="2" w:space="0" w:color="auto"/>
            </w:tcBorders>
            <w:shd w:val="clear" w:color="auto" w:fill="auto"/>
          </w:tcPr>
          <w:p w14:paraId="204148BB" w14:textId="77777777" w:rsidR="00C22D7A" w:rsidRPr="0042750D" w:rsidRDefault="00C22D7A" w:rsidP="003F7C87">
            <w:pPr>
              <w:pStyle w:val="Tabletext"/>
              <w:keepNext/>
              <w:keepLines/>
              <w:rPr>
                <w:szCs w:val="22"/>
              </w:rPr>
            </w:pPr>
          </w:p>
        </w:tc>
      </w:tr>
    </w:tbl>
    <w:p w14:paraId="4AF1B4C3"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6C3968E3" w14:textId="65D87FE5" w:rsidR="00561289" w:rsidRPr="0042750D" w:rsidRDefault="00561289" w:rsidP="006D1FD4">
      <w:pPr>
        <w:pStyle w:val="Heading1"/>
        <w:keepNext/>
        <w:keepLines/>
        <w:spacing w:before="240"/>
        <w:ind w:left="357" w:hanging="357"/>
        <w:contextualSpacing w:val="0"/>
        <w:rPr>
          <w:sz w:val="24"/>
          <w:szCs w:val="24"/>
          <w:lang w:val="en-GB"/>
        </w:rPr>
      </w:pPr>
      <w:bookmarkStart w:id="346" w:name="_Resolution_86_-"/>
      <w:bookmarkStart w:id="347" w:name="_Toc30749187"/>
      <w:bookmarkEnd w:id="346"/>
      <w:r w:rsidRPr="0042750D">
        <w:rPr>
          <w:sz w:val="24"/>
          <w:szCs w:val="24"/>
          <w:lang w:val="en-GB"/>
        </w:rPr>
        <w:t>RESOLUTION 196 (REV. DUBAI, 2018) – Protecting telecommunication service users/consumers</w:t>
      </w:r>
      <w:bookmarkEnd w:id="347"/>
    </w:p>
    <w:p w14:paraId="7FA49F6C" w14:textId="77777777" w:rsidR="00561289" w:rsidRPr="0042750D" w:rsidRDefault="00561289" w:rsidP="006D1FD4">
      <w:pPr>
        <w:pStyle w:val="Call"/>
        <w:rPr>
          <w:lang w:val="en-GB"/>
        </w:rPr>
      </w:pPr>
      <w:r w:rsidRPr="0042750D">
        <w:rPr>
          <w:lang w:val="en-GB"/>
        </w:rPr>
        <w:t>resolves</w:t>
      </w:r>
    </w:p>
    <w:p w14:paraId="6984F3A2" w14:textId="77777777" w:rsidR="00561289" w:rsidRPr="0042750D" w:rsidRDefault="00561289" w:rsidP="006D1FD4">
      <w:pPr>
        <w:keepNext/>
        <w:keepLines/>
      </w:pPr>
      <w:r w:rsidRPr="0042750D">
        <w:t>1</w:t>
      </w:r>
      <w:r w:rsidRPr="0042750D">
        <w:tab/>
        <w:t>to continue work aimed at protecting users/consumers of telecommunication/ICT services, and at supporting Member States in developing policies and/or regulations in this area;</w:t>
      </w:r>
    </w:p>
    <w:p w14:paraId="2C83825E" w14:textId="77777777" w:rsidR="00561289" w:rsidRPr="0042750D" w:rsidRDefault="00561289" w:rsidP="00561289">
      <w:r w:rsidRPr="0042750D">
        <w:t>2</w:t>
      </w:r>
      <w:r w:rsidRPr="0042750D">
        <w:tab/>
        <w:t>to establish and maintain updated good and best practices on the protection of users/consumers of telecommunication/ICT services;</w:t>
      </w:r>
    </w:p>
    <w:p w14:paraId="4C2D14EF" w14:textId="77777777" w:rsidR="00561289" w:rsidRPr="0042750D" w:rsidRDefault="00561289" w:rsidP="00D371D2">
      <w:pPr>
        <w:spacing w:after="120"/>
      </w:pPr>
      <w:r w:rsidRPr="0042750D">
        <w:t>3</w:t>
      </w:r>
      <w:r w:rsidRPr="0042750D">
        <w:tab/>
        <w:t>that ITU</w:t>
      </w:r>
      <w:r w:rsidRPr="0042750D">
        <w:noBreakHyphen/>
        <w:t>D continue to lead the work on the subject, through the ITU-D study groups, in close collaboration with the ITU Telecommunication Standardization Sector (ITU</w:t>
      </w:r>
      <w:r w:rsidRPr="0042750D">
        <w:noBreakHyphen/>
        <w:t>T) and its study groups, as appropriate,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3"/>
        <w:gridCol w:w="1336"/>
        <w:gridCol w:w="1143"/>
        <w:gridCol w:w="1338"/>
      </w:tblGrid>
      <w:tr w:rsidR="00D371D2" w:rsidRPr="0042750D" w14:paraId="27C471DF" w14:textId="77777777" w:rsidTr="009812DC">
        <w:trPr>
          <w:cantSplit/>
          <w:tblHeader/>
          <w:jc w:val="center"/>
        </w:trPr>
        <w:tc>
          <w:tcPr>
            <w:tcW w:w="1132" w:type="dxa"/>
            <w:tcBorders>
              <w:top w:val="single" w:sz="12" w:space="0" w:color="auto"/>
              <w:bottom w:val="single" w:sz="12" w:space="0" w:color="auto"/>
            </w:tcBorders>
            <w:shd w:val="clear" w:color="auto" w:fill="auto"/>
            <w:vAlign w:val="center"/>
          </w:tcPr>
          <w:p w14:paraId="6D60F5B2" w14:textId="77777777" w:rsidR="00D371D2" w:rsidRPr="0042750D" w:rsidRDefault="00D371D2" w:rsidP="00DF058E">
            <w:pPr>
              <w:pStyle w:val="Tablehead"/>
              <w:keepNext w:val="0"/>
              <w:rPr>
                <w:sz w:val="24"/>
                <w:szCs w:val="24"/>
              </w:rPr>
            </w:pPr>
            <w:r w:rsidRPr="0042750D">
              <w:rPr>
                <w:sz w:val="24"/>
                <w:szCs w:val="24"/>
              </w:rPr>
              <w:t>Action Item</w:t>
            </w:r>
          </w:p>
        </w:tc>
        <w:tc>
          <w:tcPr>
            <w:tcW w:w="4983" w:type="dxa"/>
            <w:tcBorders>
              <w:top w:val="single" w:sz="12" w:space="0" w:color="auto"/>
              <w:bottom w:val="single" w:sz="12" w:space="0" w:color="auto"/>
            </w:tcBorders>
            <w:shd w:val="clear" w:color="auto" w:fill="auto"/>
            <w:vAlign w:val="center"/>
            <w:hideMark/>
          </w:tcPr>
          <w:p w14:paraId="3BBE99DD" w14:textId="77777777" w:rsidR="00D371D2" w:rsidRPr="0042750D" w:rsidRDefault="00D371D2" w:rsidP="009812DC">
            <w:pPr>
              <w:pStyle w:val="Tablehead"/>
              <w:rPr>
                <w:sz w:val="24"/>
                <w:szCs w:val="24"/>
              </w:rPr>
            </w:pPr>
            <w:r w:rsidRPr="0042750D">
              <w:rPr>
                <w:sz w:val="24"/>
                <w:szCs w:val="24"/>
              </w:rPr>
              <w:t>Action</w:t>
            </w:r>
          </w:p>
        </w:tc>
        <w:tc>
          <w:tcPr>
            <w:tcW w:w="1336" w:type="dxa"/>
            <w:tcBorders>
              <w:top w:val="single" w:sz="12" w:space="0" w:color="auto"/>
              <w:bottom w:val="single" w:sz="12" w:space="0" w:color="auto"/>
            </w:tcBorders>
            <w:shd w:val="clear" w:color="auto" w:fill="auto"/>
            <w:vAlign w:val="center"/>
            <w:hideMark/>
          </w:tcPr>
          <w:p w14:paraId="1A2188EE" w14:textId="77777777" w:rsidR="00D371D2" w:rsidRPr="0042750D" w:rsidRDefault="00D371D2" w:rsidP="009812DC">
            <w:pPr>
              <w:pStyle w:val="Tablehead"/>
              <w:rPr>
                <w:sz w:val="24"/>
                <w:szCs w:val="24"/>
              </w:rPr>
            </w:pPr>
            <w:r w:rsidRPr="0042750D">
              <w:rPr>
                <w:sz w:val="24"/>
                <w:szCs w:val="24"/>
              </w:rPr>
              <w:t>Milestone</w:t>
            </w:r>
          </w:p>
        </w:tc>
        <w:tc>
          <w:tcPr>
            <w:tcW w:w="1143" w:type="dxa"/>
            <w:tcBorders>
              <w:top w:val="single" w:sz="12" w:space="0" w:color="auto"/>
              <w:bottom w:val="single" w:sz="12" w:space="0" w:color="auto"/>
            </w:tcBorders>
            <w:shd w:val="clear" w:color="auto" w:fill="auto"/>
          </w:tcPr>
          <w:p w14:paraId="138EDD8B" w14:textId="77777777" w:rsidR="00D371D2" w:rsidRPr="0042750D" w:rsidRDefault="00D371D2" w:rsidP="009812DC">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AD5D11F" w14:textId="77777777" w:rsidR="00D371D2" w:rsidRPr="0042750D" w:rsidRDefault="00D371D2" w:rsidP="009812DC">
            <w:pPr>
              <w:pStyle w:val="Tablehead"/>
              <w:rPr>
                <w:sz w:val="24"/>
                <w:szCs w:val="24"/>
              </w:rPr>
            </w:pPr>
            <w:r w:rsidRPr="0042750D">
              <w:rPr>
                <w:sz w:val="24"/>
                <w:szCs w:val="24"/>
              </w:rPr>
              <w:t>Completed</w:t>
            </w:r>
          </w:p>
        </w:tc>
      </w:tr>
      <w:tr w:rsidR="00D371D2" w:rsidRPr="0042750D" w14:paraId="0C9682AE" w14:textId="77777777" w:rsidTr="00D371D2">
        <w:trPr>
          <w:cantSplit/>
          <w:jc w:val="center"/>
        </w:trPr>
        <w:tc>
          <w:tcPr>
            <w:tcW w:w="1132" w:type="dxa"/>
            <w:vMerge w:val="restart"/>
            <w:tcBorders>
              <w:top w:val="single" w:sz="12" w:space="0" w:color="auto"/>
            </w:tcBorders>
            <w:shd w:val="clear" w:color="auto" w:fill="auto"/>
          </w:tcPr>
          <w:p w14:paraId="36514929" w14:textId="122B9A2F" w:rsidR="00D371D2" w:rsidRPr="0042750D" w:rsidRDefault="00D371D2" w:rsidP="00DF058E">
            <w:pPr>
              <w:pStyle w:val="Tabletext"/>
              <w:keepNext/>
              <w:keepLines/>
              <w:rPr>
                <w:b/>
                <w:bCs/>
                <w:sz w:val="24"/>
                <w:szCs w:val="24"/>
              </w:rPr>
            </w:pPr>
            <w:r w:rsidRPr="0042750D">
              <w:rPr>
                <w:b/>
                <w:bCs/>
                <w:sz w:val="24"/>
                <w:szCs w:val="24"/>
              </w:rPr>
              <w:t>196-01</w:t>
            </w:r>
          </w:p>
        </w:tc>
        <w:tc>
          <w:tcPr>
            <w:tcW w:w="4983" w:type="dxa"/>
            <w:tcBorders>
              <w:top w:val="single" w:sz="12" w:space="0" w:color="auto"/>
              <w:bottom w:val="single" w:sz="2" w:space="0" w:color="auto"/>
            </w:tcBorders>
            <w:shd w:val="clear" w:color="auto" w:fill="auto"/>
          </w:tcPr>
          <w:p w14:paraId="677078DE" w14:textId="30D24484" w:rsidR="00D371D2" w:rsidRPr="0042750D" w:rsidRDefault="00D371D2" w:rsidP="00DF058E">
            <w:pPr>
              <w:pStyle w:val="Tabletext"/>
              <w:keepNext/>
              <w:keepLines/>
              <w:rPr>
                <w:b/>
                <w:bCs/>
                <w:sz w:val="24"/>
                <w:szCs w:val="24"/>
              </w:rPr>
            </w:pPr>
            <w:r w:rsidRPr="0042750D">
              <w:rPr>
                <w:b/>
                <w:bCs/>
                <w:sz w:val="24"/>
                <w:szCs w:val="24"/>
              </w:rPr>
              <w:t>ITU-T to continue work aimed at protecting users/consumers of telecommunication/ICT services, and at supporting Member States in developing policies and/or regulations in this area (</w:t>
            </w:r>
            <w:r w:rsidRPr="0042750D">
              <w:rPr>
                <w:b/>
                <w:bCs/>
                <w:i/>
                <w:sz w:val="24"/>
                <w:szCs w:val="24"/>
              </w:rPr>
              <w:t>resolves 1</w:t>
            </w:r>
            <w:r w:rsidRPr="0042750D">
              <w:rPr>
                <w:b/>
                <w:bCs/>
                <w:sz w:val="24"/>
                <w:szCs w:val="24"/>
              </w:rPr>
              <w:t>).</w:t>
            </w:r>
          </w:p>
        </w:tc>
        <w:tc>
          <w:tcPr>
            <w:tcW w:w="1336" w:type="dxa"/>
            <w:tcBorders>
              <w:top w:val="single" w:sz="12" w:space="0" w:color="auto"/>
              <w:bottom w:val="single" w:sz="2" w:space="0" w:color="auto"/>
            </w:tcBorders>
            <w:shd w:val="clear" w:color="auto" w:fill="auto"/>
            <w:vAlign w:val="center"/>
          </w:tcPr>
          <w:p w14:paraId="60D9C7B8" w14:textId="426C38DA" w:rsidR="00D371D2" w:rsidRPr="0042750D" w:rsidRDefault="00D371D2" w:rsidP="00DF058E">
            <w:pPr>
              <w:pStyle w:val="Tabletext"/>
              <w:keepNext/>
              <w:keepLines/>
              <w:jc w:val="center"/>
              <w:rPr>
                <w:b/>
                <w:bCs/>
                <w:sz w:val="24"/>
                <w:szCs w:val="24"/>
              </w:rPr>
            </w:pPr>
            <w:r w:rsidRPr="0042750D">
              <w:rPr>
                <w:b/>
                <w:bCs/>
                <w:sz w:val="24"/>
                <w:szCs w:val="24"/>
              </w:rPr>
              <w:t>Ongoing</w:t>
            </w:r>
          </w:p>
        </w:tc>
        <w:tc>
          <w:tcPr>
            <w:tcW w:w="1143" w:type="dxa"/>
            <w:tcBorders>
              <w:top w:val="single" w:sz="12" w:space="0" w:color="auto"/>
              <w:bottom w:val="single" w:sz="2" w:space="0" w:color="auto"/>
            </w:tcBorders>
            <w:shd w:val="clear" w:color="auto" w:fill="auto"/>
            <w:vAlign w:val="center"/>
          </w:tcPr>
          <w:p w14:paraId="1DCFCD57" w14:textId="7C4EACC8" w:rsidR="00D371D2" w:rsidRPr="0042750D" w:rsidRDefault="00A03B9A" w:rsidP="00DF058E">
            <w:pPr>
              <w:pStyle w:val="Tabletext"/>
              <w:keepNext/>
              <w:keepLines/>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480540DF" w14:textId="77777777" w:rsidR="00D371D2" w:rsidRPr="0042750D" w:rsidRDefault="00D371D2" w:rsidP="00DF058E">
            <w:pPr>
              <w:pStyle w:val="Tabletext"/>
              <w:keepNext/>
              <w:keepLines/>
              <w:jc w:val="center"/>
              <w:rPr>
                <w:b/>
                <w:bCs/>
                <w:sz w:val="24"/>
                <w:szCs w:val="24"/>
              </w:rPr>
            </w:pPr>
          </w:p>
        </w:tc>
      </w:tr>
      <w:tr w:rsidR="00D371D2" w:rsidRPr="0042750D" w14:paraId="04F10DFB" w14:textId="77777777" w:rsidTr="009812DC">
        <w:trPr>
          <w:cantSplit/>
          <w:jc w:val="center"/>
        </w:trPr>
        <w:tc>
          <w:tcPr>
            <w:tcW w:w="1132" w:type="dxa"/>
            <w:vMerge/>
            <w:shd w:val="clear" w:color="auto" w:fill="auto"/>
            <w:vAlign w:val="center"/>
          </w:tcPr>
          <w:p w14:paraId="0520149F" w14:textId="77777777" w:rsidR="00D371D2" w:rsidRPr="0042750D" w:rsidRDefault="00D371D2" w:rsidP="00DF058E">
            <w:pPr>
              <w:pStyle w:val="Tabletext"/>
              <w:keepNext/>
              <w:keepLines/>
              <w:rPr>
                <w:sz w:val="24"/>
                <w:szCs w:val="24"/>
              </w:rPr>
            </w:pPr>
          </w:p>
        </w:tc>
        <w:tc>
          <w:tcPr>
            <w:tcW w:w="8800" w:type="dxa"/>
            <w:gridSpan w:val="4"/>
            <w:tcBorders>
              <w:top w:val="single" w:sz="2" w:space="0" w:color="auto"/>
            </w:tcBorders>
            <w:shd w:val="clear" w:color="auto" w:fill="auto"/>
          </w:tcPr>
          <w:p w14:paraId="3AC3CF36" w14:textId="266FD5D2" w:rsidR="00D371D2" w:rsidRPr="0042750D" w:rsidRDefault="00A03B9A" w:rsidP="0074302C">
            <w:pPr>
              <w:pStyle w:val="ListParagraph"/>
              <w:numPr>
                <w:ilvl w:val="0"/>
                <w:numId w:val="5"/>
              </w:numPr>
              <w:spacing w:before="40" w:after="40"/>
              <w:ind w:left="357" w:hanging="357"/>
              <w:contextualSpacing w:val="0"/>
              <w:rPr>
                <w:szCs w:val="22"/>
              </w:rPr>
            </w:pPr>
            <w:r w:rsidRPr="0042750D">
              <w:rPr>
                <w:szCs w:val="22"/>
              </w:rPr>
              <w:t>SG3 agreed the ITU-T Technical Report DSTR-DFSUAAFR on Digital Financial Services – Review of DFS User Agreements in Africa: A Consumer Protection Perspective, and ITU-T Technical Report DSTR-DFSCP on Digital Financial Services – Commonly identified Consumer Protection themes for Digital Financial Services. SG3 is studying in work item D.ConsumerMFS the aspects of consumer protection in mobile financial services, and in work item D.OTTConsumer the customer redress mechanism and consumer protection.</w:t>
            </w:r>
          </w:p>
        </w:tc>
      </w:tr>
      <w:tr w:rsidR="00D371D2" w:rsidRPr="0042750D" w14:paraId="0734054B" w14:textId="77777777" w:rsidTr="00D371D2">
        <w:trPr>
          <w:cantSplit/>
          <w:jc w:val="center"/>
        </w:trPr>
        <w:tc>
          <w:tcPr>
            <w:tcW w:w="1132" w:type="dxa"/>
            <w:vMerge w:val="restart"/>
            <w:tcBorders>
              <w:top w:val="single" w:sz="12" w:space="0" w:color="auto"/>
            </w:tcBorders>
            <w:shd w:val="clear" w:color="auto" w:fill="auto"/>
          </w:tcPr>
          <w:p w14:paraId="2EB214FA" w14:textId="16EE5A72" w:rsidR="00D371D2" w:rsidRPr="0042750D" w:rsidRDefault="00D371D2" w:rsidP="00D371D2">
            <w:pPr>
              <w:pStyle w:val="Tabletext"/>
              <w:keepNext/>
              <w:keepLines/>
              <w:rPr>
                <w:b/>
                <w:bCs/>
                <w:sz w:val="24"/>
                <w:szCs w:val="24"/>
              </w:rPr>
            </w:pPr>
            <w:r w:rsidRPr="0042750D">
              <w:rPr>
                <w:b/>
                <w:bCs/>
                <w:sz w:val="24"/>
                <w:szCs w:val="24"/>
              </w:rPr>
              <w:t>196-02</w:t>
            </w:r>
          </w:p>
        </w:tc>
        <w:tc>
          <w:tcPr>
            <w:tcW w:w="4983" w:type="dxa"/>
            <w:tcBorders>
              <w:top w:val="single" w:sz="12" w:space="0" w:color="auto"/>
              <w:bottom w:val="single" w:sz="2" w:space="0" w:color="auto"/>
            </w:tcBorders>
            <w:shd w:val="clear" w:color="auto" w:fill="auto"/>
          </w:tcPr>
          <w:p w14:paraId="00DB768B" w14:textId="5677555B" w:rsidR="00D371D2" w:rsidRPr="0042750D" w:rsidRDefault="00D371D2" w:rsidP="009812DC">
            <w:pPr>
              <w:pStyle w:val="Tabletext"/>
              <w:keepNext/>
              <w:keepLines/>
              <w:rPr>
                <w:b/>
                <w:bCs/>
                <w:sz w:val="24"/>
                <w:szCs w:val="24"/>
              </w:rPr>
            </w:pPr>
            <w:r w:rsidRPr="0042750D">
              <w:rPr>
                <w:b/>
                <w:bCs/>
                <w:sz w:val="24"/>
                <w:szCs w:val="24"/>
              </w:rPr>
              <w:t>ITU-T to establish and maintain updated good and best practices on the protection of users/consumers of telecommunication/ICT services (</w:t>
            </w:r>
            <w:r w:rsidRPr="0042750D">
              <w:rPr>
                <w:b/>
                <w:bCs/>
                <w:i/>
                <w:sz w:val="24"/>
                <w:szCs w:val="24"/>
              </w:rPr>
              <w:t>resolves 2</w:t>
            </w:r>
            <w:r w:rsidRPr="0042750D">
              <w:rPr>
                <w:b/>
                <w:bCs/>
                <w:sz w:val="24"/>
                <w:szCs w:val="24"/>
              </w:rPr>
              <w:t>).</w:t>
            </w:r>
          </w:p>
        </w:tc>
        <w:tc>
          <w:tcPr>
            <w:tcW w:w="1336" w:type="dxa"/>
            <w:tcBorders>
              <w:top w:val="single" w:sz="12" w:space="0" w:color="auto"/>
              <w:bottom w:val="single" w:sz="2" w:space="0" w:color="auto"/>
            </w:tcBorders>
            <w:shd w:val="clear" w:color="auto" w:fill="auto"/>
            <w:vAlign w:val="center"/>
          </w:tcPr>
          <w:p w14:paraId="7E5F5D0D" w14:textId="7D8307D9" w:rsidR="00D371D2" w:rsidRPr="0042750D" w:rsidRDefault="00D371D2" w:rsidP="009812DC">
            <w:pPr>
              <w:pStyle w:val="Tabletext"/>
              <w:keepNext/>
              <w:keepLines/>
              <w:jc w:val="center"/>
              <w:rPr>
                <w:b/>
                <w:bCs/>
                <w:sz w:val="24"/>
                <w:szCs w:val="24"/>
              </w:rPr>
            </w:pPr>
            <w:r w:rsidRPr="0042750D">
              <w:rPr>
                <w:b/>
                <w:bCs/>
                <w:sz w:val="24"/>
                <w:szCs w:val="24"/>
              </w:rPr>
              <w:t>Ongoing</w:t>
            </w:r>
          </w:p>
        </w:tc>
        <w:tc>
          <w:tcPr>
            <w:tcW w:w="1143" w:type="dxa"/>
            <w:tcBorders>
              <w:top w:val="single" w:sz="12" w:space="0" w:color="auto"/>
              <w:bottom w:val="single" w:sz="2" w:space="0" w:color="auto"/>
            </w:tcBorders>
            <w:shd w:val="clear" w:color="auto" w:fill="auto"/>
            <w:vAlign w:val="center"/>
          </w:tcPr>
          <w:p w14:paraId="2B81C285" w14:textId="0F9CBE2E" w:rsidR="00D371D2" w:rsidRPr="0042750D" w:rsidRDefault="00D371D2" w:rsidP="009812DC">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2C104501" w14:textId="77777777" w:rsidR="00D371D2" w:rsidRPr="0042750D" w:rsidRDefault="00D371D2" w:rsidP="009812DC">
            <w:pPr>
              <w:pStyle w:val="Tabletext"/>
              <w:keepNext/>
              <w:keepLines/>
              <w:jc w:val="center"/>
              <w:rPr>
                <w:b/>
                <w:bCs/>
                <w:sz w:val="24"/>
                <w:szCs w:val="24"/>
              </w:rPr>
            </w:pPr>
          </w:p>
        </w:tc>
      </w:tr>
      <w:tr w:rsidR="00D371D2" w:rsidRPr="0042750D" w14:paraId="39186187" w14:textId="77777777" w:rsidTr="009812DC">
        <w:trPr>
          <w:cantSplit/>
          <w:jc w:val="center"/>
        </w:trPr>
        <w:tc>
          <w:tcPr>
            <w:tcW w:w="1132" w:type="dxa"/>
            <w:vMerge/>
            <w:shd w:val="clear" w:color="auto" w:fill="auto"/>
            <w:vAlign w:val="center"/>
          </w:tcPr>
          <w:p w14:paraId="71BBBE1F" w14:textId="77777777" w:rsidR="00D371D2" w:rsidRPr="0042750D" w:rsidRDefault="00D371D2" w:rsidP="009812DC">
            <w:pPr>
              <w:pStyle w:val="Tabletext"/>
              <w:keepNext/>
              <w:keepLines/>
              <w:rPr>
                <w:sz w:val="24"/>
                <w:szCs w:val="24"/>
              </w:rPr>
            </w:pPr>
          </w:p>
        </w:tc>
        <w:tc>
          <w:tcPr>
            <w:tcW w:w="8800" w:type="dxa"/>
            <w:gridSpan w:val="4"/>
            <w:tcBorders>
              <w:top w:val="single" w:sz="2" w:space="0" w:color="auto"/>
            </w:tcBorders>
            <w:shd w:val="clear" w:color="auto" w:fill="auto"/>
          </w:tcPr>
          <w:p w14:paraId="4A79AE16" w14:textId="7776A864" w:rsidR="00D371D2" w:rsidRPr="0042750D" w:rsidRDefault="00D371D2" w:rsidP="009812DC">
            <w:pPr>
              <w:pStyle w:val="Tabletext"/>
              <w:keepNext/>
              <w:keepLines/>
              <w:rPr>
                <w:szCs w:val="22"/>
              </w:rPr>
            </w:pPr>
          </w:p>
        </w:tc>
      </w:tr>
    </w:tbl>
    <w:p w14:paraId="028878BC" w14:textId="77777777" w:rsidR="00D371D2" w:rsidRPr="0042750D" w:rsidRDefault="00DD025B" w:rsidP="00D371D2">
      <w:pPr>
        <w:rPr>
          <w:sz w:val="24"/>
        </w:rPr>
      </w:pPr>
      <w:hyperlink w:anchor="Top" w:history="1">
        <w:r w:rsidR="00D371D2" w:rsidRPr="0042750D">
          <w:rPr>
            <w:rStyle w:val="Hyperlink"/>
            <w:rFonts w:eastAsia="Times New Roman"/>
            <w:sz w:val="24"/>
          </w:rPr>
          <w:t>» Top</w:t>
        </w:r>
      </w:hyperlink>
    </w:p>
    <w:p w14:paraId="4E837A59" w14:textId="6FCB7AF8" w:rsidR="00F0236A" w:rsidRPr="0042750D" w:rsidRDefault="003024B2" w:rsidP="00D371D2">
      <w:pPr>
        <w:pStyle w:val="Heading1"/>
        <w:keepNext/>
        <w:keepLines/>
        <w:spacing w:before="240"/>
        <w:ind w:left="357" w:hanging="357"/>
        <w:contextualSpacing w:val="0"/>
        <w:rPr>
          <w:sz w:val="24"/>
          <w:szCs w:val="24"/>
          <w:lang w:val="en-GB"/>
        </w:rPr>
      </w:pPr>
      <w:bookmarkStart w:id="348" w:name="_Toc30749188"/>
      <w:r w:rsidRPr="0042750D">
        <w:rPr>
          <w:sz w:val="24"/>
          <w:szCs w:val="24"/>
          <w:lang w:val="en-GB"/>
        </w:rPr>
        <w:t>RESOLUTION 197 (REV. DUBAI, 2018) – Facilitating the Internet of Things and smart sustainable cities and communities</w:t>
      </w:r>
      <w:bookmarkEnd w:id="348"/>
    </w:p>
    <w:p w14:paraId="424E3BF9" w14:textId="77777777" w:rsidR="00634E83" w:rsidRPr="0042750D" w:rsidRDefault="00634E83" w:rsidP="00FD2BD7">
      <w:pPr>
        <w:pStyle w:val="Call"/>
        <w:rPr>
          <w:lang w:val="en-GB"/>
        </w:rPr>
      </w:pPr>
      <w:r w:rsidRPr="0042750D">
        <w:rPr>
          <w:lang w:val="en-GB"/>
        </w:rPr>
        <w:t>resolves</w:t>
      </w:r>
    </w:p>
    <w:p w14:paraId="0001257E" w14:textId="77777777" w:rsidR="00E82BA8" w:rsidRPr="0042750D" w:rsidRDefault="00E82BA8" w:rsidP="00E82BA8">
      <w:r w:rsidRPr="0042750D">
        <w:t>1</w:t>
      </w:r>
      <w:r w:rsidRPr="0042750D">
        <w:tab/>
        <w:t xml:space="preserve">to promote investment in and development of IoT in order </w:t>
      </w:r>
      <w:r w:rsidRPr="0042750D">
        <w:rPr>
          <w:lang w:eastAsia="ko-KR"/>
        </w:rPr>
        <w:t xml:space="preserve">to </w:t>
      </w:r>
      <w:r w:rsidRPr="0042750D">
        <w:t>support the goals of the 2030 Agenda for Sustainable Development;</w:t>
      </w:r>
    </w:p>
    <w:p w14:paraId="4707FEE8" w14:textId="77777777" w:rsidR="00E82BA8" w:rsidRPr="0042750D" w:rsidRDefault="00E82BA8" w:rsidP="00E82BA8">
      <w:pPr>
        <w:rPr>
          <w:rFonts w:eastAsia="Batang" w:cs="Batang"/>
          <w:lang w:eastAsia="ko-KR"/>
        </w:rPr>
      </w:pPr>
      <w:r w:rsidRPr="0042750D">
        <w:rPr>
          <w:rFonts w:eastAsia="Batang" w:cs="Batang"/>
          <w:lang w:eastAsia="ko-KR"/>
        </w:rPr>
        <w:t>2</w:t>
      </w:r>
      <w:r w:rsidRPr="0042750D">
        <w:rPr>
          <w:rFonts w:eastAsia="Batang" w:cs="Batang"/>
          <w:lang w:eastAsia="ko-KR"/>
        </w:rPr>
        <w:tab/>
        <w:t>to continue and further develop studies and activities on IoT and SSCCs within the remit of ITU, in order to promote the development of IoT and SSCCs and address any possible challenges for ITU members and relevant stakeholders,</w:t>
      </w:r>
    </w:p>
    <w:p w14:paraId="537FF13C" w14:textId="77777777" w:rsidR="00EA0087" w:rsidRPr="0042750D" w:rsidRDefault="00EA0087" w:rsidP="00EA0087">
      <w:pPr>
        <w:pStyle w:val="Call"/>
        <w:rPr>
          <w:rFonts w:eastAsiaTheme="minorEastAsia"/>
          <w:lang w:val="en-GB"/>
        </w:rPr>
      </w:pPr>
      <w:r w:rsidRPr="0042750D">
        <w:rPr>
          <w:rFonts w:eastAsiaTheme="minorEastAsia"/>
          <w:lang w:val="en-GB"/>
        </w:rPr>
        <w:t>instructs the Secretary-General, in consultation and collaboration with the Directors of the three Bureaux</w:t>
      </w:r>
    </w:p>
    <w:p w14:paraId="6E5666CE" w14:textId="77777777" w:rsidR="00EA0087" w:rsidRPr="0042750D" w:rsidRDefault="00EA0087" w:rsidP="00EA0087">
      <w:r w:rsidRPr="0042750D">
        <w:t>1</w:t>
      </w:r>
      <w:r w:rsidRPr="0042750D">
        <w:tab/>
        <w:t>to coordinate the IoT and SSCC activities of the Union to implement the resolution;</w:t>
      </w:r>
    </w:p>
    <w:p w14:paraId="03B2EF24" w14:textId="77777777" w:rsidR="00EA0087" w:rsidRPr="0042750D" w:rsidRDefault="00EA0087" w:rsidP="00EA0087">
      <w:r w:rsidRPr="0042750D">
        <w:t>2</w:t>
      </w:r>
      <w:r w:rsidRPr="0042750D">
        <w:tab/>
        <w:t>to facilitate the exchange of experiences and information with all relevant organizations and entities involved in IoT and SSCCs, with the aim of creating opportunities for cooperative efforts to support the deployment of IoT;</w:t>
      </w:r>
    </w:p>
    <w:p w14:paraId="028CE6C3" w14:textId="77777777" w:rsidR="00EA0087" w:rsidRPr="0042750D" w:rsidRDefault="00EA0087" w:rsidP="00EA0087">
      <w:pPr>
        <w:rPr>
          <w:lang w:eastAsia="ko-KR"/>
        </w:rPr>
      </w:pPr>
      <w:r w:rsidRPr="0042750D">
        <w:rPr>
          <w:lang w:eastAsia="ko-KR"/>
        </w:rPr>
        <w:t>3</w:t>
      </w:r>
      <w:r w:rsidRPr="0042750D">
        <w:rPr>
          <w:lang w:eastAsia="ko-KR"/>
        </w:rPr>
        <w:tab/>
        <w:t>to raise awareness among ITU members of the opportunities and challenges for developing countries in the adoption of IoT, and to facilitate the exchange of experiences and information and increase cooperation with all relevant organizations and entities involved in IoT and SSCCs, with the aim of creating opportunities;</w:t>
      </w:r>
    </w:p>
    <w:p w14:paraId="727D8088" w14:textId="77777777" w:rsidR="00EA0087" w:rsidRPr="0042750D" w:rsidRDefault="00EA0087" w:rsidP="00EA0087">
      <w:r w:rsidRPr="0042750D">
        <w:t>4</w:t>
      </w:r>
      <w:r w:rsidRPr="0042750D">
        <w:tab/>
        <w:t>to submit an annual report on the results of implementation of this resolution to the ITU Council sessions;</w:t>
      </w:r>
    </w:p>
    <w:p w14:paraId="53B8DC5D" w14:textId="77777777" w:rsidR="00EA0087" w:rsidRPr="0042750D" w:rsidRDefault="00EA0087" w:rsidP="00EA0087">
      <w:r w:rsidRPr="0042750D">
        <w:t>5</w:t>
      </w:r>
      <w:r w:rsidRPr="0042750D">
        <w:tab/>
        <w:t>to submit a report to the next plenipotentiary conference in 2022,</w:t>
      </w:r>
    </w:p>
    <w:p w14:paraId="75EACF66" w14:textId="77777777" w:rsidR="00EA0087" w:rsidRPr="0042750D" w:rsidRDefault="00EA0087" w:rsidP="00EA0087">
      <w:pPr>
        <w:pStyle w:val="Call"/>
        <w:rPr>
          <w:rFonts w:eastAsiaTheme="minorEastAsia"/>
          <w:lang w:val="en-GB"/>
        </w:rPr>
      </w:pPr>
      <w:r w:rsidRPr="0042750D">
        <w:rPr>
          <w:rFonts w:eastAsiaTheme="minorEastAsia"/>
          <w:lang w:val="en-GB"/>
        </w:rPr>
        <w:t>instructs the Director of the Telecommunication Standardization Bureau and the Director of the Radiocommunication Bureau</w:t>
      </w:r>
    </w:p>
    <w:p w14:paraId="4C23604F" w14:textId="77777777" w:rsidR="00EA0087" w:rsidRPr="0042750D" w:rsidRDefault="00EA0087" w:rsidP="00EA0087">
      <w:r w:rsidRPr="0042750D">
        <w:t>1</w:t>
      </w:r>
      <w:r w:rsidRPr="0042750D">
        <w:tab/>
        <w:t>to support the work of relevant ITU-T and ITU-R study groups on IoT and SSCCs and to facilitate the emergence of diverse services in the globally connected world, in collaboration with relevant sectors;</w:t>
      </w:r>
    </w:p>
    <w:p w14:paraId="0432920A" w14:textId="77777777" w:rsidR="00EA0087" w:rsidRPr="0042750D" w:rsidRDefault="00EA0087" w:rsidP="00EA0087">
      <w:r w:rsidRPr="0042750D">
        <w:t>2</w:t>
      </w:r>
      <w:r w:rsidRPr="0042750D">
        <w:tab/>
        <w:t>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w:t>
      </w:r>
    </w:p>
    <w:p w14:paraId="1CB4310B" w14:textId="77777777" w:rsidR="00EA0087" w:rsidRPr="0042750D" w:rsidRDefault="00EA0087" w:rsidP="00E22256">
      <w:pPr>
        <w:spacing w:after="120"/>
      </w:pPr>
      <w:r w:rsidRPr="0042750D">
        <w:t>3</w:t>
      </w:r>
      <w:r w:rsidRPr="0042750D">
        <w:tab/>
        <w:t>to encourage the development of IoT and SSCCs, taking into account the outcomes of the work of the relevant ITU study groups on various aspects of IoT and SSCCs,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42750D" w14:paraId="2C2ACE98" w14:textId="77777777" w:rsidTr="00FC67A1">
        <w:trPr>
          <w:tblHeader/>
          <w:jc w:val="center"/>
        </w:trPr>
        <w:tc>
          <w:tcPr>
            <w:tcW w:w="1131" w:type="dxa"/>
            <w:tcBorders>
              <w:top w:val="single" w:sz="12" w:space="0" w:color="auto"/>
              <w:bottom w:val="single" w:sz="12" w:space="0" w:color="auto"/>
            </w:tcBorders>
            <w:shd w:val="clear" w:color="auto" w:fill="auto"/>
            <w:vAlign w:val="center"/>
          </w:tcPr>
          <w:p w14:paraId="5738149C" w14:textId="77777777" w:rsidR="00F0236A" w:rsidRPr="0042750D" w:rsidRDefault="00F0236A" w:rsidP="005B4FE7">
            <w:pPr>
              <w:pStyle w:val="Tablehead"/>
              <w:keepNext w:val="0"/>
              <w:rPr>
                <w:sz w:val="24"/>
                <w:szCs w:val="24"/>
              </w:rPr>
            </w:pPr>
            <w:r w:rsidRPr="0042750D">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1D7B7B71" w14:textId="77777777" w:rsidR="00F0236A" w:rsidRPr="0042750D" w:rsidRDefault="00F0236A" w:rsidP="0048177F">
            <w:pPr>
              <w:pStyle w:val="Tablehead"/>
              <w:keepNext w:val="0"/>
              <w:rPr>
                <w:sz w:val="24"/>
                <w:szCs w:val="24"/>
              </w:rPr>
            </w:pPr>
            <w:r w:rsidRPr="0042750D">
              <w:rPr>
                <w:sz w:val="24"/>
                <w:szCs w:val="24"/>
              </w:rPr>
              <w:t>Action</w:t>
            </w:r>
          </w:p>
        </w:tc>
        <w:tc>
          <w:tcPr>
            <w:tcW w:w="1336" w:type="dxa"/>
            <w:tcBorders>
              <w:top w:val="single" w:sz="12" w:space="0" w:color="auto"/>
              <w:bottom w:val="single" w:sz="12" w:space="0" w:color="auto"/>
            </w:tcBorders>
            <w:shd w:val="clear" w:color="auto" w:fill="auto"/>
            <w:vAlign w:val="center"/>
            <w:hideMark/>
          </w:tcPr>
          <w:p w14:paraId="253B5E91" w14:textId="77777777" w:rsidR="00F0236A" w:rsidRPr="0042750D" w:rsidRDefault="00F0236A" w:rsidP="0048177F">
            <w:pPr>
              <w:pStyle w:val="Tablehead"/>
              <w:keepNext w:val="0"/>
              <w:rPr>
                <w:sz w:val="24"/>
                <w:szCs w:val="24"/>
              </w:rPr>
            </w:pPr>
            <w:r w:rsidRPr="0042750D">
              <w:rPr>
                <w:sz w:val="24"/>
                <w:szCs w:val="24"/>
              </w:rPr>
              <w:t>Milestone</w:t>
            </w:r>
          </w:p>
        </w:tc>
        <w:tc>
          <w:tcPr>
            <w:tcW w:w="1143" w:type="dxa"/>
            <w:tcBorders>
              <w:top w:val="single" w:sz="12" w:space="0" w:color="auto"/>
              <w:bottom w:val="single" w:sz="12" w:space="0" w:color="auto"/>
            </w:tcBorders>
            <w:shd w:val="clear" w:color="auto" w:fill="auto"/>
          </w:tcPr>
          <w:p w14:paraId="71A7A336" w14:textId="77777777" w:rsidR="00F0236A" w:rsidRPr="0042750D" w:rsidRDefault="00F0236A" w:rsidP="0048177F">
            <w:pPr>
              <w:pStyle w:val="Tablehead"/>
              <w:keepNext w:val="0"/>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72D33D8" w14:textId="77777777" w:rsidR="00F0236A" w:rsidRPr="0042750D" w:rsidRDefault="00F0236A" w:rsidP="0048177F">
            <w:pPr>
              <w:pStyle w:val="Tablehead"/>
              <w:keepNext w:val="0"/>
              <w:rPr>
                <w:sz w:val="24"/>
                <w:szCs w:val="24"/>
              </w:rPr>
            </w:pPr>
            <w:r w:rsidRPr="0042750D">
              <w:rPr>
                <w:sz w:val="24"/>
                <w:szCs w:val="24"/>
              </w:rPr>
              <w:t>Completed</w:t>
            </w:r>
          </w:p>
        </w:tc>
      </w:tr>
      <w:tr w:rsidR="00F0236A" w:rsidRPr="0042750D" w14:paraId="0C194FBF" w14:textId="77777777" w:rsidTr="00FC67A1">
        <w:trPr>
          <w:jc w:val="center"/>
        </w:trPr>
        <w:tc>
          <w:tcPr>
            <w:tcW w:w="1131" w:type="dxa"/>
            <w:vMerge w:val="restart"/>
            <w:tcBorders>
              <w:top w:val="single" w:sz="12" w:space="0" w:color="auto"/>
            </w:tcBorders>
            <w:shd w:val="clear" w:color="auto" w:fill="auto"/>
          </w:tcPr>
          <w:p w14:paraId="014470FE" w14:textId="5D668820" w:rsidR="00F0236A" w:rsidRPr="0042750D" w:rsidRDefault="003024B2" w:rsidP="0048177F">
            <w:pPr>
              <w:pStyle w:val="Tabletext"/>
              <w:rPr>
                <w:b/>
                <w:bCs/>
                <w:sz w:val="24"/>
                <w:szCs w:val="24"/>
              </w:rPr>
            </w:pPr>
            <w:r w:rsidRPr="0042750D">
              <w:rPr>
                <w:b/>
                <w:bCs/>
                <w:sz w:val="24"/>
                <w:szCs w:val="24"/>
              </w:rPr>
              <w:t>197</w:t>
            </w:r>
            <w:r w:rsidR="00F0236A" w:rsidRPr="0042750D">
              <w:rPr>
                <w:b/>
                <w:bCs/>
                <w:sz w:val="24"/>
                <w:szCs w:val="24"/>
              </w:rPr>
              <w:t>-01</w:t>
            </w:r>
          </w:p>
        </w:tc>
        <w:tc>
          <w:tcPr>
            <w:tcW w:w="4984" w:type="dxa"/>
            <w:tcBorders>
              <w:top w:val="single" w:sz="12" w:space="0" w:color="auto"/>
              <w:bottom w:val="single" w:sz="2" w:space="0" w:color="auto"/>
            </w:tcBorders>
            <w:shd w:val="clear" w:color="auto" w:fill="auto"/>
            <w:hideMark/>
          </w:tcPr>
          <w:p w14:paraId="39AF7699" w14:textId="0244199F" w:rsidR="00F0236A" w:rsidRPr="0042750D" w:rsidRDefault="00652119" w:rsidP="00652119">
            <w:pPr>
              <w:pStyle w:val="Tabletext"/>
              <w:rPr>
                <w:b/>
                <w:bCs/>
                <w:sz w:val="24"/>
                <w:szCs w:val="24"/>
              </w:rPr>
            </w:pPr>
            <w:r w:rsidRPr="0042750D">
              <w:rPr>
                <w:b/>
                <w:bCs/>
                <w:sz w:val="24"/>
                <w:szCs w:val="24"/>
              </w:rPr>
              <w:t>ITU-T to promote investment in and development of IoT in order to support the goals of the 2030 Agenda for Sustainable Development</w:t>
            </w:r>
            <w:r w:rsidR="001A1F2A" w:rsidRPr="0042750D">
              <w:rPr>
                <w:b/>
                <w:sz w:val="24"/>
                <w:szCs w:val="24"/>
              </w:rPr>
              <w:t xml:space="preserve"> (</w:t>
            </w:r>
            <w:r w:rsidR="001A1F2A" w:rsidRPr="0042750D">
              <w:rPr>
                <w:b/>
                <w:i/>
                <w:sz w:val="24"/>
                <w:szCs w:val="24"/>
              </w:rPr>
              <w:t xml:space="preserve">resolves </w:t>
            </w:r>
            <w:r w:rsidRPr="0042750D">
              <w:rPr>
                <w:b/>
                <w:i/>
                <w:sz w:val="24"/>
                <w:szCs w:val="24"/>
              </w:rPr>
              <w:t>1</w:t>
            </w:r>
            <w:r w:rsidR="001A1F2A" w:rsidRPr="0042750D">
              <w:rPr>
                <w:b/>
                <w:sz w:val="24"/>
                <w:szCs w:val="24"/>
              </w:rPr>
              <w:t>)</w:t>
            </w:r>
            <w:r w:rsidR="00D50A4E" w:rsidRPr="0042750D">
              <w:rPr>
                <w:b/>
                <w:sz w:val="24"/>
                <w:szCs w:val="24"/>
              </w:rPr>
              <w:t>.</w:t>
            </w:r>
          </w:p>
        </w:tc>
        <w:tc>
          <w:tcPr>
            <w:tcW w:w="1336" w:type="dxa"/>
            <w:tcBorders>
              <w:top w:val="single" w:sz="12" w:space="0" w:color="auto"/>
              <w:bottom w:val="single" w:sz="2" w:space="0" w:color="auto"/>
            </w:tcBorders>
            <w:shd w:val="clear" w:color="auto" w:fill="auto"/>
            <w:vAlign w:val="center"/>
          </w:tcPr>
          <w:p w14:paraId="1B659983" w14:textId="77777777" w:rsidR="00F0236A" w:rsidRPr="0042750D" w:rsidRDefault="00F0236A" w:rsidP="0048177F">
            <w:pPr>
              <w:pStyle w:val="Tabletext"/>
              <w:jc w:val="center"/>
              <w:rPr>
                <w:b/>
                <w:bCs/>
                <w:sz w:val="24"/>
                <w:szCs w:val="24"/>
              </w:rPr>
            </w:pPr>
            <w:r w:rsidRPr="0042750D">
              <w:rPr>
                <w:b/>
                <w:bCs/>
                <w:sz w:val="24"/>
                <w:szCs w:val="24"/>
              </w:rPr>
              <w:t>Ongoing</w:t>
            </w:r>
          </w:p>
        </w:tc>
        <w:tc>
          <w:tcPr>
            <w:tcW w:w="1143" w:type="dxa"/>
            <w:tcBorders>
              <w:top w:val="single" w:sz="12" w:space="0" w:color="auto"/>
              <w:bottom w:val="single" w:sz="2" w:space="0" w:color="auto"/>
            </w:tcBorders>
            <w:shd w:val="clear" w:color="auto" w:fill="auto"/>
            <w:vAlign w:val="center"/>
          </w:tcPr>
          <w:p w14:paraId="23BEF1EF" w14:textId="55B6C082" w:rsidR="00F0236A" w:rsidRPr="0042750D" w:rsidRDefault="00147096" w:rsidP="0048177F">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6F543244" w14:textId="77777777" w:rsidR="00F0236A" w:rsidRPr="0042750D" w:rsidRDefault="00F0236A" w:rsidP="0048177F">
            <w:pPr>
              <w:pStyle w:val="Tabletext"/>
              <w:jc w:val="center"/>
              <w:rPr>
                <w:b/>
                <w:bCs/>
                <w:sz w:val="24"/>
                <w:szCs w:val="24"/>
              </w:rPr>
            </w:pPr>
          </w:p>
        </w:tc>
      </w:tr>
      <w:tr w:rsidR="00F0236A" w:rsidRPr="0042750D" w14:paraId="70962487" w14:textId="77777777" w:rsidTr="00B41DE6">
        <w:trPr>
          <w:jc w:val="center"/>
        </w:trPr>
        <w:tc>
          <w:tcPr>
            <w:tcW w:w="1131" w:type="dxa"/>
            <w:vMerge/>
            <w:tcBorders>
              <w:bottom w:val="single" w:sz="12" w:space="0" w:color="auto"/>
            </w:tcBorders>
            <w:shd w:val="clear" w:color="auto" w:fill="auto"/>
          </w:tcPr>
          <w:p w14:paraId="4214FB5F" w14:textId="77777777" w:rsidR="00F0236A" w:rsidRPr="0042750D" w:rsidRDefault="00F0236A" w:rsidP="0048177F">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00B67B4" w14:textId="277E3FD9" w:rsidR="00A77196" w:rsidRPr="0042750D" w:rsidRDefault="00147096" w:rsidP="0074302C">
            <w:pPr>
              <w:spacing w:before="40" w:after="40"/>
              <w:rPr>
                <w:szCs w:val="22"/>
              </w:rPr>
            </w:pPr>
            <w:r w:rsidRPr="0042750D">
              <w:rPr>
                <w:szCs w:val="22"/>
              </w:rPr>
              <w:t>See 197-02, 197-09 and 197-10.</w:t>
            </w:r>
          </w:p>
        </w:tc>
      </w:tr>
      <w:tr w:rsidR="00F0236A" w:rsidRPr="0042750D" w14:paraId="10164255" w14:textId="77777777" w:rsidTr="00FC67A1">
        <w:trPr>
          <w:jc w:val="center"/>
        </w:trPr>
        <w:tc>
          <w:tcPr>
            <w:tcW w:w="1131" w:type="dxa"/>
            <w:vMerge w:val="restart"/>
            <w:tcBorders>
              <w:top w:val="single" w:sz="12" w:space="0" w:color="auto"/>
            </w:tcBorders>
            <w:shd w:val="clear" w:color="auto" w:fill="auto"/>
          </w:tcPr>
          <w:p w14:paraId="4B043B77" w14:textId="4A6B1B4F" w:rsidR="00F0236A" w:rsidRPr="0042750D" w:rsidRDefault="00B55068" w:rsidP="00515FDC">
            <w:pPr>
              <w:pStyle w:val="Tabletext"/>
              <w:pageBreakBefore/>
              <w:rPr>
                <w:b/>
                <w:bCs/>
                <w:sz w:val="24"/>
                <w:szCs w:val="24"/>
              </w:rPr>
            </w:pPr>
            <w:r w:rsidRPr="0042750D">
              <w:rPr>
                <w:b/>
                <w:bCs/>
                <w:sz w:val="24"/>
                <w:szCs w:val="24"/>
              </w:rPr>
              <w:t>197-02</w:t>
            </w:r>
          </w:p>
        </w:tc>
        <w:tc>
          <w:tcPr>
            <w:tcW w:w="4984" w:type="dxa"/>
            <w:tcBorders>
              <w:top w:val="single" w:sz="12" w:space="0" w:color="auto"/>
              <w:bottom w:val="single" w:sz="4" w:space="0" w:color="auto"/>
            </w:tcBorders>
            <w:shd w:val="clear" w:color="auto" w:fill="auto"/>
          </w:tcPr>
          <w:p w14:paraId="7C6A17C6" w14:textId="57B7721B" w:rsidR="00F0236A" w:rsidRPr="0042750D" w:rsidRDefault="0029590D" w:rsidP="0029590D">
            <w:pPr>
              <w:pStyle w:val="Tabletext"/>
              <w:rPr>
                <w:b/>
                <w:bCs/>
                <w:sz w:val="24"/>
                <w:szCs w:val="24"/>
              </w:rPr>
            </w:pPr>
            <w:r w:rsidRPr="0042750D">
              <w:rPr>
                <w:b/>
                <w:bCs/>
                <w:sz w:val="24"/>
                <w:szCs w:val="24"/>
              </w:rPr>
              <w:t>ITU-T to continue and further develop studies and activities on IoT and SSCCs within the remit of ITU, in order to promote the development of IoT and SSCCs and address any possible challenges for ITU members and relevant stakeholders</w:t>
            </w:r>
            <w:r w:rsidR="001A1F2A" w:rsidRPr="0042750D">
              <w:rPr>
                <w:b/>
                <w:sz w:val="24"/>
                <w:szCs w:val="24"/>
              </w:rPr>
              <w:t xml:space="preserve"> (</w:t>
            </w:r>
            <w:r w:rsidR="001A1F2A" w:rsidRPr="0042750D">
              <w:rPr>
                <w:b/>
                <w:i/>
                <w:sz w:val="24"/>
                <w:szCs w:val="24"/>
              </w:rPr>
              <w:t xml:space="preserve">resolves </w:t>
            </w:r>
            <w:r w:rsidRPr="0042750D">
              <w:rPr>
                <w:b/>
                <w:i/>
                <w:sz w:val="24"/>
                <w:szCs w:val="24"/>
              </w:rPr>
              <w:t>2</w:t>
            </w:r>
            <w:r w:rsidR="001A1F2A" w:rsidRPr="0042750D">
              <w:rPr>
                <w:b/>
                <w:sz w:val="24"/>
                <w:szCs w:val="24"/>
              </w:rPr>
              <w:t>)</w:t>
            </w:r>
            <w:r w:rsidR="00D50A4E" w:rsidRPr="0042750D">
              <w:rPr>
                <w:b/>
                <w:sz w:val="24"/>
                <w:szCs w:val="24"/>
              </w:rPr>
              <w:t>.</w:t>
            </w:r>
          </w:p>
        </w:tc>
        <w:tc>
          <w:tcPr>
            <w:tcW w:w="1336" w:type="dxa"/>
            <w:tcBorders>
              <w:top w:val="single" w:sz="12" w:space="0" w:color="auto"/>
              <w:bottom w:val="single" w:sz="4" w:space="0" w:color="auto"/>
            </w:tcBorders>
            <w:shd w:val="clear" w:color="auto" w:fill="auto"/>
            <w:vAlign w:val="center"/>
          </w:tcPr>
          <w:p w14:paraId="0D1EF514" w14:textId="77777777" w:rsidR="00F0236A" w:rsidRPr="0042750D" w:rsidRDefault="00F0236A" w:rsidP="0048177F">
            <w:pPr>
              <w:pStyle w:val="Tabletext"/>
              <w:jc w:val="center"/>
              <w:rPr>
                <w:b/>
                <w:bCs/>
                <w:sz w:val="24"/>
                <w:szCs w:val="24"/>
              </w:rPr>
            </w:pPr>
            <w:r w:rsidRPr="0042750D">
              <w:rPr>
                <w:b/>
                <w:bCs/>
                <w:sz w:val="24"/>
                <w:szCs w:val="24"/>
              </w:rPr>
              <w:t>Ongoing</w:t>
            </w:r>
          </w:p>
        </w:tc>
        <w:tc>
          <w:tcPr>
            <w:tcW w:w="1143" w:type="dxa"/>
            <w:tcBorders>
              <w:top w:val="single" w:sz="12" w:space="0" w:color="auto"/>
              <w:bottom w:val="single" w:sz="4" w:space="0" w:color="auto"/>
            </w:tcBorders>
            <w:shd w:val="clear" w:color="auto" w:fill="auto"/>
            <w:vAlign w:val="center"/>
          </w:tcPr>
          <w:p w14:paraId="77ACB456" w14:textId="215FD86C" w:rsidR="00F0236A" w:rsidRPr="0042750D" w:rsidRDefault="00E7278A" w:rsidP="0048177F">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378F50A9" w14:textId="77777777" w:rsidR="00F0236A" w:rsidRPr="0042750D" w:rsidRDefault="00F0236A" w:rsidP="0048177F">
            <w:pPr>
              <w:pStyle w:val="Tabletext"/>
              <w:jc w:val="center"/>
              <w:rPr>
                <w:b/>
                <w:bCs/>
                <w:sz w:val="24"/>
                <w:szCs w:val="24"/>
              </w:rPr>
            </w:pPr>
          </w:p>
        </w:tc>
      </w:tr>
      <w:tr w:rsidR="00F0236A" w:rsidRPr="0042750D" w14:paraId="2F2C9B90" w14:textId="77777777" w:rsidTr="00B41DE6">
        <w:trPr>
          <w:jc w:val="center"/>
        </w:trPr>
        <w:tc>
          <w:tcPr>
            <w:tcW w:w="1131" w:type="dxa"/>
            <w:vMerge/>
            <w:tcBorders>
              <w:bottom w:val="single" w:sz="12" w:space="0" w:color="auto"/>
            </w:tcBorders>
            <w:shd w:val="clear" w:color="auto" w:fill="auto"/>
          </w:tcPr>
          <w:p w14:paraId="40FB6FAD" w14:textId="77777777" w:rsidR="00F0236A" w:rsidRPr="0042750D"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FB2AC8E" w14:textId="77777777" w:rsidR="00E7278A" w:rsidRPr="0042750D" w:rsidRDefault="00E7278A" w:rsidP="0074302C">
            <w:pPr>
              <w:pStyle w:val="ListParagraph"/>
              <w:numPr>
                <w:ilvl w:val="0"/>
                <w:numId w:val="5"/>
              </w:numPr>
              <w:spacing w:before="40" w:after="40"/>
              <w:ind w:left="357" w:hanging="357"/>
              <w:contextualSpacing w:val="0"/>
            </w:pPr>
            <w:r w:rsidRPr="0042750D">
              <w:t xml:space="preserve">ITU-T Study Group 20 “IoT and smart cities &amp; communities” has been developing </w:t>
            </w:r>
            <w:r w:rsidRPr="0042750D">
              <w:rPr>
                <w:szCs w:val="22"/>
              </w:rPr>
              <w:t>Recommendations</w:t>
            </w:r>
            <w:r w:rsidRPr="0042750D">
              <w:t xml:space="preserve"> that facilitate interoperability between digital infrastructures and IoT applications. ITU-T SG20 is the lead Study Group on: (IoT) and its applications, smart cities and communities, including its e‑services and smart services and for IoT identification. SG20 has developed the following Recommendations:</w:t>
            </w:r>
          </w:p>
          <w:p w14:paraId="3492C49D" w14:textId="2A49B850" w:rsidR="00E7278A" w:rsidRPr="0042750D" w:rsidRDefault="00E7278A" w:rsidP="0074302C">
            <w:pPr>
              <w:pStyle w:val="ListParagraph"/>
              <w:numPr>
                <w:ilvl w:val="1"/>
                <w:numId w:val="5"/>
              </w:numPr>
              <w:spacing w:after="40"/>
              <w:rPr>
                <w:szCs w:val="22"/>
              </w:rPr>
            </w:pPr>
            <w:r w:rsidRPr="0042750D">
              <w:rPr>
                <w:szCs w:val="22"/>
              </w:rPr>
              <w:t>Recommendation ITU-T Y.4202 “Framework of wireless power transmission application service”;</w:t>
            </w:r>
          </w:p>
          <w:p w14:paraId="7D8D982B" w14:textId="5B88F11E" w:rsidR="00E7278A" w:rsidRPr="0042750D" w:rsidRDefault="00E7278A" w:rsidP="0074302C">
            <w:pPr>
              <w:pStyle w:val="ListParagraph"/>
              <w:numPr>
                <w:ilvl w:val="1"/>
                <w:numId w:val="5"/>
              </w:numPr>
              <w:spacing w:after="40"/>
              <w:rPr>
                <w:szCs w:val="22"/>
              </w:rPr>
            </w:pPr>
            <w:r w:rsidRPr="0042750D">
              <w:rPr>
                <w:szCs w:val="22"/>
              </w:rPr>
              <w:t>Recommendation ITU-T Y.4203 “Requirements of things description in the Internet of Things”;</w:t>
            </w:r>
          </w:p>
          <w:p w14:paraId="3F12F9D2" w14:textId="60F22637" w:rsidR="00913D11" w:rsidRPr="0042750D" w:rsidRDefault="00913D11" w:rsidP="0074302C">
            <w:pPr>
              <w:pStyle w:val="ListParagraph"/>
              <w:numPr>
                <w:ilvl w:val="1"/>
                <w:numId w:val="5"/>
              </w:numPr>
              <w:spacing w:after="40"/>
              <w:rPr>
                <w:szCs w:val="22"/>
              </w:rPr>
            </w:pPr>
            <w:r w:rsidRPr="0042750D">
              <w:rPr>
                <w:szCs w:val="22"/>
              </w:rPr>
              <w:t>Recommendation ITU-T Y.4208 “IoT requirements for support of edge computing”;</w:t>
            </w:r>
          </w:p>
          <w:p w14:paraId="3C13A15B" w14:textId="4E67EDC2" w:rsidR="00E7278A" w:rsidRPr="0042750D" w:rsidRDefault="00E7278A" w:rsidP="0074302C">
            <w:pPr>
              <w:pStyle w:val="ListParagraph"/>
              <w:numPr>
                <w:ilvl w:val="1"/>
                <w:numId w:val="5"/>
              </w:numPr>
              <w:spacing w:after="40"/>
              <w:rPr>
                <w:szCs w:val="22"/>
              </w:rPr>
            </w:pPr>
            <w:r w:rsidRPr="0042750D">
              <w:rPr>
                <w:szCs w:val="22"/>
              </w:rPr>
              <w:t>Recommendation ITU-T Y.4555 “Service functionalities of self-quantification over Internet of things”;</w:t>
            </w:r>
          </w:p>
          <w:p w14:paraId="58220416" w14:textId="041909D1" w:rsidR="00E7278A" w:rsidRPr="0042750D" w:rsidRDefault="00E7278A" w:rsidP="0074302C">
            <w:pPr>
              <w:pStyle w:val="ListParagraph"/>
              <w:numPr>
                <w:ilvl w:val="1"/>
                <w:numId w:val="5"/>
              </w:numPr>
              <w:spacing w:after="40"/>
              <w:rPr>
                <w:szCs w:val="22"/>
              </w:rPr>
            </w:pPr>
            <w:r w:rsidRPr="0042750D">
              <w:rPr>
                <w:szCs w:val="22"/>
              </w:rPr>
              <w:t>Recommendation ITU-T Y.4458 “Requirements and functional architecture of smart street light service”;</w:t>
            </w:r>
          </w:p>
          <w:p w14:paraId="2C03ACA4" w14:textId="4F9A3E56" w:rsidR="00E7278A" w:rsidRPr="0042750D" w:rsidRDefault="00E7278A" w:rsidP="0074302C">
            <w:pPr>
              <w:pStyle w:val="ListParagraph"/>
              <w:numPr>
                <w:ilvl w:val="1"/>
                <w:numId w:val="5"/>
              </w:numPr>
              <w:spacing w:after="40"/>
              <w:rPr>
                <w:szCs w:val="22"/>
              </w:rPr>
            </w:pPr>
            <w:r w:rsidRPr="0042750D">
              <w:rPr>
                <w:szCs w:val="22"/>
              </w:rPr>
              <w:t>Recommendation ITU-T Y.4051 “Vocabulary for smart cities and communities”;</w:t>
            </w:r>
          </w:p>
          <w:p w14:paraId="2402D198" w14:textId="6B5657E9" w:rsidR="00E7278A" w:rsidRPr="0042750D" w:rsidRDefault="00E7278A" w:rsidP="0074302C">
            <w:pPr>
              <w:pStyle w:val="ListParagraph"/>
              <w:numPr>
                <w:ilvl w:val="1"/>
                <w:numId w:val="5"/>
              </w:numPr>
              <w:spacing w:after="40"/>
            </w:pPr>
            <w:r w:rsidRPr="0042750D">
              <w:rPr>
                <w:szCs w:val="22"/>
              </w:rPr>
              <w:t>Recommendation ITU-T Y.4205 “Requirements and reference model of IoT-related crowdsourced</w:t>
            </w:r>
            <w:r w:rsidRPr="0042750D">
              <w:t xml:space="preserve"> systems”;</w:t>
            </w:r>
          </w:p>
          <w:p w14:paraId="1B2F68AC" w14:textId="6A776A59" w:rsidR="00E7278A" w:rsidRPr="0042750D" w:rsidRDefault="00E7278A" w:rsidP="0074302C">
            <w:pPr>
              <w:pStyle w:val="ListParagraph"/>
              <w:numPr>
                <w:ilvl w:val="1"/>
                <w:numId w:val="5"/>
              </w:numPr>
              <w:spacing w:after="40"/>
              <w:rPr>
                <w:szCs w:val="22"/>
              </w:rPr>
            </w:pPr>
            <w:r w:rsidRPr="0042750D">
              <w:rPr>
                <w:szCs w:val="22"/>
              </w:rPr>
              <w:t>Recommendation ITU-T Y.4905 “Smart sustainable city impact assessment”;</w:t>
            </w:r>
          </w:p>
          <w:p w14:paraId="04CF47A9" w14:textId="0237B6F8" w:rsidR="00E7278A" w:rsidRPr="0042750D" w:rsidRDefault="00E7278A" w:rsidP="0074302C">
            <w:pPr>
              <w:pStyle w:val="ListParagraph"/>
              <w:numPr>
                <w:ilvl w:val="1"/>
                <w:numId w:val="5"/>
              </w:numPr>
              <w:spacing w:after="40"/>
              <w:rPr>
                <w:szCs w:val="22"/>
              </w:rPr>
            </w:pPr>
            <w:r w:rsidRPr="0042750D">
              <w:rPr>
                <w:szCs w:val="22"/>
              </w:rPr>
              <w:t>Recommendation ITU-T Y.4206 “Requirements and capabilities of user-centric work space service”;</w:t>
            </w:r>
          </w:p>
          <w:p w14:paraId="1EFCC236" w14:textId="2E730B61" w:rsidR="00E7278A" w:rsidRPr="0042750D" w:rsidRDefault="00E7278A" w:rsidP="0074302C">
            <w:pPr>
              <w:pStyle w:val="ListParagraph"/>
              <w:numPr>
                <w:ilvl w:val="1"/>
                <w:numId w:val="5"/>
              </w:numPr>
              <w:spacing w:after="40"/>
              <w:rPr>
                <w:szCs w:val="22"/>
              </w:rPr>
            </w:pPr>
            <w:r w:rsidRPr="0042750D">
              <w:rPr>
                <w:szCs w:val="22"/>
              </w:rPr>
              <w:t>Recommendation ITU-T Y.4207 “Requirements and capability framework of Smart Environmental Monitoring”;</w:t>
            </w:r>
          </w:p>
          <w:p w14:paraId="5184A4D7" w14:textId="0E88666E" w:rsidR="00913D11" w:rsidRPr="0042750D" w:rsidRDefault="00E7278A" w:rsidP="0074302C">
            <w:pPr>
              <w:pStyle w:val="ListParagraph"/>
              <w:numPr>
                <w:ilvl w:val="1"/>
                <w:numId w:val="5"/>
              </w:numPr>
              <w:spacing w:after="40"/>
              <w:rPr>
                <w:szCs w:val="22"/>
              </w:rPr>
            </w:pPr>
            <w:r w:rsidRPr="0042750D">
              <w:rPr>
                <w:szCs w:val="22"/>
              </w:rPr>
              <w:t>Recommendation ITU-T Y.4460 “Architectural reference model of devices for IoT applications”;</w:t>
            </w:r>
          </w:p>
          <w:p w14:paraId="11FD5003" w14:textId="21CE3A71" w:rsidR="00913D11" w:rsidRPr="0042750D" w:rsidRDefault="00913D11" w:rsidP="0074302C">
            <w:pPr>
              <w:pStyle w:val="ListParagraph"/>
              <w:numPr>
                <w:ilvl w:val="1"/>
                <w:numId w:val="5"/>
              </w:numPr>
              <w:spacing w:after="40"/>
              <w:rPr>
                <w:szCs w:val="22"/>
              </w:rPr>
            </w:pPr>
            <w:r w:rsidRPr="0042750D">
              <w:rPr>
                <w:szCs w:val="22"/>
              </w:rPr>
              <w:t>Recommendation ITU-T Y.4461 “Framework of open data in smart cities”;</w:t>
            </w:r>
          </w:p>
          <w:p w14:paraId="3DF32C4D" w14:textId="7FA4C887" w:rsidR="00913D11" w:rsidRPr="0042750D" w:rsidRDefault="00913D11" w:rsidP="0074302C">
            <w:pPr>
              <w:pStyle w:val="ListParagraph"/>
              <w:numPr>
                <w:ilvl w:val="1"/>
                <w:numId w:val="5"/>
              </w:numPr>
              <w:spacing w:after="40"/>
              <w:rPr>
                <w:szCs w:val="22"/>
              </w:rPr>
            </w:pPr>
            <w:r w:rsidRPr="0042750D">
              <w:rPr>
                <w:szCs w:val="22"/>
              </w:rPr>
              <w:t>Recommendation ITU-T Y.4462 “Requirements and functional architecture of open IoT identity correlation service”;</w:t>
            </w:r>
          </w:p>
          <w:p w14:paraId="34F75C11" w14:textId="6FADEE2F" w:rsidR="00913D11" w:rsidRPr="0042750D" w:rsidRDefault="00913D11" w:rsidP="0074302C">
            <w:pPr>
              <w:pStyle w:val="ListParagraph"/>
              <w:numPr>
                <w:ilvl w:val="1"/>
                <w:numId w:val="5"/>
              </w:numPr>
              <w:spacing w:after="40"/>
              <w:rPr>
                <w:szCs w:val="22"/>
              </w:rPr>
            </w:pPr>
            <w:r w:rsidRPr="0042750D">
              <w:rPr>
                <w:szCs w:val="22"/>
              </w:rPr>
              <w:t>Recommendation ITU-T Y.4463 “Framework of delegation servicefor IoT devices”;</w:t>
            </w:r>
          </w:p>
          <w:p w14:paraId="1093C6B4" w14:textId="7E9766C0" w:rsidR="00913D11" w:rsidRPr="0042750D" w:rsidRDefault="00913D11" w:rsidP="0074302C">
            <w:pPr>
              <w:pStyle w:val="ListParagraph"/>
              <w:numPr>
                <w:ilvl w:val="1"/>
                <w:numId w:val="5"/>
              </w:numPr>
              <w:spacing w:after="40"/>
              <w:rPr>
                <w:szCs w:val="22"/>
              </w:rPr>
            </w:pPr>
            <w:r w:rsidRPr="0042750D">
              <w:rPr>
                <w:szCs w:val="22"/>
              </w:rPr>
              <w:t>Recommendation ITU-T Y.4464 “Framework of blockchain of things as decentralized service platform”;</w:t>
            </w:r>
          </w:p>
          <w:p w14:paraId="103AA8A8" w14:textId="4BCB7FEA" w:rsidR="00913D11" w:rsidRPr="0042750D" w:rsidRDefault="00913D11" w:rsidP="0074302C">
            <w:pPr>
              <w:pStyle w:val="ListParagraph"/>
              <w:numPr>
                <w:ilvl w:val="1"/>
                <w:numId w:val="5"/>
              </w:numPr>
              <w:spacing w:after="40"/>
              <w:rPr>
                <w:szCs w:val="22"/>
              </w:rPr>
            </w:pPr>
            <w:r w:rsidRPr="0042750D">
              <w:rPr>
                <w:szCs w:val="22"/>
              </w:rPr>
              <w:t>Recommendation ITU-T Y.4465 “Framework of IoT Services based on Visible Light Communications”;</w:t>
            </w:r>
          </w:p>
          <w:p w14:paraId="3564F086" w14:textId="44B0F4E1" w:rsidR="00913D11" w:rsidRPr="0042750D" w:rsidRDefault="00913D11" w:rsidP="0074302C">
            <w:pPr>
              <w:pStyle w:val="ListParagraph"/>
              <w:numPr>
                <w:ilvl w:val="1"/>
                <w:numId w:val="5"/>
              </w:numPr>
              <w:spacing w:after="40"/>
              <w:rPr>
                <w:szCs w:val="22"/>
              </w:rPr>
            </w:pPr>
            <w:r w:rsidRPr="0042750D">
              <w:rPr>
                <w:szCs w:val="22"/>
              </w:rPr>
              <w:t>-</w:t>
            </w:r>
            <w:r w:rsidRPr="0042750D">
              <w:rPr>
                <w:szCs w:val="22"/>
              </w:rPr>
              <w:tab/>
              <w:t>Recommendation ITU-T Y.4466 “Framework of smart greenhouse service”;</w:t>
            </w:r>
          </w:p>
          <w:p w14:paraId="7C6C270F" w14:textId="53AF40F7" w:rsidR="00913D11" w:rsidRPr="0042750D" w:rsidRDefault="00913D11" w:rsidP="0074302C">
            <w:pPr>
              <w:pStyle w:val="ListParagraph"/>
              <w:numPr>
                <w:ilvl w:val="1"/>
                <w:numId w:val="5"/>
              </w:numPr>
              <w:spacing w:after="40"/>
              <w:rPr>
                <w:szCs w:val="22"/>
              </w:rPr>
            </w:pPr>
            <w:r w:rsidRPr="0042750D">
              <w:rPr>
                <w:szCs w:val="22"/>
              </w:rPr>
              <w:t>Recommendation ITU-T Y.4467 “Minimum set of data structure for automotive emergency response system”;</w:t>
            </w:r>
          </w:p>
          <w:p w14:paraId="61B364B6" w14:textId="055C2CC9" w:rsidR="00E7278A" w:rsidRPr="0042750D" w:rsidRDefault="00913D11" w:rsidP="0074302C">
            <w:pPr>
              <w:pStyle w:val="ListParagraph"/>
              <w:numPr>
                <w:ilvl w:val="1"/>
                <w:numId w:val="5"/>
              </w:numPr>
              <w:spacing w:after="40"/>
              <w:rPr>
                <w:szCs w:val="22"/>
              </w:rPr>
            </w:pPr>
            <w:r w:rsidRPr="0042750D">
              <w:rPr>
                <w:szCs w:val="22"/>
              </w:rPr>
              <w:t>Recommendation ITU-T Y.4468 “Minimum set of data transfer protocol for automotive emergency response system”;</w:t>
            </w:r>
          </w:p>
          <w:p w14:paraId="5272093C" w14:textId="6C699BF7" w:rsidR="00913D11" w:rsidRPr="0042750D" w:rsidRDefault="00913D11" w:rsidP="0074302C">
            <w:pPr>
              <w:pStyle w:val="ListParagraph"/>
              <w:numPr>
                <w:ilvl w:val="1"/>
                <w:numId w:val="5"/>
              </w:numPr>
              <w:spacing w:after="40"/>
              <w:rPr>
                <w:szCs w:val="22"/>
              </w:rPr>
            </w:pPr>
            <w:r w:rsidRPr="0042750D">
              <w:rPr>
                <w:szCs w:val="22"/>
              </w:rPr>
              <w:t>Recommendation ITU-T Y.4807 “Agility by design for Telecommunications/ICT Systems Security used in the Internet of Things”;</w:t>
            </w:r>
          </w:p>
          <w:p w14:paraId="32F72C9E" w14:textId="2A915422" w:rsidR="00913D11" w:rsidRPr="0042750D" w:rsidRDefault="00913D11" w:rsidP="0074302C">
            <w:pPr>
              <w:pStyle w:val="ListParagraph"/>
              <w:numPr>
                <w:ilvl w:val="1"/>
                <w:numId w:val="5"/>
              </w:numPr>
              <w:spacing w:after="40"/>
            </w:pPr>
            <w:r w:rsidRPr="0042750D">
              <w:rPr>
                <w:szCs w:val="22"/>
              </w:rPr>
              <w:t>Recommendation</w:t>
            </w:r>
            <w:r w:rsidRPr="0042750D">
              <w:t xml:space="preserve"> ITU-T Y.4556 “Requirements and functional architecture of smart residential community”;</w:t>
            </w:r>
          </w:p>
          <w:p w14:paraId="5311A9C7" w14:textId="24556A81" w:rsidR="00913D11" w:rsidRPr="0042750D" w:rsidRDefault="00913D11" w:rsidP="0074302C">
            <w:pPr>
              <w:pStyle w:val="ListParagraph"/>
              <w:numPr>
                <w:ilvl w:val="1"/>
                <w:numId w:val="5"/>
              </w:numPr>
              <w:spacing w:after="40"/>
              <w:rPr>
                <w:szCs w:val="22"/>
              </w:rPr>
            </w:pPr>
            <w:r w:rsidRPr="0042750D">
              <w:rPr>
                <w:szCs w:val="22"/>
              </w:rPr>
              <w:t>Recommendation ITU-T Y.4457 "Architectural framework for transportation safety services";</w:t>
            </w:r>
          </w:p>
          <w:p w14:paraId="4F34B243" w14:textId="7BE39BA5" w:rsidR="00913D11" w:rsidRPr="0042750D" w:rsidRDefault="00913D11" w:rsidP="0074302C">
            <w:pPr>
              <w:pStyle w:val="ListParagraph"/>
              <w:numPr>
                <w:ilvl w:val="1"/>
                <w:numId w:val="5"/>
              </w:numPr>
              <w:spacing w:after="40"/>
              <w:rPr>
                <w:szCs w:val="22"/>
              </w:rPr>
            </w:pPr>
            <w:r w:rsidRPr="0042750D">
              <w:rPr>
                <w:szCs w:val="22"/>
              </w:rPr>
              <w:t>Recommendation ITU-T Y.4459 “Digital entity architecture framework for IoT interoperability”;</w:t>
            </w:r>
          </w:p>
          <w:p w14:paraId="06E1A5EC" w14:textId="65D6FF67" w:rsidR="00913D11" w:rsidRPr="0042750D" w:rsidRDefault="00913D11" w:rsidP="0074302C">
            <w:pPr>
              <w:pStyle w:val="ListParagraph"/>
              <w:numPr>
                <w:ilvl w:val="1"/>
                <w:numId w:val="5"/>
              </w:numPr>
              <w:spacing w:after="40"/>
              <w:rPr>
                <w:szCs w:val="22"/>
              </w:rPr>
            </w:pPr>
            <w:r w:rsidRPr="0042750D">
              <w:rPr>
                <w:szCs w:val="22"/>
              </w:rPr>
              <w:t>Recommendation ITU-T Y.4904 “Smart sustainable cities maturity model”; and</w:t>
            </w:r>
          </w:p>
          <w:p w14:paraId="3A2B84D1" w14:textId="0410F301" w:rsidR="00E7278A" w:rsidRPr="0042750D" w:rsidRDefault="00E7278A" w:rsidP="0074302C">
            <w:pPr>
              <w:pStyle w:val="ListParagraph"/>
              <w:numPr>
                <w:ilvl w:val="1"/>
                <w:numId w:val="5"/>
              </w:numPr>
              <w:spacing w:after="40"/>
            </w:pPr>
            <w:r w:rsidRPr="0042750D">
              <w:rPr>
                <w:szCs w:val="22"/>
              </w:rPr>
              <w:t>Recommendation ITU-T Y.4906 “Assessment Framework for digital transformation</w:t>
            </w:r>
            <w:r w:rsidRPr="0042750D">
              <w:t xml:space="preserve"> of sectors in smart cities”.</w:t>
            </w:r>
          </w:p>
          <w:p w14:paraId="4F3C8AA3" w14:textId="77777777" w:rsidR="00E7278A" w:rsidRPr="0042750D" w:rsidRDefault="00E7278A" w:rsidP="00B25B15">
            <w:pPr>
              <w:pStyle w:val="Tabletext"/>
              <w:spacing w:before="120"/>
              <w:ind w:left="284"/>
            </w:pPr>
            <w:r w:rsidRPr="0042750D">
              <w:t>SG20 has agreed the following Supplements:</w:t>
            </w:r>
          </w:p>
          <w:p w14:paraId="609F6502" w14:textId="142BF091" w:rsidR="00E7278A" w:rsidRPr="0042750D" w:rsidRDefault="00E7278A" w:rsidP="00B25B15">
            <w:pPr>
              <w:pStyle w:val="ListParagraph"/>
              <w:numPr>
                <w:ilvl w:val="1"/>
                <w:numId w:val="5"/>
              </w:numPr>
              <w:spacing w:after="40"/>
              <w:rPr>
                <w:szCs w:val="22"/>
              </w:rPr>
            </w:pPr>
            <w:r w:rsidRPr="0042750D">
              <w:rPr>
                <w:szCs w:val="22"/>
              </w:rPr>
              <w:t>Y.Sup</w:t>
            </w:r>
            <w:r w:rsidR="00913D11" w:rsidRPr="0042750D">
              <w:rPr>
                <w:szCs w:val="22"/>
              </w:rPr>
              <w:t>pl</w:t>
            </w:r>
            <w:r w:rsidRPr="0042750D">
              <w:rPr>
                <w:szCs w:val="22"/>
              </w:rPr>
              <w:t>.53 to ITU-T 4000 series “IoT Use Cases”;</w:t>
            </w:r>
          </w:p>
          <w:p w14:paraId="5DF2D6BD" w14:textId="3CED789D" w:rsidR="00E7278A" w:rsidRPr="0042750D" w:rsidRDefault="00E7278A" w:rsidP="00B25B15">
            <w:pPr>
              <w:pStyle w:val="ListParagraph"/>
              <w:numPr>
                <w:ilvl w:val="1"/>
                <w:numId w:val="5"/>
              </w:numPr>
              <w:spacing w:after="40"/>
              <w:rPr>
                <w:szCs w:val="22"/>
              </w:rPr>
            </w:pPr>
            <w:r w:rsidRPr="0042750D">
              <w:rPr>
                <w:szCs w:val="22"/>
              </w:rPr>
              <w:t>Y.Sup</w:t>
            </w:r>
            <w:r w:rsidR="00913D11" w:rsidRPr="0042750D">
              <w:rPr>
                <w:szCs w:val="22"/>
              </w:rPr>
              <w:t>pl</w:t>
            </w:r>
            <w:r w:rsidRPr="0042750D">
              <w:rPr>
                <w:szCs w:val="22"/>
              </w:rPr>
              <w:t xml:space="preserve">.52 to ITU-T 4000 series “Methodology for building digital capabilities during enterprises' digital transformation”; </w:t>
            </w:r>
          </w:p>
          <w:p w14:paraId="6506FC34" w14:textId="7D38F8CC" w:rsidR="00F0236A" w:rsidRPr="0042750D" w:rsidRDefault="00E7278A" w:rsidP="00B25B15">
            <w:pPr>
              <w:pStyle w:val="ListParagraph"/>
              <w:numPr>
                <w:ilvl w:val="1"/>
                <w:numId w:val="5"/>
              </w:numPr>
              <w:spacing w:after="40"/>
              <w:rPr>
                <w:szCs w:val="22"/>
              </w:rPr>
            </w:pPr>
            <w:r w:rsidRPr="0042750D">
              <w:rPr>
                <w:szCs w:val="22"/>
              </w:rPr>
              <w:t>Y.Suppl.54 to ITU-T Y.4000 series “Framework for Home Environment Profiles and Levels of IoT Systems”</w:t>
            </w:r>
            <w:r w:rsidR="00913D11" w:rsidRPr="0042750D">
              <w:rPr>
                <w:szCs w:val="22"/>
              </w:rPr>
              <w:t>;</w:t>
            </w:r>
          </w:p>
          <w:p w14:paraId="37490503" w14:textId="52A2A508" w:rsidR="00913D11" w:rsidRPr="0042750D" w:rsidRDefault="00913D11" w:rsidP="00B25B15">
            <w:pPr>
              <w:pStyle w:val="ListParagraph"/>
              <w:numPr>
                <w:ilvl w:val="1"/>
                <w:numId w:val="5"/>
              </w:numPr>
              <w:spacing w:after="40"/>
              <w:rPr>
                <w:szCs w:val="22"/>
              </w:rPr>
            </w:pPr>
            <w:r w:rsidRPr="0042750D">
              <w:rPr>
                <w:szCs w:val="22"/>
              </w:rPr>
              <w:t>Y.Suppl.56 “Use cases of smart cities and communities”;</w:t>
            </w:r>
          </w:p>
          <w:p w14:paraId="3930A344" w14:textId="65CC83B5" w:rsidR="00913D11" w:rsidRPr="0042750D" w:rsidRDefault="00913D11" w:rsidP="00B25B15">
            <w:pPr>
              <w:pStyle w:val="ListParagraph"/>
              <w:numPr>
                <w:ilvl w:val="1"/>
                <w:numId w:val="5"/>
              </w:numPr>
              <w:spacing w:after="40"/>
              <w:rPr>
                <w:szCs w:val="22"/>
              </w:rPr>
            </w:pPr>
            <w:r w:rsidRPr="0042750D">
              <w:rPr>
                <w:szCs w:val="22"/>
              </w:rPr>
              <w:t>Y.Suppl.57 to ITU-T Y.4409 “Implementation Guidelines to Recommendation ITU-T Y.4409”; and</w:t>
            </w:r>
          </w:p>
          <w:p w14:paraId="61CF4A74" w14:textId="1A152246" w:rsidR="00913D11" w:rsidRPr="0042750D" w:rsidRDefault="00913D11" w:rsidP="00B25B15">
            <w:pPr>
              <w:pStyle w:val="ListParagraph"/>
              <w:numPr>
                <w:ilvl w:val="1"/>
                <w:numId w:val="5"/>
              </w:numPr>
              <w:spacing w:after="40"/>
              <w:rPr>
                <w:szCs w:val="22"/>
              </w:rPr>
            </w:pPr>
            <w:r w:rsidRPr="0042750D">
              <w:rPr>
                <w:szCs w:val="22"/>
              </w:rPr>
              <w:t>Y.Suppl.58 “Internet of Things and smart cities and communities standards roadmap”.</w:t>
            </w:r>
          </w:p>
          <w:p w14:paraId="0B10FC44" w14:textId="77777777" w:rsidR="005F4B42" w:rsidRPr="0042750D" w:rsidRDefault="005F4B42" w:rsidP="00B25B15">
            <w:pPr>
              <w:pStyle w:val="ListParagraph"/>
              <w:numPr>
                <w:ilvl w:val="0"/>
                <w:numId w:val="5"/>
              </w:numPr>
              <w:spacing w:after="40"/>
              <w:ind w:left="357" w:hanging="357"/>
              <w:contextualSpacing w:val="0"/>
            </w:pPr>
            <w:r w:rsidRPr="0042750D">
              <w:t>SG11 approved new Recommendation ITU-T Q.3055 “Signalling protocol for Heterogeneous IoT gateways”.</w:t>
            </w:r>
          </w:p>
          <w:p w14:paraId="53F963C4" w14:textId="7B5D15DC" w:rsidR="00D87A5C" w:rsidRPr="0042750D" w:rsidRDefault="00D87A5C" w:rsidP="00D87A5C">
            <w:pPr>
              <w:pStyle w:val="ListParagraph"/>
              <w:numPr>
                <w:ilvl w:val="0"/>
                <w:numId w:val="5"/>
              </w:numPr>
              <w:spacing w:after="40"/>
              <w:contextualSpacing w:val="0"/>
            </w:pPr>
            <w:r w:rsidRPr="0042750D">
              <w:t xml:space="preserve">SG17 developed </w:t>
            </w:r>
            <w:r w:rsidR="0074302C" w:rsidRPr="0042750D">
              <w:t xml:space="preserve">the </w:t>
            </w:r>
            <w:r w:rsidRPr="0042750D">
              <w:t>following Recommendations on IoT security:</w:t>
            </w:r>
          </w:p>
          <w:p w14:paraId="217C8B30" w14:textId="47C22AF2" w:rsidR="00D87A5C" w:rsidRPr="0042750D" w:rsidRDefault="00D87A5C" w:rsidP="0074302C">
            <w:pPr>
              <w:pStyle w:val="ListParagraph"/>
              <w:numPr>
                <w:ilvl w:val="1"/>
                <w:numId w:val="5"/>
              </w:numPr>
              <w:spacing w:before="40" w:after="40"/>
              <w:ind w:left="1293" w:hanging="573"/>
            </w:pPr>
            <w:r w:rsidRPr="0042750D">
              <w:t>ITU-T X.1361 “Security framework for Internet of things”</w:t>
            </w:r>
            <w:r w:rsidR="00DC7A3F" w:rsidRPr="0042750D">
              <w:t>;</w:t>
            </w:r>
          </w:p>
          <w:p w14:paraId="15F5CD29" w14:textId="5F9FDA46" w:rsidR="00D87A5C" w:rsidRPr="0042750D" w:rsidRDefault="00D87A5C" w:rsidP="0074302C">
            <w:pPr>
              <w:pStyle w:val="ListParagraph"/>
              <w:numPr>
                <w:ilvl w:val="1"/>
                <w:numId w:val="5"/>
              </w:numPr>
              <w:spacing w:before="40" w:after="40"/>
              <w:ind w:left="1293" w:hanging="573"/>
            </w:pPr>
            <w:r w:rsidRPr="0042750D">
              <w:t>ITU-T X.1362 “</w:t>
            </w:r>
            <w:r w:rsidRPr="0042750D">
              <w:rPr>
                <w:sz w:val="20"/>
              </w:rPr>
              <w:t>Simple encryption procedure for Internet of things (IoT) environments</w:t>
            </w:r>
            <w:r w:rsidRPr="0042750D">
              <w:t>”</w:t>
            </w:r>
            <w:r w:rsidR="00DC7A3F" w:rsidRPr="0042750D">
              <w:t>;</w:t>
            </w:r>
          </w:p>
          <w:p w14:paraId="3AB4FC8E" w14:textId="74695CEC" w:rsidR="00D87A5C" w:rsidRPr="0042750D" w:rsidRDefault="00D87A5C" w:rsidP="0074302C">
            <w:pPr>
              <w:pStyle w:val="ListParagraph"/>
              <w:numPr>
                <w:ilvl w:val="1"/>
                <w:numId w:val="5"/>
              </w:numPr>
              <w:spacing w:before="40" w:after="40"/>
              <w:ind w:left="1293" w:hanging="573"/>
            </w:pPr>
            <w:r w:rsidRPr="0042750D">
              <w:t>ITU-T X.1364 “Security requirements and framework for narrow band Internet of Things”</w:t>
            </w:r>
            <w:r w:rsidR="00DC7A3F" w:rsidRPr="0042750D">
              <w:t>;</w:t>
            </w:r>
          </w:p>
          <w:p w14:paraId="08F80D8D" w14:textId="18EAD6F3" w:rsidR="00D87A5C" w:rsidRPr="0042750D" w:rsidRDefault="00D87A5C" w:rsidP="0074302C">
            <w:pPr>
              <w:pStyle w:val="ListParagraph"/>
              <w:numPr>
                <w:ilvl w:val="1"/>
                <w:numId w:val="5"/>
              </w:numPr>
              <w:spacing w:before="40" w:after="40"/>
              <w:ind w:left="1293" w:hanging="573"/>
            </w:pPr>
            <w:r w:rsidRPr="0042750D">
              <w:t>ITU-T X.1365 “Security framework for use of identity-based cryptography in support of IoT services over telecom networks”</w:t>
            </w:r>
            <w:r w:rsidR="00DC7A3F" w:rsidRPr="0042750D">
              <w:t>.</w:t>
            </w:r>
          </w:p>
        </w:tc>
      </w:tr>
      <w:tr w:rsidR="00F0236A" w:rsidRPr="0042750D" w14:paraId="2E4C2B4D" w14:textId="77777777" w:rsidTr="00FC67A1">
        <w:trPr>
          <w:jc w:val="center"/>
        </w:trPr>
        <w:tc>
          <w:tcPr>
            <w:tcW w:w="1131" w:type="dxa"/>
            <w:vMerge w:val="restart"/>
            <w:tcBorders>
              <w:top w:val="single" w:sz="12" w:space="0" w:color="auto"/>
            </w:tcBorders>
            <w:shd w:val="clear" w:color="auto" w:fill="auto"/>
          </w:tcPr>
          <w:p w14:paraId="5D58A5C6" w14:textId="44F6005B" w:rsidR="00F0236A" w:rsidRPr="0042750D" w:rsidRDefault="00B55068" w:rsidP="00027F2D">
            <w:pPr>
              <w:pStyle w:val="Tabletext"/>
              <w:rPr>
                <w:b/>
                <w:bCs/>
                <w:sz w:val="24"/>
                <w:szCs w:val="24"/>
              </w:rPr>
            </w:pPr>
            <w:r w:rsidRPr="0042750D">
              <w:rPr>
                <w:b/>
                <w:bCs/>
                <w:sz w:val="24"/>
                <w:szCs w:val="24"/>
              </w:rPr>
              <w:t>197-03</w:t>
            </w:r>
          </w:p>
        </w:tc>
        <w:tc>
          <w:tcPr>
            <w:tcW w:w="4984" w:type="dxa"/>
            <w:tcBorders>
              <w:top w:val="single" w:sz="12" w:space="0" w:color="auto"/>
              <w:bottom w:val="single" w:sz="4" w:space="0" w:color="auto"/>
            </w:tcBorders>
            <w:shd w:val="clear" w:color="auto" w:fill="auto"/>
          </w:tcPr>
          <w:p w14:paraId="2CDC7B31" w14:textId="333BEC08" w:rsidR="00F0236A" w:rsidRPr="0042750D" w:rsidRDefault="00377377" w:rsidP="00377377">
            <w:pPr>
              <w:pStyle w:val="Tabletext"/>
              <w:keepNext/>
              <w:keepLines/>
              <w:rPr>
                <w:b/>
                <w:bCs/>
                <w:sz w:val="24"/>
                <w:szCs w:val="24"/>
              </w:rPr>
            </w:pPr>
            <w:r w:rsidRPr="0042750D">
              <w:rPr>
                <w:b/>
                <w:bCs/>
                <w:sz w:val="24"/>
                <w:szCs w:val="24"/>
              </w:rPr>
              <w:t>SecGen, in consultation and collaboration with the Directors of the three Bureaux, to coordinate the IoT and SSCC activities of the Union to implement the resolution</w:t>
            </w:r>
            <w:r w:rsidR="001A1F2A" w:rsidRPr="0042750D">
              <w:rPr>
                <w:b/>
                <w:sz w:val="24"/>
                <w:szCs w:val="24"/>
              </w:rPr>
              <w:t xml:space="preserve"> (</w:t>
            </w:r>
            <w:r w:rsidRPr="0042750D">
              <w:rPr>
                <w:b/>
                <w:i/>
                <w:sz w:val="24"/>
                <w:szCs w:val="24"/>
              </w:rPr>
              <w:t>instructs SecGen</w:t>
            </w:r>
            <w:r w:rsidR="001A1F2A" w:rsidRPr="0042750D">
              <w:rPr>
                <w:b/>
                <w:i/>
                <w:sz w:val="24"/>
                <w:szCs w:val="24"/>
              </w:rPr>
              <w:t xml:space="preserve"> </w:t>
            </w:r>
            <w:r w:rsidRPr="0042750D">
              <w:rPr>
                <w:b/>
                <w:i/>
                <w:sz w:val="24"/>
                <w:szCs w:val="24"/>
              </w:rPr>
              <w:t>1</w:t>
            </w:r>
            <w:r w:rsidR="001A1F2A" w:rsidRPr="0042750D">
              <w:rPr>
                <w:b/>
                <w:sz w:val="24"/>
                <w:szCs w:val="24"/>
              </w:rPr>
              <w:t>)</w:t>
            </w:r>
            <w:r w:rsidR="00FC67A1"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216ECD9C" w14:textId="77777777" w:rsidR="00F0236A" w:rsidRPr="0042750D" w:rsidRDefault="00F0236A" w:rsidP="0048177F">
            <w:pPr>
              <w:pStyle w:val="Tabletext"/>
              <w:jc w:val="center"/>
              <w:rPr>
                <w:b/>
                <w:bCs/>
                <w:sz w:val="24"/>
                <w:szCs w:val="24"/>
              </w:rPr>
            </w:pPr>
            <w:r w:rsidRPr="0042750D">
              <w:rPr>
                <w:b/>
                <w:bCs/>
                <w:sz w:val="24"/>
                <w:szCs w:val="24"/>
              </w:rPr>
              <w:t>Ongoing</w:t>
            </w:r>
          </w:p>
        </w:tc>
        <w:tc>
          <w:tcPr>
            <w:tcW w:w="1143" w:type="dxa"/>
            <w:tcBorders>
              <w:top w:val="single" w:sz="12" w:space="0" w:color="auto"/>
              <w:bottom w:val="single" w:sz="4" w:space="0" w:color="auto"/>
            </w:tcBorders>
            <w:shd w:val="clear" w:color="auto" w:fill="auto"/>
            <w:vAlign w:val="center"/>
          </w:tcPr>
          <w:p w14:paraId="32D2A61A" w14:textId="77777777" w:rsidR="00F0236A" w:rsidRPr="0042750D" w:rsidRDefault="00F0236A" w:rsidP="0048177F">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563AF169" w14:textId="77777777" w:rsidR="00F0236A" w:rsidRPr="0042750D" w:rsidRDefault="00F0236A" w:rsidP="0048177F">
            <w:pPr>
              <w:pStyle w:val="Tabletext"/>
              <w:jc w:val="center"/>
              <w:rPr>
                <w:b/>
                <w:bCs/>
                <w:sz w:val="24"/>
                <w:szCs w:val="24"/>
              </w:rPr>
            </w:pPr>
          </w:p>
        </w:tc>
      </w:tr>
      <w:tr w:rsidR="00F0236A" w:rsidRPr="0042750D" w14:paraId="4CC99107" w14:textId="77777777" w:rsidTr="00B41DE6">
        <w:trPr>
          <w:jc w:val="center"/>
        </w:trPr>
        <w:tc>
          <w:tcPr>
            <w:tcW w:w="1131" w:type="dxa"/>
            <w:vMerge/>
            <w:tcBorders>
              <w:bottom w:val="single" w:sz="12" w:space="0" w:color="auto"/>
            </w:tcBorders>
            <w:shd w:val="clear" w:color="auto" w:fill="auto"/>
          </w:tcPr>
          <w:p w14:paraId="3B2600DD" w14:textId="77777777" w:rsidR="00F0236A" w:rsidRPr="0042750D"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BFBFA99" w14:textId="77777777" w:rsidR="00F0236A" w:rsidRPr="0042750D" w:rsidRDefault="00F0236A" w:rsidP="0048177F">
            <w:pPr>
              <w:pStyle w:val="Tabletext"/>
              <w:rPr>
                <w:szCs w:val="22"/>
              </w:rPr>
            </w:pPr>
          </w:p>
        </w:tc>
      </w:tr>
      <w:tr w:rsidR="00F0236A" w:rsidRPr="0042750D" w14:paraId="677F02B2" w14:textId="77777777" w:rsidTr="00FC67A1">
        <w:trPr>
          <w:jc w:val="center"/>
        </w:trPr>
        <w:tc>
          <w:tcPr>
            <w:tcW w:w="1131" w:type="dxa"/>
            <w:vMerge w:val="restart"/>
            <w:tcBorders>
              <w:top w:val="single" w:sz="12" w:space="0" w:color="auto"/>
            </w:tcBorders>
            <w:shd w:val="clear" w:color="auto" w:fill="auto"/>
          </w:tcPr>
          <w:p w14:paraId="6BCDA463" w14:textId="0F0D2430" w:rsidR="00F0236A" w:rsidRPr="0042750D" w:rsidRDefault="00B55068" w:rsidP="00515FDC">
            <w:pPr>
              <w:pStyle w:val="Tabletext"/>
              <w:rPr>
                <w:b/>
                <w:bCs/>
                <w:sz w:val="24"/>
                <w:szCs w:val="24"/>
              </w:rPr>
            </w:pPr>
            <w:r w:rsidRPr="0042750D">
              <w:rPr>
                <w:b/>
                <w:bCs/>
                <w:sz w:val="24"/>
                <w:szCs w:val="24"/>
              </w:rPr>
              <w:t>197-04</w:t>
            </w:r>
          </w:p>
        </w:tc>
        <w:tc>
          <w:tcPr>
            <w:tcW w:w="4984" w:type="dxa"/>
            <w:tcBorders>
              <w:top w:val="single" w:sz="12" w:space="0" w:color="auto"/>
              <w:bottom w:val="single" w:sz="4" w:space="0" w:color="auto"/>
            </w:tcBorders>
            <w:shd w:val="clear" w:color="auto" w:fill="auto"/>
          </w:tcPr>
          <w:p w14:paraId="4B286AEB" w14:textId="5910AD32" w:rsidR="00F0236A" w:rsidRPr="0042750D" w:rsidRDefault="00377377" w:rsidP="00E22256">
            <w:pPr>
              <w:pStyle w:val="Tabletext"/>
              <w:rPr>
                <w:b/>
                <w:bCs/>
                <w:sz w:val="24"/>
                <w:szCs w:val="24"/>
              </w:rPr>
            </w:pPr>
            <w:r w:rsidRPr="0042750D">
              <w:rPr>
                <w:b/>
                <w:bCs/>
                <w:sz w:val="24"/>
                <w:szCs w:val="24"/>
              </w:rPr>
              <w:t>SecGen, in consultation and collaboration with the Directors of the three Bureaux,</w:t>
            </w:r>
            <w:r w:rsidR="001A1F2A" w:rsidRPr="0042750D">
              <w:rPr>
                <w:b/>
                <w:sz w:val="24"/>
                <w:szCs w:val="24"/>
              </w:rPr>
              <w:t xml:space="preserve"> </w:t>
            </w:r>
            <w:r w:rsidRPr="0042750D">
              <w:rPr>
                <w:b/>
                <w:sz w:val="24"/>
                <w:szCs w:val="24"/>
              </w:rPr>
              <w:t xml:space="preserve">to facilitate the exchange of experiences and information with all relevant organizations and entities involved in IoT and SSCCs, with the aim of creating opportunities for cooperative efforts to support the deployment of IoT </w:t>
            </w:r>
            <w:r w:rsidR="001A1F2A" w:rsidRPr="0042750D">
              <w:rPr>
                <w:b/>
                <w:sz w:val="24"/>
                <w:szCs w:val="24"/>
              </w:rPr>
              <w:t>(</w:t>
            </w:r>
            <w:r w:rsidRPr="0042750D">
              <w:rPr>
                <w:b/>
                <w:i/>
                <w:sz w:val="24"/>
                <w:szCs w:val="24"/>
              </w:rPr>
              <w:t>instructs SecGen 2</w:t>
            </w:r>
            <w:r w:rsidR="001A1F2A" w:rsidRPr="0042750D">
              <w:rPr>
                <w:b/>
                <w:sz w:val="24"/>
                <w:szCs w:val="24"/>
              </w:rPr>
              <w:t>)</w:t>
            </w:r>
            <w:r w:rsidR="00FC67A1"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689A8413" w14:textId="05D78ECA" w:rsidR="00F0236A" w:rsidRPr="0042750D" w:rsidRDefault="00D50A4E" w:rsidP="00E22256">
            <w:pPr>
              <w:pStyle w:val="Tabletext"/>
              <w:jc w:val="center"/>
              <w:rPr>
                <w:b/>
                <w:bCs/>
                <w:sz w:val="24"/>
                <w:szCs w:val="24"/>
              </w:rPr>
            </w:pPr>
            <w:r w:rsidRPr="0042750D">
              <w:rPr>
                <w:b/>
                <w:bCs/>
                <w:sz w:val="24"/>
                <w:szCs w:val="24"/>
              </w:rPr>
              <w:t>Ongoing</w:t>
            </w:r>
          </w:p>
        </w:tc>
        <w:tc>
          <w:tcPr>
            <w:tcW w:w="1143" w:type="dxa"/>
            <w:tcBorders>
              <w:top w:val="single" w:sz="12" w:space="0" w:color="auto"/>
              <w:bottom w:val="single" w:sz="4" w:space="0" w:color="auto"/>
            </w:tcBorders>
            <w:shd w:val="clear" w:color="auto" w:fill="auto"/>
            <w:vAlign w:val="center"/>
          </w:tcPr>
          <w:p w14:paraId="0AC9AA6B" w14:textId="5781C5FE" w:rsidR="00F0236A" w:rsidRPr="0042750D" w:rsidRDefault="00F0236A" w:rsidP="00E22256">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759B725B" w14:textId="77777777" w:rsidR="00F0236A" w:rsidRPr="0042750D" w:rsidRDefault="00F0236A" w:rsidP="00E22256">
            <w:pPr>
              <w:pStyle w:val="Tabletext"/>
              <w:jc w:val="center"/>
              <w:rPr>
                <w:b/>
                <w:bCs/>
                <w:sz w:val="24"/>
                <w:szCs w:val="24"/>
              </w:rPr>
            </w:pPr>
          </w:p>
        </w:tc>
      </w:tr>
      <w:tr w:rsidR="00F0236A" w:rsidRPr="0042750D" w14:paraId="3BC27D1A" w14:textId="77777777" w:rsidTr="00B41DE6">
        <w:trPr>
          <w:jc w:val="center"/>
        </w:trPr>
        <w:tc>
          <w:tcPr>
            <w:tcW w:w="1131" w:type="dxa"/>
            <w:vMerge/>
            <w:tcBorders>
              <w:bottom w:val="single" w:sz="12" w:space="0" w:color="auto"/>
            </w:tcBorders>
            <w:shd w:val="clear" w:color="auto" w:fill="auto"/>
          </w:tcPr>
          <w:p w14:paraId="0E974766" w14:textId="77777777" w:rsidR="00F0236A" w:rsidRPr="0042750D" w:rsidRDefault="00F0236A" w:rsidP="00E22256">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9ADAA3" w14:textId="59CBB145" w:rsidR="00F0236A" w:rsidRPr="0042750D" w:rsidRDefault="00F0236A" w:rsidP="00E22256">
            <w:pPr>
              <w:pStyle w:val="Tabletext"/>
              <w:rPr>
                <w:szCs w:val="22"/>
              </w:rPr>
            </w:pPr>
          </w:p>
        </w:tc>
      </w:tr>
      <w:tr w:rsidR="00F0236A" w:rsidRPr="0042750D" w14:paraId="06D2C2F5" w14:textId="77777777" w:rsidTr="00FC67A1">
        <w:trPr>
          <w:jc w:val="center"/>
        </w:trPr>
        <w:tc>
          <w:tcPr>
            <w:tcW w:w="1131" w:type="dxa"/>
            <w:vMerge w:val="restart"/>
            <w:tcBorders>
              <w:top w:val="single" w:sz="12" w:space="0" w:color="auto"/>
            </w:tcBorders>
            <w:shd w:val="clear" w:color="auto" w:fill="auto"/>
          </w:tcPr>
          <w:p w14:paraId="2F4618C7" w14:textId="07FA0E47" w:rsidR="00F0236A" w:rsidRPr="0042750D" w:rsidRDefault="00B55068" w:rsidP="00E22256">
            <w:pPr>
              <w:pStyle w:val="Tabletext"/>
              <w:keepNext/>
              <w:keepLines/>
              <w:rPr>
                <w:b/>
                <w:bCs/>
                <w:sz w:val="24"/>
                <w:szCs w:val="24"/>
              </w:rPr>
            </w:pPr>
            <w:r w:rsidRPr="0042750D">
              <w:rPr>
                <w:b/>
                <w:bCs/>
                <w:sz w:val="24"/>
                <w:szCs w:val="24"/>
              </w:rPr>
              <w:t>197-05</w:t>
            </w:r>
          </w:p>
        </w:tc>
        <w:tc>
          <w:tcPr>
            <w:tcW w:w="4984" w:type="dxa"/>
            <w:tcBorders>
              <w:top w:val="single" w:sz="12" w:space="0" w:color="auto"/>
              <w:bottom w:val="single" w:sz="4" w:space="0" w:color="auto"/>
            </w:tcBorders>
            <w:shd w:val="clear" w:color="auto" w:fill="auto"/>
          </w:tcPr>
          <w:p w14:paraId="2F3144F7" w14:textId="2B57D75F" w:rsidR="00F0236A" w:rsidRPr="0042750D" w:rsidRDefault="00377377" w:rsidP="00E22256">
            <w:pPr>
              <w:pStyle w:val="Tabletext"/>
              <w:keepNext/>
              <w:keepLines/>
              <w:rPr>
                <w:b/>
                <w:bCs/>
                <w:sz w:val="24"/>
                <w:szCs w:val="24"/>
              </w:rPr>
            </w:pPr>
            <w:r w:rsidRPr="0042750D">
              <w:rPr>
                <w:b/>
                <w:bCs/>
                <w:sz w:val="24"/>
                <w:szCs w:val="24"/>
              </w:rPr>
              <w:t>SecGen, in consultation and collaboration with the Directors of the three Bureaux,</w:t>
            </w:r>
            <w:r w:rsidRPr="0042750D">
              <w:rPr>
                <w:b/>
                <w:sz w:val="24"/>
                <w:szCs w:val="24"/>
              </w:rPr>
              <w:t xml:space="preserve"> to raise awareness among ITU members of the opportunities and challenges for developing countries in the adoption of IoT, and to facilitate the exchange of experiences and information and increase cooperation with all relevant organizations and entities involved in IoT and SSCCs, with the aim of creating opportunities</w:t>
            </w:r>
            <w:r w:rsidR="001A1F2A" w:rsidRPr="0042750D">
              <w:rPr>
                <w:b/>
                <w:sz w:val="24"/>
                <w:szCs w:val="24"/>
              </w:rPr>
              <w:t xml:space="preserve"> (</w:t>
            </w:r>
            <w:r w:rsidRPr="0042750D">
              <w:rPr>
                <w:b/>
                <w:i/>
                <w:sz w:val="24"/>
                <w:szCs w:val="24"/>
              </w:rPr>
              <w:t>instructs SecGen 3</w:t>
            </w:r>
            <w:r w:rsidR="001A1F2A" w:rsidRPr="0042750D">
              <w:rPr>
                <w:b/>
                <w:sz w:val="24"/>
                <w:szCs w:val="24"/>
              </w:rPr>
              <w:t>)</w:t>
            </w:r>
            <w:r w:rsidR="00FC67A1"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102F73D4" w14:textId="77777777" w:rsidR="00F0236A" w:rsidRPr="0042750D" w:rsidRDefault="00F0236A" w:rsidP="0048177F">
            <w:pPr>
              <w:pStyle w:val="Tabletext"/>
              <w:jc w:val="center"/>
              <w:rPr>
                <w:b/>
                <w:bCs/>
                <w:sz w:val="24"/>
                <w:szCs w:val="24"/>
              </w:rPr>
            </w:pPr>
            <w:r w:rsidRPr="0042750D">
              <w:rPr>
                <w:b/>
                <w:bCs/>
                <w:sz w:val="24"/>
                <w:szCs w:val="24"/>
              </w:rPr>
              <w:t>Ongoing</w:t>
            </w:r>
          </w:p>
        </w:tc>
        <w:tc>
          <w:tcPr>
            <w:tcW w:w="1143" w:type="dxa"/>
            <w:tcBorders>
              <w:top w:val="single" w:sz="12" w:space="0" w:color="auto"/>
              <w:bottom w:val="single" w:sz="4" w:space="0" w:color="auto"/>
            </w:tcBorders>
            <w:shd w:val="clear" w:color="auto" w:fill="auto"/>
            <w:vAlign w:val="center"/>
          </w:tcPr>
          <w:p w14:paraId="077B330F" w14:textId="57083936" w:rsidR="00F0236A" w:rsidRPr="0042750D" w:rsidRDefault="00F0236A" w:rsidP="0048177F">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1C626BEA" w14:textId="77777777" w:rsidR="00F0236A" w:rsidRPr="0042750D" w:rsidRDefault="00F0236A" w:rsidP="0048177F">
            <w:pPr>
              <w:pStyle w:val="Tabletext"/>
              <w:jc w:val="center"/>
              <w:rPr>
                <w:b/>
                <w:bCs/>
                <w:sz w:val="24"/>
                <w:szCs w:val="24"/>
              </w:rPr>
            </w:pPr>
          </w:p>
        </w:tc>
      </w:tr>
      <w:tr w:rsidR="00F0236A" w:rsidRPr="0042750D" w14:paraId="006AE230" w14:textId="77777777" w:rsidTr="00B41DE6">
        <w:trPr>
          <w:jc w:val="center"/>
        </w:trPr>
        <w:tc>
          <w:tcPr>
            <w:tcW w:w="1131" w:type="dxa"/>
            <w:vMerge/>
            <w:tcBorders>
              <w:bottom w:val="single" w:sz="12" w:space="0" w:color="auto"/>
            </w:tcBorders>
            <w:shd w:val="clear" w:color="auto" w:fill="auto"/>
          </w:tcPr>
          <w:p w14:paraId="5E8DE766" w14:textId="77777777" w:rsidR="00F0236A" w:rsidRPr="0042750D"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4F32F51" w14:textId="0C8FDA43" w:rsidR="00F0236A" w:rsidRPr="0042750D" w:rsidRDefault="00F0236A" w:rsidP="0048177F">
            <w:pPr>
              <w:pStyle w:val="Tabletext"/>
              <w:rPr>
                <w:szCs w:val="22"/>
              </w:rPr>
            </w:pPr>
          </w:p>
        </w:tc>
      </w:tr>
      <w:tr w:rsidR="00F0236A" w:rsidRPr="0042750D" w14:paraId="195E8BF8" w14:textId="77777777" w:rsidTr="00FC67A1">
        <w:trPr>
          <w:jc w:val="center"/>
        </w:trPr>
        <w:tc>
          <w:tcPr>
            <w:tcW w:w="1131" w:type="dxa"/>
            <w:vMerge w:val="restart"/>
            <w:tcBorders>
              <w:top w:val="single" w:sz="12" w:space="0" w:color="auto"/>
            </w:tcBorders>
            <w:shd w:val="clear" w:color="auto" w:fill="auto"/>
          </w:tcPr>
          <w:p w14:paraId="1F7401EA" w14:textId="2C866F39" w:rsidR="00F0236A" w:rsidRPr="0042750D" w:rsidRDefault="00B55068" w:rsidP="00D87264">
            <w:pPr>
              <w:pStyle w:val="Tabletext"/>
              <w:keepNext/>
              <w:keepLines/>
              <w:rPr>
                <w:b/>
                <w:bCs/>
                <w:sz w:val="24"/>
                <w:szCs w:val="24"/>
              </w:rPr>
            </w:pPr>
            <w:r w:rsidRPr="0042750D">
              <w:rPr>
                <w:b/>
                <w:bCs/>
                <w:sz w:val="24"/>
                <w:szCs w:val="24"/>
              </w:rPr>
              <w:t>197-06</w:t>
            </w:r>
          </w:p>
        </w:tc>
        <w:tc>
          <w:tcPr>
            <w:tcW w:w="4984" w:type="dxa"/>
            <w:tcBorders>
              <w:top w:val="single" w:sz="12" w:space="0" w:color="auto"/>
              <w:bottom w:val="single" w:sz="4" w:space="0" w:color="auto"/>
            </w:tcBorders>
            <w:shd w:val="clear" w:color="auto" w:fill="auto"/>
          </w:tcPr>
          <w:p w14:paraId="407A2382" w14:textId="79445762" w:rsidR="00F0236A" w:rsidRPr="0042750D" w:rsidRDefault="00377377" w:rsidP="00D87264">
            <w:pPr>
              <w:pStyle w:val="Tabletext"/>
              <w:keepNext/>
              <w:keepLines/>
              <w:rPr>
                <w:b/>
                <w:bCs/>
                <w:sz w:val="24"/>
                <w:szCs w:val="24"/>
              </w:rPr>
            </w:pPr>
            <w:r w:rsidRPr="0042750D">
              <w:rPr>
                <w:b/>
                <w:bCs/>
                <w:sz w:val="24"/>
                <w:szCs w:val="24"/>
              </w:rPr>
              <w:t>SecGen, in consultation and collaboration with the Directors of the three Bureaux,</w:t>
            </w:r>
            <w:r w:rsidRPr="0042750D">
              <w:rPr>
                <w:b/>
                <w:sz w:val="24"/>
                <w:szCs w:val="24"/>
              </w:rPr>
              <w:t xml:space="preserve"> to submit an annual report on the results of implementation of this resolution to the ITU Council sessions</w:t>
            </w:r>
            <w:r w:rsidR="001A1F2A" w:rsidRPr="0042750D">
              <w:rPr>
                <w:b/>
                <w:sz w:val="24"/>
                <w:szCs w:val="24"/>
              </w:rPr>
              <w:t xml:space="preserve"> (</w:t>
            </w:r>
            <w:r w:rsidRPr="0042750D">
              <w:rPr>
                <w:b/>
                <w:i/>
                <w:sz w:val="24"/>
                <w:szCs w:val="24"/>
              </w:rPr>
              <w:t>instructs SecGen 4</w:t>
            </w:r>
            <w:r w:rsidR="001A1F2A" w:rsidRPr="0042750D">
              <w:rPr>
                <w:b/>
                <w:sz w:val="24"/>
                <w:szCs w:val="24"/>
              </w:rPr>
              <w:t>)</w:t>
            </w:r>
            <w:r w:rsidR="00FC67A1"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28B10BBB" w14:textId="77777777" w:rsidR="00F0236A" w:rsidRPr="0042750D" w:rsidRDefault="00F0236A" w:rsidP="00D87264">
            <w:pPr>
              <w:pStyle w:val="Tabletext"/>
              <w:keepNext/>
              <w:keepLines/>
              <w:jc w:val="center"/>
              <w:rPr>
                <w:b/>
                <w:bCs/>
                <w:sz w:val="24"/>
                <w:szCs w:val="24"/>
              </w:rPr>
            </w:pPr>
            <w:r w:rsidRPr="0042750D">
              <w:rPr>
                <w:b/>
                <w:bCs/>
                <w:sz w:val="24"/>
                <w:szCs w:val="24"/>
              </w:rPr>
              <w:t>Ongoing</w:t>
            </w:r>
          </w:p>
        </w:tc>
        <w:tc>
          <w:tcPr>
            <w:tcW w:w="1143" w:type="dxa"/>
            <w:tcBorders>
              <w:top w:val="single" w:sz="12" w:space="0" w:color="auto"/>
              <w:bottom w:val="single" w:sz="4" w:space="0" w:color="auto"/>
            </w:tcBorders>
            <w:shd w:val="clear" w:color="auto" w:fill="auto"/>
            <w:vAlign w:val="center"/>
          </w:tcPr>
          <w:p w14:paraId="2B1BCA78" w14:textId="6CE809F5" w:rsidR="00F0236A" w:rsidRPr="0042750D" w:rsidRDefault="00D519A8" w:rsidP="00D87264">
            <w:pPr>
              <w:pStyle w:val="Tabletext"/>
              <w:keepNext/>
              <w:keepLines/>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643326A6" w14:textId="77777777" w:rsidR="00F0236A" w:rsidRPr="0042750D" w:rsidRDefault="00F0236A" w:rsidP="00D87264">
            <w:pPr>
              <w:pStyle w:val="Tabletext"/>
              <w:keepNext/>
              <w:keepLines/>
              <w:jc w:val="center"/>
              <w:rPr>
                <w:b/>
                <w:bCs/>
                <w:sz w:val="24"/>
                <w:szCs w:val="24"/>
              </w:rPr>
            </w:pPr>
          </w:p>
        </w:tc>
      </w:tr>
      <w:tr w:rsidR="00F0236A" w:rsidRPr="0042750D" w14:paraId="4A15C6AA" w14:textId="77777777" w:rsidTr="00B41DE6">
        <w:trPr>
          <w:jc w:val="center"/>
        </w:trPr>
        <w:tc>
          <w:tcPr>
            <w:tcW w:w="1131" w:type="dxa"/>
            <w:vMerge/>
            <w:shd w:val="clear" w:color="auto" w:fill="auto"/>
            <w:vAlign w:val="center"/>
          </w:tcPr>
          <w:p w14:paraId="5B2C5E84" w14:textId="77777777" w:rsidR="00F0236A" w:rsidRPr="0042750D" w:rsidRDefault="00F0236A" w:rsidP="00D87264">
            <w:pPr>
              <w:pStyle w:val="Tabletext"/>
              <w:keepNext/>
              <w:keepLines/>
              <w:rPr>
                <w:sz w:val="24"/>
                <w:szCs w:val="24"/>
              </w:rPr>
            </w:pPr>
          </w:p>
        </w:tc>
        <w:tc>
          <w:tcPr>
            <w:tcW w:w="8801" w:type="dxa"/>
            <w:gridSpan w:val="4"/>
            <w:tcBorders>
              <w:top w:val="single" w:sz="4" w:space="0" w:color="auto"/>
            </w:tcBorders>
            <w:shd w:val="clear" w:color="auto" w:fill="auto"/>
          </w:tcPr>
          <w:p w14:paraId="5032DB59" w14:textId="45FF2512" w:rsidR="00F0236A" w:rsidRPr="0042750D" w:rsidRDefault="00D519A8" w:rsidP="00D87264">
            <w:pPr>
              <w:pStyle w:val="Tabletext"/>
              <w:keepNext/>
              <w:keepLines/>
              <w:rPr>
                <w:szCs w:val="22"/>
              </w:rPr>
            </w:pPr>
            <w:r w:rsidRPr="0042750D">
              <w:rPr>
                <w:szCs w:val="22"/>
              </w:rPr>
              <w:t xml:space="preserve">See </w:t>
            </w:r>
            <w:hyperlink r:id="rId115" w:history="1">
              <w:r w:rsidRPr="0042750D">
                <w:rPr>
                  <w:rStyle w:val="Hyperlink"/>
                  <w:szCs w:val="22"/>
                </w:rPr>
                <w:t>C19/35</w:t>
              </w:r>
            </w:hyperlink>
            <w:r w:rsidRPr="0042750D">
              <w:rPr>
                <w:szCs w:val="22"/>
              </w:rPr>
              <w:t xml:space="preserve"> Annex 1.</w:t>
            </w:r>
          </w:p>
        </w:tc>
      </w:tr>
      <w:tr w:rsidR="00FC67A1" w:rsidRPr="0042750D" w14:paraId="78F62674" w14:textId="77777777" w:rsidTr="00FC67A1">
        <w:trPr>
          <w:jc w:val="center"/>
        </w:trPr>
        <w:tc>
          <w:tcPr>
            <w:tcW w:w="1131" w:type="dxa"/>
            <w:vMerge w:val="restart"/>
            <w:tcBorders>
              <w:top w:val="single" w:sz="12" w:space="0" w:color="auto"/>
            </w:tcBorders>
            <w:shd w:val="clear" w:color="auto" w:fill="auto"/>
          </w:tcPr>
          <w:p w14:paraId="544DAC5F" w14:textId="62FFE36A" w:rsidR="00FC67A1" w:rsidRPr="0042750D" w:rsidRDefault="00FC67A1" w:rsidP="00042B85">
            <w:pPr>
              <w:pStyle w:val="Tabletext"/>
              <w:rPr>
                <w:b/>
                <w:bCs/>
                <w:sz w:val="24"/>
                <w:szCs w:val="24"/>
              </w:rPr>
            </w:pPr>
            <w:bookmarkStart w:id="349" w:name="Item86_01"/>
            <w:bookmarkStart w:id="350" w:name="Item86_02"/>
            <w:bookmarkStart w:id="351" w:name="Item86_03"/>
            <w:bookmarkStart w:id="352" w:name="Item86_04"/>
            <w:bookmarkStart w:id="353" w:name="Item86_05"/>
            <w:bookmarkStart w:id="354" w:name="Item86_06"/>
            <w:bookmarkEnd w:id="349"/>
            <w:bookmarkEnd w:id="350"/>
            <w:bookmarkEnd w:id="351"/>
            <w:bookmarkEnd w:id="352"/>
            <w:bookmarkEnd w:id="353"/>
            <w:bookmarkEnd w:id="354"/>
            <w:r w:rsidRPr="0042750D">
              <w:rPr>
                <w:b/>
                <w:bCs/>
                <w:sz w:val="24"/>
                <w:szCs w:val="24"/>
              </w:rPr>
              <w:t>197-07</w:t>
            </w:r>
          </w:p>
        </w:tc>
        <w:tc>
          <w:tcPr>
            <w:tcW w:w="4984" w:type="dxa"/>
            <w:tcBorders>
              <w:top w:val="single" w:sz="12" w:space="0" w:color="auto"/>
              <w:bottom w:val="single" w:sz="4" w:space="0" w:color="auto"/>
            </w:tcBorders>
            <w:shd w:val="clear" w:color="auto" w:fill="auto"/>
          </w:tcPr>
          <w:p w14:paraId="5A3DE98D" w14:textId="7B777F49" w:rsidR="00FC67A1" w:rsidRPr="0042750D" w:rsidRDefault="00377377" w:rsidP="00042B85">
            <w:pPr>
              <w:pStyle w:val="Tabletext"/>
              <w:rPr>
                <w:b/>
                <w:bCs/>
                <w:sz w:val="24"/>
                <w:szCs w:val="24"/>
              </w:rPr>
            </w:pPr>
            <w:r w:rsidRPr="0042750D">
              <w:rPr>
                <w:b/>
                <w:bCs/>
                <w:sz w:val="24"/>
                <w:szCs w:val="24"/>
              </w:rPr>
              <w:t>SecGen, in consultation and collaboration with the Directors of the three Bureaux,</w:t>
            </w:r>
            <w:r w:rsidRPr="0042750D">
              <w:rPr>
                <w:b/>
                <w:sz w:val="24"/>
                <w:szCs w:val="24"/>
              </w:rPr>
              <w:t xml:space="preserve"> to submit a report to the next plenipotentiary conference in 2022</w:t>
            </w:r>
            <w:r w:rsidR="001A1F2A" w:rsidRPr="0042750D">
              <w:rPr>
                <w:b/>
                <w:sz w:val="24"/>
                <w:szCs w:val="24"/>
              </w:rPr>
              <w:t xml:space="preserve"> (</w:t>
            </w:r>
            <w:r w:rsidRPr="0042750D">
              <w:rPr>
                <w:b/>
                <w:i/>
                <w:sz w:val="24"/>
                <w:szCs w:val="24"/>
              </w:rPr>
              <w:t>instructs SecGen 5</w:t>
            </w:r>
            <w:r w:rsidR="001A1F2A" w:rsidRPr="0042750D">
              <w:rPr>
                <w:b/>
                <w:sz w:val="24"/>
                <w:szCs w:val="24"/>
              </w:rPr>
              <w:t>)</w:t>
            </w:r>
            <w:r w:rsidR="00FC67A1"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1435A3F6" w14:textId="033E13EC" w:rsidR="00FC67A1" w:rsidRPr="0042750D" w:rsidRDefault="00377377" w:rsidP="00042B85">
            <w:pPr>
              <w:pStyle w:val="Tabletext"/>
              <w:jc w:val="center"/>
              <w:rPr>
                <w:b/>
                <w:bCs/>
                <w:sz w:val="24"/>
                <w:szCs w:val="24"/>
              </w:rPr>
            </w:pPr>
            <w:r w:rsidRPr="0042750D">
              <w:rPr>
                <w:b/>
                <w:bCs/>
                <w:sz w:val="24"/>
                <w:szCs w:val="24"/>
              </w:rPr>
              <w:t>PP-22</w:t>
            </w:r>
          </w:p>
        </w:tc>
        <w:tc>
          <w:tcPr>
            <w:tcW w:w="1143" w:type="dxa"/>
            <w:tcBorders>
              <w:top w:val="single" w:sz="12" w:space="0" w:color="auto"/>
              <w:bottom w:val="single" w:sz="4" w:space="0" w:color="auto"/>
            </w:tcBorders>
            <w:shd w:val="clear" w:color="auto" w:fill="auto"/>
            <w:vAlign w:val="center"/>
          </w:tcPr>
          <w:p w14:paraId="68DFD0C2" w14:textId="3D57D08A" w:rsidR="00FC67A1" w:rsidRPr="0042750D" w:rsidRDefault="00FC67A1" w:rsidP="00042B85">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D588BC0" w14:textId="77777777" w:rsidR="00FC67A1" w:rsidRPr="0042750D" w:rsidRDefault="00FC67A1" w:rsidP="00042B85">
            <w:pPr>
              <w:pStyle w:val="Tabletext"/>
              <w:jc w:val="center"/>
              <w:rPr>
                <w:b/>
                <w:bCs/>
                <w:sz w:val="24"/>
                <w:szCs w:val="24"/>
              </w:rPr>
            </w:pPr>
          </w:p>
        </w:tc>
      </w:tr>
      <w:tr w:rsidR="00FC67A1" w:rsidRPr="0042750D" w14:paraId="1FA691B6" w14:textId="77777777" w:rsidTr="00042B85">
        <w:trPr>
          <w:jc w:val="center"/>
        </w:trPr>
        <w:tc>
          <w:tcPr>
            <w:tcW w:w="1131" w:type="dxa"/>
            <w:vMerge/>
            <w:shd w:val="clear" w:color="auto" w:fill="auto"/>
            <w:vAlign w:val="center"/>
          </w:tcPr>
          <w:p w14:paraId="162E2AF3" w14:textId="77777777" w:rsidR="00FC67A1" w:rsidRPr="0042750D" w:rsidRDefault="00FC67A1" w:rsidP="00042B85">
            <w:pPr>
              <w:pStyle w:val="Tabletext"/>
              <w:rPr>
                <w:sz w:val="24"/>
                <w:szCs w:val="24"/>
              </w:rPr>
            </w:pPr>
          </w:p>
        </w:tc>
        <w:tc>
          <w:tcPr>
            <w:tcW w:w="8801" w:type="dxa"/>
            <w:gridSpan w:val="4"/>
            <w:tcBorders>
              <w:top w:val="single" w:sz="4" w:space="0" w:color="auto"/>
            </w:tcBorders>
            <w:shd w:val="clear" w:color="auto" w:fill="auto"/>
          </w:tcPr>
          <w:p w14:paraId="04327B08" w14:textId="7885F46E" w:rsidR="00FC67A1" w:rsidRPr="0042750D" w:rsidRDefault="00FC67A1" w:rsidP="00042B85">
            <w:pPr>
              <w:pStyle w:val="Tabletext"/>
              <w:rPr>
                <w:szCs w:val="22"/>
              </w:rPr>
            </w:pPr>
          </w:p>
        </w:tc>
      </w:tr>
      <w:tr w:rsidR="00D50A4E" w:rsidRPr="0042750D" w14:paraId="7095B8FA" w14:textId="77777777" w:rsidTr="00D50A4E">
        <w:trPr>
          <w:jc w:val="center"/>
        </w:trPr>
        <w:tc>
          <w:tcPr>
            <w:tcW w:w="1131" w:type="dxa"/>
            <w:vMerge w:val="restart"/>
            <w:tcBorders>
              <w:top w:val="single" w:sz="12" w:space="0" w:color="auto"/>
            </w:tcBorders>
            <w:shd w:val="clear" w:color="auto" w:fill="auto"/>
          </w:tcPr>
          <w:p w14:paraId="6BB9675E" w14:textId="64037022" w:rsidR="00D50A4E" w:rsidRPr="0042750D" w:rsidRDefault="00D50A4E" w:rsidP="00D50A4E">
            <w:pPr>
              <w:pStyle w:val="Tabletext"/>
              <w:rPr>
                <w:b/>
                <w:bCs/>
                <w:sz w:val="24"/>
                <w:szCs w:val="24"/>
              </w:rPr>
            </w:pPr>
            <w:r w:rsidRPr="0042750D">
              <w:rPr>
                <w:b/>
                <w:bCs/>
                <w:sz w:val="24"/>
                <w:szCs w:val="24"/>
              </w:rPr>
              <w:t>197-08</w:t>
            </w:r>
          </w:p>
        </w:tc>
        <w:tc>
          <w:tcPr>
            <w:tcW w:w="4984" w:type="dxa"/>
            <w:tcBorders>
              <w:top w:val="single" w:sz="12" w:space="0" w:color="auto"/>
              <w:bottom w:val="single" w:sz="4" w:space="0" w:color="auto"/>
            </w:tcBorders>
            <w:shd w:val="clear" w:color="auto" w:fill="auto"/>
          </w:tcPr>
          <w:p w14:paraId="42BF75BD" w14:textId="3AEBE2E2" w:rsidR="00D50A4E" w:rsidRPr="0042750D" w:rsidRDefault="00EE55DD" w:rsidP="000B3F8B">
            <w:pPr>
              <w:pStyle w:val="Tabletext"/>
              <w:rPr>
                <w:b/>
                <w:bCs/>
                <w:sz w:val="24"/>
                <w:szCs w:val="24"/>
              </w:rPr>
            </w:pPr>
            <w:r w:rsidRPr="0042750D">
              <w:rPr>
                <w:b/>
                <w:bCs/>
                <w:sz w:val="24"/>
                <w:szCs w:val="24"/>
              </w:rPr>
              <w:t xml:space="preserve">TSBDir to support the work of relevant ITU-T study groups on IoT and SSCCs and to facilitate the emergence of diverse services in the globally connected world, in collaboration with relevant sectors </w:t>
            </w:r>
            <w:r w:rsidR="001A1F2A" w:rsidRPr="0042750D">
              <w:rPr>
                <w:b/>
                <w:sz w:val="24"/>
                <w:szCs w:val="24"/>
              </w:rPr>
              <w:t>(</w:t>
            </w:r>
            <w:r w:rsidR="001A1F2A" w:rsidRPr="0042750D">
              <w:rPr>
                <w:b/>
                <w:i/>
                <w:sz w:val="24"/>
                <w:szCs w:val="24"/>
              </w:rPr>
              <w:t xml:space="preserve">instructs </w:t>
            </w:r>
            <w:r w:rsidR="00956DEF" w:rsidRPr="0042750D">
              <w:rPr>
                <w:b/>
                <w:i/>
                <w:sz w:val="24"/>
                <w:szCs w:val="24"/>
              </w:rPr>
              <w:t>1</w:t>
            </w:r>
            <w:r w:rsidR="001A1F2A" w:rsidRPr="0042750D">
              <w:rPr>
                <w:b/>
                <w:sz w:val="24"/>
                <w:szCs w:val="24"/>
              </w:rPr>
              <w:t>)</w:t>
            </w:r>
            <w:r w:rsidR="00D50A4E"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46149F6A" w14:textId="70C22966" w:rsidR="00D50A4E" w:rsidRPr="0042750D" w:rsidRDefault="00956DEF" w:rsidP="00D50A4E">
            <w:pPr>
              <w:pStyle w:val="Tabletext"/>
              <w:jc w:val="center"/>
              <w:rPr>
                <w:b/>
                <w:bCs/>
                <w:sz w:val="24"/>
                <w:szCs w:val="24"/>
              </w:rPr>
            </w:pPr>
            <w:r w:rsidRPr="0042750D">
              <w:rPr>
                <w:b/>
                <w:bCs/>
                <w:sz w:val="24"/>
                <w:szCs w:val="24"/>
              </w:rPr>
              <w:t>Ongoing</w:t>
            </w:r>
          </w:p>
        </w:tc>
        <w:tc>
          <w:tcPr>
            <w:tcW w:w="1143" w:type="dxa"/>
            <w:tcBorders>
              <w:top w:val="single" w:sz="12" w:space="0" w:color="auto"/>
              <w:bottom w:val="single" w:sz="4" w:space="0" w:color="auto"/>
            </w:tcBorders>
            <w:shd w:val="clear" w:color="auto" w:fill="auto"/>
            <w:vAlign w:val="center"/>
          </w:tcPr>
          <w:p w14:paraId="2034717D" w14:textId="6716275A" w:rsidR="00D50A4E" w:rsidRPr="0042750D" w:rsidRDefault="00B25B15"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16F282EF" w14:textId="77777777" w:rsidR="00D50A4E" w:rsidRPr="0042750D" w:rsidRDefault="00D50A4E" w:rsidP="00D50A4E">
            <w:pPr>
              <w:pStyle w:val="Tabletext"/>
              <w:jc w:val="center"/>
              <w:rPr>
                <w:b/>
                <w:bCs/>
                <w:sz w:val="24"/>
                <w:szCs w:val="24"/>
              </w:rPr>
            </w:pPr>
          </w:p>
        </w:tc>
      </w:tr>
      <w:tr w:rsidR="00D50A4E" w:rsidRPr="0042750D" w14:paraId="1115BC95" w14:textId="77777777" w:rsidTr="00D50A4E">
        <w:trPr>
          <w:jc w:val="center"/>
        </w:trPr>
        <w:tc>
          <w:tcPr>
            <w:tcW w:w="1131" w:type="dxa"/>
            <w:vMerge/>
            <w:shd w:val="clear" w:color="auto" w:fill="auto"/>
            <w:vAlign w:val="center"/>
          </w:tcPr>
          <w:p w14:paraId="3AE64AD4" w14:textId="77777777" w:rsidR="00D50A4E" w:rsidRPr="0042750D" w:rsidRDefault="00D50A4E" w:rsidP="00D50A4E">
            <w:pPr>
              <w:pStyle w:val="Tabletext"/>
              <w:rPr>
                <w:sz w:val="24"/>
                <w:szCs w:val="24"/>
              </w:rPr>
            </w:pPr>
          </w:p>
        </w:tc>
        <w:tc>
          <w:tcPr>
            <w:tcW w:w="8801" w:type="dxa"/>
            <w:gridSpan w:val="4"/>
            <w:tcBorders>
              <w:top w:val="single" w:sz="4" w:space="0" w:color="auto"/>
            </w:tcBorders>
            <w:shd w:val="clear" w:color="auto" w:fill="auto"/>
          </w:tcPr>
          <w:p w14:paraId="2FD1722C" w14:textId="30C18E1E" w:rsidR="00D50A4E" w:rsidRPr="0042750D" w:rsidRDefault="00913D11" w:rsidP="00D50A4E">
            <w:pPr>
              <w:pStyle w:val="Tabletext"/>
              <w:rPr>
                <w:szCs w:val="22"/>
              </w:rPr>
            </w:pPr>
            <w:r w:rsidRPr="0042750D">
              <w:rPr>
                <w:szCs w:val="22"/>
              </w:rPr>
              <w:t>See</w:t>
            </w:r>
            <w:r w:rsidR="001C5ADF" w:rsidRPr="0042750D">
              <w:rPr>
                <w:szCs w:val="22"/>
              </w:rPr>
              <w:t xml:space="preserve"> 197-02</w:t>
            </w:r>
            <w:r w:rsidR="00B25B15" w:rsidRPr="0042750D">
              <w:rPr>
                <w:szCs w:val="22"/>
              </w:rPr>
              <w:t>.</w:t>
            </w:r>
          </w:p>
        </w:tc>
      </w:tr>
      <w:tr w:rsidR="00D50A4E" w:rsidRPr="0042750D" w14:paraId="201CFC3F" w14:textId="77777777" w:rsidTr="00D50A4E">
        <w:trPr>
          <w:jc w:val="center"/>
        </w:trPr>
        <w:tc>
          <w:tcPr>
            <w:tcW w:w="1131" w:type="dxa"/>
            <w:vMerge w:val="restart"/>
            <w:tcBorders>
              <w:top w:val="single" w:sz="12" w:space="0" w:color="auto"/>
            </w:tcBorders>
            <w:shd w:val="clear" w:color="auto" w:fill="auto"/>
          </w:tcPr>
          <w:p w14:paraId="3EC7F815" w14:textId="0EC55CA2" w:rsidR="00D50A4E" w:rsidRPr="0042750D" w:rsidRDefault="00D50A4E" w:rsidP="00515FDC">
            <w:pPr>
              <w:pStyle w:val="Tabletext"/>
              <w:rPr>
                <w:b/>
                <w:bCs/>
                <w:sz w:val="24"/>
                <w:szCs w:val="24"/>
              </w:rPr>
            </w:pPr>
            <w:r w:rsidRPr="0042750D">
              <w:rPr>
                <w:b/>
                <w:bCs/>
                <w:sz w:val="24"/>
                <w:szCs w:val="24"/>
              </w:rPr>
              <w:t>197-09</w:t>
            </w:r>
          </w:p>
        </w:tc>
        <w:tc>
          <w:tcPr>
            <w:tcW w:w="4984" w:type="dxa"/>
            <w:tcBorders>
              <w:top w:val="single" w:sz="12" w:space="0" w:color="auto"/>
              <w:bottom w:val="single" w:sz="4" w:space="0" w:color="auto"/>
            </w:tcBorders>
            <w:shd w:val="clear" w:color="auto" w:fill="auto"/>
          </w:tcPr>
          <w:p w14:paraId="18851047" w14:textId="4A1B8404" w:rsidR="00D50A4E" w:rsidRPr="0042750D" w:rsidRDefault="00EE55DD" w:rsidP="00EE55DD">
            <w:pPr>
              <w:pStyle w:val="Tabletext"/>
              <w:keepNext/>
              <w:keepLines/>
              <w:rPr>
                <w:b/>
                <w:bCs/>
                <w:sz w:val="24"/>
                <w:szCs w:val="24"/>
              </w:rPr>
            </w:pPr>
            <w:r w:rsidRPr="0042750D">
              <w:rPr>
                <w:b/>
                <w:bCs/>
                <w:sz w:val="24"/>
                <w:szCs w:val="24"/>
              </w:rPr>
              <w:t xml:space="preserve">TSBDir 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 </w:t>
            </w:r>
            <w:r w:rsidR="001A1F2A" w:rsidRPr="0042750D">
              <w:rPr>
                <w:b/>
                <w:sz w:val="24"/>
                <w:szCs w:val="24"/>
              </w:rPr>
              <w:t>(</w:t>
            </w:r>
            <w:r w:rsidR="001A1F2A" w:rsidRPr="0042750D">
              <w:rPr>
                <w:b/>
                <w:i/>
                <w:sz w:val="24"/>
                <w:szCs w:val="24"/>
              </w:rPr>
              <w:t xml:space="preserve">instructs </w:t>
            </w:r>
            <w:r w:rsidRPr="0042750D">
              <w:rPr>
                <w:b/>
                <w:i/>
                <w:sz w:val="24"/>
                <w:szCs w:val="24"/>
              </w:rPr>
              <w:t>2</w:t>
            </w:r>
            <w:r w:rsidR="001A1F2A" w:rsidRPr="0042750D">
              <w:rPr>
                <w:b/>
                <w:sz w:val="24"/>
                <w:szCs w:val="24"/>
              </w:rPr>
              <w:t>)</w:t>
            </w:r>
            <w:r w:rsidR="00D50A4E"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43CE34AE" w14:textId="37C0193D" w:rsidR="00D50A4E" w:rsidRPr="0042750D" w:rsidRDefault="00D50A4E" w:rsidP="00D50A4E">
            <w:pPr>
              <w:pStyle w:val="Tabletext"/>
              <w:jc w:val="center"/>
              <w:rPr>
                <w:b/>
                <w:bCs/>
                <w:sz w:val="24"/>
                <w:szCs w:val="24"/>
              </w:rPr>
            </w:pPr>
            <w:r w:rsidRPr="0042750D">
              <w:rPr>
                <w:b/>
                <w:bCs/>
                <w:sz w:val="24"/>
                <w:szCs w:val="24"/>
              </w:rPr>
              <w:t>Ongoing</w:t>
            </w:r>
          </w:p>
        </w:tc>
        <w:tc>
          <w:tcPr>
            <w:tcW w:w="1143" w:type="dxa"/>
            <w:tcBorders>
              <w:top w:val="single" w:sz="12" w:space="0" w:color="auto"/>
              <w:bottom w:val="single" w:sz="4" w:space="0" w:color="auto"/>
            </w:tcBorders>
            <w:shd w:val="clear" w:color="auto" w:fill="auto"/>
            <w:vAlign w:val="center"/>
          </w:tcPr>
          <w:p w14:paraId="58C7DC96" w14:textId="077564AD" w:rsidR="00D50A4E" w:rsidRPr="0042750D" w:rsidRDefault="00D87264"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06665D7B" w14:textId="77777777" w:rsidR="00D50A4E" w:rsidRPr="0042750D" w:rsidRDefault="00D50A4E" w:rsidP="00D50A4E">
            <w:pPr>
              <w:pStyle w:val="Tabletext"/>
              <w:jc w:val="center"/>
              <w:rPr>
                <w:b/>
                <w:bCs/>
                <w:sz w:val="24"/>
                <w:szCs w:val="24"/>
              </w:rPr>
            </w:pPr>
          </w:p>
        </w:tc>
      </w:tr>
      <w:tr w:rsidR="00D50A4E" w:rsidRPr="0042750D" w14:paraId="3D3849A2" w14:textId="77777777" w:rsidTr="00D50A4E">
        <w:trPr>
          <w:jc w:val="center"/>
        </w:trPr>
        <w:tc>
          <w:tcPr>
            <w:tcW w:w="1131" w:type="dxa"/>
            <w:vMerge/>
            <w:shd w:val="clear" w:color="auto" w:fill="auto"/>
            <w:vAlign w:val="center"/>
          </w:tcPr>
          <w:p w14:paraId="1305B815" w14:textId="77777777" w:rsidR="00D50A4E" w:rsidRPr="0042750D" w:rsidRDefault="00D50A4E" w:rsidP="00D50A4E">
            <w:pPr>
              <w:pStyle w:val="Tabletext"/>
              <w:rPr>
                <w:sz w:val="24"/>
                <w:szCs w:val="24"/>
              </w:rPr>
            </w:pPr>
          </w:p>
        </w:tc>
        <w:tc>
          <w:tcPr>
            <w:tcW w:w="8801" w:type="dxa"/>
            <w:gridSpan w:val="4"/>
            <w:tcBorders>
              <w:top w:val="single" w:sz="4" w:space="0" w:color="auto"/>
            </w:tcBorders>
            <w:shd w:val="clear" w:color="auto" w:fill="auto"/>
          </w:tcPr>
          <w:p w14:paraId="05737E09" w14:textId="735F84B2" w:rsidR="00D87264" w:rsidRPr="0042750D" w:rsidRDefault="00D87264" w:rsidP="00E85903">
            <w:pPr>
              <w:spacing w:before="40" w:after="40"/>
              <w:rPr>
                <w:lang w:eastAsia="ko-KR"/>
              </w:rPr>
            </w:pPr>
            <w:r w:rsidRPr="0042750D">
              <w:rPr>
                <w:lang w:eastAsia="ko-KR"/>
              </w:rPr>
              <w:t xml:space="preserve">The scope of the </w:t>
            </w:r>
            <w:hyperlink r:id="rId116" w:history="1">
              <w:r w:rsidRPr="0042750D">
                <w:rPr>
                  <w:rStyle w:val="Hyperlink"/>
                  <w:lang w:eastAsia="ko-KR"/>
                </w:rPr>
                <w:t>ITU-T JCA-IoT and SC&amp;C</w:t>
              </w:r>
            </w:hyperlink>
            <w:r w:rsidRPr="0042750D">
              <w:rPr>
                <w:lang w:eastAsia="ko-KR"/>
              </w:rPr>
              <w:t xml:space="preserve"> is to coordinate the ITU-T work on the “Internet of Things and Smart Cities and Communities” and provide a visible contact point for IoT and its applications including smart cities and communities (SC&amp;C) activities within ITU-T. This would also help to coordinate with external bodies working in the field of IoT and SC&amp;C and enable effective two</w:t>
            </w:r>
            <w:r w:rsidRPr="0042750D">
              <w:rPr>
                <w:lang w:eastAsia="ko-KR"/>
              </w:rPr>
              <w:noBreakHyphen/>
              <w:t>way communication with these bodies. External bodies include representatives from relevant SDOs such as IEC, ISO or relevant academia, consortia or fora.</w:t>
            </w:r>
          </w:p>
          <w:p w14:paraId="3AB6C81B" w14:textId="58EB88E5" w:rsidR="00D87264" w:rsidRPr="0042750D" w:rsidRDefault="00D87264" w:rsidP="00D87264">
            <w:pPr>
              <w:rPr>
                <w:lang w:eastAsia="ko-KR"/>
              </w:rPr>
            </w:pPr>
            <w:r w:rsidRPr="0042750D">
              <w:rPr>
                <w:lang w:eastAsia="ko-KR"/>
              </w:rPr>
              <w:t xml:space="preserve">The JCA-IoT and SC&amp;C maintains an IoT and SC&amp;C standards roadmap which documents complete as well as ongoing work on IoT and SC&amp;C carried out by ITU-T as well as by other SDOs and Forums. The IoT and SC&amp;C standards roadmap is available </w:t>
            </w:r>
            <w:hyperlink r:id="rId117" w:anchor="?topic=0.78&amp;workgroup=1&amp;searchValue=&amp;page=1&amp;sort=Revelance" w:history="1">
              <w:r w:rsidRPr="0042750D">
                <w:rPr>
                  <w:rStyle w:val="Hyperlink"/>
                  <w:lang w:eastAsia="ko-KR"/>
                </w:rPr>
                <w:t>online</w:t>
              </w:r>
            </w:hyperlink>
            <w:r w:rsidRPr="0042750D">
              <w:rPr>
                <w:lang w:eastAsia="ko-KR"/>
              </w:rPr>
              <w:t>.</w:t>
            </w:r>
          </w:p>
          <w:p w14:paraId="11278D6D" w14:textId="77777777" w:rsidR="00D87264" w:rsidRPr="0042750D" w:rsidRDefault="00D87264" w:rsidP="00D87264">
            <w:pPr>
              <w:rPr>
                <w:lang w:eastAsia="ko-KR"/>
              </w:rPr>
            </w:pPr>
            <w:r w:rsidRPr="0042750D">
              <w:rPr>
                <w:lang w:eastAsia="ko-KR"/>
              </w:rPr>
              <w:t>Since December 2018, the JCA IoT and SC&amp;C has held the following meetings:</w:t>
            </w:r>
          </w:p>
          <w:p w14:paraId="35694B5E" w14:textId="77777777" w:rsidR="00D87264" w:rsidRPr="0042750D" w:rsidRDefault="00D87264" w:rsidP="00766974">
            <w:pPr>
              <w:numPr>
                <w:ilvl w:val="0"/>
                <w:numId w:val="9"/>
              </w:numPr>
              <w:tabs>
                <w:tab w:val="left" w:pos="794"/>
                <w:tab w:val="left" w:pos="1191"/>
                <w:tab w:val="left" w:pos="1588"/>
                <w:tab w:val="left" w:pos="1985"/>
              </w:tabs>
              <w:overflowPunct w:val="0"/>
              <w:autoSpaceDE w:val="0"/>
              <w:autoSpaceDN w:val="0"/>
              <w:adjustRightInd w:val="0"/>
              <w:ind w:hanging="720"/>
              <w:contextualSpacing/>
              <w:textAlignment w:val="baseline"/>
              <w:rPr>
                <w:lang w:eastAsia="ko-KR"/>
              </w:rPr>
            </w:pPr>
            <w:r w:rsidRPr="0042750D">
              <w:rPr>
                <w:lang w:eastAsia="ko-KR"/>
              </w:rPr>
              <w:t>Twentieth meeting, Wuxi, China, 6 December 2018.</w:t>
            </w:r>
          </w:p>
          <w:p w14:paraId="237D148A" w14:textId="238A9882" w:rsidR="00D87264" w:rsidRPr="0042750D" w:rsidRDefault="00D87264" w:rsidP="00766974">
            <w:pPr>
              <w:numPr>
                <w:ilvl w:val="0"/>
                <w:numId w:val="9"/>
              </w:numPr>
              <w:tabs>
                <w:tab w:val="left" w:pos="794"/>
                <w:tab w:val="left" w:pos="1191"/>
                <w:tab w:val="left" w:pos="1588"/>
                <w:tab w:val="left" w:pos="1985"/>
              </w:tabs>
              <w:overflowPunct w:val="0"/>
              <w:autoSpaceDE w:val="0"/>
              <w:autoSpaceDN w:val="0"/>
              <w:adjustRightInd w:val="0"/>
              <w:ind w:hanging="720"/>
              <w:contextualSpacing/>
              <w:textAlignment w:val="baseline"/>
              <w:rPr>
                <w:lang w:eastAsia="ko-KR"/>
              </w:rPr>
            </w:pPr>
            <w:r w:rsidRPr="0042750D">
              <w:rPr>
                <w:lang w:eastAsia="ko-KR"/>
              </w:rPr>
              <w:t>Twenty-first meeting, Geneva, Switzerland, 10 April 2019.</w:t>
            </w:r>
          </w:p>
          <w:p w14:paraId="170977B7" w14:textId="061E14CA" w:rsidR="001C5ADF" w:rsidRPr="0042750D" w:rsidRDefault="001C5ADF" w:rsidP="00766974">
            <w:pPr>
              <w:numPr>
                <w:ilvl w:val="0"/>
                <w:numId w:val="9"/>
              </w:numPr>
              <w:tabs>
                <w:tab w:val="left" w:pos="794"/>
                <w:tab w:val="left" w:pos="1191"/>
                <w:tab w:val="left" w:pos="1588"/>
                <w:tab w:val="left" w:pos="1985"/>
              </w:tabs>
              <w:overflowPunct w:val="0"/>
              <w:autoSpaceDE w:val="0"/>
              <w:autoSpaceDN w:val="0"/>
              <w:adjustRightInd w:val="0"/>
              <w:ind w:hanging="720"/>
              <w:contextualSpacing/>
              <w:textAlignment w:val="baseline"/>
              <w:rPr>
                <w:lang w:eastAsia="ko-KR"/>
              </w:rPr>
            </w:pPr>
            <w:r w:rsidRPr="0042750D">
              <w:rPr>
                <w:lang w:eastAsia="ko-KR"/>
              </w:rPr>
              <w:t>Twenty-second meeting, Geneva, Switzerland, 28 November 2019.</w:t>
            </w:r>
          </w:p>
          <w:p w14:paraId="3ECF005F" w14:textId="3BF9C760" w:rsidR="001C5ADF" w:rsidRPr="0042750D" w:rsidRDefault="00D87264" w:rsidP="001C5ADF">
            <w:r w:rsidRPr="0042750D">
              <w:t>ITU-T SG20 is closely collaborating with ISO and IEC. An ISO-IEC-ITU Working team on Smart City Terminology. Additionally, during JCA-IoT and SC&amp;C meeting held on 10 April 2019, the Telecommunication Standardization Bureau (TSB) presented information on a Joint IEC-ISO-ITU Smart Cities Task Force, including its draft Terms of Reference. SG20 revised the proposed ToR of the Joint IEC-ISO-ITU Smart Cities Task Force (J-SCTF) and agreed to submit the final version to the TSB Director for action and to TSAG for information.</w:t>
            </w:r>
            <w:r w:rsidR="001C5ADF" w:rsidRPr="0042750D">
              <w:t xml:space="preserve"> During the 22</w:t>
            </w:r>
            <w:r w:rsidR="001C5ADF" w:rsidRPr="0042750D">
              <w:rPr>
                <w:vertAlign w:val="superscript"/>
              </w:rPr>
              <w:t>nd</w:t>
            </w:r>
            <w:r w:rsidR="001C5ADF" w:rsidRPr="0042750D">
              <w:t xml:space="preserve"> JCA-IoT SC&amp;C meeting, TSB secretariat reported on the creation of the </w:t>
            </w:r>
            <w:r w:rsidR="001C5ADF" w:rsidRPr="0042750D">
              <w:rPr>
                <w:bCs/>
              </w:rPr>
              <w:t>Joint IEC-ISO-ITU Smart Cities Task Force (J-SCTF)</w:t>
            </w:r>
            <w:r w:rsidR="001C5ADF" w:rsidRPr="0042750D">
              <w:rPr>
                <w:lang w:eastAsia="zh-CN"/>
              </w:rPr>
              <w:t xml:space="preserve">. TSB also informed that </w:t>
            </w:r>
            <w:r w:rsidR="001C5ADF" w:rsidRPr="0042750D">
              <w:rPr>
                <w:bCs/>
              </w:rPr>
              <w:t>IEC, ISO and ITU were requested to designate a leader and experts to represent each corresponding organization. In this regard, ITU-T SG20 designated a leader and a group of experts to represent ITU at this group.</w:t>
            </w:r>
          </w:p>
          <w:p w14:paraId="5EA136F7" w14:textId="77777777" w:rsidR="00D87264" w:rsidRPr="0042750D" w:rsidRDefault="00D87264" w:rsidP="00D87264">
            <w:pPr>
              <w:pStyle w:val="Tabletext"/>
              <w:keepNext/>
              <w:keepLines/>
              <w:spacing w:before="120"/>
            </w:pPr>
            <w:r w:rsidRPr="0042750D">
              <w:t>ITU-T SG20 has organized the following events:</w:t>
            </w:r>
          </w:p>
          <w:p w14:paraId="69C67CFE" w14:textId="6C5B1EEF" w:rsidR="00D87264" w:rsidRPr="0042750D" w:rsidRDefault="00D87264" w:rsidP="00D87264">
            <w:pPr>
              <w:pStyle w:val="ListParagraph"/>
              <w:keepNext/>
              <w:keepLines/>
              <w:numPr>
                <w:ilvl w:val="0"/>
                <w:numId w:val="10"/>
              </w:numPr>
              <w:spacing w:after="40"/>
              <w:contextualSpacing w:val="0"/>
              <w:rPr>
                <w:szCs w:val="22"/>
              </w:rPr>
            </w:pPr>
            <w:r w:rsidRPr="0042750D">
              <w:rPr>
                <w:szCs w:val="22"/>
              </w:rPr>
              <w:t xml:space="preserve">The </w:t>
            </w:r>
            <w:hyperlink r:id="rId118" w:tgtFrame="_blank" w:history="1">
              <w:r w:rsidRPr="0042750D">
                <w:rPr>
                  <w:rStyle w:val="Hyperlink"/>
                  <w:szCs w:val="22"/>
                </w:rPr>
                <w:t>ITU Forum on Artificial Intelligence, Internet of Things and Smart Cities</w:t>
              </w:r>
            </w:hyperlink>
            <w:r w:rsidRPr="0042750D">
              <w:rPr>
                <w:szCs w:val="22"/>
              </w:rPr>
              <w:t xml:space="preserve"> was held on 3 December 2018 in Wuxi, China. This Forum was collocated with the </w:t>
            </w:r>
            <w:hyperlink r:id="rId119" w:tgtFrame="_blank" w:history="1">
              <w:r w:rsidRPr="0042750D">
                <w:rPr>
                  <w:rStyle w:val="Hyperlink"/>
                  <w:szCs w:val="22"/>
                </w:rPr>
                <w:t>ITU-T Study Group 20</w:t>
              </w:r>
            </w:hyperlink>
            <w:r w:rsidRPr="0042750D">
              <w:rPr>
                <w:szCs w:val="22"/>
              </w:rPr>
              <w:t>: Internet of things (IoT) and smart cities and communities (SC&amp;C) meeting which took place from 3-13 December 2019 in Wuxi, China.</w:t>
            </w:r>
          </w:p>
          <w:p w14:paraId="7EB5FF40" w14:textId="7B67DE9A" w:rsidR="00D87264" w:rsidRPr="0042750D" w:rsidRDefault="00D87264" w:rsidP="00D87264">
            <w:pPr>
              <w:pStyle w:val="ListParagraph"/>
              <w:numPr>
                <w:ilvl w:val="0"/>
                <w:numId w:val="10"/>
              </w:numPr>
              <w:spacing w:after="40"/>
              <w:ind w:left="709" w:hanging="349"/>
              <w:contextualSpacing w:val="0"/>
              <w:rPr>
                <w:szCs w:val="22"/>
              </w:rPr>
            </w:pPr>
            <w:r w:rsidRPr="0042750D">
              <w:rPr>
                <w:szCs w:val="22"/>
              </w:rPr>
              <w:t xml:space="preserve">The </w:t>
            </w:r>
            <w:hyperlink r:id="rId120" w:history="1">
              <w:r w:rsidRPr="0042750D">
                <w:rPr>
                  <w:rStyle w:val="Hyperlink"/>
                  <w:szCs w:val="22"/>
                </w:rPr>
                <w:t>ITU-UN-Habitat-UNDP Forum on Smart sustainable cities: technological trends, success stories and future prospects</w:t>
              </w:r>
            </w:hyperlink>
            <w:r w:rsidRPr="0042750D">
              <w:rPr>
                <w:szCs w:val="22"/>
              </w:rPr>
              <w:t xml:space="preserve"> was held from 26-27 February 2019, Minsk, Belarus and the </w:t>
            </w:r>
            <w:hyperlink r:id="rId121" w:history="1">
              <w:r w:rsidRPr="0042750D">
                <w:rPr>
                  <w:rStyle w:val="Hyperlink"/>
                  <w:szCs w:val="22"/>
                </w:rPr>
                <w:t>ITU Training on Key performance indicators for smart sustainable cities to achieve the SDGs</w:t>
              </w:r>
            </w:hyperlink>
            <w:r w:rsidRPr="0042750D">
              <w:rPr>
                <w:szCs w:val="22"/>
              </w:rPr>
              <w:t xml:space="preserve"> on 27 February 2019, Minsk, Belarus.</w:t>
            </w:r>
          </w:p>
          <w:p w14:paraId="270E386E" w14:textId="77777777" w:rsidR="00D87264" w:rsidRPr="0042750D" w:rsidRDefault="00D87264" w:rsidP="00D87264">
            <w:pPr>
              <w:pStyle w:val="ListParagraph"/>
              <w:numPr>
                <w:ilvl w:val="0"/>
                <w:numId w:val="10"/>
              </w:numPr>
              <w:spacing w:after="40"/>
              <w:contextualSpacing w:val="0"/>
              <w:rPr>
                <w:szCs w:val="22"/>
              </w:rPr>
            </w:pPr>
            <w:r w:rsidRPr="0042750D">
              <w:rPr>
                <w:szCs w:val="22"/>
              </w:rPr>
              <w:t xml:space="preserve">TSB in collaboration with Regional Office for Europe organized a </w:t>
            </w:r>
            <w:hyperlink r:id="rId122" w:history="1">
              <w:r w:rsidRPr="0042750D">
                <w:rPr>
                  <w:rStyle w:val="Hyperlink"/>
                  <w:szCs w:val="22"/>
                </w:rPr>
                <w:t>session on Connecting Smart Sustainable Cities with the Sustainable Development Goals (ITU)</w:t>
              </w:r>
            </w:hyperlink>
            <w:r w:rsidRPr="0042750D">
              <w:rPr>
                <w:szCs w:val="22"/>
              </w:rPr>
              <w:t xml:space="preserve"> as part of the Vienna Cybersecurity Week 2019 that took place on 12 March 2019 in Vienna, Austria.</w:t>
            </w:r>
          </w:p>
          <w:p w14:paraId="6797A94D" w14:textId="77777777" w:rsidR="00D87264" w:rsidRPr="0042750D" w:rsidRDefault="00D87264" w:rsidP="00D87264">
            <w:pPr>
              <w:pStyle w:val="ListParagraph"/>
              <w:numPr>
                <w:ilvl w:val="0"/>
                <w:numId w:val="10"/>
              </w:numPr>
              <w:spacing w:after="40"/>
              <w:contextualSpacing w:val="0"/>
              <w:rPr>
                <w:szCs w:val="22"/>
              </w:rPr>
            </w:pPr>
            <w:r w:rsidRPr="0042750D">
              <w:rPr>
                <w:szCs w:val="22"/>
              </w:rPr>
              <w:t xml:space="preserve">During the WSIS 2019 Forum, ITU, UNU-EGOV, UN-habitat and U4SSC organized the </w:t>
            </w:r>
            <w:hyperlink r:id="rId123" w:history="1">
              <w:r w:rsidRPr="0042750D">
                <w:rPr>
                  <w:rStyle w:val="Hyperlink"/>
                  <w:szCs w:val="22"/>
                </w:rPr>
                <w:t>Thematic Workshop on United for Smart Sustainable Cities: Blockchain for Cities</w:t>
              </w:r>
            </w:hyperlink>
            <w:r w:rsidRPr="0042750D">
              <w:rPr>
                <w:szCs w:val="22"/>
              </w:rPr>
              <w:t>, which was held on 11 April 2019 in Geneva, Switzerland.</w:t>
            </w:r>
          </w:p>
          <w:p w14:paraId="4046EAE8" w14:textId="53F1B936" w:rsidR="00D87264" w:rsidRPr="0042750D" w:rsidRDefault="00D87264" w:rsidP="00D87264">
            <w:pPr>
              <w:pStyle w:val="ListParagraph"/>
              <w:numPr>
                <w:ilvl w:val="0"/>
                <w:numId w:val="10"/>
              </w:numPr>
              <w:spacing w:after="40"/>
              <w:contextualSpacing w:val="0"/>
              <w:rPr>
                <w:szCs w:val="22"/>
              </w:rPr>
            </w:pPr>
            <w:r w:rsidRPr="0042750D">
              <w:rPr>
                <w:szCs w:val="22"/>
              </w:rPr>
              <w:t xml:space="preserve">During the WSIS 2019 Forum, ITU and Women@thetable organized the </w:t>
            </w:r>
            <w:hyperlink r:id="rId124" w:history="1">
              <w:r w:rsidRPr="0042750D">
                <w:rPr>
                  <w:rStyle w:val="Hyperlink"/>
                  <w:szCs w:val="22"/>
                </w:rPr>
                <w:t>Thematic Workshop on En-gendering the smart city</w:t>
              </w:r>
            </w:hyperlink>
            <w:r w:rsidRPr="0042750D">
              <w:rPr>
                <w:szCs w:val="22"/>
              </w:rPr>
              <w:t>, which was held on 11 April 2019 in Geneva, Switzerland.</w:t>
            </w:r>
          </w:p>
          <w:p w14:paraId="7BAE8A63" w14:textId="77777777" w:rsidR="00D87264" w:rsidRPr="0042750D" w:rsidRDefault="00D87264" w:rsidP="00D87264">
            <w:pPr>
              <w:pStyle w:val="ListParagraph"/>
              <w:numPr>
                <w:ilvl w:val="0"/>
                <w:numId w:val="10"/>
              </w:numPr>
              <w:spacing w:after="40"/>
              <w:contextualSpacing w:val="0"/>
              <w:rPr>
                <w:szCs w:val="22"/>
              </w:rPr>
            </w:pPr>
            <w:r w:rsidRPr="0042750D">
              <w:rPr>
                <w:szCs w:val="22"/>
              </w:rPr>
              <w:t xml:space="preserve">The </w:t>
            </w:r>
            <w:hyperlink r:id="rId125" w:history="1">
              <w:r w:rsidRPr="0042750D">
                <w:rPr>
                  <w:rStyle w:val="Hyperlink"/>
                  <w:szCs w:val="22"/>
                </w:rPr>
                <w:t>IoT Week 2019</w:t>
              </w:r>
            </w:hyperlink>
            <w:r w:rsidRPr="0042750D">
              <w:rPr>
                <w:szCs w:val="22"/>
              </w:rPr>
              <w:t xml:space="preserve"> took place from 17 to 21 June 2019 in Aarhus, Denmark.</w:t>
            </w:r>
          </w:p>
          <w:p w14:paraId="5EC8B97A" w14:textId="6504E9AD" w:rsidR="00D87264" w:rsidRPr="0042750D" w:rsidRDefault="00DD025B" w:rsidP="00D87264">
            <w:pPr>
              <w:numPr>
                <w:ilvl w:val="0"/>
                <w:numId w:val="12"/>
              </w:numPr>
              <w:shd w:val="clear" w:color="auto" w:fill="FFFFFF"/>
              <w:spacing w:after="120"/>
              <w:ind w:left="714" w:hanging="357"/>
              <w:rPr>
                <w:color w:val="444444"/>
                <w:lang w:eastAsia="en-GB"/>
              </w:rPr>
            </w:pPr>
            <w:hyperlink r:id="rId126" w:history="1">
              <w:r w:rsidR="00D87264" w:rsidRPr="0042750D">
                <w:rPr>
                  <w:rStyle w:val="Hyperlink"/>
                </w:rPr>
                <w:t>1</w:t>
              </w:r>
              <w:r w:rsidR="00D87264" w:rsidRPr="0042750D">
                <w:rPr>
                  <w:rStyle w:val="Hyperlink"/>
                  <w:vertAlign w:val="superscript"/>
                </w:rPr>
                <w:t>st</w:t>
              </w:r>
              <w:r w:rsidR="00D87264" w:rsidRPr="0042750D">
                <w:rPr>
                  <w:rStyle w:val="Hyperlink"/>
                </w:rPr>
                <w:t xml:space="preserve"> Digital African Week</w:t>
              </w:r>
            </w:hyperlink>
            <w:r w:rsidR="00D87264" w:rsidRPr="0042750D">
              <w:rPr>
                <w:color w:val="444444"/>
              </w:rPr>
              <w:t xml:space="preserve"> </w:t>
            </w:r>
            <w:r w:rsidR="001C5ADF" w:rsidRPr="0042750D">
              <w:t>took</w:t>
            </w:r>
            <w:r w:rsidR="00D87264" w:rsidRPr="0042750D">
              <w:t xml:space="preserve"> place from 27 to 30 August 2019 in Abuja, Nigeria. The 1</w:t>
            </w:r>
            <w:r w:rsidR="00D87264" w:rsidRPr="0042750D">
              <w:rPr>
                <w:vertAlign w:val="superscript"/>
              </w:rPr>
              <w:t>st</w:t>
            </w:r>
            <w:r w:rsidR="00D87264" w:rsidRPr="0042750D">
              <w:t xml:space="preserve"> Digital African Weeks </w:t>
            </w:r>
            <w:r w:rsidR="001C5ADF" w:rsidRPr="0042750D">
              <w:t>was</w:t>
            </w:r>
            <w:r w:rsidR="00D87264" w:rsidRPr="0042750D">
              <w:t xml:space="preserve"> structured as follows:</w:t>
            </w:r>
          </w:p>
          <w:p w14:paraId="558067DE" w14:textId="55C39F49" w:rsidR="00D87264" w:rsidRPr="0042750D" w:rsidRDefault="00D87264" w:rsidP="00D87264">
            <w:pPr>
              <w:numPr>
                <w:ilvl w:val="2"/>
                <w:numId w:val="13"/>
              </w:numPr>
              <w:shd w:val="clear" w:color="auto" w:fill="FFFFFF"/>
              <w:spacing w:before="40" w:after="40"/>
              <w:ind w:left="1134" w:hanging="255"/>
            </w:pPr>
            <w:r w:rsidRPr="0042750D">
              <w:rPr>
                <w:rStyle w:val="Strong"/>
              </w:rPr>
              <w:t xml:space="preserve">Bridging the Standardization Gap Training on “How to draft international standards" </w:t>
            </w:r>
            <w:r w:rsidRPr="0042750D">
              <w:t>to be held on Tuesday, 27 August 2019 (morning only);</w:t>
            </w:r>
          </w:p>
          <w:p w14:paraId="3A1D94BA" w14:textId="77777777" w:rsidR="00D87264" w:rsidRPr="0042750D" w:rsidRDefault="00D87264" w:rsidP="00D87264">
            <w:pPr>
              <w:numPr>
                <w:ilvl w:val="2"/>
                <w:numId w:val="13"/>
              </w:numPr>
              <w:shd w:val="clear" w:color="auto" w:fill="FFFFFF"/>
              <w:spacing w:before="40" w:after="40"/>
              <w:ind w:left="1134" w:hanging="255"/>
            </w:pPr>
            <w:r w:rsidRPr="0042750D">
              <w:t>ITU-T Study Group 20 Regional Group for Africa (ITU-T SG20RG-AFR) meeting, 27-29 August 2019;</w:t>
            </w:r>
          </w:p>
          <w:p w14:paraId="1BDF7EB0" w14:textId="77777777" w:rsidR="00D87264" w:rsidRPr="0042750D" w:rsidRDefault="00DD025B" w:rsidP="00D87264">
            <w:pPr>
              <w:numPr>
                <w:ilvl w:val="2"/>
                <w:numId w:val="13"/>
              </w:numPr>
              <w:shd w:val="clear" w:color="auto" w:fill="FFFFFF"/>
              <w:spacing w:before="40" w:after="40"/>
              <w:ind w:left="1134" w:hanging="255"/>
              <w:rPr>
                <w:color w:val="444444"/>
              </w:rPr>
            </w:pPr>
            <w:hyperlink r:id="rId127" w:history="1">
              <w:r w:rsidR="00D87264" w:rsidRPr="0042750D">
                <w:rPr>
                  <w:rStyle w:val="Hyperlink"/>
                </w:rPr>
                <w:t>Training on "Smart Sustainable Cities, Products and Services"</w:t>
              </w:r>
            </w:hyperlink>
            <w:r w:rsidR="00D87264" w:rsidRPr="0042750D">
              <w:t xml:space="preserve"> to be held on Tuesday, 27 August 2019 (afternoon only);</w:t>
            </w:r>
          </w:p>
          <w:p w14:paraId="680BD49E" w14:textId="77777777" w:rsidR="00D87264" w:rsidRPr="0042750D" w:rsidRDefault="00DD025B" w:rsidP="00D87264">
            <w:pPr>
              <w:numPr>
                <w:ilvl w:val="2"/>
                <w:numId w:val="13"/>
              </w:numPr>
              <w:shd w:val="clear" w:color="auto" w:fill="FFFFFF"/>
              <w:spacing w:before="40" w:after="40"/>
              <w:ind w:left="1134" w:hanging="255"/>
              <w:rPr>
                <w:color w:val="444444"/>
              </w:rPr>
            </w:pPr>
            <w:hyperlink r:id="rId128" w:history="1">
              <w:r w:rsidR="00D87264" w:rsidRPr="0042750D">
                <w:rPr>
                  <w:rStyle w:val="Hyperlink"/>
                </w:rPr>
                <w:t>ITU Forum on "Smart Sustainable Africa"</w:t>
              </w:r>
            </w:hyperlink>
            <w:r w:rsidR="00D87264" w:rsidRPr="0042750D">
              <w:rPr>
                <w:rStyle w:val="Strong"/>
                <w:color w:val="444444"/>
              </w:rPr>
              <w:t> </w:t>
            </w:r>
            <w:r w:rsidR="00D87264" w:rsidRPr="0042750D">
              <w:t>to be held on Wednesday, 28 August 2019;</w:t>
            </w:r>
          </w:p>
          <w:p w14:paraId="28E89175" w14:textId="2367A282" w:rsidR="00D87264" w:rsidRPr="0042750D" w:rsidRDefault="00D87264" w:rsidP="00D87264">
            <w:pPr>
              <w:pStyle w:val="ListParagraph"/>
              <w:numPr>
                <w:ilvl w:val="0"/>
                <w:numId w:val="11"/>
              </w:numPr>
              <w:tabs>
                <w:tab w:val="left" w:pos="720"/>
                <w:tab w:val="left" w:pos="794"/>
                <w:tab w:val="left" w:pos="1191"/>
                <w:tab w:val="left" w:pos="1588"/>
                <w:tab w:val="left" w:pos="1985"/>
              </w:tabs>
              <w:overflowPunct w:val="0"/>
              <w:autoSpaceDE w:val="0"/>
              <w:autoSpaceDN w:val="0"/>
              <w:adjustRightInd w:val="0"/>
              <w:ind w:left="709" w:right="91" w:hanging="357"/>
              <w:textAlignment w:val="baseline"/>
              <w:rPr>
                <w:rStyle w:val="Hyperlink"/>
                <w:color w:val="auto"/>
                <w:szCs w:val="22"/>
              </w:rPr>
            </w:pPr>
            <w:r w:rsidRPr="0042750D">
              <w:rPr>
                <w:szCs w:val="22"/>
              </w:rPr>
              <w:t xml:space="preserve">TSB in collaboration with the African regional office, </w:t>
            </w:r>
            <w:r w:rsidR="001C5ADF" w:rsidRPr="0042750D">
              <w:rPr>
                <w:szCs w:val="22"/>
              </w:rPr>
              <w:t>organized</w:t>
            </w:r>
            <w:r w:rsidRPr="0042750D">
              <w:rPr>
                <w:szCs w:val="22"/>
              </w:rPr>
              <w:t xml:space="preserve"> a </w:t>
            </w:r>
            <w:hyperlink r:id="rId129" w:history="1">
              <w:r w:rsidRPr="0042750D">
                <w:rPr>
                  <w:rStyle w:val="Hyperlink"/>
                  <w:szCs w:val="22"/>
                </w:rPr>
                <w:t>Session on “Smart Sustainable Cities &amp; Communities",</w:t>
              </w:r>
            </w:hyperlink>
            <w:r w:rsidRPr="0042750D">
              <w:rPr>
                <w:szCs w:val="22"/>
              </w:rPr>
              <w:t xml:space="preserve"> which </w:t>
            </w:r>
            <w:r w:rsidR="001C5ADF" w:rsidRPr="0042750D">
              <w:rPr>
                <w:szCs w:val="22"/>
              </w:rPr>
              <w:t>took</w:t>
            </w:r>
            <w:r w:rsidR="0042750D" w:rsidRPr="0042750D">
              <w:rPr>
                <w:szCs w:val="22"/>
              </w:rPr>
              <w:t xml:space="preserve"> place during the </w:t>
            </w:r>
            <w:r w:rsidRPr="0042750D">
              <w:rPr>
                <w:szCs w:val="22"/>
              </w:rPr>
              <w:t>14th Global Forum o</w:t>
            </w:r>
            <w:r w:rsidR="0042750D" w:rsidRPr="0042750D">
              <w:rPr>
                <w:szCs w:val="22"/>
              </w:rPr>
              <w:t xml:space="preserve">n Human Settlements (GFHS 2019) </w:t>
            </w:r>
            <w:r w:rsidRPr="0042750D">
              <w:rPr>
                <w:szCs w:val="22"/>
              </w:rPr>
              <w:t xml:space="preserve">on 5-6 September 2019 in the United Nations Conference Center in Addis Ababa (UNCC-AA), Ethiopia. The session </w:t>
            </w:r>
            <w:r w:rsidR="001C5ADF" w:rsidRPr="0042750D">
              <w:rPr>
                <w:szCs w:val="22"/>
              </w:rPr>
              <w:t>was</w:t>
            </w:r>
            <w:r w:rsidRPr="0042750D">
              <w:rPr>
                <w:szCs w:val="22"/>
              </w:rPr>
              <w:t xml:space="preserve"> held on 5 September 2019.</w:t>
            </w:r>
          </w:p>
          <w:p w14:paraId="7D210A18" w14:textId="1CDB6261" w:rsidR="00D87264" w:rsidRPr="0042750D" w:rsidRDefault="00D87264" w:rsidP="00D87264">
            <w:pPr>
              <w:pStyle w:val="ListParagraph"/>
              <w:numPr>
                <w:ilvl w:val="0"/>
                <w:numId w:val="11"/>
              </w:numPr>
              <w:tabs>
                <w:tab w:val="left" w:pos="720"/>
                <w:tab w:val="left" w:pos="794"/>
                <w:tab w:val="left" w:pos="1191"/>
                <w:tab w:val="left" w:pos="1588"/>
                <w:tab w:val="left" w:pos="1985"/>
              </w:tabs>
              <w:overflowPunct w:val="0"/>
              <w:autoSpaceDE w:val="0"/>
              <w:autoSpaceDN w:val="0"/>
              <w:adjustRightInd w:val="0"/>
              <w:spacing w:after="40"/>
              <w:ind w:left="709" w:right="91" w:hanging="357"/>
              <w:contextualSpacing w:val="0"/>
              <w:textAlignment w:val="baseline"/>
              <w:rPr>
                <w:szCs w:val="22"/>
              </w:rPr>
            </w:pPr>
            <w:r w:rsidRPr="0042750D">
              <w:rPr>
                <w:szCs w:val="22"/>
              </w:rPr>
              <w:t xml:space="preserve">TSB together with more than 20 Organizations (including 8 UN agencies) </w:t>
            </w:r>
            <w:r w:rsidR="001C5ADF" w:rsidRPr="0042750D">
              <w:rPr>
                <w:szCs w:val="22"/>
              </w:rPr>
              <w:t>organized</w:t>
            </w:r>
            <w:r w:rsidRPr="0042750D">
              <w:rPr>
                <w:szCs w:val="22"/>
              </w:rPr>
              <w:t xml:space="preserve"> the </w:t>
            </w:r>
            <w:hyperlink r:id="rId130" w:history="1">
              <w:r w:rsidRPr="0042750D">
                <w:rPr>
                  <w:rStyle w:val="Hyperlink"/>
                  <w:szCs w:val="22"/>
                </w:rPr>
                <w:t>9</w:t>
              </w:r>
              <w:r w:rsidRPr="0042750D">
                <w:rPr>
                  <w:rStyle w:val="Hyperlink"/>
                  <w:szCs w:val="22"/>
                  <w:vertAlign w:val="superscript"/>
                </w:rPr>
                <w:t>th</w:t>
              </w:r>
              <w:r w:rsidRPr="0042750D">
                <w:rPr>
                  <w:rStyle w:val="Hyperlink"/>
                  <w:szCs w:val="22"/>
                </w:rPr>
                <w:t xml:space="preserve"> Green Standards Week</w:t>
              </w:r>
            </w:hyperlink>
            <w:r w:rsidRPr="0042750D">
              <w:rPr>
                <w:szCs w:val="22"/>
              </w:rPr>
              <w:t xml:space="preserve"> from 1 to 4 October 2019. The 9</w:t>
            </w:r>
            <w:r w:rsidRPr="0042750D">
              <w:rPr>
                <w:szCs w:val="22"/>
                <w:vertAlign w:val="superscript"/>
              </w:rPr>
              <w:t>th</w:t>
            </w:r>
            <w:r w:rsidRPr="0042750D">
              <w:rPr>
                <w:szCs w:val="22"/>
              </w:rPr>
              <w:t xml:space="preserve"> GSW </w:t>
            </w:r>
            <w:r w:rsidR="001C5ADF" w:rsidRPr="0042750D">
              <w:rPr>
                <w:szCs w:val="22"/>
              </w:rPr>
              <w:t>was</w:t>
            </w:r>
            <w:r w:rsidRPr="0042750D">
              <w:rPr>
                <w:szCs w:val="22"/>
              </w:rPr>
              <w:t xml:space="preserve"> dedicated to the theme “Connecting Smart Sustainable Cities with the Sustainable Development Goals" and </w:t>
            </w:r>
            <w:r w:rsidR="001C5ADF" w:rsidRPr="0042750D">
              <w:rPr>
                <w:szCs w:val="22"/>
              </w:rPr>
              <w:t xml:space="preserve">was </w:t>
            </w:r>
            <w:r w:rsidRPr="0042750D">
              <w:rPr>
                <w:szCs w:val="22"/>
              </w:rPr>
              <w:t xml:space="preserve">kindly hosted by the city of Valencia. The GSW </w:t>
            </w:r>
            <w:r w:rsidR="001C5ADF" w:rsidRPr="0042750D">
              <w:rPr>
                <w:szCs w:val="22"/>
              </w:rPr>
              <w:t xml:space="preserve">was </w:t>
            </w:r>
            <w:r w:rsidRPr="0042750D">
              <w:rPr>
                <w:szCs w:val="22"/>
              </w:rPr>
              <w:t>structured as follows:</w:t>
            </w:r>
          </w:p>
          <w:p w14:paraId="778D3DB1" w14:textId="77777777" w:rsidR="00D87264" w:rsidRPr="0042750D" w:rsidRDefault="00D87264" w:rsidP="00D87264">
            <w:pPr>
              <w:pStyle w:val="ListParagraph"/>
              <w:numPr>
                <w:ilvl w:val="1"/>
                <w:numId w:val="11"/>
              </w:numPr>
              <w:tabs>
                <w:tab w:val="left" w:pos="720"/>
                <w:tab w:val="left" w:pos="794"/>
                <w:tab w:val="left" w:pos="1191"/>
                <w:tab w:val="left" w:pos="1588"/>
                <w:tab w:val="left" w:pos="1985"/>
              </w:tabs>
              <w:overflowPunct w:val="0"/>
              <w:autoSpaceDE w:val="0"/>
              <w:autoSpaceDN w:val="0"/>
              <w:adjustRightInd w:val="0"/>
              <w:ind w:left="1134" w:right="91" w:hanging="283"/>
              <w:textAlignment w:val="baseline"/>
              <w:rPr>
                <w:szCs w:val="22"/>
              </w:rPr>
            </w:pPr>
            <w:r w:rsidRPr="0042750D">
              <w:rPr>
                <w:b/>
                <w:bCs/>
                <w:szCs w:val="22"/>
              </w:rPr>
              <w:t>Day 1 - Tuesday, 1 October 2019</w:t>
            </w:r>
          </w:p>
          <w:p w14:paraId="00849CA0" w14:textId="77777777" w:rsidR="00D87264" w:rsidRPr="0042750D" w:rsidRDefault="00DD025B" w:rsidP="00D87264">
            <w:pPr>
              <w:pStyle w:val="ListParagraph"/>
              <w:numPr>
                <w:ilvl w:val="2"/>
                <w:numId w:val="11"/>
              </w:numPr>
              <w:tabs>
                <w:tab w:val="left" w:pos="720"/>
                <w:tab w:val="left" w:pos="794"/>
                <w:tab w:val="left" w:pos="1191"/>
                <w:tab w:val="left" w:pos="1588"/>
                <w:tab w:val="left" w:pos="1985"/>
              </w:tabs>
              <w:overflowPunct w:val="0"/>
              <w:autoSpaceDE w:val="0"/>
              <w:autoSpaceDN w:val="0"/>
              <w:adjustRightInd w:val="0"/>
              <w:ind w:left="1560" w:right="91" w:hanging="284"/>
              <w:textAlignment w:val="baseline"/>
              <w:rPr>
                <w:szCs w:val="22"/>
              </w:rPr>
            </w:pPr>
            <w:hyperlink r:id="rId131" w:history="1">
              <w:r w:rsidR="00D87264" w:rsidRPr="0042750D">
                <w:rPr>
                  <w:rStyle w:val="Hyperlink"/>
                  <w:szCs w:val="22"/>
                </w:rPr>
                <w:t>Leadership Panel on "Connecting Smart Sustainable Cities with the Sustainable Development Goals"</w:t>
              </w:r>
            </w:hyperlink>
          </w:p>
          <w:p w14:paraId="7A795A32" w14:textId="77777777" w:rsidR="00D87264" w:rsidRPr="0042750D" w:rsidRDefault="00DD025B" w:rsidP="00D87264">
            <w:pPr>
              <w:pStyle w:val="ListParagraph"/>
              <w:numPr>
                <w:ilvl w:val="2"/>
                <w:numId w:val="11"/>
              </w:numPr>
              <w:tabs>
                <w:tab w:val="left" w:pos="720"/>
                <w:tab w:val="left" w:pos="794"/>
                <w:tab w:val="left" w:pos="1191"/>
                <w:tab w:val="left" w:pos="1588"/>
                <w:tab w:val="left" w:pos="1985"/>
              </w:tabs>
              <w:overflowPunct w:val="0"/>
              <w:autoSpaceDE w:val="0"/>
              <w:autoSpaceDN w:val="0"/>
              <w:adjustRightInd w:val="0"/>
              <w:ind w:left="1560" w:right="91" w:hanging="284"/>
              <w:textAlignment w:val="baseline"/>
              <w:rPr>
                <w:szCs w:val="22"/>
              </w:rPr>
            </w:pPr>
            <w:hyperlink r:id="rId132" w:history="1">
              <w:r w:rsidR="00D87264" w:rsidRPr="0042750D">
                <w:rPr>
                  <w:rStyle w:val="Hyperlink"/>
                  <w:szCs w:val="22"/>
                </w:rPr>
                <w:t>U4SSC Award Ceremony &amp; Photo Session</w:t>
              </w:r>
            </w:hyperlink>
          </w:p>
          <w:p w14:paraId="1C863996" w14:textId="77777777" w:rsidR="00D87264" w:rsidRPr="0042750D" w:rsidRDefault="00D87264" w:rsidP="00D87264">
            <w:pPr>
              <w:pStyle w:val="ListParagraph"/>
              <w:numPr>
                <w:ilvl w:val="1"/>
                <w:numId w:val="11"/>
              </w:numPr>
              <w:tabs>
                <w:tab w:val="left" w:pos="720"/>
                <w:tab w:val="left" w:pos="794"/>
                <w:tab w:val="left" w:pos="1191"/>
                <w:tab w:val="left" w:pos="1588"/>
                <w:tab w:val="left" w:pos="1985"/>
              </w:tabs>
              <w:overflowPunct w:val="0"/>
              <w:autoSpaceDE w:val="0"/>
              <w:autoSpaceDN w:val="0"/>
              <w:adjustRightInd w:val="0"/>
              <w:ind w:left="1276" w:right="91" w:hanging="425"/>
              <w:textAlignment w:val="baseline"/>
              <w:rPr>
                <w:szCs w:val="22"/>
              </w:rPr>
            </w:pPr>
            <w:r w:rsidRPr="0042750D">
              <w:rPr>
                <w:b/>
                <w:bCs/>
                <w:szCs w:val="22"/>
              </w:rPr>
              <w:t>Day 2 - Wednesday, 2 October 2019</w:t>
            </w:r>
          </w:p>
          <w:p w14:paraId="645BF373" w14:textId="77777777" w:rsidR="00D87264" w:rsidRPr="0042750D" w:rsidRDefault="00DD025B" w:rsidP="00D87264">
            <w:pPr>
              <w:pStyle w:val="ListParagraph"/>
              <w:numPr>
                <w:ilvl w:val="2"/>
                <w:numId w:val="11"/>
              </w:numPr>
              <w:tabs>
                <w:tab w:val="left" w:pos="720"/>
                <w:tab w:val="left" w:pos="794"/>
                <w:tab w:val="left" w:pos="1191"/>
                <w:tab w:val="left" w:pos="1588"/>
                <w:tab w:val="left" w:pos="1985"/>
              </w:tabs>
              <w:overflowPunct w:val="0"/>
              <w:autoSpaceDE w:val="0"/>
              <w:autoSpaceDN w:val="0"/>
              <w:adjustRightInd w:val="0"/>
              <w:ind w:right="91" w:hanging="1244"/>
              <w:textAlignment w:val="baseline"/>
              <w:rPr>
                <w:szCs w:val="22"/>
              </w:rPr>
            </w:pPr>
            <w:hyperlink r:id="rId133" w:history="1">
              <w:r w:rsidR="00D87264" w:rsidRPr="0042750D">
                <w:rPr>
                  <w:rStyle w:val="Hyperlink"/>
                  <w:szCs w:val="22"/>
                </w:rPr>
                <w:t>Forum on "Smart Governance in Cities</w:t>
              </w:r>
            </w:hyperlink>
          </w:p>
          <w:p w14:paraId="36977951" w14:textId="77777777" w:rsidR="00D87264" w:rsidRPr="0042750D" w:rsidRDefault="00DD025B" w:rsidP="00D87264">
            <w:pPr>
              <w:pStyle w:val="ListParagraph"/>
              <w:numPr>
                <w:ilvl w:val="2"/>
                <w:numId w:val="11"/>
              </w:numPr>
              <w:tabs>
                <w:tab w:val="left" w:pos="720"/>
                <w:tab w:val="left" w:pos="794"/>
                <w:tab w:val="left" w:pos="1191"/>
                <w:tab w:val="left" w:pos="1588"/>
                <w:tab w:val="left" w:pos="1985"/>
              </w:tabs>
              <w:overflowPunct w:val="0"/>
              <w:autoSpaceDE w:val="0"/>
              <w:autoSpaceDN w:val="0"/>
              <w:adjustRightInd w:val="0"/>
              <w:ind w:right="91" w:hanging="1244"/>
              <w:textAlignment w:val="baseline"/>
              <w:rPr>
                <w:szCs w:val="22"/>
              </w:rPr>
            </w:pPr>
            <w:hyperlink r:id="rId134" w:history="1">
              <w:r w:rsidR="00D87264" w:rsidRPr="0042750D">
                <w:rPr>
                  <w:rStyle w:val="Hyperlink"/>
                  <w:szCs w:val="22"/>
                </w:rPr>
                <w:t>Valencia: Smart City</w:t>
              </w:r>
            </w:hyperlink>
          </w:p>
          <w:p w14:paraId="6C15D989" w14:textId="77777777" w:rsidR="00D87264" w:rsidRPr="0042750D" w:rsidRDefault="00D87264" w:rsidP="00D87264">
            <w:pPr>
              <w:pStyle w:val="ListParagraph"/>
              <w:numPr>
                <w:ilvl w:val="1"/>
                <w:numId w:val="11"/>
              </w:numPr>
              <w:tabs>
                <w:tab w:val="left" w:pos="720"/>
                <w:tab w:val="left" w:pos="794"/>
                <w:tab w:val="left" w:pos="1191"/>
                <w:tab w:val="left" w:pos="1588"/>
                <w:tab w:val="left" w:pos="1985"/>
              </w:tabs>
              <w:overflowPunct w:val="0"/>
              <w:autoSpaceDE w:val="0"/>
              <w:autoSpaceDN w:val="0"/>
              <w:adjustRightInd w:val="0"/>
              <w:ind w:left="1276" w:right="91" w:hanging="425"/>
              <w:textAlignment w:val="baseline"/>
              <w:rPr>
                <w:szCs w:val="22"/>
              </w:rPr>
            </w:pPr>
            <w:r w:rsidRPr="0042750D">
              <w:rPr>
                <w:b/>
                <w:bCs/>
                <w:szCs w:val="22"/>
              </w:rPr>
              <w:t>Day 3 - Thursday, 3 October 2019</w:t>
            </w:r>
          </w:p>
          <w:p w14:paraId="1D47570E" w14:textId="77777777" w:rsidR="00D87264" w:rsidRPr="0042750D" w:rsidRDefault="00DD025B" w:rsidP="00D87264">
            <w:pPr>
              <w:pStyle w:val="ListParagraph"/>
              <w:numPr>
                <w:ilvl w:val="2"/>
                <w:numId w:val="11"/>
              </w:numPr>
              <w:tabs>
                <w:tab w:val="left" w:pos="720"/>
                <w:tab w:val="left" w:pos="794"/>
                <w:tab w:val="left" w:pos="1191"/>
                <w:tab w:val="left" w:pos="1588"/>
                <w:tab w:val="left" w:pos="1985"/>
              </w:tabs>
              <w:overflowPunct w:val="0"/>
              <w:autoSpaceDE w:val="0"/>
              <w:autoSpaceDN w:val="0"/>
              <w:adjustRightInd w:val="0"/>
              <w:ind w:right="91" w:hanging="1244"/>
              <w:textAlignment w:val="baseline"/>
              <w:rPr>
                <w:szCs w:val="22"/>
              </w:rPr>
            </w:pPr>
            <w:hyperlink r:id="rId135" w:history="1">
              <w:r w:rsidR="00D87264" w:rsidRPr="0042750D">
                <w:rPr>
                  <w:rStyle w:val="Hyperlink"/>
                  <w:szCs w:val="22"/>
                </w:rPr>
                <w:t>4th meeting of the United for Smart Sustainable Cities Initiative (U4SSC)</w:t>
              </w:r>
            </w:hyperlink>
          </w:p>
          <w:p w14:paraId="54E37858" w14:textId="77777777" w:rsidR="00D87264" w:rsidRPr="0042750D" w:rsidRDefault="00D87264" w:rsidP="00D87264">
            <w:pPr>
              <w:pStyle w:val="ListParagraph"/>
              <w:numPr>
                <w:ilvl w:val="1"/>
                <w:numId w:val="11"/>
              </w:numPr>
              <w:tabs>
                <w:tab w:val="left" w:pos="720"/>
                <w:tab w:val="left" w:pos="794"/>
                <w:tab w:val="left" w:pos="1191"/>
                <w:tab w:val="left" w:pos="1588"/>
                <w:tab w:val="left" w:pos="1985"/>
              </w:tabs>
              <w:overflowPunct w:val="0"/>
              <w:autoSpaceDE w:val="0"/>
              <w:autoSpaceDN w:val="0"/>
              <w:adjustRightInd w:val="0"/>
              <w:ind w:left="1134" w:right="91" w:hanging="283"/>
              <w:textAlignment w:val="baseline"/>
              <w:rPr>
                <w:szCs w:val="22"/>
              </w:rPr>
            </w:pPr>
            <w:r w:rsidRPr="0042750D">
              <w:rPr>
                <w:b/>
                <w:bCs/>
                <w:szCs w:val="22"/>
              </w:rPr>
              <w:t>Day 4 - Friday, 4 October 2019</w:t>
            </w:r>
          </w:p>
          <w:p w14:paraId="7F7ADC2B" w14:textId="77777777" w:rsidR="00D50A4E" w:rsidRPr="0042750D" w:rsidRDefault="00DD025B" w:rsidP="00D87264">
            <w:pPr>
              <w:pStyle w:val="ListParagraph"/>
              <w:numPr>
                <w:ilvl w:val="2"/>
                <w:numId w:val="11"/>
              </w:numPr>
              <w:tabs>
                <w:tab w:val="left" w:pos="720"/>
                <w:tab w:val="left" w:pos="794"/>
                <w:tab w:val="left" w:pos="1191"/>
                <w:tab w:val="left" w:pos="1588"/>
                <w:tab w:val="left" w:pos="1985"/>
              </w:tabs>
              <w:overflowPunct w:val="0"/>
              <w:autoSpaceDE w:val="0"/>
              <w:autoSpaceDN w:val="0"/>
              <w:adjustRightInd w:val="0"/>
              <w:spacing w:after="40"/>
              <w:ind w:left="2518" w:right="91" w:hanging="1242"/>
              <w:contextualSpacing w:val="0"/>
              <w:textAlignment w:val="baseline"/>
              <w:rPr>
                <w:rStyle w:val="Hyperlink"/>
                <w:color w:val="auto"/>
                <w:szCs w:val="22"/>
              </w:rPr>
            </w:pPr>
            <w:hyperlink r:id="rId136" w:history="1">
              <w:r w:rsidR="00D87264" w:rsidRPr="0042750D">
                <w:rPr>
                  <w:rStyle w:val="Hyperlink"/>
                  <w:szCs w:val="22"/>
                </w:rPr>
                <w:t>Training on Building Smarter and More Sustainable Cities</w:t>
              </w:r>
            </w:hyperlink>
            <w:r w:rsidR="00D87264" w:rsidRPr="0042750D">
              <w:rPr>
                <w:rStyle w:val="Hyperlink"/>
                <w:szCs w:val="22"/>
              </w:rPr>
              <w:t>.</w:t>
            </w:r>
          </w:p>
          <w:p w14:paraId="5D73C423" w14:textId="4CBCEEBF" w:rsidR="001C5ADF" w:rsidRPr="0042750D" w:rsidRDefault="001C5ADF" w:rsidP="00766974">
            <w:pPr>
              <w:pStyle w:val="ListParagraph"/>
              <w:numPr>
                <w:ilvl w:val="0"/>
                <w:numId w:val="11"/>
              </w:numPr>
              <w:tabs>
                <w:tab w:val="left" w:pos="720"/>
                <w:tab w:val="left" w:pos="794"/>
                <w:tab w:val="left" w:pos="1191"/>
                <w:tab w:val="left" w:pos="1588"/>
                <w:tab w:val="left" w:pos="1985"/>
              </w:tabs>
              <w:overflowPunct w:val="0"/>
              <w:autoSpaceDE w:val="0"/>
              <w:autoSpaceDN w:val="0"/>
              <w:adjustRightInd w:val="0"/>
              <w:spacing w:after="40"/>
              <w:ind w:left="724" w:right="91"/>
              <w:contextualSpacing w:val="0"/>
              <w:textAlignment w:val="baseline"/>
              <w:rPr>
                <w:szCs w:val="22"/>
                <w:u w:val="single"/>
              </w:rPr>
            </w:pPr>
            <w:r w:rsidRPr="0042750D">
              <w:rPr>
                <w:rStyle w:val="Hyperlink"/>
              </w:rPr>
              <w:t xml:space="preserve">TSB organized the </w:t>
            </w:r>
            <w:hyperlink r:id="rId137" w:history="1">
              <w:r w:rsidRPr="0042750D">
                <w:rPr>
                  <w:rStyle w:val="Hyperlink"/>
                </w:rPr>
                <w:t>5</w:t>
              </w:r>
              <w:r w:rsidRPr="0042750D">
                <w:rPr>
                  <w:rStyle w:val="Hyperlink"/>
                  <w:vertAlign w:val="superscript"/>
                </w:rPr>
                <w:t>th</w:t>
              </w:r>
              <w:r w:rsidRPr="0042750D">
                <w:rPr>
                  <w:rStyle w:val="Hyperlink"/>
                </w:rPr>
                <w:t xml:space="preserve"> ITU Workshop on Data Processing and Management for IoT and Smart Cities &amp; Communities</w:t>
              </w:r>
            </w:hyperlink>
            <w:r w:rsidRPr="0042750D">
              <w:rPr>
                <w:rStyle w:val="Hyperlink"/>
              </w:rPr>
              <w:t xml:space="preserve"> on 25 November 2019 in Geneva, Switzerland.</w:t>
            </w:r>
          </w:p>
        </w:tc>
      </w:tr>
      <w:tr w:rsidR="00703522" w:rsidRPr="0042750D" w14:paraId="3A6AEC00" w14:textId="77777777" w:rsidTr="00FA3618">
        <w:trPr>
          <w:jc w:val="center"/>
        </w:trPr>
        <w:tc>
          <w:tcPr>
            <w:tcW w:w="1131" w:type="dxa"/>
            <w:vMerge w:val="restart"/>
            <w:tcBorders>
              <w:top w:val="single" w:sz="12" w:space="0" w:color="auto"/>
            </w:tcBorders>
            <w:shd w:val="clear" w:color="auto" w:fill="auto"/>
          </w:tcPr>
          <w:p w14:paraId="62F8C078" w14:textId="107B95FE" w:rsidR="00703522" w:rsidRPr="0042750D" w:rsidRDefault="00703522" w:rsidP="00FA3618">
            <w:pPr>
              <w:pStyle w:val="Tabletext"/>
              <w:rPr>
                <w:b/>
                <w:bCs/>
                <w:sz w:val="24"/>
                <w:szCs w:val="24"/>
              </w:rPr>
            </w:pPr>
            <w:r w:rsidRPr="0042750D">
              <w:rPr>
                <w:b/>
                <w:bCs/>
                <w:sz w:val="24"/>
                <w:szCs w:val="24"/>
              </w:rPr>
              <w:t>197-10</w:t>
            </w:r>
          </w:p>
        </w:tc>
        <w:tc>
          <w:tcPr>
            <w:tcW w:w="4984" w:type="dxa"/>
            <w:tcBorders>
              <w:top w:val="single" w:sz="12" w:space="0" w:color="auto"/>
              <w:bottom w:val="single" w:sz="4" w:space="0" w:color="auto"/>
            </w:tcBorders>
            <w:shd w:val="clear" w:color="auto" w:fill="auto"/>
          </w:tcPr>
          <w:p w14:paraId="7BFC9CEC" w14:textId="2B33ADAA" w:rsidR="00703522" w:rsidRPr="0042750D" w:rsidRDefault="00703522" w:rsidP="00703522">
            <w:pPr>
              <w:pStyle w:val="Tabletext"/>
              <w:keepNext/>
              <w:keepLines/>
              <w:rPr>
                <w:b/>
                <w:bCs/>
                <w:sz w:val="24"/>
                <w:szCs w:val="24"/>
              </w:rPr>
            </w:pPr>
            <w:r w:rsidRPr="0042750D">
              <w:rPr>
                <w:b/>
                <w:bCs/>
                <w:sz w:val="24"/>
                <w:szCs w:val="24"/>
              </w:rPr>
              <w:t xml:space="preserve">TSBDir to encourage the development of IoT and SSCCs, taking into account the outcomes of the work of the relevant ITU study groups on various aspects of IoT and SSCCs </w:t>
            </w:r>
            <w:r w:rsidRPr="0042750D">
              <w:rPr>
                <w:b/>
                <w:sz w:val="24"/>
                <w:szCs w:val="24"/>
              </w:rPr>
              <w:t>(</w:t>
            </w:r>
            <w:r w:rsidRPr="0042750D">
              <w:rPr>
                <w:b/>
                <w:i/>
                <w:sz w:val="24"/>
                <w:szCs w:val="24"/>
              </w:rPr>
              <w:t>instructs 3</w:t>
            </w:r>
            <w:r w:rsidRPr="0042750D">
              <w:rPr>
                <w:b/>
                <w:sz w:val="24"/>
                <w:szCs w:val="24"/>
              </w:rPr>
              <w:t>)</w:t>
            </w:r>
            <w:r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251D0811" w14:textId="77777777" w:rsidR="00703522" w:rsidRPr="0042750D" w:rsidRDefault="00703522" w:rsidP="00FA3618">
            <w:pPr>
              <w:pStyle w:val="Tabletext"/>
              <w:jc w:val="center"/>
              <w:rPr>
                <w:b/>
                <w:bCs/>
                <w:sz w:val="24"/>
                <w:szCs w:val="24"/>
              </w:rPr>
            </w:pPr>
            <w:r w:rsidRPr="0042750D">
              <w:rPr>
                <w:b/>
                <w:bCs/>
                <w:sz w:val="24"/>
                <w:szCs w:val="24"/>
              </w:rPr>
              <w:t>Ongoing</w:t>
            </w:r>
          </w:p>
        </w:tc>
        <w:tc>
          <w:tcPr>
            <w:tcW w:w="1143" w:type="dxa"/>
            <w:tcBorders>
              <w:top w:val="single" w:sz="12" w:space="0" w:color="auto"/>
              <w:bottom w:val="single" w:sz="4" w:space="0" w:color="auto"/>
            </w:tcBorders>
            <w:shd w:val="clear" w:color="auto" w:fill="auto"/>
            <w:vAlign w:val="center"/>
          </w:tcPr>
          <w:p w14:paraId="65CB313E" w14:textId="0506D97A" w:rsidR="00703522" w:rsidRPr="0042750D" w:rsidRDefault="00A37F90" w:rsidP="00FA3618">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3F2CF2C9" w14:textId="77777777" w:rsidR="00703522" w:rsidRPr="0042750D" w:rsidRDefault="00703522" w:rsidP="00FA3618">
            <w:pPr>
              <w:pStyle w:val="Tabletext"/>
              <w:jc w:val="center"/>
              <w:rPr>
                <w:b/>
                <w:bCs/>
                <w:sz w:val="24"/>
                <w:szCs w:val="24"/>
              </w:rPr>
            </w:pPr>
          </w:p>
        </w:tc>
      </w:tr>
      <w:tr w:rsidR="00703522" w:rsidRPr="0042750D" w14:paraId="5931C2A2" w14:textId="77777777" w:rsidTr="00FA3618">
        <w:trPr>
          <w:jc w:val="center"/>
        </w:trPr>
        <w:tc>
          <w:tcPr>
            <w:tcW w:w="1131" w:type="dxa"/>
            <w:vMerge/>
            <w:shd w:val="clear" w:color="auto" w:fill="auto"/>
            <w:vAlign w:val="center"/>
          </w:tcPr>
          <w:p w14:paraId="32EC93D1" w14:textId="77777777" w:rsidR="00703522" w:rsidRPr="0042750D" w:rsidRDefault="00703522" w:rsidP="00FA3618">
            <w:pPr>
              <w:pStyle w:val="Tabletext"/>
              <w:rPr>
                <w:sz w:val="24"/>
                <w:szCs w:val="24"/>
              </w:rPr>
            </w:pPr>
          </w:p>
        </w:tc>
        <w:tc>
          <w:tcPr>
            <w:tcW w:w="8801" w:type="dxa"/>
            <w:gridSpan w:val="4"/>
            <w:tcBorders>
              <w:top w:val="single" w:sz="4" w:space="0" w:color="auto"/>
            </w:tcBorders>
            <w:shd w:val="clear" w:color="auto" w:fill="auto"/>
          </w:tcPr>
          <w:p w14:paraId="560E5FAE" w14:textId="2759D19F" w:rsidR="00A37F90" w:rsidRPr="0042750D" w:rsidRDefault="00A37F90" w:rsidP="00A37F90">
            <w:pPr>
              <w:pStyle w:val="Tabletext"/>
              <w:rPr>
                <w:bCs/>
              </w:rPr>
            </w:pPr>
            <w:r w:rsidRPr="0042750D">
              <w:rPr>
                <w:bCs/>
              </w:rPr>
              <w:t xml:space="preserve">The United for Smart Sustainable Cities (U4SSC) initiative is an UN initiative coordinated by ITU, UNECE and UN-Habitat, which serves as the global platform to advocate for public policy and to encourage the use of ICTs to facilitate and ease the transition to smart sustainable cities. The </w:t>
            </w:r>
            <w:hyperlink r:id="rId138" w:history="1">
              <w:r w:rsidRPr="0042750D">
                <w:rPr>
                  <w:rStyle w:val="Hyperlink"/>
                  <w:rFonts w:eastAsiaTheme="majorEastAsia"/>
                </w:rPr>
                <w:t>4</w:t>
              </w:r>
              <w:r w:rsidRPr="0042750D">
                <w:rPr>
                  <w:rStyle w:val="Hyperlink"/>
                  <w:rFonts w:eastAsiaTheme="majorEastAsia"/>
                  <w:vertAlign w:val="superscript"/>
                </w:rPr>
                <w:t>th</w:t>
              </w:r>
              <w:r w:rsidRPr="0042750D">
                <w:rPr>
                  <w:rStyle w:val="Hyperlink"/>
                  <w:rFonts w:eastAsiaTheme="majorEastAsia"/>
                </w:rPr>
                <w:t xml:space="preserve"> U4SSC meeting</w:t>
              </w:r>
            </w:hyperlink>
            <w:r w:rsidRPr="0042750D">
              <w:rPr>
                <w:bCs/>
              </w:rPr>
              <w:t xml:space="preserve"> </w:t>
            </w:r>
            <w:r w:rsidR="001C5ADF" w:rsidRPr="0042750D">
              <w:rPr>
                <w:bCs/>
              </w:rPr>
              <w:t>took place</w:t>
            </w:r>
            <w:r w:rsidRPr="0042750D">
              <w:rPr>
                <w:bCs/>
              </w:rPr>
              <w:t xml:space="preserve"> on 3 October 2019 in Valencia, Spain during the </w:t>
            </w:r>
            <w:hyperlink r:id="rId139" w:history="1">
              <w:r w:rsidRPr="0042750D">
                <w:rPr>
                  <w:rStyle w:val="Hyperlink"/>
                  <w:rFonts w:eastAsiaTheme="majorEastAsia"/>
                </w:rPr>
                <w:t>9</w:t>
              </w:r>
              <w:r w:rsidRPr="0042750D">
                <w:rPr>
                  <w:rStyle w:val="Hyperlink"/>
                  <w:rFonts w:eastAsiaTheme="majorEastAsia"/>
                  <w:vertAlign w:val="superscript"/>
                </w:rPr>
                <w:t>th</w:t>
              </w:r>
              <w:r w:rsidRPr="0042750D">
                <w:rPr>
                  <w:rStyle w:val="Hyperlink"/>
                  <w:rFonts w:eastAsiaTheme="majorEastAsia"/>
                </w:rPr>
                <w:t xml:space="preserve"> Green Standards Week</w:t>
              </w:r>
            </w:hyperlink>
            <w:r w:rsidRPr="0042750D">
              <w:rPr>
                <w:bCs/>
              </w:rPr>
              <w:t>.</w:t>
            </w:r>
          </w:p>
          <w:p w14:paraId="0079864F" w14:textId="77777777" w:rsidR="00A37F90" w:rsidRPr="0042750D" w:rsidRDefault="00A37F90" w:rsidP="00A37F90">
            <w:pPr>
              <w:pStyle w:val="Tabletext"/>
              <w:rPr>
                <w:bCs/>
              </w:rPr>
            </w:pPr>
            <w:r w:rsidRPr="0042750D">
              <w:rPr>
                <w:bCs/>
              </w:rPr>
              <w:t xml:space="preserve">More </w:t>
            </w:r>
            <w:r w:rsidRPr="0042750D">
              <w:rPr>
                <w:bCs/>
                <w:szCs w:val="22"/>
              </w:rPr>
              <w:t>than 100</w:t>
            </w:r>
            <w:r w:rsidRPr="0042750D">
              <w:rPr>
                <w:szCs w:val="22"/>
              </w:rPr>
              <w:t xml:space="preserve"> cities worldwide</w:t>
            </w:r>
            <w:r w:rsidRPr="0042750D">
              <w:rPr>
                <w:bCs/>
                <w:szCs w:val="22"/>
              </w:rPr>
              <w:t xml:space="preserve"> are measuring their progress using ‘Key Performance Indicators for Smart Sustainable Cities’ based</w:t>
            </w:r>
            <w:r w:rsidRPr="0042750D">
              <w:rPr>
                <w:bCs/>
              </w:rPr>
              <w:t xml:space="preserve"> on ITU standards, indicators promoted by the ‘United for Smart Sustainable Cities (U4SSC) initiative’. A case study on </w:t>
            </w:r>
            <w:hyperlink r:id="rId140" w:anchor="p=1" w:history="1">
              <w:r w:rsidRPr="0042750D">
                <w:rPr>
                  <w:rStyle w:val="Hyperlink"/>
                  <w:rFonts w:eastAsiaTheme="majorEastAsia"/>
                </w:rPr>
                <w:t>“Implementing ITU-T International Standards to Shape Smart Sustainable Cities: The case of Moscow”</w:t>
              </w:r>
            </w:hyperlink>
            <w:r w:rsidRPr="0042750D">
              <w:rPr>
                <w:bCs/>
              </w:rPr>
              <w:t xml:space="preserve"> was published in November 2018. This case study offers practical insights into the experiences of Moscow in transforming into a smart sustainable city using the KPIs developed by the </w:t>
            </w:r>
            <w:hyperlink r:id="rId141" w:history="1">
              <w:r w:rsidRPr="0042750D">
                <w:rPr>
                  <w:rStyle w:val="Hyperlink"/>
                  <w:rFonts w:eastAsiaTheme="majorEastAsia"/>
                </w:rPr>
                <w:t>United for Smart Sustainable Cities initiative (U4SSC)</w:t>
              </w:r>
            </w:hyperlink>
            <w:r w:rsidRPr="0042750D">
              <w:rPr>
                <w:bCs/>
              </w:rPr>
              <w:t xml:space="preserve"> which are based on ITU-T KPIs for SSC Standards. It measures Moscow’s progress in reaching the objectives of its smart strategies and meeting the Sustainable Development Goals. The results of this case study provide valuable lessons to other aspiring smart sustainable cities. The case study is also available in </w:t>
            </w:r>
            <w:hyperlink r:id="rId142" w:history="1">
              <w:r w:rsidRPr="0042750D">
                <w:rPr>
                  <w:rStyle w:val="Hyperlink"/>
                  <w:rFonts w:eastAsiaTheme="majorEastAsia"/>
                </w:rPr>
                <w:t>Russian</w:t>
              </w:r>
            </w:hyperlink>
            <w:r w:rsidRPr="0042750D">
              <w:rPr>
                <w:bCs/>
              </w:rPr>
              <w:t>.</w:t>
            </w:r>
          </w:p>
          <w:p w14:paraId="7C7D0698" w14:textId="77777777" w:rsidR="00703522" w:rsidRPr="0042750D" w:rsidRDefault="00A37F90" w:rsidP="00A37F90">
            <w:pPr>
              <w:pStyle w:val="Tabletext"/>
              <w:rPr>
                <w:bCs/>
              </w:rPr>
            </w:pPr>
            <w:r w:rsidRPr="0042750D">
              <w:rPr>
                <w:bCs/>
              </w:rPr>
              <w:t xml:space="preserve">The </w:t>
            </w:r>
            <w:hyperlink r:id="rId143" w:history="1">
              <w:r w:rsidRPr="0042750D">
                <w:rPr>
                  <w:rStyle w:val="Hyperlink"/>
                  <w:rFonts w:eastAsiaTheme="majorEastAsia"/>
                </w:rPr>
                <w:t>U4SSC Implementation Programme (U4SSC-IP)</w:t>
              </w:r>
            </w:hyperlink>
            <w:r w:rsidRPr="0042750D">
              <w:rPr>
                <w:bCs/>
              </w:rPr>
              <w:t xml:space="preserve"> supports the implementation of the U4SSC KPIs in cities, carries out projects and builds partnerships, which aim to build smarter and more sustainable cities worldwide.</w:t>
            </w:r>
          </w:p>
          <w:p w14:paraId="3516AE9D" w14:textId="77777777" w:rsidR="001C5ADF" w:rsidRPr="0042750D" w:rsidRDefault="001C5ADF" w:rsidP="00A37F90">
            <w:pPr>
              <w:pStyle w:val="Tabletext"/>
              <w:rPr>
                <w:szCs w:val="22"/>
              </w:rPr>
            </w:pPr>
            <w:r w:rsidRPr="0042750D">
              <w:rPr>
                <w:szCs w:val="22"/>
              </w:rPr>
              <w:t>During the 4</w:t>
            </w:r>
            <w:r w:rsidRPr="0042750D">
              <w:rPr>
                <w:szCs w:val="22"/>
                <w:vertAlign w:val="superscript"/>
              </w:rPr>
              <w:t>th</w:t>
            </w:r>
            <w:r w:rsidRPr="0042750D">
              <w:rPr>
                <w:szCs w:val="22"/>
              </w:rPr>
              <w:t xml:space="preserve"> U4SSC meeting the following publications were launched:</w:t>
            </w:r>
          </w:p>
          <w:p w14:paraId="6632AEE6" w14:textId="77777777" w:rsidR="001C5ADF" w:rsidRPr="0042750D" w:rsidRDefault="001C5ADF" w:rsidP="001C5ADF">
            <w:pPr>
              <w:pStyle w:val="Tabletext"/>
              <w:numPr>
                <w:ilvl w:val="0"/>
                <w:numId w:val="8"/>
              </w:numPr>
              <w:rPr>
                <w:szCs w:val="22"/>
              </w:rPr>
            </w:pPr>
            <w:r w:rsidRPr="0042750D">
              <w:rPr>
                <w:szCs w:val="22"/>
              </w:rPr>
              <w:t>Flipbook on "City Science Application Framework";</w:t>
            </w:r>
          </w:p>
          <w:p w14:paraId="42B2388F" w14:textId="3BF75BC1" w:rsidR="001C5ADF" w:rsidRPr="0042750D" w:rsidRDefault="001C5ADF" w:rsidP="001C5ADF">
            <w:pPr>
              <w:pStyle w:val="Tabletext"/>
              <w:numPr>
                <w:ilvl w:val="0"/>
                <w:numId w:val="8"/>
              </w:numPr>
              <w:rPr>
                <w:szCs w:val="22"/>
              </w:rPr>
            </w:pPr>
            <w:r w:rsidRPr="0042750D">
              <w:rPr>
                <w:color w:val="444444"/>
                <w:szCs w:val="22"/>
                <w:shd w:val="clear" w:color="auto" w:fill="FFFFFF"/>
              </w:rPr>
              <w:t>City Snapshots [</w:t>
            </w:r>
            <w:hyperlink r:id="rId144" w:history="1">
              <w:r w:rsidRPr="0042750D">
                <w:rPr>
                  <w:rStyle w:val="Hyperlink"/>
                  <w:rFonts w:eastAsiaTheme="majorEastAsia"/>
                  <w:color w:val="3789BD"/>
                  <w:szCs w:val="22"/>
                  <w:bdr w:val="none" w:sz="0" w:space="0" w:color="auto" w:frame="1"/>
                </w:rPr>
                <w:t>Ålesund, Norway</w:t>
              </w:r>
            </w:hyperlink>
            <w:r w:rsidRPr="0042750D">
              <w:rPr>
                <w:color w:val="444444"/>
                <w:szCs w:val="22"/>
                <w:shd w:val="clear" w:color="auto" w:fill="FFFFFF"/>
              </w:rPr>
              <w:t>] [</w:t>
            </w:r>
            <w:hyperlink r:id="rId145" w:history="1">
              <w:r w:rsidRPr="0042750D">
                <w:rPr>
                  <w:rStyle w:val="Hyperlink"/>
                  <w:rFonts w:eastAsiaTheme="majorEastAsia"/>
                  <w:color w:val="3789BD"/>
                  <w:szCs w:val="22"/>
                  <w:bdr w:val="none" w:sz="0" w:space="0" w:color="auto" w:frame="1"/>
                </w:rPr>
                <w:t>Bizerte, Tunisia</w:t>
              </w:r>
            </w:hyperlink>
            <w:r w:rsidRPr="0042750D">
              <w:rPr>
                <w:color w:val="444444"/>
                <w:szCs w:val="22"/>
                <w:shd w:val="clear" w:color="auto" w:fill="FFFFFF"/>
              </w:rPr>
              <w:t>] [</w:t>
            </w:r>
            <w:hyperlink r:id="rId146" w:history="1">
              <w:r w:rsidRPr="0042750D">
                <w:rPr>
                  <w:rStyle w:val="Hyperlink"/>
                  <w:rFonts w:eastAsiaTheme="majorEastAsia"/>
                  <w:color w:val="3789BD"/>
                  <w:szCs w:val="22"/>
                  <w:bdr w:val="none" w:sz="0" w:space="0" w:color="auto" w:frame="1"/>
                </w:rPr>
                <w:t>Moscow, Russia</w:t>
              </w:r>
            </w:hyperlink>
            <w:r w:rsidRPr="0042750D">
              <w:rPr>
                <w:color w:val="444444"/>
                <w:szCs w:val="22"/>
                <w:shd w:val="clear" w:color="auto" w:fill="FFFFFF"/>
              </w:rPr>
              <w:t>] [</w:t>
            </w:r>
            <w:hyperlink r:id="rId147" w:history="1">
              <w:r w:rsidRPr="0042750D">
                <w:rPr>
                  <w:rStyle w:val="Hyperlink"/>
                  <w:rFonts w:eastAsiaTheme="majorEastAsia"/>
                  <w:color w:val="3789BD"/>
                  <w:szCs w:val="22"/>
                  <w:bdr w:val="none" w:sz="0" w:space="0" w:color="auto" w:frame="1"/>
                </w:rPr>
                <w:t>Riyadh, Saudi Arabia</w:t>
              </w:r>
            </w:hyperlink>
            <w:r w:rsidRPr="0042750D">
              <w:rPr>
                <w:color w:val="444444"/>
                <w:szCs w:val="22"/>
                <w:shd w:val="clear" w:color="auto" w:fill="FFFFFF"/>
              </w:rPr>
              <w:t>] [</w:t>
            </w:r>
            <w:hyperlink r:id="rId148" w:history="1">
              <w:r w:rsidRPr="0042750D">
                <w:rPr>
                  <w:rStyle w:val="Hyperlink"/>
                  <w:rFonts w:eastAsiaTheme="majorEastAsia"/>
                  <w:color w:val="3789BD"/>
                  <w:szCs w:val="22"/>
                  <w:bdr w:val="none" w:sz="0" w:space="0" w:color="auto" w:frame="1"/>
                </w:rPr>
                <w:t>Pully, Switzerland</w:t>
              </w:r>
            </w:hyperlink>
            <w:r w:rsidRPr="0042750D">
              <w:rPr>
                <w:color w:val="444444"/>
                <w:szCs w:val="22"/>
                <w:shd w:val="clear" w:color="auto" w:fill="FFFFFF"/>
              </w:rPr>
              <w:t>]</w:t>
            </w:r>
          </w:p>
          <w:p w14:paraId="332B74A0" w14:textId="77777777" w:rsidR="005159C9" w:rsidRPr="0042750D" w:rsidRDefault="00DD025B" w:rsidP="001C5ADF">
            <w:pPr>
              <w:pStyle w:val="Tabletext"/>
              <w:numPr>
                <w:ilvl w:val="0"/>
                <w:numId w:val="8"/>
              </w:numPr>
              <w:rPr>
                <w:szCs w:val="22"/>
              </w:rPr>
            </w:pPr>
            <w:hyperlink r:id="rId149" w:history="1">
              <w:r w:rsidR="005159C9" w:rsidRPr="0042750D">
                <w:rPr>
                  <w:rStyle w:val="Hyperlink"/>
                  <w:szCs w:val="22"/>
                </w:rPr>
                <w:t>Verification Report: Pully under the microscope</w:t>
              </w:r>
            </w:hyperlink>
            <w:r w:rsidR="005159C9" w:rsidRPr="0042750D">
              <w:rPr>
                <w:szCs w:val="22"/>
              </w:rPr>
              <w:t xml:space="preserve"> </w:t>
            </w:r>
            <w:r w:rsidR="005159C9" w:rsidRPr="0042750D">
              <w:t xml:space="preserve">(also available in </w:t>
            </w:r>
            <w:hyperlink r:id="rId150" w:history="1">
              <w:r w:rsidR="005159C9" w:rsidRPr="0042750D">
                <w:rPr>
                  <w:rStyle w:val="Hyperlink"/>
                </w:rPr>
                <w:t>French</w:t>
              </w:r>
            </w:hyperlink>
            <w:r w:rsidR="005159C9" w:rsidRPr="0042750D">
              <w:t>).</w:t>
            </w:r>
          </w:p>
          <w:p w14:paraId="3CE2EDB0" w14:textId="77777777" w:rsidR="005159C9" w:rsidRPr="0042750D" w:rsidRDefault="005159C9" w:rsidP="005159C9">
            <w:pPr>
              <w:pStyle w:val="Tabletext"/>
              <w:rPr>
                <w:szCs w:val="22"/>
              </w:rPr>
            </w:pPr>
          </w:p>
          <w:p w14:paraId="63AED3F5" w14:textId="77777777" w:rsidR="005159C9" w:rsidRPr="0042750D" w:rsidRDefault="005159C9" w:rsidP="005159C9">
            <w:pPr>
              <w:pStyle w:val="Tabletext"/>
              <w:rPr>
                <w:szCs w:val="22"/>
              </w:rPr>
            </w:pPr>
            <w:r w:rsidRPr="0042750D">
              <w:rPr>
                <w:szCs w:val="22"/>
              </w:rPr>
              <w:t>The U4SSC is working on the following Thematic Groups:</w:t>
            </w:r>
          </w:p>
          <w:p w14:paraId="6BD4F541" w14:textId="0347FDA1" w:rsidR="005159C9" w:rsidRPr="0042750D" w:rsidRDefault="005159C9" w:rsidP="00766974">
            <w:pPr>
              <w:pStyle w:val="Tabletext"/>
              <w:numPr>
                <w:ilvl w:val="0"/>
                <w:numId w:val="20"/>
              </w:numPr>
              <w:rPr>
                <w:szCs w:val="22"/>
              </w:rPr>
            </w:pPr>
            <w:r w:rsidRPr="0042750D">
              <w:rPr>
                <w:szCs w:val="22"/>
              </w:rPr>
              <w:t>Guidelines on tools and mechanisms to finance SSC projects</w:t>
            </w:r>
          </w:p>
          <w:p w14:paraId="63D19D65" w14:textId="77777777" w:rsidR="005159C9" w:rsidRPr="0042750D" w:rsidRDefault="005159C9" w:rsidP="00766974">
            <w:pPr>
              <w:pStyle w:val="Tabletext"/>
              <w:numPr>
                <w:ilvl w:val="0"/>
                <w:numId w:val="20"/>
              </w:numPr>
              <w:rPr>
                <w:szCs w:val="22"/>
              </w:rPr>
            </w:pPr>
            <w:r w:rsidRPr="0042750D">
              <w:rPr>
                <w:szCs w:val="22"/>
              </w:rPr>
              <w:t>Guidelines on strategies for circular cities</w:t>
            </w:r>
          </w:p>
          <w:p w14:paraId="7B902359" w14:textId="77777777" w:rsidR="005159C9" w:rsidRPr="0042750D" w:rsidRDefault="005159C9" w:rsidP="00766974">
            <w:pPr>
              <w:pStyle w:val="Tabletext"/>
              <w:numPr>
                <w:ilvl w:val="0"/>
                <w:numId w:val="20"/>
              </w:numPr>
              <w:rPr>
                <w:szCs w:val="22"/>
              </w:rPr>
            </w:pPr>
            <w:r w:rsidRPr="0042750D">
              <w:rPr>
                <w:szCs w:val="22"/>
              </w:rPr>
              <w:t>Guiding principles for artificial intelligence in cities</w:t>
            </w:r>
          </w:p>
          <w:p w14:paraId="63A9109B" w14:textId="77777777" w:rsidR="005159C9" w:rsidRPr="0042750D" w:rsidRDefault="005159C9" w:rsidP="00766974">
            <w:pPr>
              <w:pStyle w:val="Tabletext"/>
              <w:numPr>
                <w:ilvl w:val="0"/>
                <w:numId w:val="20"/>
              </w:numPr>
              <w:rPr>
                <w:szCs w:val="22"/>
              </w:rPr>
            </w:pPr>
            <w:r w:rsidRPr="0042750D">
              <w:rPr>
                <w:szCs w:val="22"/>
              </w:rPr>
              <w:t>Blockchain 4 cities</w:t>
            </w:r>
          </w:p>
          <w:p w14:paraId="67EEED23" w14:textId="77777777" w:rsidR="005159C9" w:rsidRPr="0042750D" w:rsidRDefault="005159C9" w:rsidP="00766974">
            <w:pPr>
              <w:pStyle w:val="Tabletext"/>
              <w:numPr>
                <w:ilvl w:val="0"/>
                <w:numId w:val="20"/>
              </w:numPr>
              <w:rPr>
                <w:szCs w:val="22"/>
              </w:rPr>
            </w:pPr>
            <w:r w:rsidRPr="0042750D">
              <w:rPr>
                <w:szCs w:val="22"/>
              </w:rPr>
              <w:t>Impact of Frontier Technologies in Cities:</w:t>
            </w:r>
          </w:p>
          <w:p w14:paraId="540C47F5" w14:textId="77777777" w:rsidR="005159C9" w:rsidRPr="0042750D" w:rsidRDefault="005159C9" w:rsidP="00766974">
            <w:pPr>
              <w:pStyle w:val="Tabletext"/>
              <w:numPr>
                <w:ilvl w:val="1"/>
                <w:numId w:val="20"/>
              </w:numPr>
              <w:rPr>
                <w:szCs w:val="22"/>
              </w:rPr>
            </w:pPr>
            <w:r w:rsidRPr="0042750D">
              <w:rPr>
                <w:szCs w:val="22"/>
              </w:rPr>
              <w:t xml:space="preserve">Sensing technologies and IoT </w:t>
            </w:r>
          </w:p>
          <w:p w14:paraId="76315F96" w14:textId="77777777" w:rsidR="005159C9" w:rsidRPr="0042750D" w:rsidRDefault="005159C9" w:rsidP="00766974">
            <w:pPr>
              <w:pStyle w:val="Tabletext"/>
              <w:numPr>
                <w:ilvl w:val="1"/>
                <w:numId w:val="20"/>
              </w:numPr>
              <w:rPr>
                <w:szCs w:val="22"/>
              </w:rPr>
            </w:pPr>
            <w:r w:rsidRPr="0042750D">
              <w:rPr>
                <w:szCs w:val="22"/>
              </w:rPr>
              <w:t>Artificial Intelligence and Cognitive Computing</w:t>
            </w:r>
          </w:p>
          <w:p w14:paraId="5F2CF8AC" w14:textId="77777777" w:rsidR="005159C9" w:rsidRPr="0042750D" w:rsidRDefault="005159C9" w:rsidP="00766974">
            <w:pPr>
              <w:pStyle w:val="Tabletext"/>
              <w:numPr>
                <w:ilvl w:val="1"/>
                <w:numId w:val="20"/>
              </w:numPr>
              <w:rPr>
                <w:szCs w:val="22"/>
              </w:rPr>
            </w:pPr>
            <w:r w:rsidRPr="0042750D">
              <w:rPr>
                <w:szCs w:val="22"/>
              </w:rPr>
              <w:t>Data Processing and Computation</w:t>
            </w:r>
          </w:p>
          <w:p w14:paraId="5B4CD000" w14:textId="77777777" w:rsidR="005159C9" w:rsidRPr="0042750D" w:rsidRDefault="005159C9" w:rsidP="00766974">
            <w:pPr>
              <w:pStyle w:val="Tabletext"/>
              <w:numPr>
                <w:ilvl w:val="0"/>
                <w:numId w:val="20"/>
              </w:numPr>
              <w:rPr>
                <w:szCs w:val="22"/>
              </w:rPr>
            </w:pPr>
            <w:r w:rsidRPr="0042750D">
              <w:rPr>
                <w:szCs w:val="22"/>
              </w:rPr>
              <w:t>Simple ways to be smart</w:t>
            </w:r>
          </w:p>
          <w:p w14:paraId="2CD470F5" w14:textId="77777777" w:rsidR="005159C9" w:rsidRPr="0042750D" w:rsidRDefault="005159C9" w:rsidP="00766974">
            <w:pPr>
              <w:pStyle w:val="Tabletext"/>
              <w:numPr>
                <w:ilvl w:val="0"/>
                <w:numId w:val="20"/>
              </w:numPr>
              <w:rPr>
                <w:szCs w:val="22"/>
              </w:rPr>
            </w:pPr>
            <w:r w:rsidRPr="0042750D">
              <w:rPr>
                <w:szCs w:val="22"/>
              </w:rPr>
              <w:t>Practitioner guide to measure SC&amp;C</w:t>
            </w:r>
          </w:p>
          <w:p w14:paraId="6CFE427D" w14:textId="77777777" w:rsidR="005159C9" w:rsidRPr="0042750D" w:rsidRDefault="005159C9" w:rsidP="00766974">
            <w:pPr>
              <w:pStyle w:val="Tabletext"/>
              <w:numPr>
                <w:ilvl w:val="0"/>
                <w:numId w:val="20"/>
              </w:numPr>
              <w:rPr>
                <w:szCs w:val="22"/>
              </w:rPr>
            </w:pPr>
            <w:r w:rsidRPr="0042750D">
              <w:rPr>
                <w:szCs w:val="22"/>
              </w:rPr>
              <w:t>Practitioner guide to monitor SC&amp;C</w:t>
            </w:r>
          </w:p>
          <w:p w14:paraId="7149AD4B" w14:textId="77777777" w:rsidR="005159C9" w:rsidRPr="0042750D" w:rsidRDefault="005159C9" w:rsidP="00766974">
            <w:pPr>
              <w:pStyle w:val="Tabletext"/>
              <w:numPr>
                <w:ilvl w:val="0"/>
                <w:numId w:val="20"/>
              </w:numPr>
              <w:rPr>
                <w:szCs w:val="22"/>
              </w:rPr>
            </w:pPr>
            <w:r w:rsidRPr="0042750D">
              <w:rPr>
                <w:szCs w:val="22"/>
              </w:rPr>
              <w:t>Procurement Guidelines for Smart Sustainable Cities​</w:t>
            </w:r>
          </w:p>
          <w:p w14:paraId="328A0810" w14:textId="0E3CC6F5" w:rsidR="005159C9" w:rsidRPr="0042750D" w:rsidRDefault="005159C9" w:rsidP="00766974">
            <w:pPr>
              <w:pStyle w:val="Tabletext"/>
              <w:numPr>
                <w:ilvl w:val="0"/>
                <w:numId w:val="20"/>
              </w:numPr>
              <w:rPr>
                <w:szCs w:val="22"/>
              </w:rPr>
            </w:pPr>
            <w:r w:rsidRPr="0042750D">
              <w:rPr>
                <w:szCs w:val="22"/>
              </w:rPr>
              <w:t>City Platforms</w:t>
            </w:r>
          </w:p>
          <w:p w14:paraId="1AD3AE60" w14:textId="77777777" w:rsidR="005159C9" w:rsidRPr="0042750D" w:rsidRDefault="005159C9" w:rsidP="005159C9">
            <w:pPr>
              <w:pStyle w:val="Tabletext"/>
              <w:numPr>
                <w:ilvl w:val="0"/>
                <w:numId w:val="20"/>
              </w:numPr>
              <w:rPr>
                <w:szCs w:val="22"/>
              </w:rPr>
            </w:pPr>
            <w:r w:rsidRPr="0042750D">
              <w:rPr>
                <w:szCs w:val="22"/>
              </w:rPr>
              <w:t>U4SSC Index:</w:t>
            </w:r>
          </w:p>
          <w:p w14:paraId="38EF8E45" w14:textId="28258C0D" w:rsidR="005159C9" w:rsidRPr="0042750D" w:rsidRDefault="00DD025B" w:rsidP="00766974">
            <w:pPr>
              <w:pStyle w:val="Tabletext"/>
              <w:numPr>
                <w:ilvl w:val="1"/>
                <w:numId w:val="20"/>
              </w:numPr>
              <w:rPr>
                <w:szCs w:val="22"/>
              </w:rPr>
            </w:pPr>
            <w:hyperlink r:id="rId151" w:history="1">
              <w:r w:rsidR="005159C9" w:rsidRPr="0042750D">
                <w:rPr>
                  <w:rStyle w:val="Hyperlink"/>
                  <w:szCs w:val="22"/>
                </w:rPr>
                <w:t>The first meeting of the Thematic Group on the U4SSC index</w:t>
              </w:r>
            </w:hyperlink>
            <w:r w:rsidR="005159C9" w:rsidRPr="0042750D">
              <w:rPr>
                <w:szCs w:val="22"/>
              </w:rPr>
              <w:t xml:space="preserve"> took place on 13 December 2019 in Vienna, Austria.</w:t>
            </w:r>
          </w:p>
        </w:tc>
      </w:tr>
    </w:tbl>
    <w:p w14:paraId="40733FB9"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3107ABBD" w14:textId="6849143E" w:rsidR="00F0236A" w:rsidRPr="0042750D" w:rsidRDefault="00895677" w:rsidP="003F7C87">
      <w:pPr>
        <w:pStyle w:val="Heading1"/>
        <w:keepNext/>
        <w:keepLines/>
        <w:rPr>
          <w:sz w:val="24"/>
          <w:szCs w:val="24"/>
          <w:lang w:val="en-GB"/>
        </w:rPr>
      </w:pPr>
      <w:bookmarkStart w:id="355" w:name="_Resolution_87_-"/>
      <w:bookmarkStart w:id="356" w:name="_Toc30749189"/>
      <w:bookmarkEnd w:id="355"/>
      <w:r w:rsidRPr="0042750D">
        <w:rPr>
          <w:sz w:val="24"/>
          <w:szCs w:val="24"/>
          <w:lang w:val="en-GB"/>
        </w:rPr>
        <w:t>RESOLUTION 198 (REV. DUBAI, 2018) – Empowerment of youth through telecommunication/information and communication technology</w:t>
      </w:r>
      <w:bookmarkEnd w:id="356"/>
    </w:p>
    <w:p w14:paraId="53129D0C" w14:textId="77777777" w:rsidR="00830923" w:rsidRPr="0042750D" w:rsidRDefault="00830923" w:rsidP="003F7C87">
      <w:pPr>
        <w:pStyle w:val="Call"/>
        <w:rPr>
          <w:szCs w:val="22"/>
          <w:lang w:val="en-GB"/>
        </w:rPr>
      </w:pPr>
      <w:r w:rsidRPr="0042750D">
        <w:rPr>
          <w:szCs w:val="22"/>
          <w:lang w:val="en-GB"/>
        </w:rPr>
        <w:t>resolves</w:t>
      </w:r>
    </w:p>
    <w:p w14:paraId="0C1FC1B6" w14:textId="77777777" w:rsidR="00830923" w:rsidRPr="0042750D" w:rsidRDefault="00830923" w:rsidP="003F7C87">
      <w:pPr>
        <w:keepNext/>
        <w:keepLines/>
        <w:rPr>
          <w:szCs w:val="22"/>
        </w:rPr>
      </w:pPr>
      <w:r w:rsidRPr="0042750D">
        <w:rPr>
          <w:szCs w:val="22"/>
        </w:rPr>
        <w:t>1</w:t>
      </w:r>
      <w:r w:rsidRPr="0042750D">
        <w:rPr>
          <w:szCs w:val="22"/>
        </w:rPr>
        <w:tab/>
        <w:t>that ITU continue to engage with youth in outreach, through communications, capacity building and research, from the perspectives of digital inclusion;</w:t>
      </w:r>
    </w:p>
    <w:p w14:paraId="39570942" w14:textId="77777777" w:rsidR="00830923" w:rsidRPr="0042750D" w:rsidRDefault="00830923" w:rsidP="00830923">
      <w:pPr>
        <w:rPr>
          <w:szCs w:val="22"/>
        </w:rPr>
      </w:pPr>
      <w:r w:rsidRPr="0042750D">
        <w:rPr>
          <w:szCs w:val="22"/>
        </w:rPr>
        <w:t>2</w:t>
      </w:r>
      <w:r w:rsidRPr="0042750D">
        <w:rPr>
          <w:szCs w:val="22"/>
        </w:rPr>
        <w:tab/>
        <w:t>that ITU promote innovation</w:t>
      </w:r>
      <w:r w:rsidRPr="0042750D">
        <w:rPr>
          <w:color w:val="000000"/>
          <w:szCs w:val="22"/>
        </w:rPr>
        <w:t>, entrepreneurship and skills development,</w:t>
      </w:r>
      <w:r w:rsidRPr="0042750D">
        <w:rPr>
          <w:szCs w:val="22"/>
        </w:rPr>
        <w:t xml:space="preserve"> in order to provide tools for self-empowerment of youth and their satisfactory participation in the digital economy and all aspects of society;</w:t>
      </w:r>
    </w:p>
    <w:p w14:paraId="5B0AEDE9" w14:textId="77777777" w:rsidR="00830923" w:rsidRPr="0042750D" w:rsidRDefault="00830923" w:rsidP="00830923">
      <w:pPr>
        <w:rPr>
          <w:szCs w:val="22"/>
        </w:rPr>
      </w:pPr>
      <w:r w:rsidRPr="0042750D">
        <w:rPr>
          <w:szCs w:val="22"/>
        </w:rPr>
        <w:t>3</w:t>
      </w:r>
      <w:r w:rsidRPr="0042750D">
        <w:rPr>
          <w:szCs w:val="22"/>
        </w:rPr>
        <w:tab/>
        <w:t>that ITU should promote partnerships with academia for the purpose of youth development;</w:t>
      </w:r>
    </w:p>
    <w:p w14:paraId="4D55E1AE" w14:textId="77777777" w:rsidR="00830923" w:rsidRPr="0042750D" w:rsidRDefault="00830923" w:rsidP="00830923">
      <w:pPr>
        <w:rPr>
          <w:szCs w:val="22"/>
        </w:rPr>
      </w:pPr>
      <w:r w:rsidRPr="0042750D">
        <w:rPr>
          <w:szCs w:val="22"/>
        </w:rPr>
        <w:t>4</w:t>
      </w:r>
      <w:r w:rsidRPr="0042750D">
        <w:rPr>
          <w:szCs w:val="22"/>
        </w:rPr>
        <w:tab/>
        <w:t>to accord high priority to the incorporation of young professionals in the human resources and operations of ITU;</w:t>
      </w:r>
    </w:p>
    <w:p w14:paraId="72BFA879" w14:textId="77777777" w:rsidR="00830923" w:rsidRPr="0042750D" w:rsidRDefault="00830923" w:rsidP="00830923">
      <w:pPr>
        <w:rPr>
          <w:szCs w:val="22"/>
        </w:rPr>
      </w:pPr>
      <w:r w:rsidRPr="0042750D">
        <w:rPr>
          <w:szCs w:val="22"/>
        </w:rPr>
        <w:t>5</w:t>
      </w:r>
      <w:r w:rsidRPr="0042750D">
        <w:rPr>
          <w:szCs w:val="22"/>
        </w:rPr>
        <w:tab/>
        <w:t>to continue the work being done at ITU, and particularly in BDT, to help empower youth through ICTs by promoting policies that improve socio-economic conditions for youth, particularly in developing countries;</w:t>
      </w:r>
    </w:p>
    <w:p w14:paraId="03C8FA75" w14:textId="77777777" w:rsidR="00830923" w:rsidRPr="0042750D" w:rsidRDefault="00830923" w:rsidP="00830923">
      <w:pPr>
        <w:rPr>
          <w:szCs w:val="22"/>
        </w:rPr>
      </w:pPr>
      <w:r w:rsidRPr="0042750D">
        <w:rPr>
          <w:szCs w:val="22"/>
        </w:rPr>
        <w:t>6</w:t>
      </w:r>
      <w:r w:rsidRPr="0042750D">
        <w:rPr>
          <w:szCs w:val="22"/>
        </w:rPr>
        <w:tab/>
        <w:t>to maintain a youth perspective in the implementation of the ITU strategic plan and financial plan for 2020-2023 as well as in the operational plans of the Sectors and the General Secretariat;</w:t>
      </w:r>
    </w:p>
    <w:p w14:paraId="503D0177" w14:textId="77777777" w:rsidR="00830923" w:rsidRPr="0042750D" w:rsidRDefault="00830923" w:rsidP="00830923">
      <w:pPr>
        <w:rPr>
          <w:szCs w:val="22"/>
        </w:rPr>
      </w:pPr>
      <w:r w:rsidRPr="0042750D">
        <w:rPr>
          <w:szCs w:val="22"/>
        </w:rPr>
        <w:t>7</w:t>
      </w:r>
      <w:r w:rsidRPr="0042750D">
        <w:rPr>
          <w:szCs w:val="22"/>
        </w:rPr>
        <w:tab/>
        <w:t>that there is a need for ITU to investigate, analyse and further understand the impact of telecommunication/ICT technologies on youth;</w:t>
      </w:r>
    </w:p>
    <w:p w14:paraId="4F6E1D74" w14:textId="77777777" w:rsidR="00830923" w:rsidRPr="0042750D" w:rsidRDefault="00830923" w:rsidP="00830923">
      <w:pPr>
        <w:rPr>
          <w:szCs w:val="22"/>
        </w:rPr>
      </w:pPr>
      <w:r w:rsidRPr="0042750D">
        <w:rPr>
          <w:szCs w:val="22"/>
        </w:rPr>
        <w:t>8</w:t>
      </w:r>
      <w:r w:rsidRPr="0042750D">
        <w:rPr>
          <w:szCs w:val="22"/>
        </w:rPr>
        <w:tab/>
        <w:t>that all activities foreseen in this resolution should fall within the existing financial resources of the Union;</w:t>
      </w:r>
    </w:p>
    <w:p w14:paraId="4E6CC235" w14:textId="132D1180" w:rsidR="00830923" w:rsidRPr="0042750D" w:rsidRDefault="00830923" w:rsidP="00830923">
      <w:pPr>
        <w:rPr>
          <w:szCs w:val="22"/>
        </w:rPr>
      </w:pPr>
      <w:r w:rsidRPr="0042750D">
        <w:rPr>
          <w:szCs w:val="22"/>
        </w:rPr>
        <w:t>9</w:t>
      </w:r>
      <w:r w:rsidRPr="0042750D">
        <w:rPr>
          <w:szCs w:val="22"/>
        </w:rPr>
        <w:tab/>
        <w:t xml:space="preserve">to note that age groups of youth shall be defined on a case-by-case basis depending on the nature of ITU </w:t>
      </w:r>
      <w:r w:rsidR="005B4FE7" w:rsidRPr="0042750D">
        <w:rPr>
          <w:szCs w:val="22"/>
        </w:rPr>
        <w:t>activities,</w:t>
      </w:r>
    </w:p>
    <w:p w14:paraId="154E48CC" w14:textId="77777777" w:rsidR="008F0486" w:rsidRPr="0042750D" w:rsidRDefault="008F0486" w:rsidP="008F0486">
      <w:pPr>
        <w:pStyle w:val="Call"/>
        <w:rPr>
          <w:szCs w:val="22"/>
          <w:lang w:val="en-GB"/>
        </w:rPr>
      </w:pPr>
      <w:r w:rsidRPr="0042750D">
        <w:rPr>
          <w:szCs w:val="22"/>
          <w:lang w:val="en-GB"/>
        </w:rPr>
        <w:t>instructs the Directors of the three Bureaux</w:t>
      </w:r>
    </w:p>
    <w:p w14:paraId="2A343C80" w14:textId="7A86091E" w:rsidR="00F0236A" w:rsidRPr="0042750D" w:rsidRDefault="008F0486" w:rsidP="008F0486">
      <w:pPr>
        <w:spacing w:after="120"/>
        <w:rPr>
          <w:szCs w:val="22"/>
        </w:rPr>
      </w:pPr>
      <w:r w:rsidRPr="0042750D">
        <w:rPr>
          <w:szCs w:val="22"/>
        </w:rPr>
        <w:t>to continue to explore ways and means of involving young professionals in the work of the Bureaux</w:t>
      </w:r>
      <w:r w:rsidR="00F0236A" w:rsidRPr="0042750D">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42750D" w14:paraId="46B20E65" w14:textId="77777777" w:rsidTr="0048293B">
        <w:trPr>
          <w:tblHeader/>
          <w:jc w:val="center"/>
        </w:trPr>
        <w:tc>
          <w:tcPr>
            <w:tcW w:w="1131" w:type="dxa"/>
            <w:tcBorders>
              <w:top w:val="single" w:sz="12" w:space="0" w:color="auto"/>
              <w:bottom w:val="single" w:sz="12" w:space="0" w:color="auto"/>
            </w:tcBorders>
            <w:shd w:val="clear" w:color="auto" w:fill="auto"/>
            <w:vAlign w:val="center"/>
          </w:tcPr>
          <w:p w14:paraId="3101BC70" w14:textId="77777777" w:rsidR="00F0236A" w:rsidRPr="0042750D" w:rsidRDefault="00F0236A" w:rsidP="002274A4">
            <w:pPr>
              <w:pStyle w:val="Tablehead"/>
              <w:keepLines/>
              <w:rPr>
                <w:sz w:val="24"/>
                <w:szCs w:val="24"/>
              </w:rPr>
            </w:pPr>
            <w:r w:rsidRPr="0042750D">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2AA6E889" w14:textId="77777777" w:rsidR="00F0236A" w:rsidRPr="0042750D" w:rsidRDefault="00F0236A" w:rsidP="002274A4">
            <w:pPr>
              <w:pStyle w:val="Tablehead"/>
              <w:keepLines/>
              <w:rPr>
                <w:sz w:val="24"/>
                <w:szCs w:val="24"/>
              </w:rPr>
            </w:pPr>
            <w:r w:rsidRPr="0042750D">
              <w:rPr>
                <w:sz w:val="24"/>
                <w:szCs w:val="24"/>
              </w:rPr>
              <w:t>Action</w:t>
            </w:r>
          </w:p>
        </w:tc>
        <w:tc>
          <w:tcPr>
            <w:tcW w:w="1336" w:type="dxa"/>
            <w:tcBorders>
              <w:top w:val="single" w:sz="12" w:space="0" w:color="auto"/>
              <w:bottom w:val="single" w:sz="12" w:space="0" w:color="auto"/>
            </w:tcBorders>
            <w:shd w:val="clear" w:color="auto" w:fill="auto"/>
            <w:vAlign w:val="center"/>
            <w:hideMark/>
          </w:tcPr>
          <w:p w14:paraId="60338D0F" w14:textId="77777777" w:rsidR="00F0236A" w:rsidRPr="0042750D" w:rsidRDefault="00F0236A" w:rsidP="00DF36E1">
            <w:pPr>
              <w:pStyle w:val="Tablehead"/>
              <w:rPr>
                <w:sz w:val="24"/>
                <w:szCs w:val="24"/>
              </w:rPr>
            </w:pPr>
            <w:r w:rsidRPr="0042750D">
              <w:rPr>
                <w:sz w:val="24"/>
                <w:szCs w:val="24"/>
              </w:rPr>
              <w:t>Milestone</w:t>
            </w:r>
          </w:p>
        </w:tc>
        <w:tc>
          <w:tcPr>
            <w:tcW w:w="1143" w:type="dxa"/>
            <w:tcBorders>
              <w:top w:val="single" w:sz="12" w:space="0" w:color="auto"/>
              <w:bottom w:val="single" w:sz="12" w:space="0" w:color="auto"/>
            </w:tcBorders>
            <w:shd w:val="clear" w:color="auto" w:fill="auto"/>
          </w:tcPr>
          <w:p w14:paraId="34B7689E"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B354C03"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7ABF83D5" w14:textId="77777777" w:rsidTr="00604268">
        <w:trPr>
          <w:jc w:val="center"/>
        </w:trPr>
        <w:tc>
          <w:tcPr>
            <w:tcW w:w="1131" w:type="dxa"/>
            <w:vMerge w:val="restart"/>
            <w:tcBorders>
              <w:top w:val="single" w:sz="12" w:space="0" w:color="auto"/>
            </w:tcBorders>
            <w:shd w:val="clear" w:color="auto" w:fill="auto"/>
          </w:tcPr>
          <w:p w14:paraId="37DF038C" w14:textId="095EB624" w:rsidR="00F0236A" w:rsidRPr="0042750D" w:rsidRDefault="008F0486" w:rsidP="002274A4">
            <w:pPr>
              <w:pStyle w:val="Tabletext"/>
              <w:keepNext/>
              <w:keepLines/>
              <w:rPr>
                <w:b/>
                <w:bCs/>
                <w:sz w:val="24"/>
                <w:szCs w:val="24"/>
              </w:rPr>
            </w:pPr>
            <w:r w:rsidRPr="0042750D">
              <w:rPr>
                <w:b/>
                <w:bCs/>
                <w:sz w:val="24"/>
                <w:szCs w:val="24"/>
              </w:rPr>
              <w:t>198</w:t>
            </w:r>
            <w:r w:rsidR="00F0236A" w:rsidRPr="0042750D">
              <w:rPr>
                <w:b/>
                <w:bCs/>
                <w:sz w:val="24"/>
                <w:szCs w:val="24"/>
              </w:rPr>
              <w:t>-01</w:t>
            </w:r>
          </w:p>
        </w:tc>
        <w:tc>
          <w:tcPr>
            <w:tcW w:w="4984" w:type="dxa"/>
            <w:tcBorders>
              <w:top w:val="single" w:sz="12" w:space="0" w:color="auto"/>
              <w:bottom w:val="single" w:sz="2" w:space="0" w:color="auto"/>
            </w:tcBorders>
            <w:shd w:val="clear" w:color="auto" w:fill="auto"/>
            <w:hideMark/>
          </w:tcPr>
          <w:p w14:paraId="0197D6F3" w14:textId="154CDAD8" w:rsidR="00F0236A" w:rsidRPr="0042750D" w:rsidRDefault="00604268" w:rsidP="00604268">
            <w:pPr>
              <w:pStyle w:val="Tabletext"/>
              <w:keepNext/>
              <w:keepLines/>
              <w:rPr>
                <w:b/>
                <w:bCs/>
                <w:sz w:val="24"/>
                <w:szCs w:val="24"/>
              </w:rPr>
            </w:pPr>
            <w:r w:rsidRPr="0042750D">
              <w:rPr>
                <w:b/>
                <w:bCs/>
                <w:sz w:val="24"/>
                <w:szCs w:val="24"/>
              </w:rPr>
              <w:t>ITU-T continue to engage with youth in outreach, through communications, capacity building and research, from the perspectives of digital inclusion</w:t>
            </w:r>
            <w:r w:rsidR="00812E7E" w:rsidRPr="0042750D">
              <w:rPr>
                <w:b/>
                <w:bCs/>
                <w:sz w:val="24"/>
                <w:szCs w:val="24"/>
              </w:rPr>
              <w:t xml:space="preserve"> (</w:t>
            </w:r>
            <w:r w:rsidR="00812E7E" w:rsidRPr="0042750D">
              <w:rPr>
                <w:b/>
                <w:bCs/>
                <w:i/>
                <w:sz w:val="24"/>
                <w:szCs w:val="24"/>
              </w:rPr>
              <w:t>resolves 1</w:t>
            </w:r>
            <w:r w:rsidR="00812E7E" w:rsidRPr="0042750D">
              <w:rPr>
                <w:b/>
                <w:bCs/>
                <w:sz w:val="24"/>
                <w:szCs w:val="24"/>
              </w:rPr>
              <w:t>)</w:t>
            </w:r>
            <w:r w:rsidRPr="0042750D">
              <w:rPr>
                <w:b/>
                <w:bCs/>
                <w:sz w:val="24"/>
                <w:szCs w:val="24"/>
              </w:rPr>
              <w:t>.</w:t>
            </w:r>
          </w:p>
        </w:tc>
        <w:tc>
          <w:tcPr>
            <w:tcW w:w="1336" w:type="dxa"/>
            <w:tcBorders>
              <w:top w:val="single" w:sz="12" w:space="0" w:color="auto"/>
              <w:bottom w:val="single" w:sz="2" w:space="0" w:color="auto"/>
            </w:tcBorders>
            <w:shd w:val="clear" w:color="auto" w:fill="auto"/>
            <w:vAlign w:val="center"/>
          </w:tcPr>
          <w:p w14:paraId="391DC786"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3" w:type="dxa"/>
            <w:tcBorders>
              <w:top w:val="single" w:sz="12" w:space="0" w:color="auto"/>
              <w:bottom w:val="single" w:sz="2" w:space="0" w:color="auto"/>
            </w:tcBorders>
            <w:shd w:val="clear" w:color="auto" w:fill="auto"/>
            <w:vAlign w:val="center"/>
          </w:tcPr>
          <w:p w14:paraId="467C2FB4" w14:textId="34BFF793" w:rsidR="00F0236A" w:rsidRPr="0042750D" w:rsidRDefault="00F0236A" w:rsidP="00DF36E1">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253EF165" w14:textId="77777777" w:rsidR="00F0236A" w:rsidRPr="0042750D" w:rsidRDefault="00F0236A" w:rsidP="00DF36E1">
            <w:pPr>
              <w:pStyle w:val="Tabletext"/>
              <w:jc w:val="center"/>
              <w:rPr>
                <w:b/>
                <w:bCs/>
                <w:sz w:val="24"/>
                <w:szCs w:val="24"/>
              </w:rPr>
            </w:pPr>
          </w:p>
        </w:tc>
      </w:tr>
      <w:tr w:rsidR="00F0236A" w:rsidRPr="0042750D" w14:paraId="1FD31B97" w14:textId="77777777" w:rsidTr="00BD6575">
        <w:trPr>
          <w:jc w:val="center"/>
        </w:trPr>
        <w:tc>
          <w:tcPr>
            <w:tcW w:w="1131" w:type="dxa"/>
            <w:vMerge/>
            <w:tcBorders>
              <w:bottom w:val="single" w:sz="12" w:space="0" w:color="auto"/>
            </w:tcBorders>
            <w:shd w:val="clear" w:color="auto" w:fill="auto"/>
          </w:tcPr>
          <w:p w14:paraId="203181E9" w14:textId="77777777" w:rsidR="00F0236A" w:rsidRPr="0042750D"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651811E" w14:textId="43898F94" w:rsidR="001F037E" w:rsidRPr="0042750D" w:rsidRDefault="001F037E" w:rsidP="001F037E">
            <w:pPr>
              <w:pStyle w:val="Tabletext"/>
              <w:rPr>
                <w:szCs w:val="22"/>
              </w:rPr>
            </w:pPr>
          </w:p>
        </w:tc>
      </w:tr>
      <w:tr w:rsidR="00F0236A" w:rsidRPr="0042750D" w14:paraId="3E3C600D" w14:textId="77777777" w:rsidTr="00604268">
        <w:trPr>
          <w:jc w:val="center"/>
        </w:trPr>
        <w:tc>
          <w:tcPr>
            <w:tcW w:w="1131" w:type="dxa"/>
            <w:vMerge w:val="restart"/>
            <w:tcBorders>
              <w:top w:val="single" w:sz="12" w:space="0" w:color="auto"/>
            </w:tcBorders>
            <w:shd w:val="clear" w:color="auto" w:fill="auto"/>
          </w:tcPr>
          <w:p w14:paraId="00D63279" w14:textId="35D8B5F6" w:rsidR="00F0236A" w:rsidRPr="0042750D" w:rsidRDefault="00604268" w:rsidP="008B1BCF">
            <w:pPr>
              <w:pStyle w:val="Tabletext"/>
              <w:keepNext/>
              <w:keepLines/>
              <w:rPr>
                <w:b/>
                <w:bCs/>
                <w:sz w:val="24"/>
                <w:szCs w:val="24"/>
              </w:rPr>
            </w:pPr>
            <w:r w:rsidRPr="0042750D">
              <w:rPr>
                <w:b/>
                <w:bCs/>
                <w:sz w:val="24"/>
                <w:szCs w:val="24"/>
              </w:rPr>
              <w:t>198-02</w:t>
            </w:r>
          </w:p>
        </w:tc>
        <w:tc>
          <w:tcPr>
            <w:tcW w:w="4984" w:type="dxa"/>
            <w:tcBorders>
              <w:top w:val="single" w:sz="12" w:space="0" w:color="auto"/>
              <w:bottom w:val="single" w:sz="4" w:space="0" w:color="auto"/>
            </w:tcBorders>
            <w:shd w:val="clear" w:color="auto" w:fill="auto"/>
          </w:tcPr>
          <w:p w14:paraId="345AEB6E" w14:textId="0160629B" w:rsidR="00F0236A" w:rsidRPr="0042750D" w:rsidRDefault="00604268" w:rsidP="008F0486">
            <w:pPr>
              <w:pStyle w:val="Tabletext"/>
              <w:rPr>
                <w:b/>
                <w:bCs/>
                <w:sz w:val="24"/>
                <w:szCs w:val="24"/>
              </w:rPr>
            </w:pPr>
            <w:r w:rsidRPr="0042750D">
              <w:rPr>
                <w:b/>
                <w:bCs/>
                <w:sz w:val="24"/>
                <w:szCs w:val="24"/>
              </w:rPr>
              <w:t>ITU-T should promote partnerships with academia for the purpose of youth development</w:t>
            </w:r>
            <w:r w:rsidR="00812E7E" w:rsidRPr="0042750D">
              <w:rPr>
                <w:b/>
                <w:bCs/>
                <w:sz w:val="24"/>
                <w:szCs w:val="24"/>
              </w:rPr>
              <w:t xml:space="preserve"> (</w:t>
            </w:r>
            <w:r w:rsidR="00812E7E" w:rsidRPr="0042750D">
              <w:rPr>
                <w:b/>
                <w:bCs/>
                <w:i/>
                <w:sz w:val="24"/>
                <w:szCs w:val="24"/>
              </w:rPr>
              <w:t>resolves 2</w:t>
            </w:r>
            <w:r w:rsidR="00812E7E" w:rsidRPr="0042750D">
              <w:rPr>
                <w:b/>
                <w:bCs/>
                <w:sz w:val="24"/>
                <w:szCs w:val="24"/>
              </w:rPr>
              <w:t>)</w:t>
            </w:r>
            <w:r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1F069988" w14:textId="0C0D7BC9" w:rsidR="00F0236A" w:rsidRPr="0042750D" w:rsidRDefault="00604268" w:rsidP="00DF36E1">
            <w:pPr>
              <w:pStyle w:val="Tabletext"/>
              <w:jc w:val="center"/>
              <w:rPr>
                <w:b/>
                <w:bCs/>
                <w:sz w:val="24"/>
                <w:szCs w:val="24"/>
              </w:rPr>
            </w:pPr>
            <w:r w:rsidRPr="0042750D">
              <w:rPr>
                <w:b/>
                <w:bCs/>
                <w:sz w:val="24"/>
                <w:szCs w:val="24"/>
              </w:rPr>
              <w:t>Ongoing</w:t>
            </w:r>
          </w:p>
        </w:tc>
        <w:tc>
          <w:tcPr>
            <w:tcW w:w="1143" w:type="dxa"/>
            <w:tcBorders>
              <w:top w:val="single" w:sz="12" w:space="0" w:color="auto"/>
              <w:bottom w:val="single" w:sz="4" w:space="0" w:color="auto"/>
            </w:tcBorders>
            <w:shd w:val="clear" w:color="auto" w:fill="auto"/>
            <w:vAlign w:val="center"/>
          </w:tcPr>
          <w:p w14:paraId="5B3CA8B8" w14:textId="0346F42C" w:rsidR="00F0236A" w:rsidRPr="0042750D" w:rsidRDefault="00B441EB"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412186C7" w14:textId="77777777" w:rsidR="00F0236A" w:rsidRPr="0042750D" w:rsidRDefault="00F0236A" w:rsidP="00DF36E1">
            <w:pPr>
              <w:pStyle w:val="Tabletext"/>
              <w:jc w:val="center"/>
              <w:rPr>
                <w:b/>
                <w:bCs/>
                <w:sz w:val="24"/>
                <w:szCs w:val="24"/>
              </w:rPr>
            </w:pPr>
          </w:p>
        </w:tc>
      </w:tr>
      <w:tr w:rsidR="00F0236A" w:rsidRPr="0042750D" w14:paraId="1A584E49" w14:textId="77777777" w:rsidTr="00BD6575">
        <w:trPr>
          <w:jc w:val="center"/>
        </w:trPr>
        <w:tc>
          <w:tcPr>
            <w:tcW w:w="1131" w:type="dxa"/>
            <w:vMerge/>
            <w:tcBorders>
              <w:bottom w:val="single" w:sz="12" w:space="0" w:color="auto"/>
            </w:tcBorders>
            <w:shd w:val="clear" w:color="auto" w:fill="auto"/>
          </w:tcPr>
          <w:p w14:paraId="2D3DB1CF" w14:textId="77777777" w:rsidR="00F0236A" w:rsidRPr="0042750D"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F22F5AE" w14:textId="77777777" w:rsidR="00B441EB" w:rsidRPr="0042750D" w:rsidRDefault="00B441EB" w:rsidP="00B441EB">
            <w:pPr>
              <w:pStyle w:val="Tabletext"/>
              <w:rPr>
                <w:rFonts w:eastAsiaTheme="minorHAnsi"/>
                <w:szCs w:val="22"/>
                <w:lang w:eastAsia="en-GB"/>
              </w:rPr>
            </w:pPr>
            <w:r w:rsidRPr="0042750D">
              <w:t>ITU Kaleidoscope academic conferences are peer-reviewed academic conferences that increase dialogue between academics (students, researchers and professors) and ICT standardization experts.</w:t>
            </w:r>
          </w:p>
          <w:p w14:paraId="3B37E117" w14:textId="3BCB84F2" w:rsidR="00B441EB" w:rsidRPr="0042750D" w:rsidRDefault="00B441EB" w:rsidP="00B441EB">
            <w:pPr>
              <w:pStyle w:val="Tabletext"/>
            </w:pPr>
            <w:r w:rsidRPr="0042750D">
              <w:t>There is an annual call for academic papers that discuss emerging trends in ICT research and associated implications for international standardization. The authors of the three best papers are awarded a prize, while young authors of up to 30 years of age receive Young Author Recognition certificates. Relevant papers are submitted as potential contributio</w:t>
            </w:r>
            <w:r w:rsidR="00BA6717" w:rsidRPr="0042750D">
              <w:t>s</w:t>
            </w:r>
            <w:r w:rsidRPr="0042750D">
              <w:t>n to specific ITU working groups and activities.</w:t>
            </w:r>
          </w:p>
          <w:p w14:paraId="256386C7" w14:textId="7DB70601" w:rsidR="00F0236A" w:rsidRPr="0042750D" w:rsidRDefault="00B441EB" w:rsidP="00B441EB">
            <w:pPr>
              <w:pStyle w:val="Tabletext"/>
            </w:pPr>
            <w:r w:rsidRPr="0042750D">
              <w:t>Also, local universities are invited to showcase their ideas and research projects at the Local Universities Exhibit.</w:t>
            </w:r>
          </w:p>
          <w:p w14:paraId="37F315EC" w14:textId="77777777" w:rsidR="00F54A72" w:rsidRPr="0042750D" w:rsidRDefault="00F54A72" w:rsidP="00F54A72">
            <w:pPr>
              <w:rPr>
                <w:rFonts w:eastAsia="Times New Roman"/>
                <w:szCs w:val="20"/>
                <w:lang w:eastAsia="en-US"/>
              </w:rPr>
            </w:pPr>
            <w:r w:rsidRPr="0042750D">
              <w:rPr>
                <w:rFonts w:eastAsia="Times New Roman"/>
                <w:szCs w:val="20"/>
                <w:lang w:eastAsia="en-US"/>
              </w:rPr>
              <w:t>In January this year, ITU Secretary-General Houlin Zhao joined the Directors of ITU’s Radiocommunication and Development Bureaux along with the Deputy Director of Standardization to welcome the delegation of Tsinghua University, to strengthen collaboration between ITU and Tsinghua University.</w:t>
            </w:r>
          </w:p>
          <w:p w14:paraId="039CD4AE" w14:textId="77777777" w:rsidR="00F54A72" w:rsidRPr="0042750D" w:rsidRDefault="00F54A72" w:rsidP="00F54A72">
            <w:pPr>
              <w:rPr>
                <w:rFonts w:eastAsia="Times New Roman"/>
                <w:szCs w:val="20"/>
                <w:lang w:eastAsia="en-US"/>
              </w:rPr>
            </w:pPr>
            <w:r w:rsidRPr="0042750D">
              <w:rPr>
                <w:rFonts w:eastAsia="Times New Roman"/>
                <w:szCs w:val="20"/>
                <w:lang w:eastAsia="en-US"/>
              </w:rPr>
              <w:t xml:space="preserve">Together they signed a Memorandum of Understanding (MoU) at ITU Headquarters, along with a Co-Publishing Agreement between ITU and the Tsinghua University Press Ltd. for a new joint publication under the framework of the ITU Journal: </w:t>
            </w:r>
            <w:r w:rsidRPr="0042750D">
              <w:rPr>
                <w:rFonts w:eastAsia="Times New Roman"/>
                <w:i/>
                <w:szCs w:val="20"/>
                <w:lang w:eastAsia="en-US"/>
              </w:rPr>
              <w:t>ICT Discoveries</w:t>
            </w:r>
            <w:r w:rsidRPr="0042750D">
              <w:rPr>
                <w:rFonts w:eastAsia="Times New Roman"/>
                <w:szCs w:val="20"/>
                <w:lang w:eastAsia="en-US"/>
              </w:rPr>
              <w:t>. The history of collaboration between ITU and Tsinghua University has proven to be an excellent example of good and substantial cooperation. The ITU Journal is just the beginning. The MoU will open more horizons to expand the work together and join forces in promoting innovative research, promotion of the ITU Journal, and other key activities.</w:t>
            </w:r>
          </w:p>
          <w:p w14:paraId="3297D7CD" w14:textId="77777777" w:rsidR="00F54A72" w:rsidRPr="0042750D" w:rsidRDefault="00F54A72" w:rsidP="00F54A72">
            <w:pPr>
              <w:rPr>
                <w:rFonts w:eastAsia="Times New Roman"/>
                <w:szCs w:val="20"/>
                <w:lang w:eastAsia="en-US"/>
              </w:rPr>
            </w:pPr>
            <w:r w:rsidRPr="0042750D">
              <w:rPr>
                <w:rFonts w:eastAsia="Times New Roman"/>
                <w:szCs w:val="20"/>
                <w:lang w:eastAsia="en-US"/>
              </w:rPr>
              <w:t>Additionally, the signatories intend to build on the successful experience of having Tsinghua University students as interns at ITU to work on specific projects; and, jointly promote their respective training and educational activities by leveraging existing infrastructure and platforms, and to develop relevant joint initiatives.</w:t>
            </w:r>
          </w:p>
          <w:p w14:paraId="32DB18EF" w14:textId="3A7C09EB" w:rsidR="00F54A72" w:rsidRPr="0042750D" w:rsidRDefault="00F54A72" w:rsidP="00F54A72">
            <w:pPr>
              <w:spacing w:after="40"/>
              <w:rPr>
                <w:color w:val="1F497D"/>
              </w:rPr>
            </w:pPr>
            <w:r w:rsidRPr="0042750D">
              <w:rPr>
                <w:rFonts w:eastAsia="Times New Roman"/>
                <w:szCs w:val="20"/>
                <w:lang w:eastAsia="en-US"/>
              </w:rPr>
              <w:t>Following this model, a new MoU will be signed with Zhejiang University on 13 September 2019.</w:t>
            </w:r>
          </w:p>
        </w:tc>
      </w:tr>
      <w:tr w:rsidR="00D50A4E" w:rsidRPr="0042750D" w14:paraId="24F1B885" w14:textId="77777777" w:rsidTr="00D50A4E">
        <w:trPr>
          <w:jc w:val="center"/>
        </w:trPr>
        <w:tc>
          <w:tcPr>
            <w:tcW w:w="1131" w:type="dxa"/>
            <w:vMerge w:val="restart"/>
            <w:tcBorders>
              <w:top w:val="single" w:sz="12" w:space="0" w:color="auto"/>
            </w:tcBorders>
            <w:shd w:val="clear" w:color="auto" w:fill="auto"/>
          </w:tcPr>
          <w:p w14:paraId="5EADBA64" w14:textId="29D4ED0B" w:rsidR="00D50A4E" w:rsidRPr="0042750D" w:rsidRDefault="00D50A4E" w:rsidP="00D50A4E">
            <w:pPr>
              <w:pStyle w:val="Tabletext"/>
              <w:keepNext/>
              <w:keepLines/>
              <w:rPr>
                <w:b/>
                <w:bCs/>
                <w:sz w:val="24"/>
                <w:szCs w:val="24"/>
              </w:rPr>
            </w:pPr>
            <w:bookmarkStart w:id="357" w:name="Item87_01"/>
            <w:bookmarkStart w:id="358" w:name="Item87_02"/>
            <w:bookmarkStart w:id="359" w:name="Item87_03"/>
            <w:bookmarkEnd w:id="357"/>
            <w:bookmarkEnd w:id="358"/>
            <w:bookmarkEnd w:id="359"/>
            <w:r w:rsidRPr="0042750D">
              <w:rPr>
                <w:b/>
                <w:bCs/>
                <w:sz w:val="24"/>
                <w:szCs w:val="24"/>
              </w:rPr>
              <w:t>198-03</w:t>
            </w:r>
          </w:p>
        </w:tc>
        <w:tc>
          <w:tcPr>
            <w:tcW w:w="4984" w:type="dxa"/>
            <w:tcBorders>
              <w:top w:val="single" w:sz="12" w:space="0" w:color="auto"/>
              <w:bottom w:val="single" w:sz="4" w:space="0" w:color="auto"/>
            </w:tcBorders>
            <w:shd w:val="clear" w:color="auto" w:fill="auto"/>
          </w:tcPr>
          <w:p w14:paraId="49D47CD9" w14:textId="1D73DE50" w:rsidR="00D50A4E" w:rsidRPr="0042750D" w:rsidRDefault="00D50A4E" w:rsidP="00D50A4E">
            <w:pPr>
              <w:pStyle w:val="Tabletext"/>
              <w:rPr>
                <w:b/>
                <w:bCs/>
                <w:sz w:val="24"/>
                <w:szCs w:val="24"/>
              </w:rPr>
            </w:pPr>
            <w:r w:rsidRPr="0042750D">
              <w:rPr>
                <w:b/>
                <w:bCs/>
                <w:sz w:val="24"/>
                <w:szCs w:val="24"/>
              </w:rPr>
              <w:t>TSBDir to continue to explore ways and means of involving young professionals in the work of the Bureaux</w:t>
            </w:r>
            <w:r w:rsidR="00812E7E" w:rsidRPr="0042750D">
              <w:rPr>
                <w:b/>
                <w:bCs/>
                <w:sz w:val="24"/>
                <w:szCs w:val="24"/>
              </w:rPr>
              <w:t xml:space="preserve"> (</w:t>
            </w:r>
            <w:r w:rsidR="00812E7E" w:rsidRPr="0042750D">
              <w:rPr>
                <w:b/>
                <w:bCs/>
                <w:i/>
                <w:sz w:val="24"/>
                <w:szCs w:val="24"/>
              </w:rPr>
              <w:t>instructs</w:t>
            </w:r>
            <w:r w:rsidR="00812E7E" w:rsidRPr="0042750D">
              <w:rPr>
                <w:b/>
                <w:bCs/>
                <w:sz w:val="24"/>
                <w:szCs w:val="24"/>
              </w:rPr>
              <w:t>).</w:t>
            </w:r>
          </w:p>
        </w:tc>
        <w:tc>
          <w:tcPr>
            <w:tcW w:w="1336" w:type="dxa"/>
            <w:tcBorders>
              <w:top w:val="single" w:sz="12" w:space="0" w:color="auto"/>
              <w:bottom w:val="single" w:sz="4" w:space="0" w:color="auto"/>
            </w:tcBorders>
            <w:shd w:val="clear" w:color="auto" w:fill="auto"/>
            <w:vAlign w:val="center"/>
          </w:tcPr>
          <w:p w14:paraId="77C66799" w14:textId="77777777" w:rsidR="00D50A4E" w:rsidRPr="0042750D" w:rsidRDefault="00D50A4E" w:rsidP="00D50A4E">
            <w:pPr>
              <w:pStyle w:val="Tabletext"/>
              <w:jc w:val="center"/>
              <w:rPr>
                <w:b/>
                <w:bCs/>
                <w:sz w:val="24"/>
                <w:szCs w:val="24"/>
              </w:rPr>
            </w:pPr>
            <w:r w:rsidRPr="0042750D">
              <w:rPr>
                <w:b/>
                <w:bCs/>
                <w:sz w:val="24"/>
                <w:szCs w:val="24"/>
              </w:rPr>
              <w:t>Ongoing</w:t>
            </w:r>
          </w:p>
        </w:tc>
        <w:tc>
          <w:tcPr>
            <w:tcW w:w="1143" w:type="dxa"/>
            <w:tcBorders>
              <w:top w:val="single" w:sz="12" w:space="0" w:color="auto"/>
              <w:bottom w:val="single" w:sz="4" w:space="0" w:color="auto"/>
            </w:tcBorders>
            <w:shd w:val="clear" w:color="auto" w:fill="auto"/>
            <w:vAlign w:val="center"/>
          </w:tcPr>
          <w:p w14:paraId="11813F76" w14:textId="61376202" w:rsidR="00D50A4E" w:rsidRPr="0042750D" w:rsidRDefault="00F54A72"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266C547B" w14:textId="77777777" w:rsidR="00D50A4E" w:rsidRPr="0042750D" w:rsidRDefault="00D50A4E" w:rsidP="00D50A4E">
            <w:pPr>
              <w:pStyle w:val="Tabletext"/>
              <w:jc w:val="center"/>
              <w:rPr>
                <w:b/>
                <w:bCs/>
                <w:sz w:val="24"/>
                <w:szCs w:val="24"/>
              </w:rPr>
            </w:pPr>
          </w:p>
        </w:tc>
      </w:tr>
      <w:tr w:rsidR="00D50A4E" w:rsidRPr="0042750D" w14:paraId="60894414" w14:textId="77777777" w:rsidTr="00D50A4E">
        <w:trPr>
          <w:jc w:val="center"/>
        </w:trPr>
        <w:tc>
          <w:tcPr>
            <w:tcW w:w="1131" w:type="dxa"/>
            <w:vMerge/>
            <w:tcBorders>
              <w:bottom w:val="single" w:sz="12" w:space="0" w:color="auto"/>
            </w:tcBorders>
            <w:shd w:val="clear" w:color="auto" w:fill="auto"/>
          </w:tcPr>
          <w:p w14:paraId="684084E1" w14:textId="77777777" w:rsidR="00D50A4E" w:rsidRPr="0042750D" w:rsidRDefault="00D50A4E" w:rsidP="00D50A4E">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E369F48" w14:textId="1CB7854A" w:rsidR="00D50A4E" w:rsidRPr="0042750D" w:rsidRDefault="00F54A72" w:rsidP="00E85903">
            <w:pPr>
              <w:spacing w:before="40" w:after="40"/>
              <w:rPr>
                <w:rFonts w:eastAsia="Times New Roman"/>
                <w:szCs w:val="20"/>
                <w:lang w:eastAsia="en-US"/>
              </w:rPr>
            </w:pPr>
            <w:r w:rsidRPr="0042750D">
              <w:rPr>
                <w:rFonts w:eastAsia="Times New Roman"/>
                <w:szCs w:val="20"/>
                <w:lang w:eastAsia="en-US"/>
              </w:rPr>
              <w:t>The signatories of the Memorandum of Understanding (MoU) between ITU and Tsinghua University intend to build on the successful experience of having Tsinghua University students as interns at ITU to work on specific projects; and, jointly promote their respective training and educational activities by leveraging existing infrastructure and platforms, and to develop relevant joint initiatives.</w:t>
            </w:r>
          </w:p>
        </w:tc>
      </w:tr>
    </w:tbl>
    <w:p w14:paraId="0BAB5765"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47448180" w14:textId="23C131FD" w:rsidR="00F0236A" w:rsidRPr="0042750D" w:rsidRDefault="00DC45FE" w:rsidP="003F7C87">
      <w:pPr>
        <w:pStyle w:val="Heading1"/>
        <w:keepNext/>
        <w:keepLines/>
        <w:rPr>
          <w:sz w:val="24"/>
          <w:szCs w:val="24"/>
          <w:lang w:val="en-GB"/>
        </w:rPr>
      </w:pPr>
      <w:bookmarkStart w:id="360" w:name="_Resolution_88_-"/>
      <w:bookmarkStart w:id="361" w:name="_Toc30749190"/>
      <w:bookmarkEnd w:id="360"/>
      <w:r w:rsidRPr="0042750D">
        <w:rPr>
          <w:sz w:val="24"/>
          <w:szCs w:val="24"/>
          <w:lang w:val="en-GB"/>
        </w:rPr>
        <w:t>RESOLUTION 199 (BUSAN, 2014) – Promoting efforts for capacity building on software-defined networking in developing countries</w:t>
      </w:r>
      <w:bookmarkEnd w:id="361"/>
    </w:p>
    <w:p w14:paraId="4AC094DB" w14:textId="77777777" w:rsidR="00DC45FE" w:rsidRPr="0042750D" w:rsidRDefault="00DC45FE" w:rsidP="003F7C87">
      <w:pPr>
        <w:pStyle w:val="Call"/>
        <w:rPr>
          <w:szCs w:val="22"/>
          <w:lang w:val="en-GB"/>
        </w:rPr>
      </w:pPr>
      <w:r w:rsidRPr="0042750D">
        <w:rPr>
          <w:szCs w:val="22"/>
          <w:lang w:val="en-GB"/>
        </w:rPr>
        <w:t>resolves to instruct the Director of the Telecommunication Development Bureau</w:t>
      </w:r>
    </w:p>
    <w:p w14:paraId="591B7072" w14:textId="77777777" w:rsidR="00DC45FE" w:rsidRPr="0042750D" w:rsidRDefault="00DC45FE" w:rsidP="003F7C87">
      <w:pPr>
        <w:keepNext/>
        <w:keepLines/>
        <w:rPr>
          <w:szCs w:val="22"/>
        </w:rPr>
      </w:pPr>
      <w:r w:rsidRPr="0042750D">
        <w:rPr>
          <w:szCs w:val="22"/>
        </w:rPr>
        <w:t>1</w:t>
      </w:r>
      <w:r w:rsidRPr="0042750D">
        <w:rPr>
          <w:szCs w:val="22"/>
        </w:rPr>
        <w:tab/>
        <w:t>to conduct workshops, with other relevant organizations, for capacity building on SDN, so that the gap in technology adoption in developing countries may be bridged at the early stages of implementation of SDN-based networks;</w:t>
      </w:r>
    </w:p>
    <w:p w14:paraId="0CB5ABEB" w14:textId="77777777" w:rsidR="00DC45FE" w:rsidRPr="0042750D" w:rsidRDefault="00DC45FE" w:rsidP="00DC45FE">
      <w:pPr>
        <w:rPr>
          <w:szCs w:val="22"/>
        </w:rPr>
      </w:pPr>
      <w:r w:rsidRPr="0042750D">
        <w:rPr>
          <w:szCs w:val="22"/>
        </w:rPr>
        <w:t>2</w:t>
      </w:r>
      <w:r w:rsidRPr="0042750D">
        <w:rPr>
          <w:szCs w:val="22"/>
        </w:rPr>
        <w:tab/>
        <w:t>to collect and disseminate best practices for integrating SDN-based networks and migrating from legacy networks to SDN-based networks in developing countries;</w:t>
      </w:r>
    </w:p>
    <w:p w14:paraId="6FA1C528" w14:textId="0D244B5F" w:rsidR="00F0236A" w:rsidRPr="0042750D" w:rsidRDefault="00DC45FE" w:rsidP="00DC45FE">
      <w:pPr>
        <w:spacing w:after="120"/>
        <w:rPr>
          <w:szCs w:val="22"/>
        </w:rPr>
      </w:pPr>
      <w:r w:rsidRPr="0042750D">
        <w:rPr>
          <w:szCs w:val="22"/>
        </w:rPr>
        <w:t xml:space="preserve">3 </w:t>
      </w:r>
      <w:r w:rsidRPr="0042750D">
        <w:rPr>
          <w:szCs w:val="22"/>
        </w:rPr>
        <w:tab/>
        <w:t xml:space="preserve">to coordinate with the Director of the Telecommunication Standardization Bureau in regard to the actions referred to in </w:t>
      </w:r>
      <w:r w:rsidRPr="0042750D">
        <w:rPr>
          <w:i/>
          <w:iCs/>
          <w:szCs w:val="22"/>
        </w:rPr>
        <w:t>resolves to</w:t>
      </w:r>
      <w:r w:rsidRPr="0042750D">
        <w:rPr>
          <w:szCs w:val="22"/>
        </w:rPr>
        <w:t xml:space="preserve"> </w:t>
      </w:r>
      <w:r w:rsidRPr="0042750D">
        <w:rPr>
          <w:i/>
          <w:iCs/>
          <w:szCs w:val="22"/>
        </w:rPr>
        <w:t>instruct</w:t>
      </w:r>
      <w:r w:rsidRPr="0042750D">
        <w:rPr>
          <w:szCs w:val="22"/>
        </w:rPr>
        <w:t xml:space="preserve"> 1 and 2</w:t>
      </w:r>
      <w:r w:rsidR="00F0236A" w:rsidRPr="0042750D">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42750D" w14:paraId="029C6521" w14:textId="77777777" w:rsidTr="00DC45FE">
        <w:trPr>
          <w:jc w:val="center"/>
        </w:trPr>
        <w:tc>
          <w:tcPr>
            <w:tcW w:w="1131" w:type="dxa"/>
            <w:tcBorders>
              <w:top w:val="single" w:sz="12" w:space="0" w:color="auto"/>
              <w:bottom w:val="single" w:sz="12" w:space="0" w:color="auto"/>
            </w:tcBorders>
            <w:shd w:val="clear" w:color="auto" w:fill="auto"/>
            <w:vAlign w:val="center"/>
          </w:tcPr>
          <w:p w14:paraId="2C157FDA" w14:textId="77777777" w:rsidR="00F0236A" w:rsidRPr="0042750D" w:rsidRDefault="00F0236A" w:rsidP="00DF36E1">
            <w:pPr>
              <w:pStyle w:val="Tablehead"/>
              <w:rPr>
                <w:sz w:val="24"/>
                <w:szCs w:val="24"/>
              </w:rPr>
            </w:pPr>
            <w:r w:rsidRPr="0042750D">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4FD68C76" w14:textId="77777777" w:rsidR="00F0236A" w:rsidRPr="0042750D" w:rsidRDefault="00F0236A" w:rsidP="00DF36E1">
            <w:pPr>
              <w:pStyle w:val="Tablehead"/>
              <w:rPr>
                <w:sz w:val="24"/>
                <w:szCs w:val="24"/>
              </w:rPr>
            </w:pPr>
            <w:r w:rsidRPr="0042750D">
              <w:rPr>
                <w:sz w:val="24"/>
                <w:szCs w:val="24"/>
              </w:rPr>
              <w:t>Action</w:t>
            </w:r>
          </w:p>
        </w:tc>
        <w:tc>
          <w:tcPr>
            <w:tcW w:w="1336" w:type="dxa"/>
            <w:tcBorders>
              <w:top w:val="single" w:sz="12" w:space="0" w:color="auto"/>
              <w:bottom w:val="single" w:sz="12" w:space="0" w:color="auto"/>
            </w:tcBorders>
            <w:shd w:val="clear" w:color="auto" w:fill="auto"/>
            <w:vAlign w:val="center"/>
            <w:hideMark/>
          </w:tcPr>
          <w:p w14:paraId="74D76288" w14:textId="77777777" w:rsidR="00F0236A" w:rsidRPr="0042750D" w:rsidRDefault="00F0236A" w:rsidP="00DF36E1">
            <w:pPr>
              <w:pStyle w:val="Tablehead"/>
              <w:rPr>
                <w:sz w:val="24"/>
                <w:szCs w:val="24"/>
              </w:rPr>
            </w:pPr>
            <w:r w:rsidRPr="0042750D">
              <w:rPr>
                <w:sz w:val="24"/>
                <w:szCs w:val="24"/>
              </w:rPr>
              <w:t>Milestone</w:t>
            </w:r>
          </w:p>
        </w:tc>
        <w:tc>
          <w:tcPr>
            <w:tcW w:w="1143" w:type="dxa"/>
            <w:tcBorders>
              <w:top w:val="single" w:sz="12" w:space="0" w:color="auto"/>
              <w:bottom w:val="single" w:sz="12" w:space="0" w:color="auto"/>
            </w:tcBorders>
            <w:shd w:val="clear" w:color="auto" w:fill="auto"/>
          </w:tcPr>
          <w:p w14:paraId="05EBE92E"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65D413C"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774AAA70" w14:textId="77777777" w:rsidTr="00DC45FE">
        <w:trPr>
          <w:cantSplit/>
          <w:jc w:val="center"/>
        </w:trPr>
        <w:tc>
          <w:tcPr>
            <w:tcW w:w="1131" w:type="dxa"/>
            <w:vMerge w:val="restart"/>
            <w:tcBorders>
              <w:top w:val="single" w:sz="12" w:space="0" w:color="auto"/>
            </w:tcBorders>
            <w:shd w:val="clear" w:color="auto" w:fill="auto"/>
          </w:tcPr>
          <w:p w14:paraId="44E05DA8" w14:textId="6F53DF22" w:rsidR="00F0236A" w:rsidRPr="0042750D" w:rsidRDefault="00DC45FE" w:rsidP="00DF36E1">
            <w:pPr>
              <w:pStyle w:val="Tabletext"/>
              <w:keepNext/>
              <w:keepLines/>
              <w:rPr>
                <w:b/>
                <w:bCs/>
                <w:sz w:val="24"/>
                <w:szCs w:val="24"/>
              </w:rPr>
            </w:pPr>
            <w:r w:rsidRPr="0042750D">
              <w:rPr>
                <w:b/>
                <w:bCs/>
                <w:sz w:val="24"/>
                <w:szCs w:val="24"/>
              </w:rPr>
              <w:t>199</w:t>
            </w:r>
            <w:r w:rsidR="00F0236A" w:rsidRPr="0042750D">
              <w:rPr>
                <w:b/>
                <w:bCs/>
                <w:sz w:val="24"/>
                <w:szCs w:val="24"/>
              </w:rPr>
              <w:t>-01</w:t>
            </w:r>
          </w:p>
        </w:tc>
        <w:tc>
          <w:tcPr>
            <w:tcW w:w="4984" w:type="dxa"/>
            <w:tcBorders>
              <w:top w:val="single" w:sz="12" w:space="0" w:color="auto"/>
              <w:bottom w:val="single" w:sz="2" w:space="0" w:color="auto"/>
            </w:tcBorders>
            <w:shd w:val="clear" w:color="auto" w:fill="auto"/>
            <w:hideMark/>
          </w:tcPr>
          <w:p w14:paraId="6E75D87D" w14:textId="7DAB6125" w:rsidR="00F0236A" w:rsidRPr="0042750D" w:rsidRDefault="00D50A4E" w:rsidP="00D50A4E">
            <w:pPr>
              <w:pStyle w:val="Tabletext"/>
              <w:keepNext/>
              <w:keepLines/>
              <w:rPr>
                <w:b/>
                <w:bCs/>
                <w:sz w:val="24"/>
                <w:szCs w:val="24"/>
              </w:rPr>
            </w:pPr>
            <w:r w:rsidRPr="0042750D">
              <w:rPr>
                <w:b/>
                <w:bCs/>
                <w:sz w:val="24"/>
                <w:szCs w:val="24"/>
              </w:rPr>
              <w:t>ITU-T to provide c</w:t>
            </w:r>
            <w:r w:rsidR="00DC45FE" w:rsidRPr="0042750D">
              <w:rPr>
                <w:b/>
                <w:bCs/>
                <w:sz w:val="24"/>
                <w:szCs w:val="24"/>
              </w:rPr>
              <w:t>apacity building to bridge gap in technology adoption of SDN</w:t>
            </w:r>
            <w:r w:rsidR="00A90B2C" w:rsidRPr="0042750D">
              <w:rPr>
                <w:b/>
                <w:bCs/>
                <w:sz w:val="24"/>
                <w:szCs w:val="24"/>
              </w:rPr>
              <w:t xml:space="preserve"> (</w:t>
            </w:r>
            <w:r w:rsidR="00A90B2C" w:rsidRPr="0042750D">
              <w:rPr>
                <w:b/>
                <w:bCs/>
                <w:i/>
                <w:sz w:val="24"/>
                <w:szCs w:val="24"/>
              </w:rPr>
              <w:t>resolves 1</w:t>
            </w:r>
            <w:r w:rsidR="00A90B2C" w:rsidRPr="0042750D">
              <w:rPr>
                <w:b/>
                <w:bCs/>
                <w:sz w:val="24"/>
                <w:szCs w:val="24"/>
              </w:rPr>
              <w:t>)</w:t>
            </w:r>
            <w:r w:rsidR="00DC45FE" w:rsidRPr="0042750D">
              <w:rPr>
                <w:b/>
                <w:bCs/>
                <w:sz w:val="24"/>
                <w:szCs w:val="24"/>
              </w:rPr>
              <w:t>.</w:t>
            </w:r>
          </w:p>
        </w:tc>
        <w:tc>
          <w:tcPr>
            <w:tcW w:w="1336" w:type="dxa"/>
            <w:tcBorders>
              <w:top w:val="single" w:sz="12" w:space="0" w:color="auto"/>
              <w:bottom w:val="single" w:sz="2" w:space="0" w:color="auto"/>
            </w:tcBorders>
            <w:shd w:val="clear" w:color="auto" w:fill="auto"/>
            <w:vAlign w:val="center"/>
          </w:tcPr>
          <w:p w14:paraId="39FF17D1"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3" w:type="dxa"/>
            <w:tcBorders>
              <w:top w:val="single" w:sz="12" w:space="0" w:color="auto"/>
              <w:bottom w:val="single" w:sz="2" w:space="0" w:color="auto"/>
            </w:tcBorders>
            <w:shd w:val="clear" w:color="auto" w:fill="auto"/>
            <w:vAlign w:val="center"/>
          </w:tcPr>
          <w:p w14:paraId="0A416FB1" w14:textId="5A2784B9" w:rsidR="00F0236A" w:rsidRPr="0042750D" w:rsidRDefault="002048A7"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0B6686B6" w14:textId="77777777" w:rsidR="00F0236A" w:rsidRPr="0042750D" w:rsidRDefault="00F0236A" w:rsidP="00DF36E1">
            <w:pPr>
              <w:pStyle w:val="Tabletext"/>
              <w:jc w:val="center"/>
              <w:rPr>
                <w:b/>
                <w:bCs/>
                <w:sz w:val="24"/>
                <w:szCs w:val="24"/>
              </w:rPr>
            </w:pPr>
          </w:p>
        </w:tc>
      </w:tr>
      <w:tr w:rsidR="00F0236A" w:rsidRPr="0042750D" w14:paraId="3D2D2946" w14:textId="77777777" w:rsidTr="00BD6575">
        <w:trPr>
          <w:cantSplit/>
          <w:jc w:val="center"/>
        </w:trPr>
        <w:tc>
          <w:tcPr>
            <w:tcW w:w="1131" w:type="dxa"/>
            <w:vMerge/>
            <w:tcBorders>
              <w:bottom w:val="single" w:sz="12" w:space="0" w:color="auto"/>
            </w:tcBorders>
            <w:shd w:val="clear" w:color="auto" w:fill="auto"/>
          </w:tcPr>
          <w:p w14:paraId="06797EFB" w14:textId="77777777" w:rsidR="00F0236A" w:rsidRPr="0042750D"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E09130F" w14:textId="1C15E4FA" w:rsidR="00F0236A" w:rsidRPr="0042750D" w:rsidRDefault="00317EEB" w:rsidP="00BD567C">
            <w:pPr>
              <w:pStyle w:val="Tabletext"/>
              <w:rPr>
                <w:szCs w:val="22"/>
              </w:rPr>
            </w:pPr>
            <w:r w:rsidRPr="0042750D">
              <w:rPr>
                <w:szCs w:val="22"/>
              </w:rPr>
              <w:t xml:space="preserve">ITU-T </w:t>
            </w:r>
            <w:r w:rsidR="0046743F" w:rsidRPr="0042750D">
              <w:rPr>
                <w:szCs w:val="22"/>
              </w:rPr>
              <w:t>SG17 developed Recommendations ITU-T X.1038</w:t>
            </w:r>
            <w:r w:rsidRPr="0042750D">
              <w:rPr>
                <w:szCs w:val="22"/>
              </w:rPr>
              <w:t>,</w:t>
            </w:r>
            <w:r w:rsidR="0046743F" w:rsidRPr="0042750D">
              <w:rPr>
                <w:szCs w:val="22"/>
              </w:rPr>
              <w:t xml:space="preserve"> </w:t>
            </w:r>
            <w:r w:rsidR="0046743F" w:rsidRPr="0042750D">
              <w:rPr>
                <w:i/>
                <w:szCs w:val="22"/>
              </w:rPr>
              <w:t>Security requirements and reference architecture for Software-Defined Networking</w:t>
            </w:r>
            <w:r w:rsidR="0046743F" w:rsidRPr="0042750D">
              <w:rPr>
                <w:iCs/>
                <w:szCs w:val="22"/>
              </w:rPr>
              <w:t xml:space="preserve">, X.1043, </w:t>
            </w:r>
            <w:r w:rsidR="0046743F" w:rsidRPr="0042750D">
              <w:rPr>
                <w:i/>
                <w:szCs w:val="22"/>
              </w:rPr>
              <w:t>Security guideline of Service Function Chain based on software defined network</w:t>
            </w:r>
            <w:r w:rsidR="0046743F" w:rsidRPr="0042750D">
              <w:rPr>
                <w:szCs w:val="22"/>
              </w:rPr>
              <w:t xml:space="preserve">, ITU-T X.1042, </w:t>
            </w:r>
            <w:r w:rsidR="0046743F" w:rsidRPr="0042750D">
              <w:rPr>
                <w:i/>
                <w:szCs w:val="22"/>
              </w:rPr>
              <w:t xml:space="preserve">Security services using the Software-defined networking, </w:t>
            </w:r>
            <w:r w:rsidR="00BD567C" w:rsidRPr="0042750D">
              <w:rPr>
                <w:szCs w:val="22"/>
              </w:rPr>
              <w:t xml:space="preserve">ITU-T X.1044, </w:t>
            </w:r>
            <w:r w:rsidR="00BD567C" w:rsidRPr="0042750D">
              <w:rPr>
                <w:i/>
                <w:iCs/>
                <w:szCs w:val="22"/>
              </w:rPr>
              <w:t>Security requirements of network virtualization</w:t>
            </w:r>
            <w:r w:rsidR="00BD567C" w:rsidRPr="0042750D">
              <w:rPr>
                <w:i/>
                <w:szCs w:val="22"/>
              </w:rPr>
              <w:t xml:space="preserve"> </w:t>
            </w:r>
            <w:r w:rsidR="0046743F" w:rsidRPr="0042750D">
              <w:rPr>
                <w:i/>
                <w:szCs w:val="22"/>
              </w:rPr>
              <w:t xml:space="preserve">and is working on </w:t>
            </w:r>
            <w:r w:rsidR="0046743F" w:rsidRPr="0042750D">
              <w:rPr>
                <w:szCs w:val="22"/>
              </w:rPr>
              <w:t xml:space="preserve">X.SDSec, </w:t>
            </w:r>
            <w:r w:rsidR="0046743F" w:rsidRPr="0042750D">
              <w:rPr>
                <w:i/>
                <w:iCs/>
                <w:szCs w:val="22"/>
              </w:rPr>
              <w:t>Guideline on Software-defined Security in SDN/NFV Network.</w:t>
            </w:r>
          </w:p>
        </w:tc>
      </w:tr>
    </w:tbl>
    <w:bookmarkStart w:id="362" w:name="Item88_01"/>
    <w:bookmarkStart w:id="363" w:name="Item88_02"/>
    <w:bookmarkStart w:id="364" w:name="Item88_03"/>
    <w:bookmarkEnd w:id="362"/>
    <w:bookmarkEnd w:id="363"/>
    <w:bookmarkEnd w:id="364"/>
    <w:p w14:paraId="201A9750"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372B93DB" w14:textId="15DB0045" w:rsidR="00F0236A" w:rsidRPr="0042750D" w:rsidRDefault="0047150A" w:rsidP="00024A4C">
      <w:pPr>
        <w:pStyle w:val="Heading1"/>
        <w:keepNext/>
        <w:keepLines/>
        <w:rPr>
          <w:sz w:val="24"/>
          <w:szCs w:val="24"/>
          <w:lang w:val="en-GB"/>
        </w:rPr>
      </w:pPr>
      <w:bookmarkStart w:id="365" w:name="_Resolution_89_-"/>
      <w:bookmarkStart w:id="366" w:name="_Toc30749191"/>
      <w:bookmarkEnd w:id="365"/>
      <w:r w:rsidRPr="0042750D">
        <w:rPr>
          <w:sz w:val="24"/>
          <w:szCs w:val="24"/>
          <w:lang w:val="en-GB"/>
        </w:rPr>
        <w:t>RESOLUTION 200 (REV. DUBAI, 2018) – Connect 2030 Agenda for global telecommunication/information and communication technology, including broadband, for sustainable development</w:t>
      </w:r>
      <w:bookmarkEnd w:id="366"/>
    </w:p>
    <w:p w14:paraId="7D6515CB" w14:textId="77777777" w:rsidR="0047150A" w:rsidRPr="0042750D" w:rsidRDefault="0047150A" w:rsidP="00024A4C">
      <w:pPr>
        <w:pStyle w:val="Call"/>
        <w:rPr>
          <w:szCs w:val="22"/>
          <w:lang w:val="en-GB"/>
        </w:rPr>
      </w:pPr>
      <w:r w:rsidRPr="0042750D">
        <w:rPr>
          <w:szCs w:val="22"/>
          <w:lang w:val="en-GB"/>
        </w:rPr>
        <w:t>resolves</w:t>
      </w:r>
    </w:p>
    <w:p w14:paraId="2A01FAE4" w14:textId="77777777" w:rsidR="0047150A" w:rsidRPr="0042750D" w:rsidRDefault="0047150A" w:rsidP="00024A4C">
      <w:pPr>
        <w:keepNext/>
        <w:keepLines/>
        <w:rPr>
          <w:szCs w:val="22"/>
        </w:rPr>
      </w:pPr>
      <w:r w:rsidRPr="0042750D">
        <w:rPr>
          <w:szCs w:val="22"/>
        </w:rPr>
        <w:t>1</w:t>
      </w:r>
      <w:r w:rsidRPr="0042750D">
        <w:rPr>
          <w:szCs w:val="22"/>
        </w:rPr>
        <w:tab/>
        <w:t>to reaffirm a shared global vision for the development of the telecommunication/ICT sector, under the Connect 2030 Agenda envisaging "</w:t>
      </w:r>
      <w:r w:rsidRPr="0042750D">
        <w:rPr>
          <w:i/>
          <w:szCs w:val="22"/>
        </w:rPr>
        <w:t>an information society, empowered by the interconnected world, where telecommunications/ICTs enable and accelerate social, economic and environmentally sustainable growth and development for everyone</w:t>
      </w:r>
      <w:r w:rsidRPr="0042750D">
        <w:rPr>
          <w:szCs w:val="22"/>
        </w:rPr>
        <w:t>";</w:t>
      </w:r>
    </w:p>
    <w:p w14:paraId="6D092EC2" w14:textId="77777777" w:rsidR="0047150A" w:rsidRPr="0042750D" w:rsidRDefault="0047150A" w:rsidP="0047150A">
      <w:pPr>
        <w:rPr>
          <w:szCs w:val="22"/>
        </w:rPr>
      </w:pPr>
      <w:r w:rsidRPr="0042750D">
        <w:rPr>
          <w:szCs w:val="22"/>
        </w:rPr>
        <w:t>2</w:t>
      </w:r>
      <w:r w:rsidRPr="0042750D">
        <w:rPr>
          <w:szCs w:val="22"/>
        </w:rPr>
        <w:tab/>
        <w:t>to endorse the high-level strategic goals and targets set out in the strategic plan of the Union and global broadband targets, inspiring and inviting all stakeholders and entities to work together to implement the Connect 2030 Agenda, contributing to the implementation of the 2030 Agenda for Sustainable Development;</w:t>
      </w:r>
    </w:p>
    <w:p w14:paraId="1453A744" w14:textId="77777777" w:rsidR="0047150A" w:rsidRPr="0042750D" w:rsidRDefault="0047150A" w:rsidP="0047150A">
      <w:pPr>
        <w:rPr>
          <w:szCs w:val="22"/>
        </w:rPr>
      </w:pPr>
      <w:r w:rsidRPr="0042750D">
        <w:rPr>
          <w:szCs w:val="22"/>
        </w:rPr>
        <w:t>3</w:t>
      </w:r>
      <w:r w:rsidRPr="0042750D">
        <w:rPr>
          <w:szCs w:val="22"/>
        </w:rPr>
        <w:tab/>
        <w:t>to call upon Member States to continue leveraging telecommunications/ICT as a key enabler for achieving the 2030 Agenda for Sustainable Development and the SDGs that integrate in a balanced manner the economic, social and environmental dimensions of sustainable development,</w:t>
      </w:r>
    </w:p>
    <w:p w14:paraId="684486A3" w14:textId="77777777" w:rsidR="0047150A" w:rsidRPr="0042750D" w:rsidRDefault="0047150A" w:rsidP="0047150A">
      <w:pPr>
        <w:pStyle w:val="Call"/>
        <w:rPr>
          <w:szCs w:val="22"/>
          <w:lang w:val="en-GB"/>
        </w:rPr>
      </w:pPr>
      <w:r w:rsidRPr="0042750D">
        <w:rPr>
          <w:szCs w:val="22"/>
          <w:lang w:val="en-GB"/>
        </w:rPr>
        <w:t xml:space="preserve">instructs the Secretary-General </w:t>
      </w:r>
    </w:p>
    <w:p w14:paraId="27EDF821" w14:textId="77777777" w:rsidR="0047150A" w:rsidRPr="0042750D" w:rsidRDefault="0047150A" w:rsidP="0047150A">
      <w:pPr>
        <w:rPr>
          <w:szCs w:val="22"/>
        </w:rPr>
      </w:pPr>
      <w:r w:rsidRPr="0042750D">
        <w:rPr>
          <w:szCs w:val="22"/>
        </w:rPr>
        <w:t>1</w:t>
      </w:r>
      <w:r w:rsidRPr="0042750D">
        <w:rPr>
          <w:szCs w:val="22"/>
        </w:rPr>
        <w:tab/>
        <w:t>to monitor the progress towards achievement of the Connect 2030 Agenda, leveraging data, among others, from the ITU World Telecommunication/ICT Indicators database and the Partnership on Measuring ICT for Development;</w:t>
      </w:r>
    </w:p>
    <w:p w14:paraId="6F54C674" w14:textId="77777777" w:rsidR="0047150A" w:rsidRPr="0042750D" w:rsidRDefault="0047150A" w:rsidP="0047150A">
      <w:pPr>
        <w:rPr>
          <w:szCs w:val="22"/>
        </w:rPr>
      </w:pPr>
      <w:r w:rsidRPr="0042750D">
        <w:rPr>
          <w:szCs w:val="22"/>
        </w:rPr>
        <w:t>2</w:t>
      </w:r>
      <w:r w:rsidRPr="0042750D">
        <w:rPr>
          <w:szCs w:val="22"/>
        </w:rPr>
        <w:tab/>
        <w:t>to disseminate information and share knowledge and best practices on national, regional and international initiatives contributing to the Connect 2030 Agenda;</w:t>
      </w:r>
    </w:p>
    <w:p w14:paraId="224E4063" w14:textId="77777777" w:rsidR="0047150A" w:rsidRPr="0042750D" w:rsidRDefault="0047150A" w:rsidP="0047150A">
      <w:pPr>
        <w:rPr>
          <w:szCs w:val="22"/>
        </w:rPr>
      </w:pPr>
      <w:r w:rsidRPr="0042750D">
        <w:rPr>
          <w:szCs w:val="22"/>
        </w:rPr>
        <w:t>3</w:t>
      </w:r>
      <w:r w:rsidRPr="0042750D">
        <w:rPr>
          <w:szCs w:val="22"/>
        </w:rPr>
        <w:tab/>
        <w:t>to further facilitate implementation of the WSIS Action Lines and achievement of the SDGs assigned to the responsibility of ITU, in accordance with the Connect 2030 Agenda;</w:t>
      </w:r>
    </w:p>
    <w:p w14:paraId="2F08CD57" w14:textId="55012703" w:rsidR="0047150A" w:rsidRPr="0042750D" w:rsidRDefault="0047150A" w:rsidP="0047150A">
      <w:pPr>
        <w:rPr>
          <w:szCs w:val="22"/>
        </w:rPr>
      </w:pPr>
      <w:r w:rsidRPr="0042750D">
        <w:rPr>
          <w:szCs w:val="22"/>
        </w:rPr>
        <w:t>4</w:t>
      </w:r>
      <w:r w:rsidRPr="0042750D">
        <w:rPr>
          <w:szCs w:val="22"/>
        </w:rPr>
        <w:tab/>
        <w:t xml:space="preserve">to present annual consolidated progress reports to the ITU Council and four-year consolidated progress reports to </w:t>
      </w:r>
      <w:r w:rsidR="005B4FE7" w:rsidRPr="0042750D">
        <w:rPr>
          <w:szCs w:val="22"/>
        </w:rPr>
        <w:t>the Plenipotentiary Conference;</w:t>
      </w:r>
    </w:p>
    <w:p w14:paraId="7FBA3EFE" w14:textId="6EFEC412" w:rsidR="0047150A" w:rsidRPr="0042750D" w:rsidRDefault="0047150A" w:rsidP="0047150A">
      <w:pPr>
        <w:rPr>
          <w:szCs w:val="22"/>
        </w:rPr>
      </w:pPr>
      <w:r w:rsidRPr="0042750D">
        <w:rPr>
          <w:szCs w:val="22"/>
        </w:rPr>
        <w:t>5</w:t>
      </w:r>
      <w:r w:rsidRPr="0042750D">
        <w:rPr>
          <w:szCs w:val="22"/>
        </w:rPr>
        <w:tab/>
        <w:t>to bring this resolution to the attention of all interested parties, including, in particular, UNGA, the United Nations Development Programme and the United Nations Economic and Social Council, for cooperat</w:t>
      </w:r>
      <w:r w:rsidR="005B4FE7" w:rsidRPr="0042750D">
        <w:rPr>
          <w:szCs w:val="22"/>
        </w:rPr>
        <w:t>ion in its implementation;</w:t>
      </w:r>
    </w:p>
    <w:p w14:paraId="270FA5EA" w14:textId="77777777" w:rsidR="0047150A" w:rsidRPr="0042750D" w:rsidRDefault="0047150A" w:rsidP="0047150A">
      <w:pPr>
        <w:rPr>
          <w:szCs w:val="22"/>
        </w:rPr>
      </w:pPr>
      <w:r w:rsidRPr="0042750D">
        <w:rPr>
          <w:szCs w:val="22"/>
        </w:rPr>
        <w:t>6</w:t>
      </w:r>
      <w:r w:rsidRPr="0042750D">
        <w:rPr>
          <w:szCs w:val="22"/>
        </w:rPr>
        <w:tab/>
        <w:t>to continue to support Member States, in particular developing countries</w:t>
      </w:r>
      <w:r w:rsidRPr="0042750D">
        <w:rPr>
          <w:rStyle w:val="FootnoteReference"/>
          <w:sz w:val="22"/>
          <w:szCs w:val="22"/>
        </w:rPr>
        <w:footnoteReference w:customMarkFollows="1" w:id="19"/>
        <w:t>1</w:t>
      </w:r>
      <w:r w:rsidRPr="0042750D">
        <w:rPr>
          <w:szCs w:val="22"/>
        </w:rPr>
        <w:t xml:space="preserve">, in their active engagement with regard to </w:t>
      </w:r>
      <w:r w:rsidRPr="0042750D">
        <w:rPr>
          <w:i/>
          <w:szCs w:val="22"/>
        </w:rPr>
        <w:t>resolves </w:t>
      </w:r>
      <w:r w:rsidRPr="0042750D">
        <w:rPr>
          <w:szCs w:val="22"/>
        </w:rPr>
        <w:t>3 of this resolution,</w:t>
      </w:r>
    </w:p>
    <w:p w14:paraId="1E5CBD6E" w14:textId="77777777" w:rsidR="0047150A" w:rsidRPr="0042750D" w:rsidRDefault="0047150A" w:rsidP="0047150A">
      <w:pPr>
        <w:pStyle w:val="Call"/>
        <w:rPr>
          <w:szCs w:val="22"/>
          <w:lang w:val="en-GB"/>
        </w:rPr>
      </w:pPr>
      <w:r w:rsidRPr="0042750D">
        <w:rPr>
          <w:szCs w:val="22"/>
          <w:lang w:val="en-GB"/>
        </w:rPr>
        <w:t>instructs the Directors of the Bureaux</w:t>
      </w:r>
    </w:p>
    <w:p w14:paraId="0BA2B9F6" w14:textId="757F2646" w:rsidR="00F0236A" w:rsidRPr="0042750D" w:rsidRDefault="0047150A" w:rsidP="0047150A">
      <w:pPr>
        <w:spacing w:after="120"/>
        <w:rPr>
          <w:szCs w:val="22"/>
        </w:rPr>
      </w:pPr>
      <w:r w:rsidRPr="0042750D">
        <w:rPr>
          <w:szCs w:val="22"/>
        </w:rPr>
        <w:t>to report on the progress towards achievement of the objectives and outcomes of the work of each Sector, as elaborated within the strategic plan for the Union for 2020-2023 in Annex 1 to Resolution 71 (Rev. Dubai, 2018), that contributes to the Connect 2030 agenda</w:t>
      </w:r>
      <w:r w:rsidR="00F0236A" w:rsidRPr="0042750D">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42750D" w14:paraId="7A4FC333" w14:textId="77777777" w:rsidTr="0047150A">
        <w:trPr>
          <w:jc w:val="center"/>
        </w:trPr>
        <w:tc>
          <w:tcPr>
            <w:tcW w:w="1131" w:type="dxa"/>
            <w:tcBorders>
              <w:top w:val="single" w:sz="12" w:space="0" w:color="auto"/>
              <w:bottom w:val="single" w:sz="12" w:space="0" w:color="auto"/>
            </w:tcBorders>
            <w:shd w:val="clear" w:color="auto" w:fill="auto"/>
            <w:vAlign w:val="center"/>
          </w:tcPr>
          <w:p w14:paraId="7CC4D679" w14:textId="77777777" w:rsidR="00F0236A" w:rsidRPr="0042750D" w:rsidRDefault="00F0236A" w:rsidP="00515FDC">
            <w:pPr>
              <w:pStyle w:val="Tablehead"/>
              <w:keepNext w:val="0"/>
              <w:rPr>
                <w:sz w:val="24"/>
                <w:szCs w:val="24"/>
              </w:rPr>
            </w:pPr>
            <w:r w:rsidRPr="0042750D">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2664E46F" w14:textId="77777777" w:rsidR="00F0236A" w:rsidRPr="0042750D" w:rsidRDefault="00F0236A" w:rsidP="00DF36E1">
            <w:pPr>
              <w:pStyle w:val="Tablehead"/>
              <w:rPr>
                <w:sz w:val="24"/>
                <w:szCs w:val="24"/>
              </w:rPr>
            </w:pPr>
            <w:r w:rsidRPr="0042750D">
              <w:rPr>
                <w:sz w:val="24"/>
                <w:szCs w:val="24"/>
              </w:rPr>
              <w:t>Action</w:t>
            </w:r>
          </w:p>
        </w:tc>
        <w:tc>
          <w:tcPr>
            <w:tcW w:w="1336" w:type="dxa"/>
            <w:tcBorders>
              <w:top w:val="single" w:sz="12" w:space="0" w:color="auto"/>
              <w:bottom w:val="single" w:sz="12" w:space="0" w:color="auto"/>
            </w:tcBorders>
            <w:shd w:val="clear" w:color="auto" w:fill="auto"/>
            <w:vAlign w:val="center"/>
            <w:hideMark/>
          </w:tcPr>
          <w:p w14:paraId="079C2F33" w14:textId="77777777" w:rsidR="00F0236A" w:rsidRPr="0042750D" w:rsidRDefault="00F0236A" w:rsidP="00DF36E1">
            <w:pPr>
              <w:pStyle w:val="Tablehead"/>
              <w:rPr>
                <w:sz w:val="24"/>
                <w:szCs w:val="24"/>
              </w:rPr>
            </w:pPr>
            <w:r w:rsidRPr="0042750D">
              <w:rPr>
                <w:sz w:val="24"/>
                <w:szCs w:val="24"/>
              </w:rPr>
              <w:t>Milestone</w:t>
            </w:r>
          </w:p>
        </w:tc>
        <w:tc>
          <w:tcPr>
            <w:tcW w:w="1143" w:type="dxa"/>
            <w:tcBorders>
              <w:top w:val="single" w:sz="12" w:space="0" w:color="auto"/>
              <w:bottom w:val="single" w:sz="12" w:space="0" w:color="auto"/>
            </w:tcBorders>
            <w:shd w:val="clear" w:color="auto" w:fill="auto"/>
          </w:tcPr>
          <w:p w14:paraId="0DCB65D6"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F0E7FF5"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370C9E12" w14:textId="77777777" w:rsidTr="0047150A">
        <w:trPr>
          <w:jc w:val="center"/>
        </w:trPr>
        <w:tc>
          <w:tcPr>
            <w:tcW w:w="1131" w:type="dxa"/>
            <w:vMerge w:val="restart"/>
            <w:tcBorders>
              <w:top w:val="single" w:sz="12" w:space="0" w:color="auto"/>
            </w:tcBorders>
            <w:shd w:val="clear" w:color="auto" w:fill="auto"/>
          </w:tcPr>
          <w:p w14:paraId="61007CA1" w14:textId="2C9FAD27" w:rsidR="00F0236A" w:rsidRPr="0042750D" w:rsidRDefault="0047150A" w:rsidP="009B7030">
            <w:pPr>
              <w:pStyle w:val="Tabletext"/>
              <w:rPr>
                <w:b/>
                <w:bCs/>
                <w:sz w:val="24"/>
                <w:szCs w:val="24"/>
              </w:rPr>
            </w:pPr>
            <w:r w:rsidRPr="0042750D">
              <w:rPr>
                <w:b/>
                <w:bCs/>
                <w:sz w:val="24"/>
                <w:szCs w:val="24"/>
              </w:rPr>
              <w:t>200</w:t>
            </w:r>
            <w:r w:rsidR="00F0236A" w:rsidRPr="0042750D">
              <w:rPr>
                <w:b/>
                <w:bCs/>
                <w:sz w:val="24"/>
                <w:szCs w:val="24"/>
              </w:rPr>
              <w:t>-01</w:t>
            </w:r>
          </w:p>
        </w:tc>
        <w:tc>
          <w:tcPr>
            <w:tcW w:w="4984" w:type="dxa"/>
            <w:tcBorders>
              <w:top w:val="single" w:sz="12" w:space="0" w:color="auto"/>
              <w:bottom w:val="single" w:sz="2" w:space="0" w:color="auto"/>
            </w:tcBorders>
            <w:shd w:val="clear" w:color="auto" w:fill="auto"/>
            <w:hideMark/>
          </w:tcPr>
          <w:p w14:paraId="70D4EA93" w14:textId="0EF8CCCD" w:rsidR="00F0236A" w:rsidRPr="0042750D" w:rsidRDefault="00A13828" w:rsidP="00DF36E1">
            <w:pPr>
              <w:pStyle w:val="Tabletext"/>
              <w:rPr>
                <w:b/>
                <w:bCs/>
                <w:sz w:val="24"/>
                <w:szCs w:val="24"/>
              </w:rPr>
            </w:pPr>
            <w:r w:rsidRPr="0042750D">
              <w:rPr>
                <w:b/>
                <w:bCs/>
                <w:sz w:val="24"/>
                <w:szCs w:val="24"/>
              </w:rPr>
              <w:t>TSBDir to report on the progress towards achievement of the objectives and outcomes of the work of ITU-T, as elaborated within the strategic plan for the Union for 2020-2023 in Annex 1 to Resolution 71 (Rev. Dubai, 2018), that contributes to the Connect 2030 agenda</w:t>
            </w:r>
            <w:r w:rsidR="00A90B2C" w:rsidRPr="0042750D">
              <w:rPr>
                <w:b/>
                <w:bCs/>
                <w:sz w:val="24"/>
                <w:szCs w:val="24"/>
              </w:rPr>
              <w:t xml:space="preserve"> (</w:t>
            </w:r>
            <w:r w:rsidR="00A90B2C" w:rsidRPr="0042750D">
              <w:rPr>
                <w:b/>
                <w:bCs/>
                <w:i/>
                <w:sz w:val="24"/>
                <w:szCs w:val="24"/>
              </w:rPr>
              <w:t>instructs</w:t>
            </w:r>
            <w:r w:rsidR="00A90B2C" w:rsidRPr="0042750D">
              <w:rPr>
                <w:b/>
                <w:bCs/>
                <w:sz w:val="24"/>
                <w:szCs w:val="24"/>
              </w:rPr>
              <w:t>)</w:t>
            </w:r>
            <w:r w:rsidRPr="0042750D">
              <w:rPr>
                <w:b/>
                <w:bCs/>
                <w:sz w:val="24"/>
                <w:szCs w:val="24"/>
              </w:rPr>
              <w:t>.</w:t>
            </w:r>
          </w:p>
        </w:tc>
        <w:tc>
          <w:tcPr>
            <w:tcW w:w="1336" w:type="dxa"/>
            <w:tcBorders>
              <w:top w:val="single" w:sz="12" w:space="0" w:color="auto"/>
              <w:bottom w:val="single" w:sz="2" w:space="0" w:color="auto"/>
            </w:tcBorders>
            <w:shd w:val="clear" w:color="auto" w:fill="auto"/>
            <w:vAlign w:val="center"/>
          </w:tcPr>
          <w:p w14:paraId="3337F813"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3" w:type="dxa"/>
            <w:tcBorders>
              <w:top w:val="single" w:sz="12" w:space="0" w:color="auto"/>
              <w:bottom w:val="single" w:sz="2" w:space="0" w:color="auto"/>
            </w:tcBorders>
            <w:shd w:val="clear" w:color="auto" w:fill="auto"/>
            <w:vAlign w:val="center"/>
          </w:tcPr>
          <w:p w14:paraId="0534AF52" w14:textId="5A6A7F14" w:rsidR="00F0236A" w:rsidRPr="0042750D" w:rsidRDefault="001922EA"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51369C07" w14:textId="77777777" w:rsidR="00F0236A" w:rsidRPr="0042750D" w:rsidRDefault="00F0236A" w:rsidP="00DF36E1">
            <w:pPr>
              <w:pStyle w:val="Tabletext"/>
              <w:jc w:val="center"/>
              <w:rPr>
                <w:b/>
                <w:bCs/>
                <w:sz w:val="24"/>
                <w:szCs w:val="24"/>
              </w:rPr>
            </w:pPr>
          </w:p>
        </w:tc>
      </w:tr>
      <w:tr w:rsidR="00F0236A" w:rsidRPr="0042750D" w14:paraId="29FAD01F" w14:textId="77777777" w:rsidTr="00BD6575">
        <w:trPr>
          <w:jc w:val="center"/>
        </w:trPr>
        <w:tc>
          <w:tcPr>
            <w:tcW w:w="1131" w:type="dxa"/>
            <w:vMerge/>
            <w:tcBorders>
              <w:bottom w:val="single" w:sz="12" w:space="0" w:color="auto"/>
            </w:tcBorders>
            <w:shd w:val="clear" w:color="auto" w:fill="auto"/>
          </w:tcPr>
          <w:p w14:paraId="7A18F718" w14:textId="77777777" w:rsidR="00F0236A" w:rsidRPr="0042750D"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32EEB04" w14:textId="14205EF9" w:rsidR="00CD2CA2" w:rsidRPr="0042750D" w:rsidRDefault="00521168" w:rsidP="006F2431">
            <w:pPr>
              <w:spacing w:before="40" w:after="40"/>
              <w:rPr>
                <w:szCs w:val="22"/>
              </w:rPr>
            </w:pPr>
            <w:r w:rsidRPr="0042750D">
              <w:rPr>
                <w:szCs w:val="22"/>
              </w:rPr>
              <w:t>ITU-T SG5 approved Recommendation ITU-T L.1031 on “Guideline on implementing the e-waste reduction target of the Connect 2020 Agenda”.</w:t>
            </w:r>
          </w:p>
        </w:tc>
      </w:tr>
    </w:tbl>
    <w:bookmarkStart w:id="367" w:name="Item89_01"/>
    <w:bookmarkStart w:id="368" w:name="Item89_02"/>
    <w:bookmarkStart w:id="369" w:name="Item89_03"/>
    <w:bookmarkStart w:id="370" w:name="Item89_04"/>
    <w:bookmarkStart w:id="371" w:name="Item89_05"/>
    <w:bookmarkStart w:id="372" w:name="Item89_06"/>
    <w:bookmarkStart w:id="373" w:name="Item89_07"/>
    <w:bookmarkEnd w:id="367"/>
    <w:bookmarkEnd w:id="368"/>
    <w:bookmarkEnd w:id="369"/>
    <w:bookmarkEnd w:id="370"/>
    <w:bookmarkEnd w:id="371"/>
    <w:bookmarkEnd w:id="372"/>
    <w:bookmarkEnd w:id="373"/>
    <w:p w14:paraId="31EB5E51"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2D8E2896" w14:textId="79D41642" w:rsidR="00F0236A" w:rsidRPr="0042750D" w:rsidRDefault="0044072F" w:rsidP="00F54A72">
      <w:pPr>
        <w:pStyle w:val="Heading1"/>
        <w:keepNext/>
        <w:keepLines/>
        <w:rPr>
          <w:sz w:val="24"/>
          <w:szCs w:val="24"/>
          <w:lang w:val="en-GB"/>
        </w:rPr>
      </w:pPr>
      <w:bookmarkStart w:id="374" w:name="_Resolution_90_-"/>
      <w:bookmarkStart w:id="375" w:name="_Toc30749192"/>
      <w:bookmarkEnd w:id="374"/>
      <w:r w:rsidRPr="0042750D">
        <w:rPr>
          <w:sz w:val="24"/>
          <w:szCs w:val="24"/>
          <w:lang w:val="en-GB"/>
        </w:rPr>
        <w:t>RESOLUTION 203 (REV. DUBAI, 2018) – Connectivity to broadband networks</w:t>
      </w:r>
      <w:bookmarkEnd w:id="375"/>
    </w:p>
    <w:p w14:paraId="2F977EAE" w14:textId="77777777" w:rsidR="0044072F" w:rsidRPr="0042750D" w:rsidRDefault="0044072F" w:rsidP="00F54A72">
      <w:pPr>
        <w:pStyle w:val="Call"/>
        <w:rPr>
          <w:szCs w:val="22"/>
          <w:lang w:val="en-GB"/>
        </w:rPr>
      </w:pPr>
      <w:r w:rsidRPr="0042750D">
        <w:rPr>
          <w:szCs w:val="22"/>
          <w:lang w:val="en-GB"/>
        </w:rPr>
        <w:t>resolves</w:t>
      </w:r>
    </w:p>
    <w:p w14:paraId="61E3A21D" w14:textId="77777777" w:rsidR="0044072F" w:rsidRPr="0042750D" w:rsidRDefault="0044072F" w:rsidP="00F54A72">
      <w:pPr>
        <w:keepNext/>
        <w:keepLines/>
        <w:rPr>
          <w:szCs w:val="22"/>
        </w:rPr>
      </w:pPr>
      <w:r w:rsidRPr="0042750D">
        <w:rPr>
          <w:szCs w:val="22"/>
        </w:rPr>
        <w:t>to work towards providing broadband access for all (which will contribute to bridging the digital divide),</w:t>
      </w:r>
    </w:p>
    <w:p w14:paraId="69DA151A" w14:textId="77777777" w:rsidR="0044072F" w:rsidRPr="0042750D" w:rsidRDefault="0044072F" w:rsidP="0044072F">
      <w:pPr>
        <w:pStyle w:val="Call"/>
        <w:rPr>
          <w:szCs w:val="22"/>
          <w:lang w:val="en-GB"/>
        </w:rPr>
      </w:pPr>
      <w:r w:rsidRPr="0042750D">
        <w:rPr>
          <w:szCs w:val="22"/>
          <w:lang w:val="en-GB"/>
        </w:rPr>
        <w:t>instructs the Director of the Radiocommunication Bureau and the Director of the Telecommunication Standardization Bureau</w:t>
      </w:r>
    </w:p>
    <w:p w14:paraId="6491ED2F" w14:textId="24802617" w:rsidR="00F0236A" w:rsidRPr="0042750D" w:rsidRDefault="0044072F" w:rsidP="0044072F">
      <w:pPr>
        <w:spacing w:after="120"/>
        <w:rPr>
          <w:szCs w:val="22"/>
        </w:rPr>
      </w:pPr>
      <w:r w:rsidRPr="0042750D">
        <w:rPr>
          <w:szCs w:val="22"/>
        </w:rPr>
        <w:t>to work in cooperation with Sector Members involved in the provision of services and applications to people, families, businesses and societal functions in order to address the need for further improved broadband networks, including wireless broadband networks, and to share relevant information, experience and expertise with the Telecommunication Development Bureau</w:t>
      </w:r>
      <w:r w:rsidR="00F0236A" w:rsidRPr="0042750D">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4"/>
        <w:gridCol w:w="1336"/>
        <w:gridCol w:w="1143"/>
        <w:gridCol w:w="1338"/>
      </w:tblGrid>
      <w:tr w:rsidR="00F0236A" w:rsidRPr="0042750D" w14:paraId="1C2C8FDE" w14:textId="77777777" w:rsidTr="0044072F">
        <w:trPr>
          <w:jc w:val="center"/>
        </w:trPr>
        <w:tc>
          <w:tcPr>
            <w:tcW w:w="1131" w:type="dxa"/>
            <w:tcBorders>
              <w:top w:val="single" w:sz="12" w:space="0" w:color="auto"/>
              <w:bottom w:val="single" w:sz="12" w:space="0" w:color="auto"/>
            </w:tcBorders>
            <w:shd w:val="clear" w:color="auto" w:fill="auto"/>
            <w:vAlign w:val="center"/>
          </w:tcPr>
          <w:p w14:paraId="4D452194" w14:textId="77777777" w:rsidR="00F0236A" w:rsidRPr="0042750D" w:rsidRDefault="00F0236A" w:rsidP="00F943FE">
            <w:pPr>
              <w:pStyle w:val="Tablehead"/>
              <w:keepLines/>
              <w:rPr>
                <w:sz w:val="24"/>
                <w:szCs w:val="24"/>
              </w:rPr>
            </w:pPr>
            <w:r w:rsidRPr="0042750D">
              <w:rPr>
                <w:sz w:val="24"/>
                <w:szCs w:val="24"/>
              </w:rPr>
              <w:t>Action Item</w:t>
            </w:r>
          </w:p>
        </w:tc>
        <w:tc>
          <w:tcPr>
            <w:tcW w:w="4984" w:type="dxa"/>
            <w:tcBorders>
              <w:top w:val="single" w:sz="12" w:space="0" w:color="auto"/>
              <w:bottom w:val="single" w:sz="12" w:space="0" w:color="auto"/>
            </w:tcBorders>
            <w:shd w:val="clear" w:color="auto" w:fill="auto"/>
            <w:vAlign w:val="center"/>
            <w:hideMark/>
          </w:tcPr>
          <w:p w14:paraId="70260E1E" w14:textId="77777777" w:rsidR="00F0236A" w:rsidRPr="0042750D" w:rsidRDefault="00F0236A" w:rsidP="00106D60">
            <w:pPr>
              <w:pStyle w:val="Tablehead"/>
              <w:keepNext w:val="0"/>
              <w:rPr>
                <w:sz w:val="24"/>
                <w:szCs w:val="24"/>
              </w:rPr>
            </w:pPr>
            <w:r w:rsidRPr="0042750D">
              <w:rPr>
                <w:sz w:val="24"/>
                <w:szCs w:val="24"/>
              </w:rPr>
              <w:t>Action</w:t>
            </w:r>
          </w:p>
        </w:tc>
        <w:tc>
          <w:tcPr>
            <w:tcW w:w="1336" w:type="dxa"/>
            <w:tcBorders>
              <w:top w:val="single" w:sz="12" w:space="0" w:color="auto"/>
              <w:bottom w:val="single" w:sz="12" w:space="0" w:color="auto"/>
            </w:tcBorders>
            <w:shd w:val="clear" w:color="auto" w:fill="auto"/>
            <w:vAlign w:val="center"/>
            <w:hideMark/>
          </w:tcPr>
          <w:p w14:paraId="7EF88F8D" w14:textId="77777777" w:rsidR="00F0236A" w:rsidRPr="0042750D" w:rsidRDefault="00F0236A" w:rsidP="00106D60">
            <w:pPr>
              <w:pStyle w:val="Tablehead"/>
              <w:keepNext w:val="0"/>
              <w:rPr>
                <w:sz w:val="24"/>
                <w:szCs w:val="24"/>
              </w:rPr>
            </w:pPr>
            <w:r w:rsidRPr="0042750D">
              <w:rPr>
                <w:sz w:val="24"/>
                <w:szCs w:val="24"/>
              </w:rPr>
              <w:t>Milestone</w:t>
            </w:r>
          </w:p>
        </w:tc>
        <w:tc>
          <w:tcPr>
            <w:tcW w:w="1143" w:type="dxa"/>
            <w:tcBorders>
              <w:top w:val="single" w:sz="12" w:space="0" w:color="auto"/>
              <w:bottom w:val="single" w:sz="12" w:space="0" w:color="auto"/>
            </w:tcBorders>
            <w:shd w:val="clear" w:color="auto" w:fill="auto"/>
          </w:tcPr>
          <w:p w14:paraId="20A821C4" w14:textId="77777777" w:rsidR="00F0236A" w:rsidRPr="0042750D" w:rsidRDefault="00F0236A" w:rsidP="00106D60">
            <w:pPr>
              <w:pStyle w:val="Tablehead"/>
              <w:keepNext w:val="0"/>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6D241452" w14:textId="77777777" w:rsidR="00F0236A" w:rsidRPr="0042750D" w:rsidRDefault="00F0236A" w:rsidP="00106D60">
            <w:pPr>
              <w:pStyle w:val="Tablehead"/>
              <w:keepNext w:val="0"/>
              <w:rPr>
                <w:sz w:val="24"/>
                <w:szCs w:val="24"/>
              </w:rPr>
            </w:pPr>
            <w:r w:rsidRPr="0042750D">
              <w:rPr>
                <w:sz w:val="24"/>
                <w:szCs w:val="24"/>
              </w:rPr>
              <w:t>Completed</w:t>
            </w:r>
          </w:p>
        </w:tc>
      </w:tr>
      <w:tr w:rsidR="00F0236A" w:rsidRPr="0042750D" w14:paraId="58266A0F" w14:textId="77777777" w:rsidTr="0044072F">
        <w:trPr>
          <w:jc w:val="center"/>
        </w:trPr>
        <w:tc>
          <w:tcPr>
            <w:tcW w:w="1131" w:type="dxa"/>
            <w:vMerge w:val="restart"/>
            <w:tcBorders>
              <w:top w:val="single" w:sz="12" w:space="0" w:color="auto"/>
            </w:tcBorders>
            <w:shd w:val="clear" w:color="auto" w:fill="auto"/>
          </w:tcPr>
          <w:p w14:paraId="7497F7B6" w14:textId="513DD0F1" w:rsidR="00F0236A" w:rsidRPr="0042750D" w:rsidRDefault="0044072F" w:rsidP="0044072F">
            <w:pPr>
              <w:pStyle w:val="Tabletext"/>
              <w:keepNext/>
              <w:keepLines/>
              <w:rPr>
                <w:b/>
                <w:bCs/>
                <w:sz w:val="24"/>
                <w:szCs w:val="24"/>
              </w:rPr>
            </w:pPr>
            <w:r w:rsidRPr="0042750D">
              <w:rPr>
                <w:b/>
                <w:bCs/>
                <w:sz w:val="24"/>
                <w:szCs w:val="24"/>
              </w:rPr>
              <w:t>203</w:t>
            </w:r>
            <w:r w:rsidR="00F0236A" w:rsidRPr="0042750D">
              <w:rPr>
                <w:b/>
                <w:bCs/>
                <w:sz w:val="24"/>
                <w:szCs w:val="24"/>
              </w:rPr>
              <w:t>-01</w:t>
            </w:r>
          </w:p>
        </w:tc>
        <w:tc>
          <w:tcPr>
            <w:tcW w:w="4984" w:type="dxa"/>
            <w:tcBorders>
              <w:top w:val="single" w:sz="12" w:space="0" w:color="auto"/>
              <w:bottom w:val="single" w:sz="2" w:space="0" w:color="auto"/>
            </w:tcBorders>
            <w:shd w:val="clear" w:color="auto" w:fill="auto"/>
            <w:hideMark/>
          </w:tcPr>
          <w:p w14:paraId="0506E693" w14:textId="75DE4372" w:rsidR="00F0236A" w:rsidRPr="0042750D" w:rsidRDefault="0044072F" w:rsidP="00106D60">
            <w:pPr>
              <w:pStyle w:val="Tabletext"/>
              <w:rPr>
                <w:b/>
                <w:bCs/>
                <w:sz w:val="24"/>
                <w:szCs w:val="24"/>
              </w:rPr>
            </w:pPr>
            <w:r w:rsidRPr="0042750D">
              <w:rPr>
                <w:b/>
                <w:bCs/>
                <w:sz w:val="24"/>
                <w:szCs w:val="24"/>
              </w:rPr>
              <w:t>TSBDir to work in cooperation with Sector Members involved in the provision of services and applications to people, families, businesses and societal functions in order to address the need for further improved broadband networks, including wireless broadband networks, and to share relevant information, experience and expertise with the Telecommunication Development Bureau</w:t>
            </w:r>
            <w:r w:rsidR="0029089E" w:rsidRPr="0042750D">
              <w:rPr>
                <w:b/>
                <w:bCs/>
                <w:sz w:val="24"/>
                <w:szCs w:val="24"/>
              </w:rPr>
              <w:t xml:space="preserve"> (</w:t>
            </w:r>
            <w:r w:rsidR="0029089E" w:rsidRPr="0042750D">
              <w:rPr>
                <w:b/>
                <w:bCs/>
                <w:i/>
                <w:sz w:val="24"/>
                <w:szCs w:val="24"/>
              </w:rPr>
              <w:t>instructs</w:t>
            </w:r>
            <w:r w:rsidR="0029089E" w:rsidRPr="0042750D">
              <w:rPr>
                <w:b/>
                <w:bCs/>
                <w:sz w:val="24"/>
                <w:szCs w:val="24"/>
              </w:rPr>
              <w:t>)</w:t>
            </w:r>
            <w:r w:rsidRPr="0042750D">
              <w:rPr>
                <w:b/>
                <w:bCs/>
                <w:sz w:val="24"/>
                <w:szCs w:val="24"/>
              </w:rPr>
              <w:t>.</w:t>
            </w:r>
          </w:p>
        </w:tc>
        <w:tc>
          <w:tcPr>
            <w:tcW w:w="1336" w:type="dxa"/>
            <w:tcBorders>
              <w:top w:val="single" w:sz="12" w:space="0" w:color="auto"/>
              <w:bottom w:val="single" w:sz="2" w:space="0" w:color="auto"/>
            </w:tcBorders>
            <w:shd w:val="clear" w:color="auto" w:fill="auto"/>
            <w:vAlign w:val="center"/>
          </w:tcPr>
          <w:p w14:paraId="74C846C7" w14:textId="24B52846" w:rsidR="00F0236A" w:rsidRPr="0042750D" w:rsidRDefault="0044072F" w:rsidP="00106D60">
            <w:pPr>
              <w:pStyle w:val="Tabletext"/>
              <w:jc w:val="center"/>
              <w:rPr>
                <w:b/>
                <w:bCs/>
                <w:sz w:val="24"/>
                <w:szCs w:val="24"/>
              </w:rPr>
            </w:pPr>
            <w:r w:rsidRPr="0042750D">
              <w:rPr>
                <w:b/>
                <w:bCs/>
                <w:sz w:val="24"/>
                <w:szCs w:val="24"/>
              </w:rPr>
              <w:t>Ongoing</w:t>
            </w:r>
          </w:p>
        </w:tc>
        <w:tc>
          <w:tcPr>
            <w:tcW w:w="1143" w:type="dxa"/>
            <w:tcBorders>
              <w:top w:val="single" w:sz="12" w:space="0" w:color="auto"/>
              <w:bottom w:val="single" w:sz="2" w:space="0" w:color="auto"/>
            </w:tcBorders>
            <w:shd w:val="clear" w:color="auto" w:fill="auto"/>
            <w:vAlign w:val="center"/>
          </w:tcPr>
          <w:p w14:paraId="42503508" w14:textId="31078EA8" w:rsidR="00F0236A" w:rsidRPr="0042750D" w:rsidRDefault="00F0236A" w:rsidP="00106D60">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1A0F4DBF" w14:textId="77777777" w:rsidR="00F0236A" w:rsidRPr="0042750D" w:rsidRDefault="00F0236A" w:rsidP="004A0AE3">
            <w:pPr>
              <w:pStyle w:val="Tabletext"/>
              <w:jc w:val="center"/>
              <w:rPr>
                <w:b/>
                <w:bCs/>
                <w:sz w:val="24"/>
                <w:szCs w:val="24"/>
              </w:rPr>
            </w:pPr>
          </w:p>
        </w:tc>
      </w:tr>
      <w:tr w:rsidR="00F0236A" w:rsidRPr="0042750D" w14:paraId="0E7AA0A2" w14:textId="77777777" w:rsidTr="00BD6575">
        <w:trPr>
          <w:jc w:val="center"/>
        </w:trPr>
        <w:tc>
          <w:tcPr>
            <w:tcW w:w="1131" w:type="dxa"/>
            <w:vMerge/>
            <w:tcBorders>
              <w:bottom w:val="single" w:sz="12" w:space="0" w:color="auto"/>
            </w:tcBorders>
            <w:shd w:val="clear" w:color="auto" w:fill="auto"/>
          </w:tcPr>
          <w:p w14:paraId="54BF9AD6" w14:textId="77777777" w:rsidR="00F0236A" w:rsidRPr="0042750D" w:rsidRDefault="00F0236A">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55A3F854" w14:textId="222842DE" w:rsidR="00F0236A" w:rsidRPr="0042750D" w:rsidRDefault="00F0236A">
            <w:pPr>
              <w:pStyle w:val="Tabletext"/>
              <w:rPr>
                <w:szCs w:val="22"/>
              </w:rPr>
            </w:pPr>
          </w:p>
        </w:tc>
      </w:tr>
    </w:tbl>
    <w:bookmarkStart w:id="376" w:name="Item90_01"/>
    <w:bookmarkStart w:id="377" w:name="Item90_02"/>
    <w:bookmarkStart w:id="378" w:name="Item90_03"/>
    <w:bookmarkStart w:id="379" w:name="Item90_04"/>
    <w:bookmarkStart w:id="380" w:name="Item90_05"/>
    <w:bookmarkStart w:id="381" w:name="Item90_06"/>
    <w:bookmarkStart w:id="382" w:name="Item90_07"/>
    <w:bookmarkEnd w:id="376"/>
    <w:bookmarkEnd w:id="377"/>
    <w:bookmarkEnd w:id="378"/>
    <w:bookmarkEnd w:id="379"/>
    <w:bookmarkEnd w:id="380"/>
    <w:bookmarkEnd w:id="381"/>
    <w:bookmarkEnd w:id="382"/>
    <w:p w14:paraId="73DF708C"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60F5CAC4" w14:textId="0A63FE33" w:rsidR="002428FF" w:rsidRPr="0042750D" w:rsidRDefault="002428FF" w:rsidP="00F5282A">
      <w:pPr>
        <w:pStyle w:val="Heading1"/>
        <w:keepNext/>
        <w:keepLines/>
        <w:rPr>
          <w:sz w:val="24"/>
          <w:szCs w:val="24"/>
          <w:lang w:val="en-GB"/>
        </w:rPr>
      </w:pPr>
      <w:bookmarkStart w:id="383" w:name="_Resolution_91_-"/>
      <w:bookmarkStart w:id="384" w:name="_Toc30749193"/>
      <w:bookmarkEnd w:id="383"/>
      <w:r w:rsidRPr="0042750D">
        <w:rPr>
          <w:sz w:val="24"/>
          <w:szCs w:val="24"/>
          <w:lang w:val="en-GB"/>
        </w:rPr>
        <w:t xml:space="preserve">RESOLUTION </w:t>
      </w:r>
      <w:r w:rsidR="00783B71" w:rsidRPr="0042750D">
        <w:rPr>
          <w:sz w:val="24"/>
          <w:szCs w:val="24"/>
          <w:lang w:val="en-GB"/>
        </w:rPr>
        <w:t>204</w:t>
      </w:r>
      <w:r w:rsidRPr="0042750D">
        <w:rPr>
          <w:sz w:val="24"/>
          <w:szCs w:val="24"/>
          <w:lang w:val="en-GB"/>
        </w:rPr>
        <w:t xml:space="preserve"> (DUBAI, 2018) – Use of information and communication technologies to bridge the financial inclusion gap</w:t>
      </w:r>
      <w:bookmarkEnd w:id="384"/>
    </w:p>
    <w:p w14:paraId="1CE6B131" w14:textId="77777777" w:rsidR="002428FF" w:rsidRPr="0042750D" w:rsidRDefault="002428FF" w:rsidP="00F5282A">
      <w:pPr>
        <w:pStyle w:val="Call"/>
        <w:rPr>
          <w:lang w:val="en-GB"/>
        </w:rPr>
      </w:pPr>
      <w:r w:rsidRPr="0042750D">
        <w:rPr>
          <w:lang w:val="en-GB"/>
        </w:rPr>
        <w:t>resolves</w:t>
      </w:r>
    </w:p>
    <w:p w14:paraId="59286C6E" w14:textId="77777777" w:rsidR="002428FF" w:rsidRPr="0042750D" w:rsidRDefault="002428FF" w:rsidP="00F5282A">
      <w:pPr>
        <w:keepNext/>
        <w:keepLines/>
      </w:pPr>
      <w:r w:rsidRPr="0042750D">
        <w:t>1</w:t>
      </w:r>
      <w:r w:rsidRPr="0042750D">
        <w:tab/>
        <w:t>to continue studying the topic of digital financial services in order to increase financial inclusion in developing countries;</w:t>
      </w:r>
    </w:p>
    <w:p w14:paraId="7ED4AAAC" w14:textId="77777777" w:rsidR="002428FF" w:rsidRPr="0042750D" w:rsidRDefault="002428FF" w:rsidP="00024A4C">
      <w:r w:rsidRPr="0042750D">
        <w:t>2</w:t>
      </w:r>
      <w:r w:rsidRPr="0042750D">
        <w:tab/>
        <w:t>to encourage collaboration and dialogue between telecommunication regulators and financial services authorities to develop and implement standards and guidelines;</w:t>
      </w:r>
    </w:p>
    <w:p w14:paraId="3FA48C35" w14:textId="77777777" w:rsidR="002428FF" w:rsidRPr="0042750D" w:rsidRDefault="002428FF" w:rsidP="002428FF">
      <w:r w:rsidRPr="0042750D">
        <w:t>3</w:t>
      </w:r>
      <w:r w:rsidRPr="0042750D">
        <w:tab/>
        <w:t>to encourage the use of innovative digital tools and technologies, as appropriate, to advance financial inclusion,</w:t>
      </w:r>
    </w:p>
    <w:p w14:paraId="26A3B3AF" w14:textId="77777777" w:rsidR="002428FF" w:rsidRPr="0042750D" w:rsidRDefault="002428FF" w:rsidP="00380EF6">
      <w:pPr>
        <w:pStyle w:val="Call"/>
        <w:keepNext w:val="0"/>
        <w:keepLines w:val="0"/>
        <w:rPr>
          <w:lang w:val="en-GB"/>
        </w:rPr>
      </w:pPr>
      <w:r w:rsidRPr="0042750D">
        <w:rPr>
          <w:lang w:val="en-GB"/>
        </w:rPr>
        <w:t>instru</w:t>
      </w:r>
      <w:r w:rsidRPr="0042750D">
        <w:rPr>
          <w:shd w:val="clear" w:color="auto" w:fill="FFFFFF" w:themeFill="background1"/>
          <w:lang w:val="en-GB"/>
        </w:rPr>
        <w:t>cts the relevant study groups of the ITU Telecommunication Standardization Sector</w:t>
      </w:r>
    </w:p>
    <w:p w14:paraId="7130FFA9" w14:textId="77777777" w:rsidR="002428FF" w:rsidRPr="0042750D" w:rsidRDefault="002428FF" w:rsidP="002428FF">
      <w:r w:rsidRPr="0042750D">
        <w:t>1</w:t>
      </w:r>
      <w:r w:rsidRPr="0042750D">
        <w:tab/>
        <w:t>to continue studying economic and policy issues, developing standards, recommendations and guidelines in the area of digital financial services, as appropriate;</w:t>
      </w:r>
    </w:p>
    <w:p w14:paraId="7FCCF458" w14:textId="77777777" w:rsidR="002428FF" w:rsidRPr="0042750D" w:rsidRDefault="002428FF" w:rsidP="002428FF">
      <w:r w:rsidRPr="0042750D">
        <w:t>2</w:t>
      </w:r>
      <w:r w:rsidRPr="0042750D">
        <w:tab/>
        <w:t>to continue studying the areas of interoperability, digitization of payments, consumer protection, quality of service, data monetization, agents, and network security, where such studies, standards and guidelines require collaboration with efforts taking place in other institutions and relate to the mandate of the Union;</w:t>
      </w:r>
    </w:p>
    <w:p w14:paraId="0CBA973B" w14:textId="77777777" w:rsidR="002428FF" w:rsidRPr="0042750D" w:rsidRDefault="002428FF" w:rsidP="002428FF">
      <w:r w:rsidRPr="0042750D">
        <w:t>3</w:t>
      </w:r>
      <w:r w:rsidRPr="0042750D">
        <w:tab/>
        <w:t>to continue efforts in the area of the collaboration among telecommunication regulators, financial regulators and central banks;</w:t>
      </w:r>
    </w:p>
    <w:p w14:paraId="6D487857" w14:textId="77777777" w:rsidR="002428FF" w:rsidRPr="0042750D" w:rsidRDefault="002428FF" w:rsidP="002428FF">
      <w:r w:rsidRPr="0042750D">
        <w:t>4</w:t>
      </w:r>
      <w:r w:rsidRPr="0042750D">
        <w:tab/>
        <w:t>to coordinate and collaborate with other relevant standards development organizations (SDOs) and institutions with primary responsibility for the development of financial services standards, implementation and capacity building, and with other groups within ITU,</w:t>
      </w:r>
    </w:p>
    <w:p w14:paraId="0EE39B9B" w14:textId="77777777" w:rsidR="002428FF" w:rsidRPr="0042750D" w:rsidRDefault="002428FF" w:rsidP="002428FF">
      <w:pPr>
        <w:pStyle w:val="Call"/>
        <w:rPr>
          <w:lang w:val="en-GB"/>
        </w:rPr>
      </w:pPr>
      <w:r w:rsidRPr="0042750D">
        <w:rPr>
          <w:lang w:val="en-GB"/>
        </w:rPr>
        <w:t>instructs the Directors of the Telecommunication Standardization and Telecommunication Development Bureaux</w:t>
      </w:r>
    </w:p>
    <w:p w14:paraId="4CD5463A" w14:textId="77777777" w:rsidR="002428FF" w:rsidRPr="0042750D" w:rsidRDefault="002428FF" w:rsidP="002428FF">
      <w:r w:rsidRPr="0042750D">
        <w:t>1</w:t>
      </w:r>
      <w:r w:rsidRPr="0042750D">
        <w:tab/>
        <w:t>to collaborate closely and provide information and support on the matters addressed in this resolution;</w:t>
      </w:r>
    </w:p>
    <w:p w14:paraId="2CF3EC66" w14:textId="77777777" w:rsidR="002428FF" w:rsidRPr="0042750D" w:rsidRDefault="002428FF" w:rsidP="002428FF">
      <w:r w:rsidRPr="0042750D">
        <w:t>2</w:t>
      </w:r>
      <w:r w:rsidRPr="0042750D">
        <w:tab/>
        <w:t>to support the development of reports, studies and best practices on digital financial inclusion, taking into consideration relevant studies and relevant outputs of other SDOs and institutions, within the mandate of the Union;</w:t>
      </w:r>
    </w:p>
    <w:p w14:paraId="24C0C9EA" w14:textId="77777777" w:rsidR="002428FF" w:rsidRPr="0042750D" w:rsidRDefault="002428FF" w:rsidP="002428FF">
      <w:r w:rsidRPr="0042750D">
        <w:t>3</w:t>
      </w:r>
      <w:r w:rsidRPr="0042750D">
        <w:tab/>
        <w:t>to support relevant platforms or, where possible, connect to those already existing, for peer learning, dialogue and experience-sharing in digital financial services among countries and regions, regulators from the telecommunication and financial services sectors, industry experts and international and regional organizations;</w:t>
      </w:r>
    </w:p>
    <w:p w14:paraId="130EED14" w14:textId="77777777" w:rsidR="002428FF" w:rsidRPr="0042750D" w:rsidRDefault="002428FF" w:rsidP="002428FF">
      <w:pPr>
        <w:spacing w:after="120"/>
      </w:pPr>
      <w:r w:rsidRPr="0042750D">
        <w:t>4</w:t>
      </w:r>
      <w:r w:rsidRPr="0042750D">
        <w:tab/>
        <w:t>to continue organizing workshops and seminars for the ITU membership in collaboration with other relevant SDOs and institutions in order to raise awareness and identify regulators' particular needs and challenges in enhancing financial inclusion,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17"/>
        <w:gridCol w:w="4903"/>
        <w:gridCol w:w="1333"/>
        <w:gridCol w:w="1141"/>
        <w:gridCol w:w="1338"/>
      </w:tblGrid>
      <w:tr w:rsidR="002428FF" w:rsidRPr="0042750D" w14:paraId="71036D91" w14:textId="77777777" w:rsidTr="00345B80">
        <w:trPr>
          <w:tblHeader/>
          <w:jc w:val="center"/>
        </w:trPr>
        <w:tc>
          <w:tcPr>
            <w:tcW w:w="1217" w:type="dxa"/>
            <w:tcBorders>
              <w:top w:val="single" w:sz="12" w:space="0" w:color="auto"/>
              <w:bottom w:val="single" w:sz="12" w:space="0" w:color="auto"/>
            </w:tcBorders>
            <w:shd w:val="clear" w:color="auto" w:fill="auto"/>
            <w:vAlign w:val="center"/>
          </w:tcPr>
          <w:p w14:paraId="67B3E282" w14:textId="77777777" w:rsidR="002428FF" w:rsidRPr="0042750D" w:rsidRDefault="002428FF" w:rsidP="00D50A4E">
            <w:pPr>
              <w:pStyle w:val="Tablehead"/>
              <w:keepLines/>
              <w:rPr>
                <w:sz w:val="24"/>
                <w:szCs w:val="24"/>
              </w:rPr>
            </w:pPr>
            <w:r w:rsidRPr="0042750D">
              <w:rPr>
                <w:sz w:val="24"/>
                <w:szCs w:val="24"/>
              </w:rPr>
              <w:t>Action Item</w:t>
            </w:r>
          </w:p>
        </w:tc>
        <w:tc>
          <w:tcPr>
            <w:tcW w:w="4903" w:type="dxa"/>
            <w:tcBorders>
              <w:top w:val="single" w:sz="12" w:space="0" w:color="auto"/>
              <w:bottom w:val="single" w:sz="12" w:space="0" w:color="auto"/>
            </w:tcBorders>
            <w:shd w:val="clear" w:color="auto" w:fill="auto"/>
            <w:vAlign w:val="center"/>
            <w:hideMark/>
          </w:tcPr>
          <w:p w14:paraId="7B057595" w14:textId="77777777" w:rsidR="002428FF" w:rsidRPr="0042750D" w:rsidRDefault="002428FF" w:rsidP="00D50A4E">
            <w:pPr>
              <w:pStyle w:val="Tablehead"/>
              <w:keepNext w:val="0"/>
              <w:rPr>
                <w:sz w:val="24"/>
                <w:szCs w:val="24"/>
              </w:rPr>
            </w:pPr>
            <w:r w:rsidRPr="0042750D">
              <w:rPr>
                <w:sz w:val="24"/>
                <w:szCs w:val="24"/>
              </w:rPr>
              <w:t>Action</w:t>
            </w:r>
          </w:p>
        </w:tc>
        <w:tc>
          <w:tcPr>
            <w:tcW w:w="1333" w:type="dxa"/>
            <w:tcBorders>
              <w:top w:val="single" w:sz="12" w:space="0" w:color="auto"/>
              <w:bottom w:val="single" w:sz="12" w:space="0" w:color="auto"/>
            </w:tcBorders>
            <w:shd w:val="clear" w:color="auto" w:fill="auto"/>
            <w:vAlign w:val="center"/>
            <w:hideMark/>
          </w:tcPr>
          <w:p w14:paraId="1B7CC599" w14:textId="77777777" w:rsidR="002428FF" w:rsidRPr="0042750D" w:rsidRDefault="002428FF" w:rsidP="00D50A4E">
            <w:pPr>
              <w:pStyle w:val="Tablehead"/>
              <w:keepNext w:val="0"/>
              <w:rPr>
                <w:sz w:val="24"/>
                <w:szCs w:val="24"/>
              </w:rPr>
            </w:pPr>
            <w:r w:rsidRPr="0042750D">
              <w:rPr>
                <w:sz w:val="24"/>
                <w:szCs w:val="24"/>
              </w:rPr>
              <w:t>Milestone</w:t>
            </w:r>
          </w:p>
        </w:tc>
        <w:tc>
          <w:tcPr>
            <w:tcW w:w="1141" w:type="dxa"/>
            <w:tcBorders>
              <w:top w:val="single" w:sz="12" w:space="0" w:color="auto"/>
              <w:bottom w:val="single" w:sz="12" w:space="0" w:color="auto"/>
            </w:tcBorders>
            <w:shd w:val="clear" w:color="auto" w:fill="auto"/>
          </w:tcPr>
          <w:p w14:paraId="1CB54AC9" w14:textId="77777777" w:rsidR="002428FF" w:rsidRPr="0042750D" w:rsidRDefault="002428FF" w:rsidP="00D50A4E">
            <w:pPr>
              <w:pStyle w:val="Tablehead"/>
              <w:keepNext w:val="0"/>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7202D071" w14:textId="77777777" w:rsidR="002428FF" w:rsidRPr="0042750D" w:rsidRDefault="002428FF" w:rsidP="00D50A4E">
            <w:pPr>
              <w:pStyle w:val="Tablehead"/>
              <w:keepNext w:val="0"/>
              <w:rPr>
                <w:sz w:val="24"/>
                <w:szCs w:val="24"/>
              </w:rPr>
            </w:pPr>
            <w:r w:rsidRPr="0042750D">
              <w:rPr>
                <w:sz w:val="24"/>
                <w:szCs w:val="24"/>
              </w:rPr>
              <w:t>Completed</w:t>
            </w:r>
          </w:p>
        </w:tc>
      </w:tr>
      <w:tr w:rsidR="002428FF" w:rsidRPr="0042750D" w14:paraId="4D3A3B6B" w14:textId="77777777" w:rsidTr="002428FF">
        <w:trPr>
          <w:jc w:val="center"/>
        </w:trPr>
        <w:tc>
          <w:tcPr>
            <w:tcW w:w="1217" w:type="dxa"/>
            <w:vMerge w:val="restart"/>
            <w:tcBorders>
              <w:top w:val="single" w:sz="12" w:space="0" w:color="auto"/>
            </w:tcBorders>
            <w:shd w:val="clear" w:color="auto" w:fill="auto"/>
          </w:tcPr>
          <w:p w14:paraId="2B8F50E2" w14:textId="3A438172" w:rsidR="002428FF" w:rsidRPr="0042750D" w:rsidRDefault="00783B71" w:rsidP="00D50A4E">
            <w:pPr>
              <w:pStyle w:val="Tabletext"/>
              <w:keepNext/>
              <w:keepLines/>
              <w:rPr>
                <w:b/>
                <w:bCs/>
                <w:sz w:val="24"/>
                <w:szCs w:val="24"/>
              </w:rPr>
            </w:pPr>
            <w:r w:rsidRPr="0042750D">
              <w:rPr>
                <w:b/>
                <w:sz w:val="24"/>
                <w:szCs w:val="24"/>
              </w:rPr>
              <w:t>204</w:t>
            </w:r>
            <w:r w:rsidR="002428FF" w:rsidRPr="0042750D">
              <w:rPr>
                <w:b/>
                <w:bCs/>
                <w:sz w:val="24"/>
                <w:szCs w:val="24"/>
              </w:rPr>
              <w:t>-01</w:t>
            </w:r>
          </w:p>
        </w:tc>
        <w:tc>
          <w:tcPr>
            <w:tcW w:w="4903" w:type="dxa"/>
            <w:tcBorders>
              <w:top w:val="single" w:sz="12" w:space="0" w:color="auto"/>
              <w:bottom w:val="single" w:sz="2" w:space="0" w:color="auto"/>
            </w:tcBorders>
            <w:shd w:val="clear" w:color="auto" w:fill="auto"/>
            <w:hideMark/>
          </w:tcPr>
          <w:p w14:paraId="341EB5A9" w14:textId="25C5B813" w:rsidR="002428FF" w:rsidRPr="0042750D" w:rsidRDefault="002428FF" w:rsidP="002428FF">
            <w:pPr>
              <w:pStyle w:val="Tabletext"/>
              <w:rPr>
                <w:b/>
                <w:bCs/>
                <w:sz w:val="24"/>
                <w:szCs w:val="24"/>
              </w:rPr>
            </w:pPr>
            <w:r w:rsidRPr="0042750D">
              <w:rPr>
                <w:b/>
                <w:bCs/>
                <w:sz w:val="24"/>
                <w:szCs w:val="24"/>
              </w:rPr>
              <w:t>TSBDir to continue studying the topic of digital financial services in order to increase financial inclusion in developing countries</w:t>
            </w:r>
            <w:r w:rsidR="0029089E" w:rsidRPr="0042750D">
              <w:rPr>
                <w:b/>
                <w:bCs/>
                <w:sz w:val="24"/>
                <w:szCs w:val="24"/>
              </w:rPr>
              <w:t xml:space="preserve"> (</w:t>
            </w:r>
            <w:r w:rsidR="0029089E" w:rsidRPr="0042750D">
              <w:rPr>
                <w:b/>
                <w:bCs/>
                <w:i/>
                <w:sz w:val="24"/>
                <w:szCs w:val="24"/>
              </w:rPr>
              <w:t>resolves</w:t>
            </w:r>
            <w:r w:rsidR="0029089E"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192BD9C8" w14:textId="77777777" w:rsidR="002428FF" w:rsidRPr="0042750D" w:rsidRDefault="002428FF" w:rsidP="00D50A4E">
            <w:pPr>
              <w:pStyle w:val="Tabletext"/>
              <w:jc w:val="center"/>
              <w:rPr>
                <w:b/>
                <w:bCs/>
                <w:sz w:val="24"/>
                <w:szCs w:val="24"/>
              </w:rPr>
            </w:pPr>
            <w:r w:rsidRPr="0042750D">
              <w:rPr>
                <w:b/>
                <w:bCs/>
                <w:sz w:val="24"/>
                <w:szCs w:val="24"/>
              </w:rPr>
              <w:t>Ongoing</w:t>
            </w:r>
          </w:p>
        </w:tc>
        <w:tc>
          <w:tcPr>
            <w:tcW w:w="1141" w:type="dxa"/>
            <w:tcBorders>
              <w:top w:val="single" w:sz="12" w:space="0" w:color="auto"/>
              <w:bottom w:val="single" w:sz="2" w:space="0" w:color="auto"/>
            </w:tcBorders>
            <w:shd w:val="clear" w:color="auto" w:fill="auto"/>
            <w:vAlign w:val="center"/>
          </w:tcPr>
          <w:p w14:paraId="424E88C6" w14:textId="6A8C390C" w:rsidR="002428FF" w:rsidRPr="0042750D" w:rsidRDefault="00622EAF"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59E1F9D5" w14:textId="77777777" w:rsidR="002428FF" w:rsidRPr="0042750D" w:rsidRDefault="002428FF" w:rsidP="00D50A4E">
            <w:pPr>
              <w:pStyle w:val="Tabletext"/>
              <w:jc w:val="center"/>
              <w:rPr>
                <w:b/>
                <w:bCs/>
                <w:sz w:val="24"/>
                <w:szCs w:val="24"/>
              </w:rPr>
            </w:pPr>
          </w:p>
        </w:tc>
      </w:tr>
      <w:tr w:rsidR="002428FF" w:rsidRPr="0042750D" w14:paraId="26B921F1" w14:textId="77777777" w:rsidTr="002428FF">
        <w:trPr>
          <w:jc w:val="center"/>
        </w:trPr>
        <w:tc>
          <w:tcPr>
            <w:tcW w:w="1217" w:type="dxa"/>
            <w:vMerge/>
            <w:tcBorders>
              <w:bottom w:val="single" w:sz="12" w:space="0" w:color="auto"/>
            </w:tcBorders>
            <w:shd w:val="clear" w:color="auto" w:fill="auto"/>
          </w:tcPr>
          <w:p w14:paraId="4E0645F2" w14:textId="77777777" w:rsidR="002428FF" w:rsidRPr="0042750D"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58171F8D" w14:textId="77777777" w:rsidR="002428FF" w:rsidRPr="0042750D" w:rsidRDefault="00622EAF" w:rsidP="00D50A4E">
            <w:pPr>
              <w:pStyle w:val="Tabletext"/>
              <w:rPr>
                <w:szCs w:val="22"/>
              </w:rPr>
            </w:pPr>
            <w:r w:rsidRPr="0042750D">
              <w:rPr>
                <w:szCs w:val="22"/>
              </w:rPr>
              <w:t xml:space="preserve">See </w:t>
            </w:r>
            <w:hyperlink r:id="rId152" w:history="1">
              <w:r w:rsidRPr="0042750D">
                <w:rPr>
                  <w:rStyle w:val="Hyperlink"/>
                  <w:szCs w:val="22"/>
                </w:rPr>
                <w:t>C19/35</w:t>
              </w:r>
            </w:hyperlink>
            <w:r w:rsidRPr="0042750D">
              <w:rPr>
                <w:szCs w:val="22"/>
              </w:rPr>
              <w:t xml:space="preserve"> Annex 1.</w:t>
            </w:r>
          </w:p>
          <w:p w14:paraId="61B63917" w14:textId="1C21C92D" w:rsidR="00580A6C" w:rsidRPr="0042750D" w:rsidRDefault="00580A6C" w:rsidP="00E646CF">
            <w:pPr>
              <w:pStyle w:val="ListParagraph"/>
              <w:numPr>
                <w:ilvl w:val="0"/>
                <w:numId w:val="6"/>
              </w:numPr>
              <w:spacing w:after="40"/>
              <w:ind w:left="357" w:hanging="357"/>
              <w:contextualSpacing w:val="0"/>
              <w:rPr>
                <w:szCs w:val="22"/>
              </w:rPr>
            </w:pPr>
            <w:r w:rsidRPr="0042750D">
              <w:rPr>
                <w:szCs w:val="22"/>
              </w:rPr>
              <w:t>SG3 agreed on a draft new Question on Mobile Financial Services, approved a new work item on Big Data governance, on a draft new Question on Mobile Financial Services, and on a Gloassary for Digital Financial Services (DFS). The group also approved new Recommendation ITU-T D.263 on Costs, charges and competition for Mobile Financial Services (MFS). SG3 RGM on Q12/3 agreed on baseline texts for two new Draft Recommendations on Mobile Financial Services. SG3 agreed nine reports of the Focus Group on Digital Financial Services (FG-DFS) to be published as SG3 Technical Reports. SG3 is studying in several work item</w:t>
            </w:r>
            <w:r w:rsidR="00141A7E" w:rsidRPr="0042750D">
              <w:rPr>
                <w:szCs w:val="22"/>
              </w:rPr>
              <w:t>s</w:t>
            </w:r>
            <w:r w:rsidRPr="0042750D">
              <w:rPr>
                <w:szCs w:val="22"/>
              </w:rPr>
              <w:t xml:space="preserve"> the economic and policy issues related to mobile financial services.</w:t>
            </w:r>
          </w:p>
        </w:tc>
      </w:tr>
      <w:tr w:rsidR="002428FF" w:rsidRPr="0042750D" w14:paraId="45A47F51" w14:textId="77777777" w:rsidTr="00D50A4E">
        <w:trPr>
          <w:jc w:val="center"/>
        </w:trPr>
        <w:tc>
          <w:tcPr>
            <w:tcW w:w="1217" w:type="dxa"/>
            <w:vMerge w:val="restart"/>
            <w:tcBorders>
              <w:top w:val="single" w:sz="12" w:space="0" w:color="auto"/>
            </w:tcBorders>
            <w:shd w:val="clear" w:color="auto" w:fill="auto"/>
          </w:tcPr>
          <w:p w14:paraId="5DA3B41B" w14:textId="37D66C01" w:rsidR="002428FF" w:rsidRPr="0042750D" w:rsidRDefault="00783B71" w:rsidP="00D50A4E">
            <w:pPr>
              <w:pStyle w:val="Tabletext"/>
              <w:keepNext/>
              <w:keepLines/>
              <w:rPr>
                <w:b/>
                <w:bCs/>
                <w:sz w:val="24"/>
                <w:szCs w:val="24"/>
              </w:rPr>
            </w:pPr>
            <w:r w:rsidRPr="0042750D">
              <w:rPr>
                <w:b/>
                <w:sz w:val="24"/>
                <w:szCs w:val="24"/>
              </w:rPr>
              <w:t>204</w:t>
            </w:r>
            <w:r w:rsidR="002428FF" w:rsidRPr="0042750D">
              <w:rPr>
                <w:b/>
                <w:bCs/>
                <w:sz w:val="24"/>
                <w:szCs w:val="24"/>
              </w:rPr>
              <w:t>-02</w:t>
            </w:r>
          </w:p>
        </w:tc>
        <w:tc>
          <w:tcPr>
            <w:tcW w:w="4903" w:type="dxa"/>
            <w:tcBorders>
              <w:top w:val="single" w:sz="12" w:space="0" w:color="auto"/>
              <w:bottom w:val="single" w:sz="2" w:space="0" w:color="auto"/>
            </w:tcBorders>
            <w:shd w:val="clear" w:color="auto" w:fill="auto"/>
            <w:hideMark/>
          </w:tcPr>
          <w:p w14:paraId="741FFCE8" w14:textId="1AC11C73" w:rsidR="002428FF" w:rsidRPr="0042750D" w:rsidRDefault="002428FF" w:rsidP="00D50A4E">
            <w:pPr>
              <w:pStyle w:val="Tabletext"/>
              <w:rPr>
                <w:b/>
                <w:bCs/>
                <w:sz w:val="24"/>
                <w:szCs w:val="24"/>
              </w:rPr>
            </w:pPr>
            <w:r w:rsidRPr="0042750D">
              <w:rPr>
                <w:b/>
                <w:bCs/>
                <w:sz w:val="24"/>
                <w:szCs w:val="24"/>
              </w:rPr>
              <w:t>TSBDir to encourage collaboration and dialogue between telecommunication regulators and financial services authorities to develop and implement standards and guidelines</w:t>
            </w:r>
            <w:r w:rsidR="0029089E" w:rsidRPr="0042750D">
              <w:rPr>
                <w:b/>
                <w:bCs/>
                <w:sz w:val="24"/>
                <w:szCs w:val="24"/>
              </w:rPr>
              <w:t xml:space="preserve"> (</w:t>
            </w:r>
            <w:r w:rsidR="0029089E" w:rsidRPr="0042750D">
              <w:rPr>
                <w:b/>
                <w:bCs/>
                <w:i/>
                <w:sz w:val="24"/>
                <w:szCs w:val="24"/>
              </w:rPr>
              <w:t>resolves 2</w:t>
            </w:r>
            <w:r w:rsidR="0029089E"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0A363DD4" w14:textId="77777777" w:rsidR="002428FF" w:rsidRPr="0042750D" w:rsidRDefault="002428FF" w:rsidP="00D50A4E">
            <w:pPr>
              <w:pStyle w:val="Tabletext"/>
              <w:jc w:val="center"/>
              <w:rPr>
                <w:b/>
                <w:bCs/>
                <w:sz w:val="24"/>
                <w:szCs w:val="24"/>
              </w:rPr>
            </w:pPr>
            <w:r w:rsidRPr="0042750D">
              <w:rPr>
                <w:b/>
                <w:bCs/>
                <w:sz w:val="24"/>
                <w:szCs w:val="24"/>
              </w:rPr>
              <w:t>Ongoing</w:t>
            </w:r>
          </w:p>
        </w:tc>
        <w:tc>
          <w:tcPr>
            <w:tcW w:w="1141" w:type="dxa"/>
            <w:tcBorders>
              <w:top w:val="single" w:sz="12" w:space="0" w:color="auto"/>
              <w:bottom w:val="single" w:sz="2" w:space="0" w:color="auto"/>
            </w:tcBorders>
            <w:shd w:val="clear" w:color="auto" w:fill="auto"/>
            <w:vAlign w:val="center"/>
          </w:tcPr>
          <w:p w14:paraId="5DEEB712" w14:textId="16B3880A" w:rsidR="002428FF" w:rsidRPr="0042750D" w:rsidRDefault="009F3689"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29F20B33" w14:textId="77777777" w:rsidR="002428FF" w:rsidRPr="0042750D" w:rsidRDefault="002428FF" w:rsidP="00D50A4E">
            <w:pPr>
              <w:pStyle w:val="Tabletext"/>
              <w:jc w:val="center"/>
              <w:rPr>
                <w:b/>
                <w:bCs/>
                <w:sz w:val="24"/>
                <w:szCs w:val="24"/>
              </w:rPr>
            </w:pPr>
          </w:p>
        </w:tc>
      </w:tr>
      <w:tr w:rsidR="002428FF" w:rsidRPr="0042750D" w14:paraId="468F43B5" w14:textId="77777777" w:rsidTr="00D50A4E">
        <w:trPr>
          <w:jc w:val="center"/>
        </w:trPr>
        <w:tc>
          <w:tcPr>
            <w:tcW w:w="1217" w:type="dxa"/>
            <w:vMerge/>
            <w:tcBorders>
              <w:bottom w:val="single" w:sz="12" w:space="0" w:color="auto"/>
            </w:tcBorders>
            <w:shd w:val="clear" w:color="auto" w:fill="auto"/>
          </w:tcPr>
          <w:p w14:paraId="52B50D75" w14:textId="77777777" w:rsidR="002428FF" w:rsidRPr="0042750D"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06D222D7" w14:textId="5A1BF4C5" w:rsidR="002428FF" w:rsidRPr="0042750D" w:rsidRDefault="009F3689" w:rsidP="006F2431">
            <w:pPr>
              <w:pStyle w:val="ListParagraph"/>
              <w:numPr>
                <w:ilvl w:val="0"/>
                <w:numId w:val="6"/>
              </w:numPr>
              <w:spacing w:before="40" w:after="40"/>
              <w:ind w:left="357" w:hanging="357"/>
              <w:contextualSpacing w:val="0"/>
              <w:rPr>
                <w:szCs w:val="22"/>
              </w:rPr>
            </w:pPr>
            <w:r w:rsidRPr="0042750D">
              <w:rPr>
                <w:szCs w:val="22"/>
              </w:rPr>
              <w:t>SG3 is studying in work item D.MFScoop Guidelines for MOU between telecommunications regulators and central banks taking into account the Zambian experience and existing MOU.</w:t>
            </w:r>
          </w:p>
        </w:tc>
      </w:tr>
      <w:tr w:rsidR="002428FF" w:rsidRPr="0042750D" w14:paraId="4C9B5123" w14:textId="77777777" w:rsidTr="00D50A4E">
        <w:trPr>
          <w:jc w:val="center"/>
        </w:trPr>
        <w:tc>
          <w:tcPr>
            <w:tcW w:w="1217" w:type="dxa"/>
            <w:vMerge w:val="restart"/>
            <w:tcBorders>
              <w:top w:val="single" w:sz="12" w:space="0" w:color="auto"/>
            </w:tcBorders>
            <w:shd w:val="clear" w:color="auto" w:fill="auto"/>
          </w:tcPr>
          <w:p w14:paraId="1F20B02F" w14:textId="16D8BD93" w:rsidR="002428FF" w:rsidRPr="0042750D" w:rsidRDefault="00783B71" w:rsidP="00D50A4E">
            <w:pPr>
              <w:pStyle w:val="Tabletext"/>
              <w:keepNext/>
              <w:keepLines/>
              <w:rPr>
                <w:b/>
                <w:bCs/>
                <w:sz w:val="24"/>
                <w:szCs w:val="24"/>
              </w:rPr>
            </w:pPr>
            <w:r w:rsidRPr="0042750D">
              <w:rPr>
                <w:b/>
                <w:sz w:val="24"/>
                <w:szCs w:val="24"/>
              </w:rPr>
              <w:t>204</w:t>
            </w:r>
            <w:r w:rsidR="002428FF" w:rsidRPr="0042750D">
              <w:rPr>
                <w:b/>
                <w:bCs/>
                <w:sz w:val="24"/>
                <w:szCs w:val="24"/>
              </w:rPr>
              <w:t>-03</w:t>
            </w:r>
          </w:p>
        </w:tc>
        <w:tc>
          <w:tcPr>
            <w:tcW w:w="4903" w:type="dxa"/>
            <w:tcBorders>
              <w:top w:val="single" w:sz="12" w:space="0" w:color="auto"/>
              <w:bottom w:val="single" w:sz="2" w:space="0" w:color="auto"/>
            </w:tcBorders>
            <w:shd w:val="clear" w:color="auto" w:fill="auto"/>
            <w:hideMark/>
          </w:tcPr>
          <w:p w14:paraId="2BC6894D" w14:textId="60AA5611" w:rsidR="002428FF" w:rsidRPr="0042750D" w:rsidRDefault="002428FF" w:rsidP="00D50A4E">
            <w:pPr>
              <w:pStyle w:val="Tabletext"/>
              <w:rPr>
                <w:b/>
                <w:bCs/>
                <w:sz w:val="24"/>
                <w:szCs w:val="24"/>
              </w:rPr>
            </w:pPr>
            <w:r w:rsidRPr="0042750D">
              <w:rPr>
                <w:b/>
                <w:bCs/>
                <w:sz w:val="24"/>
                <w:szCs w:val="24"/>
              </w:rPr>
              <w:t>TSBDir to encourage the use of innovative digital tools and technologies, as appropriate, to advance financial inclusion</w:t>
            </w:r>
            <w:r w:rsidR="0029089E" w:rsidRPr="0042750D">
              <w:rPr>
                <w:b/>
                <w:bCs/>
                <w:sz w:val="24"/>
                <w:szCs w:val="24"/>
              </w:rPr>
              <w:t xml:space="preserve"> (</w:t>
            </w:r>
            <w:r w:rsidR="0029089E" w:rsidRPr="0042750D">
              <w:rPr>
                <w:b/>
                <w:bCs/>
                <w:i/>
                <w:sz w:val="24"/>
                <w:szCs w:val="24"/>
              </w:rPr>
              <w:t>resolves 3</w:t>
            </w:r>
            <w:r w:rsidR="0029089E" w:rsidRPr="0042750D">
              <w:rPr>
                <w:b/>
                <w:bCs/>
                <w:sz w:val="24"/>
                <w:szCs w:val="24"/>
              </w:rPr>
              <w:t>)</w:t>
            </w:r>
            <w:r w:rsidR="00E52968"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7A8E2C68" w14:textId="77777777" w:rsidR="002428FF" w:rsidRPr="0042750D" w:rsidRDefault="002428FF" w:rsidP="00D50A4E">
            <w:pPr>
              <w:pStyle w:val="Tabletext"/>
              <w:jc w:val="center"/>
              <w:rPr>
                <w:b/>
                <w:bCs/>
                <w:sz w:val="24"/>
                <w:szCs w:val="24"/>
              </w:rPr>
            </w:pPr>
            <w:r w:rsidRPr="0042750D">
              <w:rPr>
                <w:b/>
                <w:bCs/>
                <w:sz w:val="24"/>
                <w:szCs w:val="24"/>
              </w:rPr>
              <w:t>Ongoing</w:t>
            </w:r>
          </w:p>
        </w:tc>
        <w:tc>
          <w:tcPr>
            <w:tcW w:w="1141" w:type="dxa"/>
            <w:tcBorders>
              <w:top w:val="single" w:sz="12" w:space="0" w:color="auto"/>
              <w:bottom w:val="single" w:sz="2" w:space="0" w:color="auto"/>
            </w:tcBorders>
            <w:shd w:val="clear" w:color="auto" w:fill="auto"/>
            <w:vAlign w:val="center"/>
          </w:tcPr>
          <w:p w14:paraId="3B4A7F07" w14:textId="77777777" w:rsidR="002428FF" w:rsidRPr="0042750D" w:rsidRDefault="002428FF" w:rsidP="00D50A4E">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3F80317" w14:textId="77777777" w:rsidR="002428FF" w:rsidRPr="0042750D" w:rsidRDefault="002428FF" w:rsidP="00D50A4E">
            <w:pPr>
              <w:pStyle w:val="Tabletext"/>
              <w:jc w:val="center"/>
              <w:rPr>
                <w:b/>
                <w:bCs/>
                <w:sz w:val="24"/>
                <w:szCs w:val="24"/>
              </w:rPr>
            </w:pPr>
          </w:p>
        </w:tc>
      </w:tr>
      <w:tr w:rsidR="002428FF" w:rsidRPr="0042750D" w14:paraId="3A13BAB6" w14:textId="77777777" w:rsidTr="00D50A4E">
        <w:trPr>
          <w:jc w:val="center"/>
        </w:trPr>
        <w:tc>
          <w:tcPr>
            <w:tcW w:w="1217" w:type="dxa"/>
            <w:vMerge/>
            <w:tcBorders>
              <w:bottom w:val="single" w:sz="12" w:space="0" w:color="auto"/>
            </w:tcBorders>
            <w:shd w:val="clear" w:color="auto" w:fill="auto"/>
          </w:tcPr>
          <w:p w14:paraId="7D848600" w14:textId="77777777" w:rsidR="002428FF" w:rsidRPr="0042750D"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6015A97B" w14:textId="77777777" w:rsidR="002428FF" w:rsidRPr="0042750D" w:rsidRDefault="002428FF" w:rsidP="00D50A4E">
            <w:pPr>
              <w:pStyle w:val="Tabletext"/>
              <w:rPr>
                <w:szCs w:val="22"/>
              </w:rPr>
            </w:pPr>
          </w:p>
        </w:tc>
      </w:tr>
      <w:tr w:rsidR="002428FF" w:rsidRPr="0042750D" w14:paraId="6D8798F8" w14:textId="77777777" w:rsidTr="00D50A4E">
        <w:trPr>
          <w:jc w:val="center"/>
        </w:trPr>
        <w:tc>
          <w:tcPr>
            <w:tcW w:w="1217" w:type="dxa"/>
            <w:vMerge w:val="restart"/>
            <w:tcBorders>
              <w:top w:val="single" w:sz="12" w:space="0" w:color="auto"/>
            </w:tcBorders>
            <w:shd w:val="clear" w:color="auto" w:fill="auto"/>
          </w:tcPr>
          <w:p w14:paraId="1E454401" w14:textId="144BA9DB" w:rsidR="002428FF" w:rsidRPr="0042750D" w:rsidRDefault="00783B71" w:rsidP="00D50A4E">
            <w:pPr>
              <w:pStyle w:val="Tabletext"/>
              <w:keepNext/>
              <w:keepLines/>
              <w:rPr>
                <w:b/>
                <w:bCs/>
                <w:sz w:val="24"/>
                <w:szCs w:val="24"/>
              </w:rPr>
            </w:pPr>
            <w:r w:rsidRPr="0042750D">
              <w:rPr>
                <w:b/>
                <w:sz w:val="24"/>
                <w:szCs w:val="24"/>
              </w:rPr>
              <w:t>204</w:t>
            </w:r>
            <w:r w:rsidR="002428FF" w:rsidRPr="0042750D">
              <w:rPr>
                <w:b/>
                <w:bCs/>
                <w:sz w:val="24"/>
                <w:szCs w:val="24"/>
              </w:rPr>
              <w:t>-04</w:t>
            </w:r>
          </w:p>
        </w:tc>
        <w:tc>
          <w:tcPr>
            <w:tcW w:w="4903" w:type="dxa"/>
            <w:tcBorders>
              <w:top w:val="single" w:sz="12" w:space="0" w:color="auto"/>
              <w:bottom w:val="single" w:sz="2" w:space="0" w:color="auto"/>
            </w:tcBorders>
            <w:shd w:val="clear" w:color="auto" w:fill="auto"/>
            <w:hideMark/>
          </w:tcPr>
          <w:p w14:paraId="3FCC401F" w14:textId="6BFDC224" w:rsidR="002428FF" w:rsidRPr="0042750D" w:rsidRDefault="002428FF" w:rsidP="00D50A4E">
            <w:pPr>
              <w:pStyle w:val="Tabletext"/>
              <w:rPr>
                <w:b/>
                <w:bCs/>
                <w:sz w:val="24"/>
                <w:szCs w:val="24"/>
              </w:rPr>
            </w:pPr>
            <w:r w:rsidRPr="0042750D">
              <w:rPr>
                <w:b/>
                <w:bCs/>
                <w:sz w:val="24"/>
                <w:szCs w:val="24"/>
              </w:rPr>
              <w:t>ITU-T study groups to continue studying economic and policy issues, developing standards, recommendations and guidelines in the area of digital financial services, as appropriate</w:t>
            </w:r>
            <w:r w:rsidR="0029089E" w:rsidRPr="0042750D">
              <w:rPr>
                <w:b/>
                <w:bCs/>
                <w:sz w:val="24"/>
                <w:szCs w:val="24"/>
              </w:rPr>
              <w:t xml:space="preserve"> (</w:t>
            </w:r>
            <w:r w:rsidR="0029089E" w:rsidRPr="0042750D">
              <w:rPr>
                <w:b/>
                <w:bCs/>
                <w:i/>
                <w:sz w:val="24"/>
                <w:szCs w:val="24"/>
              </w:rPr>
              <w:t>instructs 1</w:t>
            </w:r>
            <w:r w:rsidR="0029089E"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19C4CB9E" w14:textId="77777777" w:rsidR="002428FF" w:rsidRPr="0042750D" w:rsidRDefault="002428FF" w:rsidP="00D50A4E">
            <w:pPr>
              <w:pStyle w:val="Tabletext"/>
              <w:jc w:val="center"/>
              <w:rPr>
                <w:b/>
                <w:bCs/>
                <w:sz w:val="24"/>
                <w:szCs w:val="24"/>
              </w:rPr>
            </w:pPr>
            <w:r w:rsidRPr="0042750D">
              <w:rPr>
                <w:b/>
                <w:bCs/>
                <w:sz w:val="24"/>
                <w:szCs w:val="24"/>
              </w:rPr>
              <w:t>Ongoing</w:t>
            </w:r>
          </w:p>
        </w:tc>
        <w:tc>
          <w:tcPr>
            <w:tcW w:w="1141" w:type="dxa"/>
            <w:tcBorders>
              <w:top w:val="single" w:sz="12" w:space="0" w:color="auto"/>
              <w:bottom w:val="single" w:sz="2" w:space="0" w:color="auto"/>
            </w:tcBorders>
            <w:shd w:val="clear" w:color="auto" w:fill="auto"/>
            <w:vAlign w:val="center"/>
          </w:tcPr>
          <w:p w14:paraId="2DC42485" w14:textId="74F3F9C1" w:rsidR="002428FF" w:rsidRPr="0042750D" w:rsidRDefault="00D5222A"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58B9DE07" w14:textId="77777777" w:rsidR="002428FF" w:rsidRPr="0042750D" w:rsidRDefault="002428FF" w:rsidP="00D50A4E">
            <w:pPr>
              <w:pStyle w:val="Tabletext"/>
              <w:jc w:val="center"/>
              <w:rPr>
                <w:b/>
                <w:bCs/>
                <w:sz w:val="24"/>
                <w:szCs w:val="24"/>
              </w:rPr>
            </w:pPr>
          </w:p>
        </w:tc>
      </w:tr>
      <w:tr w:rsidR="002428FF" w:rsidRPr="0042750D" w14:paraId="565FEB52" w14:textId="77777777" w:rsidTr="00D50A4E">
        <w:trPr>
          <w:jc w:val="center"/>
        </w:trPr>
        <w:tc>
          <w:tcPr>
            <w:tcW w:w="1217" w:type="dxa"/>
            <w:vMerge/>
            <w:tcBorders>
              <w:bottom w:val="single" w:sz="12" w:space="0" w:color="auto"/>
            </w:tcBorders>
            <w:shd w:val="clear" w:color="auto" w:fill="auto"/>
          </w:tcPr>
          <w:p w14:paraId="0604478D" w14:textId="77777777" w:rsidR="002428FF" w:rsidRPr="0042750D"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7A44D9FB" w14:textId="77777777" w:rsidR="00B60ECE" w:rsidRPr="0042750D" w:rsidRDefault="00B60ECE" w:rsidP="00B60ECE">
            <w:pPr>
              <w:pStyle w:val="Tabletext"/>
              <w:rPr>
                <w:szCs w:val="22"/>
              </w:rPr>
            </w:pPr>
            <w:r w:rsidRPr="0042750D">
              <w:rPr>
                <w:szCs w:val="22"/>
              </w:rPr>
              <w:t xml:space="preserve">See </w:t>
            </w:r>
            <w:hyperlink r:id="rId153" w:history="1">
              <w:r w:rsidRPr="0042750D">
                <w:rPr>
                  <w:rStyle w:val="Hyperlink"/>
                  <w:szCs w:val="22"/>
                </w:rPr>
                <w:t>C19/35</w:t>
              </w:r>
            </w:hyperlink>
            <w:r w:rsidRPr="0042750D">
              <w:rPr>
                <w:szCs w:val="22"/>
              </w:rPr>
              <w:t xml:space="preserve"> Annex 1.</w:t>
            </w:r>
          </w:p>
          <w:p w14:paraId="6D399D99" w14:textId="5B64BAE5" w:rsidR="002428FF" w:rsidRPr="0042750D" w:rsidRDefault="00D5222A" w:rsidP="00D5222A">
            <w:pPr>
              <w:pStyle w:val="Tabletext"/>
              <w:rPr>
                <w:szCs w:val="22"/>
              </w:rPr>
            </w:pPr>
            <w:r w:rsidRPr="0042750D">
              <w:rPr>
                <w:szCs w:val="22"/>
              </w:rPr>
              <w:t>SG3 agreed on a draft new Question on Mobile Financial Services, approved a new work item on Big Data governance, on a draft new Question on Mobile Financial Services, and on a Gloassary for Digital Financial Services (DFS). The group also approved new Recommendation ITU-T D.263 on Costs, charges and competition for Mobile Financial Services (MFS). SG3 RGM on Q12/3 agreed on baseline texts for two new Draft Recommendations on Mobile Financial Services. SG3 agreed nine reports of the Focus Group on Digital Financial Services (FG-DFS) to be published as SG3 Technical Reports. SG3 is studying in several work item</w:t>
            </w:r>
            <w:r w:rsidR="00922794" w:rsidRPr="0042750D">
              <w:rPr>
                <w:szCs w:val="22"/>
              </w:rPr>
              <w:t>s</w:t>
            </w:r>
            <w:r w:rsidRPr="0042750D">
              <w:rPr>
                <w:szCs w:val="22"/>
              </w:rPr>
              <w:t xml:space="preserve"> the economic and policy issues related to mobile financial services.</w:t>
            </w:r>
          </w:p>
        </w:tc>
      </w:tr>
      <w:tr w:rsidR="002428FF" w:rsidRPr="0042750D" w14:paraId="2EA1C39F" w14:textId="77777777" w:rsidTr="00D50A4E">
        <w:trPr>
          <w:jc w:val="center"/>
        </w:trPr>
        <w:tc>
          <w:tcPr>
            <w:tcW w:w="1217" w:type="dxa"/>
            <w:vMerge w:val="restart"/>
            <w:tcBorders>
              <w:top w:val="single" w:sz="12" w:space="0" w:color="auto"/>
            </w:tcBorders>
            <w:shd w:val="clear" w:color="auto" w:fill="auto"/>
          </w:tcPr>
          <w:p w14:paraId="7C8D940C" w14:textId="1D881832" w:rsidR="002428FF" w:rsidRPr="0042750D" w:rsidRDefault="00783B71" w:rsidP="00D50A4E">
            <w:pPr>
              <w:pStyle w:val="Tabletext"/>
              <w:keepNext/>
              <w:keepLines/>
              <w:rPr>
                <w:b/>
                <w:bCs/>
                <w:sz w:val="24"/>
                <w:szCs w:val="24"/>
              </w:rPr>
            </w:pPr>
            <w:r w:rsidRPr="0042750D">
              <w:rPr>
                <w:b/>
                <w:sz w:val="24"/>
                <w:szCs w:val="24"/>
              </w:rPr>
              <w:t>204</w:t>
            </w:r>
            <w:r w:rsidR="002428FF" w:rsidRPr="0042750D">
              <w:rPr>
                <w:b/>
                <w:bCs/>
                <w:sz w:val="24"/>
                <w:szCs w:val="24"/>
              </w:rPr>
              <w:t>-05</w:t>
            </w:r>
          </w:p>
        </w:tc>
        <w:tc>
          <w:tcPr>
            <w:tcW w:w="4903" w:type="dxa"/>
            <w:tcBorders>
              <w:top w:val="single" w:sz="12" w:space="0" w:color="auto"/>
              <w:bottom w:val="single" w:sz="2" w:space="0" w:color="auto"/>
            </w:tcBorders>
            <w:shd w:val="clear" w:color="auto" w:fill="auto"/>
            <w:hideMark/>
          </w:tcPr>
          <w:p w14:paraId="70ED7D97" w14:textId="791BE1DE" w:rsidR="002428FF" w:rsidRPr="0042750D" w:rsidRDefault="002428FF" w:rsidP="00D50A4E">
            <w:pPr>
              <w:pStyle w:val="Tabletext"/>
              <w:rPr>
                <w:b/>
                <w:bCs/>
                <w:sz w:val="24"/>
                <w:szCs w:val="24"/>
              </w:rPr>
            </w:pPr>
            <w:r w:rsidRPr="0042750D">
              <w:rPr>
                <w:b/>
                <w:bCs/>
                <w:sz w:val="24"/>
                <w:szCs w:val="24"/>
              </w:rPr>
              <w:t>ITU-T study groups to continue studying the areas of interoperability, digitization of payments, consumer protection, quality of service, data monetization, agents, and network security, where such studies, standards and guidelines require collaboration with efforts taking place in other institutions and relate to the mandate of the Union</w:t>
            </w:r>
            <w:r w:rsidR="001A10F6" w:rsidRPr="0042750D">
              <w:rPr>
                <w:b/>
                <w:bCs/>
                <w:sz w:val="24"/>
                <w:szCs w:val="24"/>
              </w:rPr>
              <w:t xml:space="preserve"> (</w:t>
            </w:r>
            <w:r w:rsidR="001A10F6" w:rsidRPr="0042750D">
              <w:rPr>
                <w:b/>
                <w:bCs/>
                <w:i/>
                <w:sz w:val="24"/>
                <w:szCs w:val="24"/>
              </w:rPr>
              <w:t>instructs 2</w:t>
            </w:r>
            <w:r w:rsidR="001A10F6"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61F8058F" w14:textId="77777777" w:rsidR="002428FF" w:rsidRPr="0042750D" w:rsidRDefault="002428FF" w:rsidP="00D50A4E">
            <w:pPr>
              <w:pStyle w:val="Tabletext"/>
              <w:jc w:val="center"/>
              <w:rPr>
                <w:b/>
                <w:bCs/>
                <w:sz w:val="24"/>
                <w:szCs w:val="24"/>
              </w:rPr>
            </w:pPr>
            <w:r w:rsidRPr="0042750D">
              <w:rPr>
                <w:b/>
                <w:bCs/>
                <w:sz w:val="24"/>
                <w:szCs w:val="24"/>
              </w:rPr>
              <w:t>Ongoing</w:t>
            </w:r>
          </w:p>
        </w:tc>
        <w:tc>
          <w:tcPr>
            <w:tcW w:w="1141" w:type="dxa"/>
            <w:tcBorders>
              <w:top w:val="single" w:sz="12" w:space="0" w:color="auto"/>
              <w:bottom w:val="single" w:sz="2" w:space="0" w:color="auto"/>
            </w:tcBorders>
            <w:shd w:val="clear" w:color="auto" w:fill="auto"/>
            <w:vAlign w:val="center"/>
          </w:tcPr>
          <w:p w14:paraId="02FA3AF6" w14:textId="38DBDE48" w:rsidR="002428FF" w:rsidRPr="0042750D" w:rsidRDefault="002428FF" w:rsidP="00D50A4E">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54B49415" w14:textId="77777777" w:rsidR="002428FF" w:rsidRPr="0042750D" w:rsidRDefault="002428FF" w:rsidP="00D50A4E">
            <w:pPr>
              <w:pStyle w:val="Tabletext"/>
              <w:jc w:val="center"/>
              <w:rPr>
                <w:b/>
                <w:bCs/>
                <w:sz w:val="24"/>
                <w:szCs w:val="24"/>
              </w:rPr>
            </w:pPr>
          </w:p>
        </w:tc>
      </w:tr>
      <w:tr w:rsidR="002428FF" w:rsidRPr="0042750D" w14:paraId="20FD69C9" w14:textId="77777777" w:rsidTr="00D50A4E">
        <w:trPr>
          <w:jc w:val="center"/>
        </w:trPr>
        <w:tc>
          <w:tcPr>
            <w:tcW w:w="1217" w:type="dxa"/>
            <w:vMerge/>
            <w:tcBorders>
              <w:bottom w:val="single" w:sz="12" w:space="0" w:color="auto"/>
            </w:tcBorders>
            <w:shd w:val="clear" w:color="auto" w:fill="auto"/>
          </w:tcPr>
          <w:p w14:paraId="0EDA7B03" w14:textId="77777777" w:rsidR="002428FF" w:rsidRPr="0042750D"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6EADEA2B" w14:textId="28F34F63" w:rsidR="002428FF" w:rsidRPr="0042750D" w:rsidRDefault="002428FF" w:rsidP="002E249B">
            <w:pPr>
              <w:pStyle w:val="Tabletext"/>
              <w:rPr>
                <w:szCs w:val="22"/>
              </w:rPr>
            </w:pPr>
          </w:p>
        </w:tc>
      </w:tr>
      <w:tr w:rsidR="002428FF" w:rsidRPr="0042750D" w14:paraId="665B2F7F" w14:textId="77777777" w:rsidTr="00D50A4E">
        <w:trPr>
          <w:jc w:val="center"/>
        </w:trPr>
        <w:tc>
          <w:tcPr>
            <w:tcW w:w="1217" w:type="dxa"/>
            <w:vMerge w:val="restart"/>
            <w:tcBorders>
              <w:top w:val="single" w:sz="12" w:space="0" w:color="auto"/>
            </w:tcBorders>
            <w:shd w:val="clear" w:color="auto" w:fill="auto"/>
          </w:tcPr>
          <w:p w14:paraId="2454841A" w14:textId="043F9424" w:rsidR="002428FF" w:rsidRPr="0042750D" w:rsidRDefault="00783B71" w:rsidP="00D50A4E">
            <w:pPr>
              <w:pStyle w:val="Tabletext"/>
              <w:keepNext/>
              <w:keepLines/>
              <w:rPr>
                <w:b/>
                <w:bCs/>
                <w:sz w:val="24"/>
                <w:szCs w:val="24"/>
              </w:rPr>
            </w:pPr>
            <w:r w:rsidRPr="0042750D">
              <w:rPr>
                <w:b/>
                <w:sz w:val="24"/>
                <w:szCs w:val="24"/>
              </w:rPr>
              <w:t>204</w:t>
            </w:r>
            <w:r w:rsidR="002428FF" w:rsidRPr="0042750D">
              <w:rPr>
                <w:b/>
                <w:bCs/>
                <w:sz w:val="24"/>
                <w:szCs w:val="24"/>
              </w:rPr>
              <w:t>-06</w:t>
            </w:r>
          </w:p>
        </w:tc>
        <w:tc>
          <w:tcPr>
            <w:tcW w:w="4903" w:type="dxa"/>
            <w:tcBorders>
              <w:top w:val="single" w:sz="12" w:space="0" w:color="auto"/>
              <w:bottom w:val="single" w:sz="2" w:space="0" w:color="auto"/>
            </w:tcBorders>
            <w:shd w:val="clear" w:color="auto" w:fill="auto"/>
            <w:hideMark/>
          </w:tcPr>
          <w:p w14:paraId="065F79CE" w14:textId="580A3591" w:rsidR="002428FF" w:rsidRPr="0042750D" w:rsidRDefault="002428FF" w:rsidP="00D50A4E">
            <w:pPr>
              <w:pStyle w:val="Tabletext"/>
              <w:rPr>
                <w:b/>
                <w:bCs/>
                <w:sz w:val="24"/>
                <w:szCs w:val="24"/>
              </w:rPr>
            </w:pPr>
            <w:r w:rsidRPr="0042750D">
              <w:rPr>
                <w:b/>
                <w:bCs/>
                <w:sz w:val="24"/>
                <w:szCs w:val="24"/>
              </w:rPr>
              <w:t>ITU-T study groups to continue efforts in the area of the collaboration among telecommunication regulators, financial regulators and central banks</w:t>
            </w:r>
            <w:r w:rsidR="001A10F6" w:rsidRPr="0042750D">
              <w:rPr>
                <w:b/>
                <w:bCs/>
                <w:sz w:val="24"/>
                <w:szCs w:val="24"/>
              </w:rPr>
              <w:t xml:space="preserve"> (</w:t>
            </w:r>
            <w:r w:rsidR="001A10F6" w:rsidRPr="0042750D">
              <w:rPr>
                <w:b/>
                <w:bCs/>
                <w:i/>
                <w:sz w:val="24"/>
                <w:szCs w:val="24"/>
              </w:rPr>
              <w:t>instructs 3</w:t>
            </w:r>
            <w:r w:rsidR="001A10F6"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17D07555" w14:textId="77777777" w:rsidR="002428FF" w:rsidRPr="0042750D" w:rsidRDefault="002428FF" w:rsidP="00D50A4E">
            <w:pPr>
              <w:pStyle w:val="Tabletext"/>
              <w:jc w:val="center"/>
              <w:rPr>
                <w:b/>
                <w:bCs/>
                <w:sz w:val="24"/>
                <w:szCs w:val="24"/>
              </w:rPr>
            </w:pPr>
            <w:r w:rsidRPr="0042750D">
              <w:rPr>
                <w:b/>
                <w:bCs/>
                <w:sz w:val="24"/>
                <w:szCs w:val="24"/>
              </w:rPr>
              <w:t>Ongoing</w:t>
            </w:r>
          </w:p>
        </w:tc>
        <w:tc>
          <w:tcPr>
            <w:tcW w:w="1141" w:type="dxa"/>
            <w:tcBorders>
              <w:top w:val="single" w:sz="12" w:space="0" w:color="auto"/>
              <w:bottom w:val="single" w:sz="2" w:space="0" w:color="auto"/>
            </w:tcBorders>
            <w:shd w:val="clear" w:color="auto" w:fill="auto"/>
            <w:vAlign w:val="center"/>
          </w:tcPr>
          <w:p w14:paraId="3331F8C6" w14:textId="44EB2B82" w:rsidR="002428FF" w:rsidRPr="0042750D" w:rsidRDefault="002E249B"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1F2194EE" w14:textId="77777777" w:rsidR="002428FF" w:rsidRPr="0042750D" w:rsidRDefault="002428FF" w:rsidP="00D50A4E">
            <w:pPr>
              <w:pStyle w:val="Tabletext"/>
              <w:jc w:val="center"/>
              <w:rPr>
                <w:b/>
                <w:bCs/>
                <w:sz w:val="24"/>
                <w:szCs w:val="24"/>
              </w:rPr>
            </w:pPr>
          </w:p>
        </w:tc>
      </w:tr>
      <w:tr w:rsidR="002428FF" w:rsidRPr="0042750D" w14:paraId="163D19FE" w14:textId="77777777" w:rsidTr="00D50A4E">
        <w:trPr>
          <w:jc w:val="center"/>
        </w:trPr>
        <w:tc>
          <w:tcPr>
            <w:tcW w:w="1217" w:type="dxa"/>
            <w:vMerge/>
            <w:tcBorders>
              <w:bottom w:val="single" w:sz="12" w:space="0" w:color="auto"/>
            </w:tcBorders>
            <w:shd w:val="clear" w:color="auto" w:fill="auto"/>
          </w:tcPr>
          <w:p w14:paraId="533A0E73" w14:textId="77777777" w:rsidR="002428FF" w:rsidRPr="0042750D"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75494085" w14:textId="6DBF6D85" w:rsidR="002428FF" w:rsidRPr="0042750D" w:rsidRDefault="002E249B" w:rsidP="006F2431">
            <w:pPr>
              <w:pStyle w:val="ListParagraph"/>
              <w:numPr>
                <w:ilvl w:val="0"/>
                <w:numId w:val="6"/>
              </w:numPr>
              <w:spacing w:before="40" w:after="40"/>
              <w:ind w:left="357" w:hanging="357"/>
              <w:contextualSpacing w:val="0"/>
              <w:rPr>
                <w:szCs w:val="22"/>
              </w:rPr>
            </w:pPr>
            <w:r w:rsidRPr="0042750D">
              <w:rPr>
                <w:szCs w:val="22"/>
              </w:rPr>
              <w:t>SG3 is studying in several work items the economic and policy issues related to mobile financial services.</w:t>
            </w:r>
          </w:p>
        </w:tc>
      </w:tr>
      <w:tr w:rsidR="002428FF" w:rsidRPr="0042750D" w14:paraId="2C0E4042" w14:textId="77777777" w:rsidTr="00D50A4E">
        <w:trPr>
          <w:jc w:val="center"/>
        </w:trPr>
        <w:tc>
          <w:tcPr>
            <w:tcW w:w="1217" w:type="dxa"/>
            <w:vMerge w:val="restart"/>
            <w:tcBorders>
              <w:top w:val="single" w:sz="12" w:space="0" w:color="auto"/>
            </w:tcBorders>
            <w:shd w:val="clear" w:color="auto" w:fill="auto"/>
          </w:tcPr>
          <w:p w14:paraId="6DAE12F9" w14:textId="50437E7A" w:rsidR="002428FF" w:rsidRPr="0042750D" w:rsidRDefault="00783B71" w:rsidP="00D50A4E">
            <w:pPr>
              <w:pStyle w:val="Tabletext"/>
              <w:keepNext/>
              <w:keepLines/>
              <w:rPr>
                <w:b/>
                <w:bCs/>
                <w:sz w:val="24"/>
                <w:szCs w:val="24"/>
              </w:rPr>
            </w:pPr>
            <w:r w:rsidRPr="0042750D">
              <w:rPr>
                <w:b/>
                <w:sz w:val="24"/>
                <w:szCs w:val="24"/>
              </w:rPr>
              <w:t>204</w:t>
            </w:r>
            <w:r w:rsidR="002428FF" w:rsidRPr="0042750D">
              <w:rPr>
                <w:b/>
                <w:bCs/>
                <w:sz w:val="24"/>
                <w:szCs w:val="24"/>
              </w:rPr>
              <w:t>-07</w:t>
            </w:r>
          </w:p>
        </w:tc>
        <w:tc>
          <w:tcPr>
            <w:tcW w:w="4903" w:type="dxa"/>
            <w:tcBorders>
              <w:top w:val="single" w:sz="12" w:space="0" w:color="auto"/>
              <w:bottom w:val="single" w:sz="2" w:space="0" w:color="auto"/>
            </w:tcBorders>
            <w:shd w:val="clear" w:color="auto" w:fill="auto"/>
            <w:hideMark/>
          </w:tcPr>
          <w:p w14:paraId="70B6BA18" w14:textId="53DBB730" w:rsidR="002428FF" w:rsidRPr="0042750D" w:rsidRDefault="002428FF" w:rsidP="00D50A4E">
            <w:pPr>
              <w:pStyle w:val="Tabletext"/>
              <w:rPr>
                <w:b/>
                <w:bCs/>
                <w:sz w:val="24"/>
                <w:szCs w:val="24"/>
              </w:rPr>
            </w:pPr>
            <w:r w:rsidRPr="0042750D">
              <w:rPr>
                <w:b/>
                <w:bCs/>
                <w:sz w:val="24"/>
                <w:szCs w:val="24"/>
              </w:rPr>
              <w:t>ITU-T study groups to coordinate and collaborate with other relevant standards development organizations (SDOs) and institutions with primary responsibility for the development of financial services standards, implementation and capacity building, and with other groups within ITU</w:t>
            </w:r>
            <w:r w:rsidR="001A10F6" w:rsidRPr="0042750D">
              <w:rPr>
                <w:b/>
                <w:bCs/>
                <w:sz w:val="24"/>
                <w:szCs w:val="24"/>
              </w:rPr>
              <w:t xml:space="preserve"> (</w:t>
            </w:r>
            <w:r w:rsidR="001A10F6" w:rsidRPr="0042750D">
              <w:rPr>
                <w:b/>
                <w:bCs/>
                <w:i/>
                <w:sz w:val="24"/>
                <w:szCs w:val="24"/>
              </w:rPr>
              <w:t>instructs 4</w:t>
            </w:r>
            <w:r w:rsidR="001A10F6"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2D0E1711" w14:textId="77777777" w:rsidR="002428FF" w:rsidRPr="0042750D" w:rsidRDefault="002428FF" w:rsidP="00D50A4E">
            <w:pPr>
              <w:pStyle w:val="Tabletext"/>
              <w:jc w:val="center"/>
              <w:rPr>
                <w:b/>
                <w:bCs/>
                <w:sz w:val="24"/>
                <w:szCs w:val="24"/>
              </w:rPr>
            </w:pPr>
            <w:r w:rsidRPr="0042750D">
              <w:rPr>
                <w:b/>
                <w:bCs/>
                <w:sz w:val="24"/>
                <w:szCs w:val="24"/>
              </w:rPr>
              <w:t>Ongoing</w:t>
            </w:r>
          </w:p>
        </w:tc>
        <w:tc>
          <w:tcPr>
            <w:tcW w:w="1141" w:type="dxa"/>
            <w:tcBorders>
              <w:top w:val="single" w:sz="12" w:space="0" w:color="auto"/>
              <w:bottom w:val="single" w:sz="2" w:space="0" w:color="auto"/>
            </w:tcBorders>
            <w:shd w:val="clear" w:color="auto" w:fill="auto"/>
            <w:vAlign w:val="center"/>
          </w:tcPr>
          <w:p w14:paraId="1097B3D5" w14:textId="77777777" w:rsidR="002428FF" w:rsidRPr="0042750D" w:rsidRDefault="002428FF" w:rsidP="00D50A4E">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26DA9EE3" w14:textId="77777777" w:rsidR="002428FF" w:rsidRPr="0042750D" w:rsidRDefault="002428FF" w:rsidP="00D50A4E">
            <w:pPr>
              <w:pStyle w:val="Tabletext"/>
              <w:jc w:val="center"/>
              <w:rPr>
                <w:b/>
                <w:bCs/>
                <w:sz w:val="24"/>
                <w:szCs w:val="24"/>
              </w:rPr>
            </w:pPr>
          </w:p>
        </w:tc>
      </w:tr>
      <w:tr w:rsidR="002428FF" w:rsidRPr="0042750D" w14:paraId="1A02962D" w14:textId="77777777" w:rsidTr="00D50A4E">
        <w:trPr>
          <w:jc w:val="center"/>
        </w:trPr>
        <w:tc>
          <w:tcPr>
            <w:tcW w:w="1217" w:type="dxa"/>
            <w:vMerge/>
            <w:tcBorders>
              <w:bottom w:val="single" w:sz="12" w:space="0" w:color="auto"/>
            </w:tcBorders>
            <w:shd w:val="clear" w:color="auto" w:fill="auto"/>
          </w:tcPr>
          <w:p w14:paraId="39C3FCFE" w14:textId="77777777" w:rsidR="002428FF" w:rsidRPr="0042750D"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2ECD6E06" w14:textId="77777777" w:rsidR="002428FF" w:rsidRPr="0042750D" w:rsidRDefault="002428FF" w:rsidP="00D50A4E">
            <w:pPr>
              <w:pStyle w:val="Tabletext"/>
              <w:rPr>
                <w:szCs w:val="22"/>
              </w:rPr>
            </w:pPr>
          </w:p>
        </w:tc>
      </w:tr>
      <w:tr w:rsidR="002428FF" w:rsidRPr="0042750D" w14:paraId="2A812A7A" w14:textId="77777777" w:rsidTr="00D50A4E">
        <w:trPr>
          <w:jc w:val="center"/>
        </w:trPr>
        <w:tc>
          <w:tcPr>
            <w:tcW w:w="1217" w:type="dxa"/>
            <w:vMerge w:val="restart"/>
            <w:tcBorders>
              <w:top w:val="single" w:sz="12" w:space="0" w:color="auto"/>
            </w:tcBorders>
            <w:shd w:val="clear" w:color="auto" w:fill="auto"/>
          </w:tcPr>
          <w:p w14:paraId="1F6BB343" w14:textId="6F1362D5" w:rsidR="002428FF" w:rsidRPr="0042750D" w:rsidRDefault="00783B71" w:rsidP="00D50A4E">
            <w:pPr>
              <w:pStyle w:val="Tabletext"/>
              <w:keepNext/>
              <w:keepLines/>
              <w:rPr>
                <w:b/>
                <w:bCs/>
                <w:sz w:val="24"/>
                <w:szCs w:val="24"/>
              </w:rPr>
            </w:pPr>
            <w:r w:rsidRPr="0042750D">
              <w:rPr>
                <w:b/>
                <w:sz w:val="24"/>
                <w:szCs w:val="24"/>
              </w:rPr>
              <w:t>204</w:t>
            </w:r>
            <w:r w:rsidR="002428FF" w:rsidRPr="0042750D">
              <w:rPr>
                <w:b/>
                <w:bCs/>
                <w:sz w:val="24"/>
                <w:szCs w:val="24"/>
              </w:rPr>
              <w:t>-08</w:t>
            </w:r>
          </w:p>
        </w:tc>
        <w:tc>
          <w:tcPr>
            <w:tcW w:w="4903" w:type="dxa"/>
            <w:tcBorders>
              <w:top w:val="single" w:sz="12" w:space="0" w:color="auto"/>
              <w:bottom w:val="single" w:sz="2" w:space="0" w:color="auto"/>
            </w:tcBorders>
            <w:shd w:val="clear" w:color="auto" w:fill="auto"/>
            <w:hideMark/>
          </w:tcPr>
          <w:p w14:paraId="46E42DBC" w14:textId="1CEF7461" w:rsidR="002428FF" w:rsidRPr="0042750D" w:rsidRDefault="002428FF" w:rsidP="00D50A4E">
            <w:pPr>
              <w:pStyle w:val="Tabletext"/>
              <w:rPr>
                <w:b/>
                <w:bCs/>
                <w:sz w:val="24"/>
                <w:szCs w:val="24"/>
              </w:rPr>
            </w:pPr>
            <w:r w:rsidRPr="0042750D">
              <w:rPr>
                <w:b/>
                <w:bCs/>
                <w:sz w:val="24"/>
                <w:szCs w:val="24"/>
              </w:rPr>
              <w:t>TSBDir to collaborate closely and provide information and support on the matters addressed in this resolution</w:t>
            </w:r>
            <w:r w:rsidR="00F56706" w:rsidRPr="0042750D">
              <w:rPr>
                <w:b/>
                <w:bCs/>
                <w:sz w:val="24"/>
                <w:szCs w:val="24"/>
              </w:rPr>
              <w:t xml:space="preserve"> (</w:t>
            </w:r>
            <w:r w:rsidR="00F56706" w:rsidRPr="0042750D">
              <w:rPr>
                <w:b/>
                <w:bCs/>
                <w:i/>
                <w:sz w:val="24"/>
                <w:szCs w:val="24"/>
              </w:rPr>
              <w:t>instructs 1</w:t>
            </w:r>
            <w:r w:rsidR="00F56706"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3ABB6F19" w14:textId="77777777" w:rsidR="002428FF" w:rsidRPr="0042750D" w:rsidRDefault="002428FF" w:rsidP="00D50A4E">
            <w:pPr>
              <w:pStyle w:val="Tabletext"/>
              <w:jc w:val="center"/>
              <w:rPr>
                <w:b/>
                <w:bCs/>
                <w:sz w:val="24"/>
                <w:szCs w:val="24"/>
              </w:rPr>
            </w:pPr>
            <w:r w:rsidRPr="0042750D">
              <w:rPr>
                <w:b/>
                <w:bCs/>
                <w:sz w:val="24"/>
                <w:szCs w:val="24"/>
              </w:rPr>
              <w:t>Ongoing</w:t>
            </w:r>
          </w:p>
        </w:tc>
        <w:tc>
          <w:tcPr>
            <w:tcW w:w="1141" w:type="dxa"/>
            <w:tcBorders>
              <w:top w:val="single" w:sz="12" w:space="0" w:color="auto"/>
              <w:bottom w:val="single" w:sz="2" w:space="0" w:color="auto"/>
            </w:tcBorders>
            <w:shd w:val="clear" w:color="auto" w:fill="auto"/>
            <w:vAlign w:val="center"/>
          </w:tcPr>
          <w:p w14:paraId="43A1D7D7" w14:textId="77777777" w:rsidR="002428FF" w:rsidRPr="0042750D" w:rsidRDefault="002428FF" w:rsidP="00D50A4E">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2E23111" w14:textId="77777777" w:rsidR="002428FF" w:rsidRPr="0042750D" w:rsidRDefault="002428FF" w:rsidP="00D50A4E">
            <w:pPr>
              <w:pStyle w:val="Tabletext"/>
              <w:jc w:val="center"/>
              <w:rPr>
                <w:b/>
                <w:bCs/>
                <w:sz w:val="24"/>
                <w:szCs w:val="24"/>
              </w:rPr>
            </w:pPr>
          </w:p>
        </w:tc>
      </w:tr>
      <w:tr w:rsidR="002428FF" w:rsidRPr="0042750D" w14:paraId="5EDEA390" w14:textId="77777777" w:rsidTr="00D50A4E">
        <w:trPr>
          <w:jc w:val="center"/>
        </w:trPr>
        <w:tc>
          <w:tcPr>
            <w:tcW w:w="1217" w:type="dxa"/>
            <w:vMerge/>
            <w:tcBorders>
              <w:bottom w:val="single" w:sz="12" w:space="0" w:color="auto"/>
            </w:tcBorders>
            <w:shd w:val="clear" w:color="auto" w:fill="auto"/>
          </w:tcPr>
          <w:p w14:paraId="384740DE" w14:textId="77777777" w:rsidR="002428FF" w:rsidRPr="0042750D"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2090677B" w14:textId="77777777" w:rsidR="002428FF" w:rsidRPr="0042750D" w:rsidRDefault="002428FF" w:rsidP="00D50A4E">
            <w:pPr>
              <w:pStyle w:val="Tabletext"/>
              <w:rPr>
                <w:szCs w:val="22"/>
              </w:rPr>
            </w:pPr>
          </w:p>
        </w:tc>
      </w:tr>
      <w:tr w:rsidR="002428FF" w:rsidRPr="0042750D" w14:paraId="2A521C3C" w14:textId="77777777" w:rsidTr="00D50A4E">
        <w:trPr>
          <w:jc w:val="center"/>
        </w:trPr>
        <w:tc>
          <w:tcPr>
            <w:tcW w:w="1217" w:type="dxa"/>
            <w:vMerge w:val="restart"/>
            <w:tcBorders>
              <w:top w:val="single" w:sz="12" w:space="0" w:color="auto"/>
            </w:tcBorders>
            <w:shd w:val="clear" w:color="auto" w:fill="auto"/>
          </w:tcPr>
          <w:p w14:paraId="7875D78A" w14:textId="463975B6" w:rsidR="002428FF" w:rsidRPr="0042750D" w:rsidRDefault="00783B71" w:rsidP="00D50A4E">
            <w:pPr>
              <w:pStyle w:val="Tabletext"/>
              <w:keepNext/>
              <w:keepLines/>
              <w:rPr>
                <w:b/>
                <w:bCs/>
                <w:sz w:val="24"/>
                <w:szCs w:val="24"/>
              </w:rPr>
            </w:pPr>
            <w:r w:rsidRPr="0042750D">
              <w:rPr>
                <w:b/>
                <w:sz w:val="24"/>
                <w:szCs w:val="24"/>
              </w:rPr>
              <w:t>204</w:t>
            </w:r>
            <w:r w:rsidR="002428FF" w:rsidRPr="0042750D">
              <w:rPr>
                <w:b/>
                <w:bCs/>
                <w:sz w:val="24"/>
                <w:szCs w:val="24"/>
              </w:rPr>
              <w:t>-09</w:t>
            </w:r>
          </w:p>
        </w:tc>
        <w:tc>
          <w:tcPr>
            <w:tcW w:w="4903" w:type="dxa"/>
            <w:tcBorders>
              <w:top w:val="single" w:sz="12" w:space="0" w:color="auto"/>
              <w:bottom w:val="single" w:sz="2" w:space="0" w:color="auto"/>
            </w:tcBorders>
            <w:shd w:val="clear" w:color="auto" w:fill="auto"/>
            <w:hideMark/>
          </w:tcPr>
          <w:p w14:paraId="56E1B9E2" w14:textId="736B622B" w:rsidR="002428FF" w:rsidRPr="0042750D" w:rsidRDefault="002428FF" w:rsidP="00D50A4E">
            <w:pPr>
              <w:pStyle w:val="Tabletext"/>
              <w:rPr>
                <w:b/>
                <w:bCs/>
                <w:sz w:val="24"/>
                <w:szCs w:val="24"/>
              </w:rPr>
            </w:pPr>
            <w:r w:rsidRPr="0042750D">
              <w:rPr>
                <w:b/>
                <w:bCs/>
                <w:sz w:val="24"/>
                <w:szCs w:val="24"/>
              </w:rPr>
              <w:t>TSBDir to support the development of reports, studies and best practices on digital financial inclusion</w:t>
            </w:r>
            <w:r w:rsidR="00F56706" w:rsidRPr="0042750D">
              <w:rPr>
                <w:b/>
                <w:bCs/>
                <w:sz w:val="24"/>
                <w:szCs w:val="24"/>
              </w:rPr>
              <w:t xml:space="preserve"> (</w:t>
            </w:r>
            <w:r w:rsidR="00F56706" w:rsidRPr="0042750D">
              <w:rPr>
                <w:b/>
                <w:bCs/>
                <w:i/>
                <w:sz w:val="24"/>
                <w:szCs w:val="24"/>
              </w:rPr>
              <w:t>instructs 2</w:t>
            </w:r>
            <w:r w:rsidR="00F56706"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2CA4F5C9" w14:textId="77777777" w:rsidR="002428FF" w:rsidRPr="0042750D" w:rsidRDefault="002428FF" w:rsidP="00D50A4E">
            <w:pPr>
              <w:pStyle w:val="Tabletext"/>
              <w:jc w:val="center"/>
              <w:rPr>
                <w:b/>
                <w:bCs/>
                <w:sz w:val="24"/>
                <w:szCs w:val="24"/>
              </w:rPr>
            </w:pPr>
            <w:r w:rsidRPr="0042750D">
              <w:rPr>
                <w:b/>
                <w:bCs/>
                <w:sz w:val="24"/>
                <w:szCs w:val="24"/>
              </w:rPr>
              <w:t>Ongoing</w:t>
            </w:r>
          </w:p>
        </w:tc>
        <w:tc>
          <w:tcPr>
            <w:tcW w:w="1141" w:type="dxa"/>
            <w:tcBorders>
              <w:top w:val="single" w:sz="12" w:space="0" w:color="auto"/>
              <w:bottom w:val="single" w:sz="2" w:space="0" w:color="auto"/>
            </w:tcBorders>
            <w:shd w:val="clear" w:color="auto" w:fill="auto"/>
            <w:vAlign w:val="center"/>
          </w:tcPr>
          <w:p w14:paraId="4F75DBF6" w14:textId="3F4B22C8" w:rsidR="002428FF" w:rsidRPr="0042750D" w:rsidRDefault="00153872"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77845231" w14:textId="77777777" w:rsidR="002428FF" w:rsidRPr="0042750D" w:rsidRDefault="002428FF" w:rsidP="00D50A4E">
            <w:pPr>
              <w:pStyle w:val="Tabletext"/>
              <w:jc w:val="center"/>
              <w:rPr>
                <w:b/>
                <w:bCs/>
                <w:sz w:val="24"/>
                <w:szCs w:val="24"/>
              </w:rPr>
            </w:pPr>
          </w:p>
        </w:tc>
      </w:tr>
      <w:tr w:rsidR="002428FF" w:rsidRPr="0042750D" w14:paraId="45C461CA" w14:textId="77777777" w:rsidTr="00D50A4E">
        <w:trPr>
          <w:jc w:val="center"/>
        </w:trPr>
        <w:tc>
          <w:tcPr>
            <w:tcW w:w="1217" w:type="dxa"/>
            <w:vMerge/>
            <w:tcBorders>
              <w:bottom w:val="single" w:sz="12" w:space="0" w:color="auto"/>
            </w:tcBorders>
            <w:shd w:val="clear" w:color="auto" w:fill="auto"/>
          </w:tcPr>
          <w:p w14:paraId="2B11FC25" w14:textId="77777777" w:rsidR="002428FF" w:rsidRPr="0042750D"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6C02E2D1" w14:textId="5097586F" w:rsidR="002428FF" w:rsidRPr="0042750D" w:rsidRDefault="00153872" w:rsidP="006F2431">
            <w:pPr>
              <w:pStyle w:val="ListParagraph"/>
              <w:numPr>
                <w:ilvl w:val="0"/>
                <w:numId w:val="6"/>
              </w:numPr>
              <w:spacing w:before="40" w:after="40"/>
              <w:ind w:left="357" w:hanging="357"/>
              <w:contextualSpacing w:val="0"/>
              <w:rPr>
                <w:szCs w:val="22"/>
              </w:rPr>
            </w:pPr>
            <w:r w:rsidRPr="0042750D">
              <w:rPr>
                <w:szCs w:val="22"/>
              </w:rPr>
              <w:t>SG3 agreed nine reports of the Focus Group on Digital Financial Services (FG-DFS) to be published as SG3 Technical Reports.</w:t>
            </w:r>
          </w:p>
        </w:tc>
      </w:tr>
      <w:tr w:rsidR="002428FF" w:rsidRPr="0042750D" w14:paraId="4BBE3F24" w14:textId="77777777" w:rsidTr="00D50A4E">
        <w:trPr>
          <w:jc w:val="center"/>
        </w:trPr>
        <w:tc>
          <w:tcPr>
            <w:tcW w:w="1217" w:type="dxa"/>
            <w:vMerge w:val="restart"/>
            <w:tcBorders>
              <w:top w:val="single" w:sz="12" w:space="0" w:color="auto"/>
            </w:tcBorders>
            <w:shd w:val="clear" w:color="auto" w:fill="auto"/>
          </w:tcPr>
          <w:p w14:paraId="77C17BFB" w14:textId="44EB5F0D" w:rsidR="002428FF" w:rsidRPr="0042750D" w:rsidRDefault="00783B71" w:rsidP="00D50A4E">
            <w:pPr>
              <w:pStyle w:val="Tabletext"/>
              <w:keepNext/>
              <w:keepLines/>
              <w:rPr>
                <w:b/>
                <w:bCs/>
                <w:sz w:val="24"/>
                <w:szCs w:val="24"/>
              </w:rPr>
            </w:pPr>
            <w:r w:rsidRPr="0042750D">
              <w:rPr>
                <w:b/>
                <w:sz w:val="24"/>
                <w:szCs w:val="24"/>
              </w:rPr>
              <w:t>204</w:t>
            </w:r>
            <w:r w:rsidR="002428FF" w:rsidRPr="0042750D">
              <w:rPr>
                <w:b/>
                <w:bCs/>
                <w:sz w:val="24"/>
                <w:szCs w:val="24"/>
              </w:rPr>
              <w:t>-10</w:t>
            </w:r>
          </w:p>
        </w:tc>
        <w:tc>
          <w:tcPr>
            <w:tcW w:w="4903" w:type="dxa"/>
            <w:tcBorders>
              <w:top w:val="single" w:sz="12" w:space="0" w:color="auto"/>
              <w:bottom w:val="single" w:sz="2" w:space="0" w:color="auto"/>
            </w:tcBorders>
            <w:shd w:val="clear" w:color="auto" w:fill="auto"/>
            <w:hideMark/>
          </w:tcPr>
          <w:p w14:paraId="28285801" w14:textId="1473DDB1" w:rsidR="002428FF" w:rsidRPr="0042750D" w:rsidRDefault="002428FF" w:rsidP="00D50A4E">
            <w:pPr>
              <w:pStyle w:val="Tabletext"/>
              <w:rPr>
                <w:b/>
                <w:bCs/>
                <w:sz w:val="24"/>
                <w:szCs w:val="24"/>
              </w:rPr>
            </w:pPr>
            <w:r w:rsidRPr="0042750D">
              <w:rPr>
                <w:b/>
                <w:bCs/>
                <w:sz w:val="24"/>
                <w:szCs w:val="24"/>
              </w:rPr>
              <w:t>TSBDir to support relevant platforms or, where possible, connect to those already existing, for peer learning, dialogue and experience-sharing in digital financial services among countries and regions, regulators from the telecommunication and financial services sectors, industry experts and international and regional organizations</w:t>
            </w:r>
            <w:r w:rsidR="0029089E" w:rsidRPr="0042750D">
              <w:rPr>
                <w:b/>
                <w:bCs/>
                <w:sz w:val="24"/>
                <w:szCs w:val="24"/>
              </w:rPr>
              <w:t xml:space="preserve"> (</w:t>
            </w:r>
            <w:r w:rsidR="0029089E" w:rsidRPr="0042750D">
              <w:rPr>
                <w:b/>
                <w:bCs/>
                <w:i/>
                <w:sz w:val="24"/>
                <w:szCs w:val="24"/>
              </w:rPr>
              <w:t>instructs 3</w:t>
            </w:r>
            <w:r w:rsidR="0029089E"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2EC4F62E" w14:textId="77777777" w:rsidR="002428FF" w:rsidRPr="0042750D" w:rsidRDefault="002428FF" w:rsidP="00D50A4E">
            <w:pPr>
              <w:pStyle w:val="Tabletext"/>
              <w:jc w:val="center"/>
              <w:rPr>
                <w:b/>
                <w:bCs/>
                <w:sz w:val="24"/>
                <w:szCs w:val="24"/>
              </w:rPr>
            </w:pPr>
            <w:r w:rsidRPr="0042750D">
              <w:rPr>
                <w:b/>
                <w:bCs/>
                <w:sz w:val="24"/>
                <w:szCs w:val="24"/>
              </w:rPr>
              <w:t>Ongoing</w:t>
            </w:r>
          </w:p>
        </w:tc>
        <w:tc>
          <w:tcPr>
            <w:tcW w:w="1141" w:type="dxa"/>
            <w:tcBorders>
              <w:top w:val="single" w:sz="12" w:space="0" w:color="auto"/>
              <w:bottom w:val="single" w:sz="2" w:space="0" w:color="auto"/>
            </w:tcBorders>
            <w:shd w:val="clear" w:color="auto" w:fill="auto"/>
            <w:vAlign w:val="center"/>
          </w:tcPr>
          <w:p w14:paraId="5525180E" w14:textId="26D30602" w:rsidR="002428FF" w:rsidRPr="0042750D" w:rsidRDefault="009A1835"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0B18A6A8" w14:textId="77777777" w:rsidR="002428FF" w:rsidRPr="0042750D" w:rsidRDefault="002428FF" w:rsidP="00D50A4E">
            <w:pPr>
              <w:pStyle w:val="Tabletext"/>
              <w:jc w:val="center"/>
              <w:rPr>
                <w:b/>
                <w:bCs/>
                <w:sz w:val="24"/>
                <w:szCs w:val="24"/>
              </w:rPr>
            </w:pPr>
          </w:p>
        </w:tc>
      </w:tr>
      <w:tr w:rsidR="002428FF" w:rsidRPr="0042750D" w14:paraId="2E8D4128" w14:textId="77777777" w:rsidTr="00D50A4E">
        <w:trPr>
          <w:jc w:val="center"/>
        </w:trPr>
        <w:tc>
          <w:tcPr>
            <w:tcW w:w="1217" w:type="dxa"/>
            <w:vMerge/>
            <w:tcBorders>
              <w:bottom w:val="single" w:sz="12" w:space="0" w:color="auto"/>
            </w:tcBorders>
            <w:shd w:val="clear" w:color="auto" w:fill="auto"/>
          </w:tcPr>
          <w:p w14:paraId="5C892630" w14:textId="77777777" w:rsidR="002428FF" w:rsidRPr="0042750D"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12A18DB0" w14:textId="77777777" w:rsidR="009A1835" w:rsidRPr="0042750D" w:rsidRDefault="009A1835" w:rsidP="006F2431">
            <w:pPr>
              <w:spacing w:before="40" w:after="40"/>
              <w:rPr>
                <w:lang w:eastAsia="en-US"/>
              </w:rPr>
            </w:pPr>
            <w:r w:rsidRPr="0042750D">
              <w:rPr>
                <w:lang w:eastAsia="en-US"/>
              </w:rPr>
              <w:t>ITU has created a unique platform at the ITU Telecom World events (2017, 2018, 2019) bringing together artificial intelligence as a key enabler of smart and emerging applications in digital financial services and urban living – smart banking and smart cities. The TSB Director organized the Smart ABC programme to address the technological developments in artificial intelligence, digital financial services and smart cities making innovative use of ICTs to improve quality of life, efficiency of services, productivity and competitiveness.</w:t>
            </w:r>
          </w:p>
          <w:p w14:paraId="148ADEAD" w14:textId="2FADFA13" w:rsidR="002428FF" w:rsidRPr="0042750D" w:rsidRDefault="009A1835" w:rsidP="009A1835">
            <w:pPr>
              <w:spacing w:after="40"/>
              <w:rPr>
                <w:rFonts w:asciiTheme="majorBidi" w:hAnsiTheme="majorBidi" w:cstheme="majorBidi"/>
                <w:color w:val="0000FF"/>
                <w:u w:val="single"/>
              </w:rPr>
            </w:pPr>
            <w:r w:rsidRPr="0042750D">
              <w:t>The third edition of the Smart ABC Programme will be held at ITU Telecom World 2019, the leading tech event for governments, corporates and SMEs taking place in Budapest, Hungary, 9-12 September 2019.</w:t>
            </w:r>
          </w:p>
        </w:tc>
      </w:tr>
      <w:tr w:rsidR="002428FF" w:rsidRPr="0042750D" w14:paraId="505630D1" w14:textId="77777777" w:rsidTr="00D50A4E">
        <w:trPr>
          <w:jc w:val="center"/>
        </w:trPr>
        <w:tc>
          <w:tcPr>
            <w:tcW w:w="1217" w:type="dxa"/>
            <w:vMerge w:val="restart"/>
            <w:tcBorders>
              <w:top w:val="single" w:sz="12" w:space="0" w:color="auto"/>
            </w:tcBorders>
            <w:shd w:val="clear" w:color="auto" w:fill="auto"/>
          </w:tcPr>
          <w:p w14:paraId="6CFAF7A9" w14:textId="6245954E" w:rsidR="002428FF" w:rsidRPr="0042750D" w:rsidRDefault="00783B71" w:rsidP="00D50A4E">
            <w:pPr>
              <w:pStyle w:val="Tabletext"/>
              <w:keepNext/>
              <w:keepLines/>
              <w:rPr>
                <w:b/>
                <w:bCs/>
                <w:sz w:val="24"/>
                <w:szCs w:val="24"/>
              </w:rPr>
            </w:pPr>
            <w:r w:rsidRPr="0042750D">
              <w:rPr>
                <w:b/>
                <w:sz w:val="24"/>
                <w:szCs w:val="24"/>
              </w:rPr>
              <w:t>204</w:t>
            </w:r>
            <w:r w:rsidR="002428FF" w:rsidRPr="0042750D">
              <w:rPr>
                <w:b/>
                <w:bCs/>
                <w:sz w:val="24"/>
                <w:szCs w:val="24"/>
              </w:rPr>
              <w:t>-11</w:t>
            </w:r>
          </w:p>
        </w:tc>
        <w:tc>
          <w:tcPr>
            <w:tcW w:w="4903" w:type="dxa"/>
            <w:tcBorders>
              <w:top w:val="single" w:sz="12" w:space="0" w:color="auto"/>
              <w:bottom w:val="single" w:sz="2" w:space="0" w:color="auto"/>
            </w:tcBorders>
            <w:shd w:val="clear" w:color="auto" w:fill="auto"/>
            <w:hideMark/>
          </w:tcPr>
          <w:p w14:paraId="7E9BECF7" w14:textId="1EAB0E76" w:rsidR="002428FF" w:rsidRPr="0042750D" w:rsidRDefault="002428FF" w:rsidP="00D50A4E">
            <w:pPr>
              <w:pStyle w:val="Tabletext"/>
              <w:rPr>
                <w:b/>
                <w:bCs/>
                <w:sz w:val="24"/>
                <w:szCs w:val="24"/>
              </w:rPr>
            </w:pPr>
            <w:r w:rsidRPr="0042750D">
              <w:rPr>
                <w:b/>
                <w:bCs/>
                <w:sz w:val="24"/>
                <w:szCs w:val="24"/>
              </w:rPr>
              <w:t>TSBDir to continue organizing workshops and seminars for the ITU membership in collaboration with other relevant SDOs and institutions</w:t>
            </w:r>
            <w:r w:rsidR="0029089E" w:rsidRPr="0042750D">
              <w:rPr>
                <w:b/>
                <w:bCs/>
                <w:sz w:val="24"/>
                <w:szCs w:val="24"/>
              </w:rPr>
              <w:t xml:space="preserve"> (</w:t>
            </w:r>
            <w:r w:rsidR="0029089E" w:rsidRPr="0042750D">
              <w:rPr>
                <w:b/>
                <w:bCs/>
                <w:i/>
                <w:sz w:val="24"/>
                <w:szCs w:val="24"/>
              </w:rPr>
              <w:t>instructs 4</w:t>
            </w:r>
            <w:r w:rsidR="0029089E"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3EDEB91D" w14:textId="77777777" w:rsidR="002428FF" w:rsidRPr="0042750D" w:rsidRDefault="002428FF" w:rsidP="00D50A4E">
            <w:pPr>
              <w:pStyle w:val="Tabletext"/>
              <w:jc w:val="center"/>
              <w:rPr>
                <w:b/>
                <w:bCs/>
                <w:sz w:val="24"/>
                <w:szCs w:val="24"/>
              </w:rPr>
            </w:pPr>
            <w:r w:rsidRPr="0042750D">
              <w:rPr>
                <w:b/>
                <w:bCs/>
                <w:sz w:val="24"/>
                <w:szCs w:val="24"/>
              </w:rPr>
              <w:t>Ongoing</w:t>
            </w:r>
          </w:p>
        </w:tc>
        <w:tc>
          <w:tcPr>
            <w:tcW w:w="1141" w:type="dxa"/>
            <w:tcBorders>
              <w:top w:val="single" w:sz="12" w:space="0" w:color="auto"/>
              <w:bottom w:val="single" w:sz="2" w:space="0" w:color="auto"/>
            </w:tcBorders>
            <w:shd w:val="clear" w:color="auto" w:fill="auto"/>
            <w:vAlign w:val="center"/>
          </w:tcPr>
          <w:p w14:paraId="01707145" w14:textId="29C90E66" w:rsidR="002428FF" w:rsidRPr="0042750D" w:rsidRDefault="001135A9"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51B60E7A" w14:textId="77777777" w:rsidR="002428FF" w:rsidRPr="0042750D" w:rsidRDefault="002428FF" w:rsidP="00D50A4E">
            <w:pPr>
              <w:pStyle w:val="Tabletext"/>
              <w:jc w:val="center"/>
              <w:rPr>
                <w:b/>
                <w:bCs/>
                <w:sz w:val="24"/>
                <w:szCs w:val="24"/>
              </w:rPr>
            </w:pPr>
          </w:p>
        </w:tc>
      </w:tr>
      <w:tr w:rsidR="002428FF" w:rsidRPr="0042750D" w14:paraId="1E65F1CE" w14:textId="77777777" w:rsidTr="00D50A4E">
        <w:trPr>
          <w:jc w:val="center"/>
        </w:trPr>
        <w:tc>
          <w:tcPr>
            <w:tcW w:w="1217" w:type="dxa"/>
            <w:vMerge/>
            <w:tcBorders>
              <w:bottom w:val="single" w:sz="12" w:space="0" w:color="auto"/>
            </w:tcBorders>
            <w:shd w:val="clear" w:color="auto" w:fill="auto"/>
          </w:tcPr>
          <w:p w14:paraId="159BA6B5" w14:textId="77777777" w:rsidR="002428FF" w:rsidRPr="0042750D"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0F572CFF" w14:textId="6AB778C2" w:rsidR="002428FF" w:rsidRPr="0042750D" w:rsidRDefault="00DD025B" w:rsidP="001135A9">
            <w:pPr>
              <w:pStyle w:val="Tabletext"/>
              <w:numPr>
                <w:ilvl w:val="0"/>
                <w:numId w:val="6"/>
              </w:numPr>
              <w:rPr>
                <w:szCs w:val="22"/>
              </w:rPr>
            </w:pPr>
            <w:hyperlink r:id="rId154" w:history="1">
              <w:r w:rsidR="001135A9" w:rsidRPr="0042750D">
                <w:rPr>
                  <w:rStyle w:val="Strong"/>
                  <w:b w:val="0"/>
                </w:rPr>
                <w:t>Financial Inclusion Global Initiative (FIGI) Symposium</w:t>
              </w:r>
            </w:hyperlink>
            <w:r w:rsidR="001135A9" w:rsidRPr="0042750D">
              <w:t>, Cairo, Egypt, 22-24 January 2019.</w:t>
            </w:r>
          </w:p>
        </w:tc>
      </w:tr>
      <w:tr w:rsidR="002428FF" w:rsidRPr="0042750D" w14:paraId="37CEC008" w14:textId="77777777" w:rsidTr="00D50A4E">
        <w:trPr>
          <w:jc w:val="center"/>
        </w:trPr>
        <w:tc>
          <w:tcPr>
            <w:tcW w:w="1217" w:type="dxa"/>
            <w:vMerge w:val="restart"/>
            <w:tcBorders>
              <w:top w:val="single" w:sz="12" w:space="0" w:color="auto"/>
            </w:tcBorders>
            <w:shd w:val="clear" w:color="auto" w:fill="auto"/>
          </w:tcPr>
          <w:p w14:paraId="1A063C73" w14:textId="4D10AD02" w:rsidR="002428FF" w:rsidRPr="0042750D" w:rsidRDefault="00783B71" w:rsidP="00D50A4E">
            <w:pPr>
              <w:pStyle w:val="Tabletext"/>
              <w:keepNext/>
              <w:keepLines/>
              <w:rPr>
                <w:b/>
                <w:bCs/>
                <w:sz w:val="24"/>
                <w:szCs w:val="24"/>
              </w:rPr>
            </w:pPr>
            <w:r w:rsidRPr="0042750D">
              <w:rPr>
                <w:b/>
                <w:sz w:val="24"/>
                <w:szCs w:val="24"/>
              </w:rPr>
              <w:t>204</w:t>
            </w:r>
            <w:r w:rsidR="002428FF" w:rsidRPr="0042750D">
              <w:rPr>
                <w:b/>
                <w:bCs/>
                <w:sz w:val="24"/>
                <w:szCs w:val="24"/>
              </w:rPr>
              <w:t>-12</w:t>
            </w:r>
          </w:p>
        </w:tc>
        <w:tc>
          <w:tcPr>
            <w:tcW w:w="4903" w:type="dxa"/>
            <w:tcBorders>
              <w:top w:val="single" w:sz="12" w:space="0" w:color="auto"/>
              <w:bottom w:val="single" w:sz="2" w:space="0" w:color="auto"/>
            </w:tcBorders>
            <w:shd w:val="clear" w:color="auto" w:fill="auto"/>
            <w:hideMark/>
          </w:tcPr>
          <w:p w14:paraId="35CF2532" w14:textId="096B99B5" w:rsidR="002428FF" w:rsidRPr="0042750D" w:rsidRDefault="002428FF" w:rsidP="002428FF">
            <w:pPr>
              <w:pStyle w:val="Tabletext"/>
              <w:rPr>
                <w:b/>
                <w:bCs/>
                <w:sz w:val="24"/>
                <w:szCs w:val="24"/>
              </w:rPr>
            </w:pPr>
            <w:r w:rsidRPr="0042750D">
              <w:rPr>
                <w:b/>
                <w:bCs/>
                <w:sz w:val="24"/>
                <w:szCs w:val="24"/>
              </w:rPr>
              <w:t>TSBDir to contribute to SecGen’s report to the Council upon the conclusion of the FIGI activities and to update on any next steps and related activities; and to submit a progress report on this resolution to the next plenipotentiary conference.</w:t>
            </w:r>
          </w:p>
        </w:tc>
        <w:tc>
          <w:tcPr>
            <w:tcW w:w="1333" w:type="dxa"/>
            <w:tcBorders>
              <w:top w:val="single" w:sz="12" w:space="0" w:color="auto"/>
              <w:bottom w:val="single" w:sz="2" w:space="0" w:color="auto"/>
            </w:tcBorders>
            <w:shd w:val="clear" w:color="auto" w:fill="auto"/>
            <w:vAlign w:val="center"/>
          </w:tcPr>
          <w:p w14:paraId="66D2CEB2" w14:textId="7B9C5A64" w:rsidR="002428FF" w:rsidRPr="0042750D" w:rsidRDefault="002428FF" w:rsidP="00D50A4E">
            <w:pPr>
              <w:pStyle w:val="Tabletext"/>
              <w:jc w:val="center"/>
              <w:rPr>
                <w:b/>
                <w:bCs/>
                <w:sz w:val="24"/>
                <w:szCs w:val="24"/>
              </w:rPr>
            </w:pPr>
            <w:r w:rsidRPr="0042750D">
              <w:rPr>
                <w:b/>
                <w:bCs/>
                <w:sz w:val="24"/>
                <w:szCs w:val="24"/>
              </w:rPr>
              <w:t>Council</w:t>
            </w:r>
          </w:p>
        </w:tc>
        <w:tc>
          <w:tcPr>
            <w:tcW w:w="1141" w:type="dxa"/>
            <w:tcBorders>
              <w:top w:val="single" w:sz="12" w:space="0" w:color="auto"/>
              <w:bottom w:val="single" w:sz="2" w:space="0" w:color="auto"/>
            </w:tcBorders>
            <w:shd w:val="clear" w:color="auto" w:fill="auto"/>
            <w:vAlign w:val="center"/>
          </w:tcPr>
          <w:p w14:paraId="40507335" w14:textId="01585E54" w:rsidR="002428FF" w:rsidRPr="0042750D" w:rsidRDefault="00B60ECE"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69608B59" w14:textId="77777777" w:rsidR="002428FF" w:rsidRPr="0042750D" w:rsidRDefault="002428FF" w:rsidP="00D50A4E">
            <w:pPr>
              <w:pStyle w:val="Tabletext"/>
              <w:jc w:val="center"/>
              <w:rPr>
                <w:b/>
                <w:bCs/>
                <w:sz w:val="24"/>
                <w:szCs w:val="24"/>
              </w:rPr>
            </w:pPr>
          </w:p>
        </w:tc>
      </w:tr>
      <w:tr w:rsidR="002428FF" w:rsidRPr="0042750D" w14:paraId="3D678515" w14:textId="77777777" w:rsidTr="00E646CF">
        <w:trPr>
          <w:jc w:val="center"/>
        </w:trPr>
        <w:tc>
          <w:tcPr>
            <w:tcW w:w="1217" w:type="dxa"/>
            <w:vMerge/>
            <w:tcBorders>
              <w:bottom w:val="single" w:sz="12" w:space="0" w:color="auto"/>
            </w:tcBorders>
            <w:shd w:val="clear" w:color="auto" w:fill="auto"/>
          </w:tcPr>
          <w:p w14:paraId="11A9BF90" w14:textId="77777777" w:rsidR="002428FF" w:rsidRPr="0042750D" w:rsidRDefault="002428FF" w:rsidP="00D50A4E">
            <w:pPr>
              <w:pStyle w:val="Tabletext"/>
              <w:rPr>
                <w:sz w:val="24"/>
                <w:szCs w:val="24"/>
              </w:rPr>
            </w:pPr>
          </w:p>
        </w:tc>
        <w:tc>
          <w:tcPr>
            <w:tcW w:w="8715" w:type="dxa"/>
            <w:gridSpan w:val="4"/>
            <w:tcBorders>
              <w:top w:val="single" w:sz="2" w:space="0" w:color="auto"/>
              <w:bottom w:val="single" w:sz="12" w:space="0" w:color="auto"/>
            </w:tcBorders>
            <w:shd w:val="clear" w:color="auto" w:fill="auto"/>
          </w:tcPr>
          <w:p w14:paraId="3826A3D2" w14:textId="59012AA5" w:rsidR="002428FF" w:rsidRPr="0042750D" w:rsidRDefault="00B60ECE" w:rsidP="00D50A4E">
            <w:pPr>
              <w:pStyle w:val="Tabletext"/>
              <w:rPr>
                <w:szCs w:val="22"/>
              </w:rPr>
            </w:pPr>
            <w:r w:rsidRPr="0042750D">
              <w:rPr>
                <w:szCs w:val="22"/>
              </w:rPr>
              <w:t xml:space="preserve">See </w:t>
            </w:r>
            <w:hyperlink r:id="rId155" w:history="1">
              <w:r w:rsidRPr="0042750D">
                <w:rPr>
                  <w:rStyle w:val="Hyperlink"/>
                  <w:szCs w:val="22"/>
                </w:rPr>
                <w:t>C19/35</w:t>
              </w:r>
            </w:hyperlink>
            <w:r w:rsidRPr="0042750D">
              <w:rPr>
                <w:szCs w:val="22"/>
              </w:rPr>
              <w:t xml:space="preserve"> Annex 1.</w:t>
            </w:r>
          </w:p>
        </w:tc>
      </w:tr>
    </w:tbl>
    <w:p w14:paraId="5A4028AE" w14:textId="77777777" w:rsidR="002428FF" w:rsidRPr="0042750D" w:rsidRDefault="00DD025B" w:rsidP="002428FF">
      <w:pPr>
        <w:rPr>
          <w:sz w:val="24"/>
        </w:rPr>
      </w:pPr>
      <w:hyperlink w:anchor="Top" w:history="1">
        <w:r w:rsidR="002428FF" w:rsidRPr="0042750D">
          <w:rPr>
            <w:rStyle w:val="Hyperlink"/>
            <w:rFonts w:eastAsia="Times New Roman"/>
            <w:sz w:val="24"/>
          </w:rPr>
          <w:t>» Top</w:t>
        </w:r>
      </w:hyperlink>
    </w:p>
    <w:p w14:paraId="5DED94E2" w14:textId="710905DB" w:rsidR="00F0236A" w:rsidRPr="0042750D" w:rsidRDefault="00042B85" w:rsidP="00027F2D">
      <w:pPr>
        <w:pStyle w:val="Heading1"/>
        <w:keepNext/>
        <w:keepLines/>
        <w:rPr>
          <w:sz w:val="24"/>
          <w:szCs w:val="24"/>
          <w:lang w:val="en-GB"/>
        </w:rPr>
      </w:pPr>
      <w:bookmarkStart w:id="385" w:name="_Toc30749194"/>
      <w:r w:rsidRPr="0042750D">
        <w:rPr>
          <w:sz w:val="24"/>
          <w:szCs w:val="24"/>
          <w:lang w:val="en-GB"/>
        </w:rPr>
        <w:t xml:space="preserve">RESOLUTION </w:t>
      </w:r>
      <w:r w:rsidR="00783B71" w:rsidRPr="0042750D">
        <w:rPr>
          <w:sz w:val="24"/>
          <w:szCs w:val="24"/>
          <w:lang w:val="en-GB"/>
        </w:rPr>
        <w:t>205</w:t>
      </w:r>
      <w:r w:rsidRPr="0042750D">
        <w:rPr>
          <w:sz w:val="24"/>
          <w:szCs w:val="24"/>
          <w:lang w:val="en-GB"/>
        </w:rPr>
        <w:t xml:space="preserve"> (DUBAI, 2018) – ITU's role in fostering telecommunication/information and communication technology-centric innovation to support the digital economy and society</w:t>
      </w:r>
      <w:bookmarkEnd w:id="385"/>
    </w:p>
    <w:p w14:paraId="1DC19492" w14:textId="3EBC02F1" w:rsidR="006D2BCD" w:rsidRPr="0042750D" w:rsidRDefault="006D2BCD" w:rsidP="00027F2D">
      <w:pPr>
        <w:pStyle w:val="Call"/>
        <w:rPr>
          <w:rFonts w:eastAsia="STFangsong"/>
          <w:szCs w:val="22"/>
          <w:lang w:val="en-GB"/>
        </w:rPr>
      </w:pPr>
      <w:r w:rsidRPr="0042750D">
        <w:rPr>
          <w:rFonts w:eastAsia="STFangsong"/>
          <w:szCs w:val="22"/>
          <w:lang w:val="en-GB"/>
        </w:rPr>
        <w:t>resolves</w:t>
      </w:r>
    </w:p>
    <w:p w14:paraId="266D6734" w14:textId="77777777" w:rsidR="006D2BCD" w:rsidRPr="0042750D" w:rsidRDefault="006D2BCD" w:rsidP="00027F2D">
      <w:pPr>
        <w:keepNext/>
        <w:keepLines/>
        <w:rPr>
          <w:rFonts w:eastAsia="STFangsong"/>
          <w:szCs w:val="22"/>
        </w:rPr>
      </w:pPr>
      <w:r w:rsidRPr="0042750D">
        <w:rPr>
          <w:rFonts w:eastAsia="STFangsong"/>
          <w:szCs w:val="22"/>
        </w:rPr>
        <w:t>1</w:t>
      </w:r>
      <w:r w:rsidRPr="0042750D">
        <w:rPr>
          <w:szCs w:val="22"/>
        </w:rPr>
        <w:tab/>
      </w:r>
      <w:r w:rsidRPr="0042750D">
        <w:rPr>
          <w:rFonts w:eastAsia="STFangsong"/>
          <w:szCs w:val="22"/>
        </w:rPr>
        <w:t>that the Union, within its mandate, should seek to foster telecommunication/ICT-centric innovation in the development and deployment of telecommunication/ICT infrastructure that contributes to</w:t>
      </w:r>
      <w:r w:rsidRPr="0042750D">
        <w:rPr>
          <w:szCs w:val="22"/>
        </w:rPr>
        <w:t xml:space="preserve"> the development of the digital economy, the benefits of which contribute greatly to the overall economy</w:t>
      </w:r>
      <w:r w:rsidRPr="0042750D">
        <w:rPr>
          <w:rFonts w:eastAsia="STFangsong"/>
          <w:szCs w:val="22"/>
        </w:rPr>
        <w:t>;</w:t>
      </w:r>
    </w:p>
    <w:p w14:paraId="4E1CF847" w14:textId="77777777" w:rsidR="006D2BCD" w:rsidRPr="0042750D" w:rsidRDefault="006D2BCD" w:rsidP="006D2BCD">
      <w:pPr>
        <w:rPr>
          <w:szCs w:val="22"/>
        </w:rPr>
      </w:pPr>
      <w:r w:rsidRPr="0042750D">
        <w:rPr>
          <w:rFonts w:eastAsia="STFangsong"/>
          <w:szCs w:val="22"/>
        </w:rPr>
        <w:t>2</w:t>
      </w:r>
      <w:r w:rsidRPr="0042750D">
        <w:rPr>
          <w:szCs w:val="22"/>
        </w:rPr>
        <w:tab/>
      </w:r>
      <w:r w:rsidRPr="0042750D">
        <w:rPr>
          <w:rFonts w:eastAsia="STFangsong"/>
          <w:szCs w:val="22"/>
        </w:rPr>
        <w:t>that the Union, within its mandate and existing mechanisms, should support Member States, upon request, in promoting an enabling environment for telecommunication/ICT-centric innovation by small and medium-sized enterprises (SMEs), start-ups, incubation centres and young entrepreneurs, supporting relevant activities with other international agencies;</w:t>
      </w:r>
    </w:p>
    <w:p w14:paraId="486D9316" w14:textId="77777777" w:rsidR="006D2BCD" w:rsidRPr="0042750D" w:rsidRDefault="006D2BCD" w:rsidP="006D2BCD">
      <w:pPr>
        <w:rPr>
          <w:rFonts w:eastAsia="STFangsong"/>
          <w:szCs w:val="22"/>
        </w:rPr>
      </w:pPr>
      <w:r w:rsidRPr="0042750D">
        <w:rPr>
          <w:rFonts w:eastAsia="STFangsong"/>
          <w:szCs w:val="22"/>
        </w:rPr>
        <w:t>3</w:t>
      </w:r>
      <w:r w:rsidRPr="0042750D">
        <w:rPr>
          <w:szCs w:val="22"/>
        </w:rPr>
        <w:tab/>
      </w:r>
      <w:r w:rsidRPr="0042750D">
        <w:rPr>
          <w:rFonts w:eastAsia="STFangsong"/>
          <w:szCs w:val="22"/>
        </w:rPr>
        <w:t>that the Union should continue to collaborate with other related United Nations agencies and other international organizations to assist Member States in providing capacity building related to digital skills, which are considered a core foundation for digital transformation;</w:t>
      </w:r>
    </w:p>
    <w:p w14:paraId="2EB07DEC" w14:textId="77777777" w:rsidR="006D2BCD" w:rsidRPr="0042750D" w:rsidRDefault="006D2BCD" w:rsidP="006D2BCD">
      <w:pPr>
        <w:rPr>
          <w:szCs w:val="22"/>
        </w:rPr>
      </w:pPr>
      <w:r w:rsidRPr="0042750D">
        <w:rPr>
          <w:szCs w:val="22"/>
        </w:rPr>
        <w:t>4</w:t>
      </w:r>
      <w:r w:rsidRPr="0042750D">
        <w:rPr>
          <w:szCs w:val="22"/>
        </w:rPr>
        <w:tab/>
        <w:t xml:space="preserve">that the </w:t>
      </w:r>
      <w:r w:rsidRPr="0042750D">
        <w:rPr>
          <w:rFonts w:eastAsia="STFangsong"/>
          <w:szCs w:val="22"/>
        </w:rPr>
        <w:t>Union</w:t>
      </w:r>
      <w:r w:rsidRPr="0042750D">
        <w:rPr>
          <w:szCs w:val="22"/>
        </w:rPr>
        <w:t xml:space="preserve"> should continue supporting WSIS action lines, consistent with its role as specified in Resolution 140 (Rev. Dubai, 2018) of this conference, through responding to the global need to foster telecommunication/ICT-centric innovation that accelerates the digital transformation of society and the economy,</w:t>
      </w:r>
    </w:p>
    <w:p w14:paraId="599B10DE" w14:textId="77777777" w:rsidR="006D2BCD" w:rsidRPr="0042750D" w:rsidRDefault="006D2BCD" w:rsidP="006D2BCD">
      <w:pPr>
        <w:pStyle w:val="Call"/>
        <w:rPr>
          <w:rFonts w:eastAsia="STFangsong"/>
          <w:szCs w:val="22"/>
          <w:lang w:val="en-GB"/>
        </w:rPr>
      </w:pPr>
      <w:r w:rsidRPr="0042750D">
        <w:rPr>
          <w:rFonts w:eastAsia="STFangsong"/>
          <w:szCs w:val="22"/>
          <w:lang w:val="en-GB"/>
        </w:rPr>
        <w:t>instructs the Secretary-General</w:t>
      </w:r>
    </w:p>
    <w:p w14:paraId="2CE30B69" w14:textId="77777777" w:rsidR="006D2BCD" w:rsidRPr="0042750D" w:rsidRDefault="006D2BCD" w:rsidP="006D2BCD">
      <w:pPr>
        <w:rPr>
          <w:szCs w:val="22"/>
        </w:rPr>
      </w:pPr>
      <w:r w:rsidRPr="0042750D">
        <w:rPr>
          <w:szCs w:val="22"/>
        </w:rPr>
        <w:t>1</w:t>
      </w:r>
      <w:r w:rsidRPr="0042750D">
        <w:rPr>
          <w:szCs w:val="22"/>
        </w:rPr>
        <w:tab/>
        <w:t xml:space="preserve">to coordinate cross-sectoral activities in the </w:t>
      </w:r>
      <w:r w:rsidRPr="0042750D">
        <w:rPr>
          <w:rFonts w:eastAsia="STFangsong"/>
          <w:szCs w:val="22"/>
        </w:rPr>
        <w:t>Union</w:t>
      </w:r>
      <w:r w:rsidRPr="0042750D">
        <w:rPr>
          <w:szCs w:val="22"/>
        </w:rPr>
        <w:t xml:space="preserve"> and collaborate with other relevant United Nations agencies and stakeholders in implementing this resolution;</w:t>
      </w:r>
    </w:p>
    <w:p w14:paraId="1D39912A" w14:textId="77777777" w:rsidR="006D2BCD" w:rsidRPr="0042750D" w:rsidRDefault="006D2BCD" w:rsidP="006D2BCD">
      <w:pPr>
        <w:pStyle w:val="ListParagraph"/>
        <w:ind w:left="0"/>
        <w:rPr>
          <w:szCs w:val="22"/>
        </w:rPr>
      </w:pPr>
      <w:r w:rsidRPr="0042750D">
        <w:rPr>
          <w:szCs w:val="22"/>
        </w:rPr>
        <w:t>2</w:t>
      </w:r>
      <w:r w:rsidRPr="0042750D">
        <w:rPr>
          <w:szCs w:val="22"/>
        </w:rPr>
        <w:tab/>
        <w:t>to ensure implementation of this resolution within the allocated resources in the financial plan and biennial budget as approved by the ITU Council;</w:t>
      </w:r>
    </w:p>
    <w:p w14:paraId="4482BFD0" w14:textId="77777777" w:rsidR="006D2BCD" w:rsidRPr="0042750D" w:rsidRDefault="006D2BCD" w:rsidP="006D2BCD">
      <w:pPr>
        <w:rPr>
          <w:szCs w:val="22"/>
        </w:rPr>
      </w:pPr>
      <w:r w:rsidRPr="0042750D">
        <w:rPr>
          <w:szCs w:val="22"/>
        </w:rPr>
        <w:t>3</w:t>
      </w:r>
      <w:r w:rsidRPr="0042750D">
        <w:rPr>
          <w:szCs w:val="22"/>
        </w:rPr>
        <w:tab/>
        <w:t>in implementing this resolution, to take into account Resolution 11 (Rev. Dubai, 2018) of this conference, on ITU Telecom events;</w:t>
      </w:r>
    </w:p>
    <w:p w14:paraId="67057A4F" w14:textId="77777777" w:rsidR="006D2BCD" w:rsidRPr="0042750D" w:rsidRDefault="006D2BCD" w:rsidP="006D2BCD">
      <w:pPr>
        <w:rPr>
          <w:szCs w:val="22"/>
        </w:rPr>
      </w:pPr>
      <w:r w:rsidRPr="0042750D">
        <w:rPr>
          <w:szCs w:val="22"/>
        </w:rPr>
        <w:t>4</w:t>
      </w:r>
      <w:r w:rsidRPr="0042750D">
        <w:rPr>
          <w:szCs w:val="22"/>
        </w:rPr>
        <w:tab/>
        <w:t>to provide annually to the Council a comprehensive report detailing the activities, actions and engagements that the Union is undertaking in response to this resolution;</w:t>
      </w:r>
    </w:p>
    <w:p w14:paraId="58320A2E" w14:textId="77777777" w:rsidR="006D2BCD" w:rsidRPr="0042750D" w:rsidRDefault="006D2BCD" w:rsidP="006D2BCD">
      <w:pPr>
        <w:pStyle w:val="Normalaftertitle"/>
        <w:spacing w:before="120"/>
        <w:rPr>
          <w:rFonts w:ascii="Times New Roman" w:hAnsi="Times New Roman"/>
          <w:sz w:val="22"/>
          <w:szCs w:val="22"/>
        </w:rPr>
      </w:pPr>
      <w:r w:rsidRPr="0042750D">
        <w:rPr>
          <w:rFonts w:ascii="Times New Roman" w:hAnsi="Times New Roman"/>
          <w:sz w:val="22"/>
          <w:szCs w:val="22"/>
        </w:rPr>
        <w:t>5</w:t>
      </w:r>
      <w:r w:rsidRPr="0042750D">
        <w:rPr>
          <w:rFonts w:ascii="Times New Roman" w:hAnsi="Times New Roman"/>
          <w:sz w:val="22"/>
          <w:szCs w:val="22"/>
        </w:rPr>
        <w:tab/>
        <w:t>to prepare and submit a progress report on ITU activities related to this resolution to the next plenipotentiary conference in 2022,</w:t>
      </w:r>
    </w:p>
    <w:p w14:paraId="12BD6C9E" w14:textId="77777777" w:rsidR="006D2BCD" w:rsidRPr="0042750D" w:rsidRDefault="006D2BCD" w:rsidP="006D2BCD">
      <w:pPr>
        <w:pStyle w:val="Call"/>
        <w:rPr>
          <w:rFonts w:eastAsia="STFangsong"/>
          <w:szCs w:val="22"/>
          <w:lang w:val="en-GB"/>
        </w:rPr>
      </w:pPr>
      <w:r w:rsidRPr="0042750D">
        <w:rPr>
          <w:rFonts w:eastAsia="STFangsong"/>
          <w:szCs w:val="22"/>
          <w:lang w:val="en-GB"/>
        </w:rPr>
        <w:t>instructs the Directors of the Telecommunication Standardization Bureau and Radiocommunication Bureau</w:t>
      </w:r>
    </w:p>
    <w:p w14:paraId="07FC9E14" w14:textId="099A6203" w:rsidR="006D2BCD" w:rsidRPr="0042750D" w:rsidRDefault="006D2BCD" w:rsidP="006D2BCD">
      <w:pPr>
        <w:rPr>
          <w:rFonts w:eastAsia="STFangsong"/>
          <w:szCs w:val="22"/>
        </w:rPr>
      </w:pPr>
      <w:r w:rsidRPr="0042750D">
        <w:rPr>
          <w:rFonts w:eastAsia="STFangsong"/>
          <w:szCs w:val="22"/>
        </w:rPr>
        <w:t>1</w:t>
      </w:r>
      <w:r w:rsidRPr="0042750D">
        <w:rPr>
          <w:rFonts w:eastAsia="STFangsong"/>
          <w:szCs w:val="22"/>
        </w:rPr>
        <w:tab/>
        <w:t>to take this resolution into account when carrying out activiti</w:t>
      </w:r>
      <w:r w:rsidR="00113400" w:rsidRPr="0042750D">
        <w:rPr>
          <w:rFonts w:eastAsia="STFangsong"/>
          <w:szCs w:val="22"/>
        </w:rPr>
        <w:t>es in their respective Sectors;</w:t>
      </w:r>
    </w:p>
    <w:p w14:paraId="5FAFA10E" w14:textId="12861697" w:rsidR="00F0236A" w:rsidRPr="0042750D" w:rsidRDefault="006D2BCD" w:rsidP="00D50A4E">
      <w:pPr>
        <w:spacing w:after="120"/>
        <w:rPr>
          <w:rFonts w:eastAsia="STFangsong"/>
          <w:szCs w:val="22"/>
        </w:rPr>
      </w:pPr>
      <w:r w:rsidRPr="0042750D">
        <w:rPr>
          <w:rFonts w:eastAsia="STFangsong"/>
          <w:szCs w:val="22"/>
        </w:rPr>
        <w:t>2</w:t>
      </w:r>
      <w:r w:rsidRPr="0042750D">
        <w:rPr>
          <w:rFonts w:eastAsia="STFangsong"/>
          <w:szCs w:val="22"/>
        </w:rPr>
        <w:tab/>
        <w:t>to encourage the participation of SMEs in study gro</w:t>
      </w:r>
      <w:r w:rsidR="00D50A4E" w:rsidRPr="0042750D">
        <w:rPr>
          <w:rFonts w:eastAsia="STFangsong"/>
          <w:szCs w:val="22"/>
        </w:rPr>
        <w:t>ups and relevant ITU activities</w:t>
      </w:r>
      <w:r w:rsidR="00F0236A" w:rsidRPr="0042750D">
        <w:rPr>
          <w:sz w:val="24"/>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17"/>
        <w:gridCol w:w="4904"/>
        <w:gridCol w:w="1332"/>
        <w:gridCol w:w="1141"/>
        <w:gridCol w:w="1338"/>
      </w:tblGrid>
      <w:tr w:rsidR="00F0236A" w:rsidRPr="0042750D" w14:paraId="4BC4E049" w14:textId="77777777" w:rsidTr="006D2BCD">
        <w:trPr>
          <w:jc w:val="center"/>
        </w:trPr>
        <w:tc>
          <w:tcPr>
            <w:tcW w:w="1217" w:type="dxa"/>
            <w:tcBorders>
              <w:top w:val="single" w:sz="12" w:space="0" w:color="auto"/>
              <w:bottom w:val="single" w:sz="12" w:space="0" w:color="auto"/>
            </w:tcBorders>
            <w:shd w:val="clear" w:color="auto" w:fill="auto"/>
            <w:vAlign w:val="center"/>
          </w:tcPr>
          <w:p w14:paraId="6FC28846" w14:textId="77777777" w:rsidR="00F0236A" w:rsidRPr="0042750D" w:rsidRDefault="00F0236A" w:rsidP="004E0B9F">
            <w:pPr>
              <w:pStyle w:val="Tablehead"/>
              <w:keepNext w:val="0"/>
              <w:rPr>
                <w:sz w:val="24"/>
                <w:szCs w:val="24"/>
              </w:rPr>
            </w:pPr>
            <w:r w:rsidRPr="0042750D">
              <w:rPr>
                <w:sz w:val="24"/>
                <w:szCs w:val="24"/>
              </w:rPr>
              <w:t>Action Item</w:t>
            </w:r>
          </w:p>
        </w:tc>
        <w:tc>
          <w:tcPr>
            <w:tcW w:w="4904" w:type="dxa"/>
            <w:tcBorders>
              <w:top w:val="single" w:sz="12" w:space="0" w:color="auto"/>
              <w:bottom w:val="single" w:sz="12" w:space="0" w:color="auto"/>
            </w:tcBorders>
            <w:shd w:val="clear" w:color="auto" w:fill="auto"/>
            <w:vAlign w:val="center"/>
            <w:hideMark/>
          </w:tcPr>
          <w:p w14:paraId="14F2DEBE" w14:textId="77777777" w:rsidR="00F0236A" w:rsidRPr="0042750D" w:rsidRDefault="00F0236A" w:rsidP="00DF36E1">
            <w:pPr>
              <w:pStyle w:val="Tablehead"/>
              <w:rPr>
                <w:sz w:val="24"/>
                <w:szCs w:val="24"/>
              </w:rPr>
            </w:pPr>
            <w:r w:rsidRPr="0042750D">
              <w:rPr>
                <w:sz w:val="24"/>
                <w:szCs w:val="24"/>
              </w:rPr>
              <w:t>Action</w:t>
            </w:r>
          </w:p>
        </w:tc>
        <w:tc>
          <w:tcPr>
            <w:tcW w:w="1332" w:type="dxa"/>
            <w:tcBorders>
              <w:top w:val="single" w:sz="12" w:space="0" w:color="auto"/>
              <w:bottom w:val="single" w:sz="12" w:space="0" w:color="auto"/>
            </w:tcBorders>
            <w:shd w:val="clear" w:color="auto" w:fill="auto"/>
            <w:vAlign w:val="center"/>
            <w:hideMark/>
          </w:tcPr>
          <w:p w14:paraId="4457D57F" w14:textId="77777777" w:rsidR="00F0236A" w:rsidRPr="0042750D" w:rsidRDefault="00F0236A" w:rsidP="00DF36E1">
            <w:pPr>
              <w:pStyle w:val="Tablehead"/>
              <w:rPr>
                <w:sz w:val="24"/>
                <w:szCs w:val="24"/>
              </w:rPr>
            </w:pPr>
            <w:r w:rsidRPr="0042750D">
              <w:rPr>
                <w:sz w:val="24"/>
                <w:szCs w:val="24"/>
              </w:rPr>
              <w:t>Milestone</w:t>
            </w:r>
          </w:p>
        </w:tc>
        <w:tc>
          <w:tcPr>
            <w:tcW w:w="1141" w:type="dxa"/>
            <w:tcBorders>
              <w:top w:val="single" w:sz="12" w:space="0" w:color="auto"/>
              <w:bottom w:val="single" w:sz="12" w:space="0" w:color="auto"/>
            </w:tcBorders>
            <w:shd w:val="clear" w:color="auto" w:fill="auto"/>
          </w:tcPr>
          <w:p w14:paraId="78A644FF"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1DB1DF01"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0F75A422" w14:textId="77777777" w:rsidTr="006D2BCD">
        <w:trPr>
          <w:jc w:val="center"/>
        </w:trPr>
        <w:tc>
          <w:tcPr>
            <w:tcW w:w="1217" w:type="dxa"/>
            <w:vMerge w:val="restart"/>
            <w:tcBorders>
              <w:top w:val="single" w:sz="12" w:space="0" w:color="auto"/>
            </w:tcBorders>
            <w:shd w:val="clear" w:color="auto" w:fill="auto"/>
          </w:tcPr>
          <w:p w14:paraId="5ADD2FD4" w14:textId="79715219" w:rsidR="00F0236A" w:rsidRPr="0042750D" w:rsidRDefault="00783B71" w:rsidP="006D2BCD">
            <w:pPr>
              <w:pStyle w:val="Tabletext"/>
              <w:rPr>
                <w:b/>
                <w:bCs/>
                <w:sz w:val="24"/>
                <w:szCs w:val="24"/>
              </w:rPr>
            </w:pPr>
            <w:r w:rsidRPr="0042750D">
              <w:rPr>
                <w:b/>
                <w:bCs/>
                <w:sz w:val="24"/>
                <w:szCs w:val="24"/>
              </w:rPr>
              <w:t>205</w:t>
            </w:r>
            <w:r w:rsidR="00F0236A" w:rsidRPr="0042750D">
              <w:rPr>
                <w:b/>
                <w:bCs/>
                <w:sz w:val="24"/>
                <w:szCs w:val="24"/>
              </w:rPr>
              <w:t>-01</w:t>
            </w:r>
          </w:p>
        </w:tc>
        <w:tc>
          <w:tcPr>
            <w:tcW w:w="4904" w:type="dxa"/>
            <w:tcBorders>
              <w:top w:val="single" w:sz="12" w:space="0" w:color="auto"/>
              <w:bottom w:val="single" w:sz="4" w:space="0" w:color="auto"/>
            </w:tcBorders>
            <w:shd w:val="clear" w:color="auto" w:fill="auto"/>
          </w:tcPr>
          <w:p w14:paraId="7280B3A6" w14:textId="6B896AA2" w:rsidR="00F0236A" w:rsidRPr="0042750D" w:rsidRDefault="002539C7" w:rsidP="002539C7">
            <w:pPr>
              <w:pStyle w:val="Tabletext"/>
              <w:rPr>
                <w:b/>
                <w:bCs/>
                <w:sz w:val="24"/>
                <w:szCs w:val="24"/>
              </w:rPr>
            </w:pPr>
            <w:r w:rsidRPr="0042750D">
              <w:rPr>
                <w:b/>
                <w:bCs/>
                <w:sz w:val="24"/>
                <w:szCs w:val="24"/>
              </w:rPr>
              <w:t>TSBDir to contribute to SecGen’s annual report to the Council detailing the activities, actions and engagements that ITU-T is undertaking in response to this resolution, and to prepare and submit a progress report on ITU-T activities related to this resolution to the next plenipotentiary conference in 2022</w:t>
            </w:r>
            <w:r w:rsidR="00D71FAF" w:rsidRPr="0042750D">
              <w:rPr>
                <w:b/>
                <w:bCs/>
                <w:sz w:val="24"/>
                <w:szCs w:val="24"/>
              </w:rPr>
              <w:t xml:space="preserve"> (</w:t>
            </w:r>
            <w:r w:rsidR="00D71FAF" w:rsidRPr="0042750D">
              <w:rPr>
                <w:b/>
                <w:bCs/>
                <w:i/>
                <w:sz w:val="24"/>
                <w:szCs w:val="24"/>
              </w:rPr>
              <w:t>instructs 5</w:t>
            </w:r>
            <w:r w:rsidR="00D71FAF" w:rsidRPr="0042750D">
              <w:rPr>
                <w:b/>
                <w:bCs/>
                <w:sz w:val="24"/>
                <w:szCs w:val="24"/>
              </w:rPr>
              <w:t>)</w:t>
            </w:r>
            <w:r w:rsidRPr="0042750D">
              <w:rPr>
                <w:b/>
                <w:bCs/>
                <w:sz w:val="24"/>
                <w:szCs w:val="24"/>
              </w:rPr>
              <w:t>.</w:t>
            </w:r>
          </w:p>
        </w:tc>
        <w:tc>
          <w:tcPr>
            <w:tcW w:w="1332" w:type="dxa"/>
            <w:tcBorders>
              <w:top w:val="single" w:sz="12" w:space="0" w:color="auto"/>
              <w:bottom w:val="single" w:sz="4" w:space="0" w:color="auto"/>
            </w:tcBorders>
            <w:shd w:val="clear" w:color="auto" w:fill="auto"/>
            <w:vAlign w:val="center"/>
          </w:tcPr>
          <w:p w14:paraId="4E78ED20" w14:textId="35D6C771" w:rsidR="00F0236A" w:rsidRPr="0042750D" w:rsidRDefault="002539C7" w:rsidP="00DF36E1">
            <w:pPr>
              <w:pStyle w:val="Tabletext"/>
              <w:jc w:val="center"/>
              <w:rPr>
                <w:b/>
                <w:bCs/>
                <w:sz w:val="24"/>
                <w:szCs w:val="24"/>
              </w:rPr>
            </w:pPr>
            <w:r w:rsidRPr="0042750D">
              <w:rPr>
                <w:b/>
                <w:bCs/>
                <w:sz w:val="24"/>
                <w:szCs w:val="24"/>
              </w:rPr>
              <w:t>Council</w:t>
            </w:r>
          </w:p>
        </w:tc>
        <w:tc>
          <w:tcPr>
            <w:tcW w:w="1141" w:type="dxa"/>
            <w:tcBorders>
              <w:top w:val="single" w:sz="12" w:space="0" w:color="auto"/>
              <w:bottom w:val="single" w:sz="4" w:space="0" w:color="auto"/>
            </w:tcBorders>
            <w:shd w:val="clear" w:color="auto" w:fill="auto"/>
            <w:vAlign w:val="center"/>
          </w:tcPr>
          <w:p w14:paraId="102DCE5A" w14:textId="14A384F6" w:rsidR="00F0236A" w:rsidRPr="0042750D" w:rsidRDefault="00F0236A" w:rsidP="00DF36E1">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4852117C" w14:textId="77777777" w:rsidR="00F0236A" w:rsidRPr="0042750D" w:rsidRDefault="00F0236A" w:rsidP="00DF36E1">
            <w:pPr>
              <w:pStyle w:val="Tabletext"/>
              <w:jc w:val="center"/>
              <w:rPr>
                <w:b/>
                <w:bCs/>
                <w:sz w:val="24"/>
                <w:szCs w:val="24"/>
              </w:rPr>
            </w:pPr>
          </w:p>
        </w:tc>
      </w:tr>
      <w:tr w:rsidR="00F0236A" w:rsidRPr="0042750D" w14:paraId="10261557" w14:textId="77777777" w:rsidTr="006D2BCD">
        <w:trPr>
          <w:jc w:val="center"/>
        </w:trPr>
        <w:tc>
          <w:tcPr>
            <w:tcW w:w="1217" w:type="dxa"/>
            <w:vMerge/>
            <w:tcBorders>
              <w:bottom w:val="single" w:sz="12" w:space="0" w:color="auto"/>
            </w:tcBorders>
            <w:shd w:val="clear" w:color="auto" w:fill="auto"/>
          </w:tcPr>
          <w:p w14:paraId="2F2656EA" w14:textId="77777777" w:rsidR="00F0236A" w:rsidRPr="0042750D" w:rsidRDefault="00F0236A" w:rsidP="00DF36E1">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6CE10913" w14:textId="68C6837A" w:rsidR="00F0236A" w:rsidRPr="0042750D" w:rsidRDefault="00F0236A" w:rsidP="00406F3F">
            <w:pPr>
              <w:tabs>
                <w:tab w:val="center" w:pos="9072"/>
              </w:tabs>
              <w:spacing w:before="0" w:after="60"/>
              <w:ind w:right="91"/>
              <w:rPr>
                <w:u w:val="single"/>
              </w:rPr>
            </w:pPr>
          </w:p>
        </w:tc>
      </w:tr>
      <w:tr w:rsidR="002539C7" w:rsidRPr="0042750D" w14:paraId="07A5C710" w14:textId="77777777" w:rsidTr="000476C9">
        <w:trPr>
          <w:jc w:val="center"/>
        </w:trPr>
        <w:tc>
          <w:tcPr>
            <w:tcW w:w="1217" w:type="dxa"/>
            <w:vMerge w:val="restart"/>
            <w:tcBorders>
              <w:top w:val="single" w:sz="12" w:space="0" w:color="auto"/>
            </w:tcBorders>
            <w:shd w:val="clear" w:color="auto" w:fill="auto"/>
          </w:tcPr>
          <w:p w14:paraId="61B6F112" w14:textId="1EAB8007" w:rsidR="002539C7" w:rsidRPr="0042750D" w:rsidRDefault="00783B71" w:rsidP="000476C9">
            <w:pPr>
              <w:pStyle w:val="Tabletext"/>
              <w:rPr>
                <w:b/>
                <w:bCs/>
                <w:sz w:val="24"/>
                <w:szCs w:val="24"/>
              </w:rPr>
            </w:pPr>
            <w:bookmarkStart w:id="386" w:name="Item91_01"/>
            <w:bookmarkStart w:id="387" w:name="Item91_02"/>
            <w:bookmarkStart w:id="388" w:name="Item91_03"/>
            <w:bookmarkEnd w:id="386"/>
            <w:bookmarkEnd w:id="387"/>
            <w:bookmarkEnd w:id="388"/>
            <w:r w:rsidRPr="0042750D">
              <w:rPr>
                <w:b/>
                <w:bCs/>
                <w:sz w:val="24"/>
                <w:szCs w:val="24"/>
              </w:rPr>
              <w:t>205</w:t>
            </w:r>
            <w:r w:rsidR="002539C7" w:rsidRPr="0042750D">
              <w:rPr>
                <w:b/>
                <w:bCs/>
                <w:sz w:val="24"/>
                <w:szCs w:val="24"/>
              </w:rPr>
              <w:t>-02</w:t>
            </w:r>
          </w:p>
        </w:tc>
        <w:tc>
          <w:tcPr>
            <w:tcW w:w="4904" w:type="dxa"/>
            <w:tcBorders>
              <w:top w:val="single" w:sz="12" w:space="0" w:color="auto"/>
              <w:bottom w:val="single" w:sz="4" w:space="0" w:color="auto"/>
            </w:tcBorders>
            <w:shd w:val="clear" w:color="auto" w:fill="auto"/>
          </w:tcPr>
          <w:p w14:paraId="56306EE0" w14:textId="26483E6B" w:rsidR="002539C7" w:rsidRPr="0042750D" w:rsidRDefault="002539C7" w:rsidP="000476C9">
            <w:pPr>
              <w:pStyle w:val="Tabletext"/>
              <w:rPr>
                <w:b/>
                <w:bCs/>
                <w:sz w:val="24"/>
                <w:szCs w:val="24"/>
              </w:rPr>
            </w:pPr>
            <w:r w:rsidRPr="0042750D">
              <w:rPr>
                <w:b/>
                <w:bCs/>
                <w:sz w:val="24"/>
                <w:szCs w:val="24"/>
              </w:rPr>
              <w:t>TSB to encourage the participation of SMEs in study groups and relevant ITU activities</w:t>
            </w:r>
            <w:r w:rsidR="00D71FAF" w:rsidRPr="0042750D">
              <w:rPr>
                <w:b/>
                <w:bCs/>
                <w:sz w:val="24"/>
                <w:szCs w:val="24"/>
              </w:rPr>
              <w:t xml:space="preserve"> (</w:t>
            </w:r>
            <w:r w:rsidR="00D71FAF" w:rsidRPr="0042750D">
              <w:rPr>
                <w:b/>
                <w:bCs/>
                <w:i/>
                <w:sz w:val="24"/>
                <w:szCs w:val="24"/>
              </w:rPr>
              <w:t>instructs 2</w:t>
            </w:r>
            <w:r w:rsidR="00D71FAF" w:rsidRPr="0042750D">
              <w:rPr>
                <w:b/>
                <w:bCs/>
                <w:sz w:val="24"/>
                <w:szCs w:val="24"/>
              </w:rPr>
              <w:t>)</w:t>
            </w:r>
            <w:r w:rsidRPr="0042750D">
              <w:rPr>
                <w:b/>
                <w:bCs/>
                <w:sz w:val="24"/>
                <w:szCs w:val="24"/>
              </w:rPr>
              <w:t>.</w:t>
            </w:r>
          </w:p>
        </w:tc>
        <w:tc>
          <w:tcPr>
            <w:tcW w:w="1332" w:type="dxa"/>
            <w:tcBorders>
              <w:top w:val="single" w:sz="12" w:space="0" w:color="auto"/>
              <w:bottom w:val="single" w:sz="4" w:space="0" w:color="auto"/>
            </w:tcBorders>
            <w:shd w:val="clear" w:color="auto" w:fill="auto"/>
            <w:vAlign w:val="center"/>
          </w:tcPr>
          <w:p w14:paraId="1B1A6629" w14:textId="77777777" w:rsidR="002539C7" w:rsidRPr="0042750D" w:rsidRDefault="002539C7" w:rsidP="000476C9">
            <w:pPr>
              <w:pStyle w:val="Tabletext"/>
              <w:jc w:val="center"/>
              <w:rPr>
                <w:b/>
                <w:bCs/>
                <w:sz w:val="24"/>
                <w:szCs w:val="24"/>
              </w:rPr>
            </w:pPr>
            <w:r w:rsidRPr="0042750D">
              <w:rPr>
                <w:b/>
                <w:bCs/>
                <w:sz w:val="24"/>
                <w:szCs w:val="24"/>
              </w:rPr>
              <w:t>Ongoing</w:t>
            </w:r>
          </w:p>
        </w:tc>
        <w:tc>
          <w:tcPr>
            <w:tcW w:w="1141" w:type="dxa"/>
            <w:tcBorders>
              <w:top w:val="single" w:sz="12" w:space="0" w:color="auto"/>
              <w:bottom w:val="single" w:sz="4" w:space="0" w:color="auto"/>
            </w:tcBorders>
            <w:shd w:val="clear" w:color="auto" w:fill="auto"/>
            <w:vAlign w:val="center"/>
          </w:tcPr>
          <w:p w14:paraId="5ECE041E" w14:textId="08A8EEC1" w:rsidR="002539C7" w:rsidRPr="0042750D" w:rsidRDefault="002D123F" w:rsidP="000476C9">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2080C8D8" w14:textId="77777777" w:rsidR="002539C7" w:rsidRPr="0042750D" w:rsidRDefault="002539C7" w:rsidP="000476C9">
            <w:pPr>
              <w:pStyle w:val="Tabletext"/>
              <w:jc w:val="center"/>
              <w:rPr>
                <w:b/>
                <w:bCs/>
                <w:sz w:val="24"/>
                <w:szCs w:val="24"/>
              </w:rPr>
            </w:pPr>
          </w:p>
        </w:tc>
      </w:tr>
      <w:tr w:rsidR="002539C7" w:rsidRPr="0042750D" w14:paraId="514FC0CF" w14:textId="77777777" w:rsidTr="000476C9">
        <w:trPr>
          <w:jc w:val="center"/>
        </w:trPr>
        <w:tc>
          <w:tcPr>
            <w:tcW w:w="1217" w:type="dxa"/>
            <w:vMerge/>
            <w:tcBorders>
              <w:bottom w:val="single" w:sz="12" w:space="0" w:color="auto"/>
            </w:tcBorders>
            <w:shd w:val="clear" w:color="auto" w:fill="auto"/>
          </w:tcPr>
          <w:p w14:paraId="7DD253F3" w14:textId="77777777" w:rsidR="002539C7" w:rsidRPr="0042750D" w:rsidRDefault="002539C7" w:rsidP="000476C9">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05D18E4E" w14:textId="77777777" w:rsidR="002D123F" w:rsidRPr="0042750D" w:rsidRDefault="002D123F" w:rsidP="006F2431">
            <w:pPr>
              <w:overflowPunct w:val="0"/>
              <w:autoSpaceDE w:val="0"/>
              <w:autoSpaceDN w:val="0"/>
              <w:spacing w:before="40"/>
              <w:textAlignment w:val="baseline"/>
              <w:rPr>
                <w:rFonts w:eastAsiaTheme="minorHAnsi"/>
                <w:szCs w:val="22"/>
                <w:lang w:eastAsia="zh-CN"/>
              </w:rPr>
            </w:pPr>
            <w:r w:rsidRPr="0042750D">
              <w:rPr>
                <w:lang w:eastAsia="zh-CN"/>
              </w:rPr>
              <w:t>TSB continues to work with Member States to encourage the participation of SMEs in ITU-T Study Groups that are involved in the ongoing SME pilot project.</w:t>
            </w:r>
          </w:p>
          <w:p w14:paraId="534CEC19" w14:textId="77777777" w:rsidR="002D123F" w:rsidRPr="0042750D" w:rsidRDefault="002D123F" w:rsidP="002D123F">
            <w:pPr>
              <w:overflowPunct w:val="0"/>
              <w:autoSpaceDE w:val="0"/>
              <w:autoSpaceDN w:val="0"/>
              <w:textAlignment w:val="baseline"/>
              <w:rPr>
                <w:lang w:eastAsia="zh-CN"/>
              </w:rPr>
            </w:pPr>
            <w:r w:rsidRPr="0042750D">
              <w:rPr>
                <w:lang w:eastAsia="zh-CN"/>
              </w:rPr>
              <w:t>ITU-T Study Groups 5, 11, 16 and 20 have joined the pilot project to increase the engagement of SMEs in the work of the Sector. 16 SMEs have been approved by relevant Member States to actively participate in ITU-T Study Group meetings under this pilot.</w:t>
            </w:r>
          </w:p>
          <w:p w14:paraId="490A69E7" w14:textId="77777777" w:rsidR="002D123F" w:rsidRPr="0042750D" w:rsidRDefault="002D123F" w:rsidP="002D123F">
            <w:pPr>
              <w:overflowPunct w:val="0"/>
              <w:autoSpaceDE w:val="0"/>
              <w:autoSpaceDN w:val="0"/>
              <w:textAlignment w:val="baseline"/>
              <w:rPr>
                <w:lang w:eastAsia="zh-CN"/>
              </w:rPr>
            </w:pPr>
            <w:r w:rsidRPr="0042750D">
              <w:rPr>
                <w:lang w:eastAsia="zh-CN"/>
              </w:rPr>
              <w:t>ITU-T Study Group 16 has experienced positive results. ASTEM (Japan) has contributed significant specifications for standards on accessible IPTV terminals and their testing, which are now found in Recommendation ITU-T H.702 and Technical Paper ITU-T HSTP-CONF-H702. Wayfindr (United Kingdom) brought specifications for audio-based network navigation system for persons with vision impairment and its conformance testing (Recommendation ITU-T F.921 and Technical Paper ITU-T HSTP-CONF-F921). Wayfindr also developed associated online training material found on the ITU Academy platform.</w:t>
            </w:r>
          </w:p>
          <w:p w14:paraId="2F8D8F32" w14:textId="77777777" w:rsidR="002D123F" w:rsidRPr="0042750D" w:rsidRDefault="002D123F" w:rsidP="002D123F">
            <w:pPr>
              <w:overflowPunct w:val="0"/>
              <w:autoSpaceDE w:val="0"/>
              <w:autoSpaceDN w:val="0"/>
              <w:textAlignment w:val="baseline"/>
              <w:rPr>
                <w:lang w:eastAsia="zh-CN"/>
              </w:rPr>
            </w:pPr>
            <w:r w:rsidRPr="0042750D">
              <w:rPr>
                <w:lang w:eastAsia="zh-CN"/>
              </w:rPr>
              <w:t>ITU-T Study Group 5 has also benefitted from the participation of SMEs. WaveControl (Spain) is leading the development of draft Recommendation ITU-T K.workers on “Assessment and management of compliance with RF EMF exposure limits for workers at radiocommunication sites and facilities” and MJRD Assessment Inc. (Canada) is leading the development of draft Recommendation ITU-T L.SP_OB on “A methodology for improving, assessing and scoring the sustainability performance of office buildings”.</w:t>
            </w:r>
          </w:p>
          <w:p w14:paraId="08EB98C0" w14:textId="2B941A37" w:rsidR="002539C7" w:rsidRPr="0042750D" w:rsidRDefault="002D123F" w:rsidP="002D123F">
            <w:pPr>
              <w:overflowPunct w:val="0"/>
              <w:autoSpaceDE w:val="0"/>
              <w:autoSpaceDN w:val="0"/>
              <w:spacing w:after="40"/>
              <w:textAlignment w:val="baseline"/>
              <w:rPr>
                <w:lang w:eastAsia="zh-CN"/>
              </w:rPr>
            </w:pPr>
            <w:r w:rsidRPr="0042750D">
              <w:rPr>
                <w:lang w:eastAsia="zh-CN"/>
              </w:rPr>
              <w:t>In ITU-T Study Group 11, Vaulto Technologies (Israel), contributed a technical report on the abuse of SS7 vulnerabilities to commit financial fraud, according to the report there is significant abuse of these vulnerabilities especially in developing countries, where customer protection is close to none. Vaulto Technologies’ work in ITU-T Study Group 11 promoted a new work item to raise awareness and advance the adoption of mitigation measures among telecom operators and financial institutions around the world.</w:t>
            </w:r>
          </w:p>
        </w:tc>
      </w:tr>
    </w:tbl>
    <w:p w14:paraId="0BAA4369"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1DE8B83D" w14:textId="6D829EB0" w:rsidR="00F0236A" w:rsidRPr="0042750D" w:rsidRDefault="004B6331" w:rsidP="005226AC">
      <w:pPr>
        <w:pStyle w:val="Heading1"/>
        <w:keepNext/>
        <w:keepLines/>
        <w:rPr>
          <w:sz w:val="24"/>
          <w:szCs w:val="24"/>
          <w:lang w:val="en-GB"/>
        </w:rPr>
      </w:pPr>
      <w:bookmarkStart w:id="389" w:name="_Resolution_92_-"/>
      <w:bookmarkStart w:id="390" w:name="_Toc30749195"/>
      <w:bookmarkEnd w:id="389"/>
      <w:r w:rsidRPr="0042750D">
        <w:rPr>
          <w:sz w:val="24"/>
          <w:szCs w:val="24"/>
          <w:lang w:val="en-GB"/>
        </w:rPr>
        <w:t xml:space="preserve">RESOLUTION </w:t>
      </w:r>
      <w:r w:rsidR="00163998" w:rsidRPr="0042750D">
        <w:rPr>
          <w:sz w:val="24"/>
          <w:szCs w:val="24"/>
          <w:lang w:val="en-GB"/>
        </w:rPr>
        <w:t>206</w:t>
      </w:r>
      <w:r w:rsidRPr="0042750D">
        <w:rPr>
          <w:sz w:val="24"/>
          <w:szCs w:val="24"/>
          <w:lang w:val="en-GB"/>
        </w:rPr>
        <w:t xml:space="preserve"> (DUBAI, 2018) – OTTs</w:t>
      </w:r>
      <w:bookmarkEnd w:id="390"/>
    </w:p>
    <w:p w14:paraId="248B56CC" w14:textId="77777777" w:rsidR="004B6331" w:rsidRPr="0042750D" w:rsidRDefault="004B6331" w:rsidP="005226AC">
      <w:pPr>
        <w:pStyle w:val="Call"/>
        <w:rPr>
          <w:rFonts w:eastAsia="Calibri"/>
          <w:szCs w:val="22"/>
          <w:lang w:val="en-GB"/>
        </w:rPr>
      </w:pPr>
      <w:r w:rsidRPr="0042750D">
        <w:rPr>
          <w:rFonts w:eastAsia="Calibri"/>
          <w:szCs w:val="22"/>
          <w:lang w:val="en-GB"/>
        </w:rPr>
        <w:t>resolves</w:t>
      </w:r>
    </w:p>
    <w:p w14:paraId="108D96EB" w14:textId="77777777" w:rsidR="004B6331" w:rsidRPr="0042750D" w:rsidRDefault="004B6331" w:rsidP="005226AC">
      <w:pPr>
        <w:keepNext/>
        <w:keepLines/>
        <w:rPr>
          <w:rFonts w:eastAsia="Calibri"/>
          <w:szCs w:val="22"/>
        </w:rPr>
      </w:pPr>
      <w:r w:rsidRPr="0042750D">
        <w:rPr>
          <w:rFonts w:eastAsia="Calibri"/>
          <w:szCs w:val="22"/>
        </w:rPr>
        <w:t>1</w:t>
      </w:r>
      <w:r w:rsidRPr="0042750D">
        <w:rPr>
          <w:rFonts w:eastAsia="Calibri"/>
          <w:szCs w:val="22"/>
        </w:rPr>
        <w:tab/>
        <w:t>to raise awareness and promote a common understanding and dialogue among relevant stakeholders for enabling the OTT environment and ecosystem within the remit of ITU;</w:t>
      </w:r>
    </w:p>
    <w:p w14:paraId="22E381CD" w14:textId="77777777" w:rsidR="004B6331" w:rsidRPr="0042750D" w:rsidRDefault="004B6331" w:rsidP="004B6331">
      <w:pPr>
        <w:rPr>
          <w:rFonts w:eastAsia="Calibri"/>
          <w:szCs w:val="22"/>
        </w:rPr>
      </w:pPr>
      <w:r w:rsidRPr="0042750D">
        <w:rPr>
          <w:rFonts w:eastAsia="Calibri"/>
          <w:szCs w:val="22"/>
        </w:rPr>
        <w:t>2</w:t>
      </w:r>
      <w:r w:rsidRPr="0042750D">
        <w:rPr>
          <w:rFonts w:eastAsia="Calibri"/>
          <w:szCs w:val="22"/>
        </w:rPr>
        <w:tab/>
        <w:t xml:space="preserve">to continue fostering studies on OTT aspects, taking into account </w:t>
      </w:r>
      <w:r w:rsidRPr="0042750D">
        <w:rPr>
          <w:rFonts w:eastAsia="Calibri"/>
          <w:i/>
          <w:szCs w:val="22"/>
        </w:rPr>
        <w:t>considering d)</w:t>
      </w:r>
      <w:r w:rsidRPr="0042750D">
        <w:rPr>
          <w:rFonts w:eastAsia="Calibri"/>
          <w:iCs/>
          <w:szCs w:val="22"/>
        </w:rPr>
        <w:t xml:space="preserve"> and </w:t>
      </w:r>
      <w:r w:rsidRPr="0042750D">
        <w:rPr>
          <w:rFonts w:eastAsia="Calibri"/>
          <w:i/>
          <w:szCs w:val="22"/>
        </w:rPr>
        <w:t>recognizing further d)</w:t>
      </w:r>
      <w:r w:rsidRPr="0042750D">
        <w:rPr>
          <w:szCs w:val="22"/>
        </w:rPr>
        <w:t xml:space="preserve">, </w:t>
      </w:r>
      <w:r w:rsidRPr="0042750D">
        <w:rPr>
          <w:rFonts w:eastAsia="Calibri"/>
          <w:szCs w:val="22"/>
        </w:rPr>
        <w:t>consistent with ITU's mandate;</w:t>
      </w:r>
    </w:p>
    <w:p w14:paraId="0CF75371" w14:textId="77777777" w:rsidR="004B6331" w:rsidRPr="0042750D" w:rsidRDefault="004B6331" w:rsidP="004B6331">
      <w:pPr>
        <w:rPr>
          <w:rFonts w:eastAsia="Calibri"/>
          <w:szCs w:val="22"/>
        </w:rPr>
      </w:pPr>
      <w:r w:rsidRPr="0042750D">
        <w:rPr>
          <w:rFonts w:eastAsia="Calibri"/>
          <w:szCs w:val="22"/>
        </w:rPr>
        <w:t>3</w:t>
      </w:r>
      <w:r w:rsidRPr="0042750D">
        <w:rPr>
          <w:rFonts w:eastAsia="Calibri"/>
          <w:szCs w:val="22"/>
        </w:rPr>
        <w:tab/>
        <w:t>to foster capacity-building programmes among ITU members in order to share information related to best practices and technical guidance on OTTs, especially for developing countries,</w:t>
      </w:r>
    </w:p>
    <w:p w14:paraId="0748D1D9" w14:textId="77777777" w:rsidR="004B6331" w:rsidRPr="0042750D" w:rsidRDefault="004B6331" w:rsidP="004B6331">
      <w:pPr>
        <w:pStyle w:val="Call"/>
        <w:rPr>
          <w:rFonts w:eastAsia="Calibri"/>
          <w:szCs w:val="22"/>
          <w:lang w:val="en-GB"/>
        </w:rPr>
      </w:pPr>
      <w:r w:rsidRPr="0042750D">
        <w:rPr>
          <w:rFonts w:eastAsia="Calibri"/>
          <w:szCs w:val="22"/>
          <w:lang w:val="en-GB"/>
        </w:rPr>
        <w:t>instructs the Secretary-General</w:t>
      </w:r>
    </w:p>
    <w:p w14:paraId="0FA7235D" w14:textId="77777777" w:rsidR="004B6331" w:rsidRPr="0042750D" w:rsidRDefault="004B6331" w:rsidP="004B6331">
      <w:pPr>
        <w:rPr>
          <w:szCs w:val="22"/>
        </w:rPr>
      </w:pPr>
      <w:r w:rsidRPr="0042750D">
        <w:rPr>
          <w:szCs w:val="22"/>
        </w:rPr>
        <w:t>1</w:t>
      </w:r>
      <w:r w:rsidRPr="0042750D">
        <w:rPr>
          <w:szCs w:val="22"/>
        </w:rPr>
        <w:tab/>
        <w:t>to continue cooperation and collaboration with other relevant organizations and stakeholders and to explore opportunities for collaboration between ITU members and those of other organizations to further the objectives of this resolution;</w:t>
      </w:r>
    </w:p>
    <w:p w14:paraId="1A045CBC" w14:textId="77777777" w:rsidR="004B6331" w:rsidRPr="0042750D" w:rsidRDefault="004B6331" w:rsidP="004B6331">
      <w:pPr>
        <w:rPr>
          <w:rFonts w:eastAsia="Calibri"/>
          <w:szCs w:val="22"/>
        </w:rPr>
      </w:pPr>
      <w:r w:rsidRPr="0042750D">
        <w:rPr>
          <w:rFonts w:eastAsia="Calibri"/>
          <w:szCs w:val="22"/>
        </w:rPr>
        <w:t>2</w:t>
      </w:r>
      <w:r w:rsidRPr="0042750D">
        <w:rPr>
          <w:rFonts w:eastAsia="Calibri"/>
          <w:szCs w:val="22"/>
        </w:rPr>
        <w:tab/>
        <w:t>to foster opportunities for collaboration among relevant stakeholders on capacity-building programmes in order to share information related to best practices and technical guidance on OTTs, especially for developing countries;</w:t>
      </w:r>
    </w:p>
    <w:p w14:paraId="346669BF" w14:textId="77777777" w:rsidR="004B6331" w:rsidRPr="0042750D" w:rsidRDefault="004B6331" w:rsidP="004B6331">
      <w:pPr>
        <w:rPr>
          <w:rFonts w:eastAsia="Calibri"/>
          <w:szCs w:val="22"/>
        </w:rPr>
      </w:pPr>
      <w:r w:rsidRPr="0042750D">
        <w:rPr>
          <w:rFonts w:eastAsia="Calibri"/>
          <w:szCs w:val="22"/>
        </w:rPr>
        <w:t>3</w:t>
      </w:r>
      <w:r w:rsidRPr="0042750D">
        <w:rPr>
          <w:rFonts w:eastAsia="Calibri"/>
          <w:szCs w:val="22"/>
        </w:rPr>
        <w:tab/>
        <w:t>to submit an annual report to the Council on the activities undertaken under this resolution,</w:t>
      </w:r>
    </w:p>
    <w:p w14:paraId="57F388DF" w14:textId="77777777" w:rsidR="004B6331" w:rsidRPr="0042750D" w:rsidRDefault="004B6331" w:rsidP="004B6331">
      <w:pPr>
        <w:pStyle w:val="Call"/>
        <w:rPr>
          <w:rFonts w:eastAsia="Calibri"/>
          <w:szCs w:val="22"/>
          <w:lang w:val="en-GB"/>
        </w:rPr>
      </w:pPr>
      <w:r w:rsidRPr="0042750D">
        <w:rPr>
          <w:rFonts w:eastAsia="Calibri"/>
          <w:szCs w:val="22"/>
          <w:lang w:val="en-GB"/>
        </w:rPr>
        <w:t>instructs the Secretary-General, in consultation and collaboration with the Directors of the three Bureaux</w:t>
      </w:r>
    </w:p>
    <w:p w14:paraId="34D6AD9A" w14:textId="77777777" w:rsidR="004B6331" w:rsidRPr="0042750D" w:rsidRDefault="004B6331" w:rsidP="004B6331">
      <w:pPr>
        <w:rPr>
          <w:rFonts w:eastAsia="Calibri"/>
          <w:szCs w:val="22"/>
        </w:rPr>
      </w:pPr>
      <w:r w:rsidRPr="0042750D">
        <w:rPr>
          <w:rFonts w:eastAsia="Calibri"/>
          <w:szCs w:val="22"/>
        </w:rPr>
        <w:t>1</w:t>
      </w:r>
      <w:r w:rsidRPr="0042750D">
        <w:rPr>
          <w:rFonts w:eastAsia="Calibri"/>
          <w:szCs w:val="22"/>
        </w:rPr>
        <w:tab/>
        <w:t>to foster collaboration and dialogue among relevant groups within the Union and with other relevant stakeholders on OTT activities;</w:t>
      </w:r>
    </w:p>
    <w:p w14:paraId="2ACEB793" w14:textId="77777777" w:rsidR="004B6331" w:rsidRPr="0042750D" w:rsidRDefault="004B6331" w:rsidP="004B6331">
      <w:pPr>
        <w:rPr>
          <w:rFonts w:eastAsia="Calibri"/>
          <w:szCs w:val="22"/>
        </w:rPr>
      </w:pPr>
      <w:r w:rsidRPr="0042750D">
        <w:rPr>
          <w:rFonts w:eastAsia="Calibri"/>
          <w:szCs w:val="22"/>
        </w:rPr>
        <w:t>2</w:t>
      </w:r>
      <w:r w:rsidRPr="0042750D">
        <w:rPr>
          <w:rFonts w:eastAsia="Calibri"/>
          <w:szCs w:val="22"/>
        </w:rPr>
        <w:tab/>
        <w:t>to foster collaboration and dialogue among relevant groups within the Union and with other relevant stakeholders on the transition from a legacy to an IP-based ecosystem,</w:t>
      </w:r>
    </w:p>
    <w:p w14:paraId="576558F2" w14:textId="77777777" w:rsidR="004B6331" w:rsidRPr="0042750D" w:rsidRDefault="004B6331" w:rsidP="004B6331">
      <w:pPr>
        <w:pStyle w:val="Call"/>
        <w:rPr>
          <w:rFonts w:eastAsia="Calibri"/>
          <w:szCs w:val="22"/>
          <w:lang w:val="en-GB"/>
        </w:rPr>
      </w:pPr>
      <w:r w:rsidRPr="0042750D">
        <w:rPr>
          <w:rFonts w:eastAsia="Calibri"/>
          <w:szCs w:val="22"/>
          <w:lang w:val="en-GB"/>
        </w:rPr>
        <w:t>instructs the Directors of the Bureaux</w:t>
      </w:r>
    </w:p>
    <w:p w14:paraId="66120DE2" w14:textId="77777777" w:rsidR="004B6331" w:rsidRPr="0042750D" w:rsidRDefault="004B6331" w:rsidP="004B6331">
      <w:pPr>
        <w:rPr>
          <w:rFonts w:eastAsia="Calibri"/>
          <w:szCs w:val="22"/>
        </w:rPr>
      </w:pPr>
      <w:r w:rsidRPr="0042750D">
        <w:rPr>
          <w:rFonts w:eastAsia="Calibri"/>
          <w:szCs w:val="22"/>
        </w:rPr>
        <w:t>1</w:t>
      </w:r>
      <w:r w:rsidRPr="0042750D">
        <w:rPr>
          <w:rFonts w:eastAsia="Calibri"/>
          <w:szCs w:val="22"/>
        </w:rPr>
        <w:tab/>
        <w:t>to collaborate closely with the Sector advisory groups to provide information on the matters covered in this resolution;</w:t>
      </w:r>
    </w:p>
    <w:p w14:paraId="5DAB8C5D" w14:textId="77777777" w:rsidR="004B6331" w:rsidRPr="0042750D" w:rsidRDefault="004B6331" w:rsidP="004B6331">
      <w:pPr>
        <w:rPr>
          <w:rFonts w:eastAsia="Calibri"/>
          <w:szCs w:val="22"/>
        </w:rPr>
      </w:pPr>
      <w:r w:rsidRPr="0042750D">
        <w:rPr>
          <w:rFonts w:eastAsia="Calibri"/>
          <w:szCs w:val="22"/>
        </w:rPr>
        <w:t>2</w:t>
      </w:r>
      <w:r w:rsidRPr="0042750D">
        <w:rPr>
          <w:rFonts w:eastAsia="Calibri"/>
          <w:szCs w:val="22"/>
        </w:rPr>
        <w:tab/>
        <w:t>to foster studies in relevant ITU study groups on different OTT aspects, such as technical, economic and policy aspects, which may have international considerations;</w:t>
      </w:r>
    </w:p>
    <w:p w14:paraId="1FD36B59" w14:textId="730627DF" w:rsidR="00F0236A" w:rsidRPr="0042750D" w:rsidRDefault="004B6331" w:rsidP="004B6331">
      <w:pPr>
        <w:spacing w:after="120"/>
        <w:rPr>
          <w:rFonts w:eastAsia="Calibri"/>
          <w:szCs w:val="22"/>
        </w:rPr>
      </w:pPr>
      <w:r w:rsidRPr="0042750D">
        <w:rPr>
          <w:rFonts w:eastAsia="Calibri"/>
          <w:szCs w:val="22"/>
        </w:rPr>
        <w:t>3</w:t>
      </w:r>
      <w:r w:rsidRPr="0042750D">
        <w:rPr>
          <w:rFonts w:eastAsia="Calibri"/>
          <w:szCs w:val="22"/>
        </w:rPr>
        <w:tab/>
        <w:t>upon request, to assist ITU Member States in applying, as appropriate, the relevant outcomes of the study groups related to ОТТ</w:t>
      </w:r>
      <w:r w:rsidR="00F0236A" w:rsidRPr="0042750D">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17"/>
        <w:gridCol w:w="4905"/>
        <w:gridCol w:w="1331"/>
        <w:gridCol w:w="1141"/>
        <w:gridCol w:w="1338"/>
      </w:tblGrid>
      <w:tr w:rsidR="00F0236A" w:rsidRPr="0042750D" w14:paraId="7A13F4AA" w14:textId="77777777" w:rsidTr="005E2EAB">
        <w:trPr>
          <w:tblHeader/>
          <w:jc w:val="center"/>
        </w:trPr>
        <w:tc>
          <w:tcPr>
            <w:tcW w:w="1217" w:type="dxa"/>
            <w:tcBorders>
              <w:top w:val="single" w:sz="12" w:space="0" w:color="auto"/>
              <w:bottom w:val="single" w:sz="12" w:space="0" w:color="auto"/>
            </w:tcBorders>
            <w:shd w:val="clear" w:color="auto" w:fill="auto"/>
            <w:vAlign w:val="center"/>
          </w:tcPr>
          <w:p w14:paraId="0CC9F267" w14:textId="77777777" w:rsidR="00F0236A" w:rsidRPr="0042750D" w:rsidRDefault="00F0236A" w:rsidP="00EF47F7">
            <w:pPr>
              <w:pStyle w:val="Tablehead"/>
              <w:keepNext w:val="0"/>
              <w:rPr>
                <w:sz w:val="24"/>
                <w:szCs w:val="24"/>
              </w:rPr>
            </w:pPr>
            <w:r w:rsidRPr="0042750D">
              <w:rPr>
                <w:sz w:val="24"/>
                <w:szCs w:val="24"/>
              </w:rPr>
              <w:t>Action Item</w:t>
            </w:r>
          </w:p>
        </w:tc>
        <w:tc>
          <w:tcPr>
            <w:tcW w:w="4905" w:type="dxa"/>
            <w:tcBorders>
              <w:top w:val="single" w:sz="12" w:space="0" w:color="auto"/>
              <w:bottom w:val="single" w:sz="12" w:space="0" w:color="auto"/>
            </w:tcBorders>
            <w:shd w:val="clear" w:color="auto" w:fill="auto"/>
            <w:vAlign w:val="center"/>
            <w:hideMark/>
          </w:tcPr>
          <w:p w14:paraId="3A650E51" w14:textId="77777777" w:rsidR="00F0236A" w:rsidRPr="0042750D" w:rsidRDefault="00F0236A" w:rsidP="00DF36E1">
            <w:pPr>
              <w:pStyle w:val="Tablehead"/>
              <w:rPr>
                <w:sz w:val="24"/>
                <w:szCs w:val="24"/>
              </w:rPr>
            </w:pPr>
            <w:r w:rsidRPr="0042750D">
              <w:rPr>
                <w:sz w:val="24"/>
                <w:szCs w:val="24"/>
              </w:rPr>
              <w:t>Action</w:t>
            </w:r>
          </w:p>
        </w:tc>
        <w:tc>
          <w:tcPr>
            <w:tcW w:w="1331" w:type="dxa"/>
            <w:tcBorders>
              <w:top w:val="single" w:sz="12" w:space="0" w:color="auto"/>
              <w:bottom w:val="single" w:sz="12" w:space="0" w:color="auto"/>
            </w:tcBorders>
            <w:shd w:val="clear" w:color="auto" w:fill="auto"/>
            <w:vAlign w:val="center"/>
            <w:hideMark/>
          </w:tcPr>
          <w:p w14:paraId="51E31C68" w14:textId="77777777" w:rsidR="00F0236A" w:rsidRPr="0042750D" w:rsidRDefault="00F0236A" w:rsidP="00DF36E1">
            <w:pPr>
              <w:pStyle w:val="Tablehead"/>
              <w:rPr>
                <w:sz w:val="24"/>
                <w:szCs w:val="24"/>
              </w:rPr>
            </w:pPr>
            <w:r w:rsidRPr="0042750D">
              <w:rPr>
                <w:sz w:val="24"/>
                <w:szCs w:val="24"/>
              </w:rPr>
              <w:t>Milestone</w:t>
            </w:r>
          </w:p>
        </w:tc>
        <w:tc>
          <w:tcPr>
            <w:tcW w:w="1141" w:type="dxa"/>
            <w:tcBorders>
              <w:top w:val="single" w:sz="12" w:space="0" w:color="auto"/>
              <w:bottom w:val="single" w:sz="12" w:space="0" w:color="auto"/>
            </w:tcBorders>
            <w:shd w:val="clear" w:color="auto" w:fill="auto"/>
          </w:tcPr>
          <w:p w14:paraId="10C5999A"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7A257EE"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014E6B63" w14:textId="77777777" w:rsidTr="00231345">
        <w:trPr>
          <w:jc w:val="center"/>
        </w:trPr>
        <w:tc>
          <w:tcPr>
            <w:tcW w:w="1217" w:type="dxa"/>
            <w:vMerge w:val="restart"/>
            <w:tcBorders>
              <w:top w:val="single" w:sz="12" w:space="0" w:color="auto"/>
            </w:tcBorders>
            <w:shd w:val="clear" w:color="auto" w:fill="auto"/>
          </w:tcPr>
          <w:p w14:paraId="6A9E083B" w14:textId="477F28DF" w:rsidR="00F0236A" w:rsidRPr="0042750D" w:rsidRDefault="00163998" w:rsidP="00DF36E1">
            <w:pPr>
              <w:pStyle w:val="Tabletext"/>
              <w:rPr>
                <w:b/>
                <w:bCs/>
                <w:sz w:val="24"/>
                <w:szCs w:val="24"/>
              </w:rPr>
            </w:pPr>
            <w:r w:rsidRPr="0042750D">
              <w:rPr>
                <w:b/>
                <w:sz w:val="24"/>
                <w:szCs w:val="24"/>
              </w:rPr>
              <w:t>206</w:t>
            </w:r>
            <w:r w:rsidR="00F0236A" w:rsidRPr="0042750D">
              <w:rPr>
                <w:b/>
                <w:bCs/>
                <w:sz w:val="24"/>
                <w:szCs w:val="24"/>
              </w:rPr>
              <w:t>-01</w:t>
            </w:r>
          </w:p>
        </w:tc>
        <w:tc>
          <w:tcPr>
            <w:tcW w:w="4905" w:type="dxa"/>
            <w:tcBorders>
              <w:top w:val="single" w:sz="12" w:space="0" w:color="auto"/>
              <w:bottom w:val="single" w:sz="2" w:space="0" w:color="auto"/>
            </w:tcBorders>
            <w:shd w:val="clear" w:color="auto" w:fill="auto"/>
          </w:tcPr>
          <w:p w14:paraId="04E19C9B" w14:textId="6F01BD5D" w:rsidR="00F0236A" w:rsidRPr="0042750D" w:rsidRDefault="00231345" w:rsidP="00231345">
            <w:pPr>
              <w:pStyle w:val="Tabletext"/>
              <w:rPr>
                <w:b/>
                <w:bCs/>
                <w:sz w:val="24"/>
                <w:szCs w:val="24"/>
              </w:rPr>
            </w:pPr>
            <w:r w:rsidRPr="0042750D">
              <w:rPr>
                <w:b/>
                <w:bCs/>
                <w:sz w:val="24"/>
                <w:szCs w:val="24"/>
              </w:rPr>
              <w:t>TSBDir to contribute to SecGen’s annual report to the Council on the activities undertaken under this resolution</w:t>
            </w:r>
            <w:r w:rsidR="001E24E4" w:rsidRPr="0042750D">
              <w:rPr>
                <w:b/>
                <w:bCs/>
                <w:sz w:val="24"/>
                <w:szCs w:val="24"/>
              </w:rPr>
              <w:t xml:space="preserve"> (</w:t>
            </w:r>
            <w:r w:rsidR="001E24E4" w:rsidRPr="0042750D">
              <w:rPr>
                <w:b/>
                <w:bCs/>
                <w:i/>
                <w:sz w:val="24"/>
                <w:szCs w:val="24"/>
              </w:rPr>
              <w:t>instructs 3</w:t>
            </w:r>
            <w:r w:rsidR="001E24E4" w:rsidRPr="0042750D">
              <w:rPr>
                <w:b/>
                <w:bCs/>
                <w:sz w:val="24"/>
                <w:szCs w:val="24"/>
              </w:rPr>
              <w:t>)</w:t>
            </w:r>
            <w:r w:rsidRPr="0042750D">
              <w:rPr>
                <w:b/>
                <w:bCs/>
                <w:sz w:val="24"/>
                <w:szCs w:val="24"/>
              </w:rPr>
              <w:t>.</w:t>
            </w:r>
          </w:p>
        </w:tc>
        <w:tc>
          <w:tcPr>
            <w:tcW w:w="1331" w:type="dxa"/>
            <w:tcBorders>
              <w:top w:val="single" w:sz="12" w:space="0" w:color="auto"/>
              <w:bottom w:val="single" w:sz="2" w:space="0" w:color="auto"/>
            </w:tcBorders>
            <w:shd w:val="clear" w:color="auto" w:fill="auto"/>
            <w:vAlign w:val="center"/>
          </w:tcPr>
          <w:p w14:paraId="5E41907E" w14:textId="2D897AC0" w:rsidR="00F0236A" w:rsidRPr="0042750D" w:rsidRDefault="008D4D43" w:rsidP="00DF36E1">
            <w:pPr>
              <w:pStyle w:val="Tabletext"/>
              <w:jc w:val="center"/>
              <w:rPr>
                <w:b/>
                <w:bCs/>
                <w:sz w:val="24"/>
                <w:szCs w:val="24"/>
              </w:rPr>
            </w:pPr>
            <w:r w:rsidRPr="0042750D">
              <w:rPr>
                <w:b/>
                <w:bCs/>
                <w:sz w:val="24"/>
                <w:szCs w:val="24"/>
              </w:rPr>
              <w:t>Council</w:t>
            </w:r>
          </w:p>
        </w:tc>
        <w:tc>
          <w:tcPr>
            <w:tcW w:w="1141" w:type="dxa"/>
            <w:tcBorders>
              <w:top w:val="single" w:sz="12" w:space="0" w:color="auto"/>
              <w:bottom w:val="single" w:sz="2" w:space="0" w:color="auto"/>
            </w:tcBorders>
            <w:shd w:val="clear" w:color="auto" w:fill="auto"/>
            <w:vAlign w:val="center"/>
          </w:tcPr>
          <w:p w14:paraId="145115BB" w14:textId="2C19FD5D" w:rsidR="00F0236A" w:rsidRPr="0042750D" w:rsidRDefault="00CB5744"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05BB6640" w14:textId="77777777" w:rsidR="00F0236A" w:rsidRPr="0042750D" w:rsidRDefault="00F0236A" w:rsidP="00DF36E1">
            <w:pPr>
              <w:pStyle w:val="Tabletext"/>
              <w:jc w:val="center"/>
              <w:rPr>
                <w:b/>
                <w:bCs/>
                <w:sz w:val="24"/>
                <w:szCs w:val="24"/>
              </w:rPr>
            </w:pPr>
          </w:p>
        </w:tc>
      </w:tr>
      <w:tr w:rsidR="00F0236A" w:rsidRPr="0042750D" w14:paraId="208E5530" w14:textId="77777777" w:rsidTr="00231345">
        <w:trPr>
          <w:jc w:val="center"/>
        </w:trPr>
        <w:tc>
          <w:tcPr>
            <w:tcW w:w="1217" w:type="dxa"/>
            <w:vMerge/>
            <w:tcBorders>
              <w:bottom w:val="single" w:sz="12" w:space="0" w:color="auto"/>
            </w:tcBorders>
            <w:shd w:val="clear" w:color="auto" w:fill="auto"/>
          </w:tcPr>
          <w:p w14:paraId="387A690A" w14:textId="77777777" w:rsidR="00F0236A" w:rsidRPr="0042750D" w:rsidRDefault="00F0236A" w:rsidP="00DF36E1">
            <w:pPr>
              <w:pStyle w:val="Tabletext"/>
              <w:rPr>
                <w:sz w:val="24"/>
                <w:szCs w:val="24"/>
              </w:rPr>
            </w:pPr>
          </w:p>
        </w:tc>
        <w:tc>
          <w:tcPr>
            <w:tcW w:w="8715" w:type="dxa"/>
            <w:gridSpan w:val="4"/>
            <w:tcBorders>
              <w:top w:val="single" w:sz="2" w:space="0" w:color="auto"/>
              <w:bottom w:val="single" w:sz="4" w:space="0" w:color="auto"/>
            </w:tcBorders>
            <w:shd w:val="clear" w:color="auto" w:fill="auto"/>
          </w:tcPr>
          <w:p w14:paraId="4B1C87B0" w14:textId="4A53FD86" w:rsidR="005170FA" w:rsidRPr="0042750D" w:rsidRDefault="005170FA" w:rsidP="006F2431">
            <w:pPr>
              <w:spacing w:before="40" w:after="40"/>
              <w:rPr>
                <w:szCs w:val="22"/>
              </w:rPr>
            </w:pPr>
            <w:r w:rsidRPr="0042750D">
              <w:t xml:space="preserve">See </w:t>
            </w:r>
            <w:hyperlink r:id="rId156" w:history="1">
              <w:r w:rsidRPr="0042750D">
                <w:rPr>
                  <w:rStyle w:val="Hyperlink"/>
                </w:rPr>
                <w:t>CWG-Internet 12/2</w:t>
              </w:r>
            </w:hyperlink>
            <w:r w:rsidRPr="0042750D">
              <w:rPr>
                <w:rStyle w:val="Hyperlink"/>
                <w:u w:val="none"/>
              </w:rPr>
              <w:t xml:space="preserve">, </w:t>
            </w:r>
            <w:hyperlink r:id="rId157" w:history="1">
              <w:r w:rsidRPr="0042750D">
                <w:rPr>
                  <w:rStyle w:val="Hyperlink"/>
                </w:rPr>
                <w:t>CWG-Internet-13/3</w:t>
              </w:r>
            </w:hyperlink>
            <w:r w:rsidRPr="0042750D">
              <w:t xml:space="preserve"> “ITU Internet Activities - Resolutions 101, 102, 133, 180, and 206”; see </w:t>
            </w:r>
            <w:hyperlink r:id="rId158" w:history="1">
              <w:r w:rsidRPr="0042750D">
                <w:rPr>
                  <w:rStyle w:val="Hyperlink"/>
                </w:rPr>
                <w:t>C19/33</w:t>
              </w:r>
            </w:hyperlink>
            <w:r w:rsidRPr="0042750D">
              <w:t xml:space="preserve">, </w:t>
            </w:r>
            <w:hyperlink r:id="rId159" w:history="1">
              <w:r w:rsidRPr="0042750D">
                <w:rPr>
                  <w:rStyle w:val="Hyperlink"/>
                  <w:szCs w:val="22"/>
                </w:rPr>
                <w:t>C19/35</w:t>
              </w:r>
            </w:hyperlink>
            <w:r w:rsidRPr="0042750D">
              <w:rPr>
                <w:szCs w:val="22"/>
              </w:rPr>
              <w:t xml:space="preserve"> Annex 1.</w:t>
            </w:r>
          </w:p>
        </w:tc>
      </w:tr>
      <w:tr w:rsidR="00F0236A" w:rsidRPr="0042750D" w14:paraId="5520AAF2" w14:textId="77777777" w:rsidTr="00231345">
        <w:trPr>
          <w:jc w:val="center"/>
        </w:trPr>
        <w:tc>
          <w:tcPr>
            <w:tcW w:w="1217" w:type="dxa"/>
            <w:vMerge w:val="restart"/>
            <w:tcBorders>
              <w:top w:val="single" w:sz="12" w:space="0" w:color="auto"/>
            </w:tcBorders>
            <w:shd w:val="clear" w:color="auto" w:fill="auto"/>
          </w:tcPr>
          <w:p w14:paraId="0F66DBA5" w14:textId="32E5EAB7" w:rsidR="00F0236A" w:rsidRPr="0042750D" w:rsidRDefault="00163998" w:rsidP="00DF36E1">
            <w:pPr>
              <w:pStyle w:val="Tabletext"/>
              <w:keepNext/>
              <w:keepLines/>
              <w:rPr>
                <w:b/>
                <w:bCs/>
                <w:sz w:val="24"/>
                <w:szCs w:val="24"/>
              </w:rPr>
            </w:pPr>
            <w:r w:rsidRPr="0042750D">
              <w:rPr>
                <w:b/>
                <w:sz w:val="24"/>
                <w:szCs w:val="24"/>
              </w:rPr>
              <w:t>206</w:t>
            </w:r>
            <w:r w:rsidR="00231345" w:rsidRPr="0042750D">
              <w:rPr>
                <w:b/>
                <w:bCs/>
                <w:sz w:val="24"/>
                <w:szCs w:val="24"/>
              </w:rPr>
              <w:t>-02</w:t>
            </w:r>
          </w:p>
        </w:tc>
        <w:tc>
          <w:tcPr>
            <w:tcW w:w="4905" w:type="dxa"/>
            <w:tcBorders>
              <w:top w:val="single" w:sz="12" w:space="0" w:color="auto"/>
              <w:bottom w:val="single" w:sz="4" w:space="0" w:color="auto"/>
            </w:tcBorders>
            <w:shd w:val="clear" w:color="auto" w:fill="auto"/>
          </w:tcPr>
          <w:p w14:paraId="74FDA7E4" w14:textId="5CC08D10" w:rsidR="00F0236A" w:rsidRPr="0042750D" w:rsidRDefault="00231345" w:rsidP="00DF36E1">
            <w:pPr>
              <w:pStyle w:val="Tabletext"/>
              <w:keepNext/>
              <w:keepLines/>
              <w:rPr>
                <w:b/>
                <w:bCs/>
                <w:sz w:val="24"/>
                <w:szCs w:val="24"/>
              </w:rPr>
            </w:pPr>
            <w:r w:rsidRPr="0042750D">
              <w:rPr>
                <w:b/>
                <w:bCs/>
                <w:sz w:val="24"/>
                <w:szCs w:val="24"/>
              </w:rPr>
              <w:t>TSBDir to foster collaboration and dialogue among relevant groups within the Union and with other relevant stakeholders on OTT activities</w:t>
            </w:r>
            <w:r w:rsidR="001E24E4" w:rsidRPr="0042750D">
              <w:rPr>
                <w:b/>
                <w:bCs/>
                <w:sz w:val="24"/>
                <w:szCs w:val="24"/>
              </w:rPr>
              <w:t xml:space="preserve"> (</w:t>
            </w:r>
            <w:r w:rsidR="001E24E4" w:rsidRPr="0042750D">
              <w:rPr>
                <w:b/>
                <w:bCs/>
                <w:i/>
                <w:sz w:val="24"/>
                <w:szCs w:val="24"/>
              </w:rPr>
              <w:t>instructs 2</w:t>
            </w:r>
            <w:r w:rsidR="001E24E4" w:rsidRPr="0042750D">
              <w:rPr>
                <w:b/>
                <w:bCs/>
                <w:sz w:val="24"/>
                <w:szCs w:val="24"/>
              </w:rPr>
              <w:t>)</w:t>
            </w:r>
            <w:r w:rsidRPr="0042750D">
              <w:rPr>
                <w:b/>
                <w:bCs/>
                <w:sz w:val="24"/>
                <w:szCs w:val="24"/>
              </w:rPr>
              <w:t>.</w:t>
            </w:r>
          </w:p>
        </w:tc>
        <w:tc>
          <w:tcPr>
            <w:tcW w:w="1331" w:type="dxa"/>
            <w:tcBorders>
              <w:top w:val="single" w:sz="12" w:space="0" w:color="auto"/>
              <w:bottom w:val="single" w:sz="4" w:space="0" w:color="auto"/>
            </w:tcBorders>
            <w:shd w:val="clear" w:color="auto" w:fill="auto"/>
            <w:vAlign w:val="center"/>
          </w:tcPr>
          <w:p w14:paraId="3153E1B1"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1" w:type="dxa"/>
            <w:tcBorders>
              <w:top w:val="single" w:sz="12" w:space="0" w:color="auto"/>
              <w:bottom w:val="single" w:sz="4" w:space="0" w:color="auto"/>
            </w:tcBorders>
            <w:shd w:val="clear" w:color="auto" w:fill="auto"/>
            <w:vAlign w:val="center"/>
          </w:tcPr>
          <w:p w14:paraId="7A061B43" w14:textId="72E26A13" w:rsidR="00F0236A" w:rsidRPr="0042750D" w:rsidRDefault="00F3099C"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5750E2FB" w14:textId="77777777" w:rsidR="00F0236A" w:rsidRPr="0042750D" w:rsidRDefault="00F0236A" w:rsidP="00DF36E1">
            <w:pPr>
              <w:pStyle w:val="Tabletext"/>
              <w:jc w:val="center"/>
              <w:rPr>
                <w:b/>
                <w:bCs/>
                <w:sz w:val="24"/>
                <w:szCs w:val="24"/>
              </w:rPr>
            </w:pPr>
          </w:p>
        </w:tc>
      </w:tr>
      <w:tr w:rsidR="00F0236A" w:rsidRPr="0042750D" w14:paraId="731DE365" w14:textId="77777777" w:rsidTr="00231345">
        <w:trPr>
          <w:jc w:val="center"/>
        </w:trPr>
        <w:tc>
          <w:tcPr>
            <w:tcW w:w="1217" w:type="dxa"/>
            <w:vMerge/>
            <w:tcBorders>
              <w:bottom w:val="single" w:sz="12" w:space="0" w:color="auto"/>
            </w:tcBorders>
            <w:shd w:val="clear" w:color="auto" w:fill="auto"/>
            <w:vAlign w:val="center"/>
          </w:tcPr>
          <w:p w14:paraId="614AF81A" w14:textId="77777777" w:rsidR="00F0236A" w:rsidRPr="0042750D" w:rsidRDefault="00F0236A" w:rsidP="00DF36E1">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6E2A9834" w14:textId="399BA222" w:rsidR="00821985" w:rsidRPr="0042750D" w:rsidRDefault="00DD025B" w:rsidP="006F2431">
            <w:pPr>
              <w:spacing w:before="40"/>
              <w:rPr>
                <w:sz w:val="24"/>
              </w:rPr>
            </w:pPr>
            <w:hyperlink r:id="rId160" w:history="1">
              <w:r w:rsidR="00F3099C" w:rsidRPr="0042750D">
                <w:rPr>
                  <w:rStyle w:val="Hyperlink"/>
                </w:rPr>
                <w:t>ITU Inter-regional Standardization Forum on “Operational issues on numbering, emergency service and OTTs”</w:t>
              </w:r>
            </w:hyperlink>
            <w:r w:rsidR="00F3099C" w:rsidRPr="0042750D">
              <w:t>, Dubai, United Emirates on 22 October 2019.</w:t>
            </w:r>
          </w:p>
        </w:tc>
      </w:tr>
      <w:tr w:rsidR="00A01678" w:rsidRPr="0042750D" w14:paraId="25E01FEB" w14:textId="77777777" w:rsidTr="009812DC">
        <w:trPr>
          <w:jc w:val="center"/>
        </w:trPr>
        <w:tc>
          <w:tcPr>
            <w:tcW w:w="1217" w:type="dxa"/>
            <w:vMerge w:val="restart"/>
            <w:tcBorders>
              <w:top w:val="single" w:sz="12" w:space="0" w:color="auto"/>
            </w:tcBorders>
            <w:shd w:val="clear" w:color="auto" w:fill="auto"/>
          </w:tcPr>
          <w:p w14:paraId="503994D8" w14:textId="697DC778" w:rsidR="00A01678" w:rsidRPr="0042750D" w:rsidRDefault="00A01678" w:rsidP="00380EF6">
            <w:pPr>
              <w:pStyle w:val="Tabletext"/>
              <w:rPr>
                <w:b/>
                <w:bCs/>
                <w:sz w:val="24"/>
                <w:szCs w:val="24"/>
              </w:rPr>
            </w:pPr>
            <w:bookmarkStart w:id="391" w:name="Item92_01"/>
            <w:bookmarkStart w:id="392" w:name="Item92_02"/>
            <w:bookmarkStart w:id="393" w:name="Item92_03"/>
            <w:bookmarkStart w:id="394" w:name="Item92_04"/>
            <w:bookmarkStart w:id="395" w:name="Item92_05"/>
            <w:bookmarkStart w:id="396" w:name="Item92_06"/>
            <w:bookmarkStart w:id="397" w:name="Item92_07"/>
            <w:bookmarkStart w:id="398" w:name="Item92_08"/>
            <w:bookmarkStart w:id="399" w:name="Item92_09"/>
            <w:bookmarkStart w:id="400" w:name="Item92_10"/>
            <w:bookmarkStart w:id="401" w:name="Item92_11"/>
            <w:bookmarkStart w:id="402" w:name="Item92_12"/>
            <w:bookmarkStart w:id="403" w:name="Item92_13"/>
            <w:bookmarkEnd w:id="391"/>
            <w:bookmarkEnd w:id="392"/>
            <w:bookmarkEnd w:id="393"/>
            <w:bookmarkEnd w:id="394"/>
            <w:bookmarkEnd w:id="395"/>
            <w:bookmarkEnd w:id="396"/>
            <w:bookmarkEnd w:id="397"/>
            <w:bookmarkEnd w:id="398"/>
            <w:bookmarkEnd w:id="399"/>
            <w:bookmarkEnd w:id="400"/>
            <w:bookmarkEnd w:id="401"/>
            <w:bookmarkEnd w:id="402"/>
            <w:bookmarkEnd w:id="403"/>
            <w:r w:rsidRPr="0042750D">
              <w:rPr>
                <w:b/>
                <w:sz w:val="24"/>
                <w:szCs w:val="24"/>
              </w:rPr>
              <w:t>206</w:t>
            </w:r>
            <w:r w:rsidRPr="0042750D">
              <w:rPr>
                <w:b/>
                <w:bCs/>
                <w:sz w:val="24"/>
                <w:szCs w:val="24"/>
              </w:rPr>
              <w:t>-03</w:t>
            </w:r>
          </w:p>
        </w:tc>
        <w:tc>
          <w:tcPr>
            <w:tcW w:w="4905" w:type="dxa"/>
            <w:tcBorders>
              <w:top w:val="single" w:sz="12" w:space="0" w:color="auto"/>
              <w:bottom w:val="single" w:sz="4" w:space="0" w:color="auto"/>
            </w:tcBorders>
            <w:shd w:val="clear" w:color="auto" w:fill="auto"/>
          </w:tcPr>
          <w:p w14:paraId="4C0FF351" w14:textId="201C080B" w:rsidR="00A01678" w:rsidRPr="0042750D" w:rsidRDefault="00A01678" w:rsidP="00A01678">
            <w:pPr>
              <w:pStyle w:val="Tabletext"/>
              <w:keepNext/>
              <w:keepLines/>
              <w:rPr>
                <w:b/>
                <w:bCs/>
                <w:sz w:val="24"/>
                <w:szCs w:val="24"/>
              </w:rPr>
            </w:pPr>
            <w:r w:rsidRPr="0042750D">
              <w:rPr>
                <w:b/>
                <w:bCs/>
                <w:sz w:val="24"/>
                <w:szCs w:val="24"/>
              </w:rPr>
              <w:t>TSBDir to collaborate closely with TSAG to provide information on the matters covered in this resolution (</w:t>
            </w:r>
            <w:r w:rsidRPr="0042750D">
              <w:rPr>
                <w:b/>
                <w:bCs/>
                <w:i/>
                <w:sz w:val="24"/>
                <w:szCs w:val="24"/>
              </w:rPr>
              <w:t>instructs 1</w:t>
            </w:r>
            <w:r w:rsidRPr="0042750D">
              <w:rPr>
                <w:b/>
                <w:bCs/>
                <w:sz w:val="24"/>
                <w:szCs w:val="24"/>
              </w:rPr>
              <w:t>).</w:t>
            </w:r>
          </w:p>
        </w:tc>
        <w:tc>
          <w:tcPr>
            <w:tcW w:w="1331" w:type="dxa"/>
            <w:tcBorders>
              <w:top w:val="single" w:sz="12" w:space="0" w:color="auto"/>
              <w:bottom w:val="single" w:sz="4" w:space="0" w:color="auto"/>
            </w:tcBorders>
            <w:shd w:val="clear" w:color="auto" w:fill="auto"/>
            <w:vAlign w:val="center"/>
          </w:tcPr>
          <w:p w14:paraId="1AF643E5" w14:textId="77777777" w:rsidR="00A01678" w:rsidRPr="0042750D" w:rsidRDefault="00A01678" w:rsidP="009812DC">
            <w:pPr>
              <w:pStyle w:val="Tabletext"/>
              <w:jc w:val="center"/>
              <w:rPr>
                <w:b/>
                <w:bCs/>
                <w:sz w:val="24"/>
                <w:szCs w:val="24"/>
              </w:rPr>
            </w:pPr>
            <w:r w:rsidRPr="0042750D">
              <w:rPr>
                <w:b/>
                <w:bCs/>
                <w:sz w:val="24"/>
                <w:szCs w:val="24"/>
              </w:rPr>
              <w:t>Ongoing</w:t>
            </w:r>
          </w:p>
        </w:tc>
        <w:tc>
          <w:tcPr>
            <w:tcW w:w="1141" w:type="dxa"/>
            <w:tcBorders>
              <w:top w:val="single" w:sz="12" w:space="0" w:color="auto"/>
              <w:bottom w:val="single" w:sz="4" w:space="0" w:color="auto"/>
            </w:tcBorders>
            <w:shd w:val="clear" w:color="auto" w:fill="auto"/>
            <w:vAlign w:val="center"/>
          </w:tcPr>
          <w:p w14:paraId="74975705" w14:textId="77777777" w:rsidR="00A01678" w:rsidRPr="0042750D" w:rsidRDefault="00A01678" w:rsidP="009812DC">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CF248CF" w14:textId="77777777" w:rsidR="00A01678" w:rsidRPr="0042750D" w:rsidRDefault="00A01678" w:rsidP="009812DC">
            <w:pPr>
              <w:pStyle w:val="Tabletext"/>
              <w:jc w:val="center"/>
              <w:rPr>
                <w:b/>
                <w:bCs/>
                <w:sz w:val="24"/>
                <w:szCs w:val="24"/>
              </w:rPr>
            </w:pPr>
          </w:p>
        </w:tc>
      </w:tr>
      <w:tr w:rsidR="00A01678" w:rsidRPr="0042750D" w14:paraId="13899C02" w14:textId="77777777" w:rsidTr="009812DC">
        <w:trPr>
          <w:jc w:val="center"/>
        </w:trPr>
        <w:tc>
          <w:tcPr>
            <w:tcW w:w="1217" w:type="dxa"/>
            <w:vMerge/>
            <w:tcBorders>
              <w:bottom w:val="single" w:sz="12" w:space="0" w:color="auto"/>
            </w:tcBorders>
            <w:shd w:val="clear" w:color="auto" w:fill="auto"/>
            <w:vAlign w:val="center"/>
          </w:tcPr>
          <w:p w14:paraId="22353172" w14:textId="77777777" w:rsidR="00A01678" w:rsidRPr="0042750D" w:rsidRDefault="00A01678" w:rsidP="009812DC">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6DB6A94B" w14:textId="77777777" w:rsidR="00A01678" w:rsidRPr="0042750D" w:rsidRDefault="00A01678" w:rsidP="006F2431">
            <w:pPr>
              <w:spacing w:before="40" w:after="40"/>
              <w:rPr>
                <w:szCs w:val="22"/>
              </w:rPr>
            </w:pPr>
          </w:p>
        </w:tc>
      </w:tr>
      <w:tr w:rsidR="00A01678" w:rsidRPr="0042750D" w14:paraId="25E1E12C" w14:textId="77777777" w:rsidTr="009812DC">
        <w:trPr>
          <w:jc w:val="center"/>
        </w:trPr>
        <w:tc>
          <w:tcPr>
            <w:tcW w:w="1217" w:type="dxa"/>
            <w:vMerge w:val="restart"/>
            <w:tcBorders>
              <w:top w:val="single" w:sz="12" w:space="0" w:color="auto"/>
            </w:tcBorders>
            <w:shd w:val="clear" w:color="auto" w:fill="auto"/>
          </w:tcPr>
          <w:p w14:paraId="05A3808E" w14:textId="188271DB" w:rsidR="00A01678" w:rsidRPr="0042750D" w:rsidRDefault="00A01678" w:rsidP="00A01678">
            <w:pPr>
              <w:pStyle w:val="Tabletext"/>
              <w:keepNext/>
              <w:keepLines/>
              <w:rPr>
                <w:b/>
                <w:bCs/>
                <w:sz w:val="24"/>
                <w:szCs w:val="24"/>
              </w:rPr>
            </w:pPr>
            <w:r w:rsidRPr="0042750D">
              <w:rPr>
                <w:b/>
                <w:sz w:val="24"/>
                <w:szCs w:val="24"/>
              </w:rPr>
              <w:t>206</w:t>
            </w:r>
            <w:r w:rsidRPr="0042750D">
              <w:rPr>
                <w:b/>
                <w:bCs/>
                <w:sz w:val="24"/>
                <w:szCs w:val="24"/>
              </w:rPr>
              <w:t>-04</w:t>
            </w:r>
          </w:p>
        </w:tc>
        <w:tc>
          <w:tcPr>
            <w:tcW w:w="4905" w:type="dxa"/>
            <w:tcBorders>
              <w:top w:val="single" w:sz="12" w:space="0" w:color="auto"/>
              <w:bottom w:val="single" w:sz="4" w:space="0" w:color="auto"/>
            </w:tcBorders>
            <w:shd w:val="clear" w:color="auto" w:fill="auto"/>
          </w:tcPr>
          <w:p w14:paraId="6C876CF9" w14:textId="2E8CFC27" w:rsidR="00A01678" w:rsidRPr="0042750D" w:rsidRDefault="00A01678" w:rsidP="00A01678">
            <w:pPr>
              <w:pStyle w:val="Tabletext"/>
              <w:keepNext/>
              <w:keepLines/>
              <w:rPr>
                <w:b/>
                <w:bCs/>
                <w:sz w:val="24"/>
                <w:szCs w:val="24"/>
              </w:rPr>
            </w:pPr>
            <w:r w:rsidRPr="0042750D">
              <w:rPr>
                <w:b/>
                <w:bCs/>
                <w:sz w:val="24"/>
                <w:szCs w:val="24"/>
              </w:rPr>
              <w:t>TSBDir, upon request, to assist ITU Member States in applying, as appropriate, the relevant outcomes of the study groups related to ОТТ (</w:t>
            </w:r>
            <w:r w:rsidRPr="0042750D">
              <w:rPr>
                <w:b/>
                <w:bCs/>
                <w:i/>
                <w:sz w:val="24"/>
                <w:szCs w:val="24"/>
              </w:rPr>
              <w:t>instructs 3</w:t>
            </w:r>
            <w:r w:rsidRPr="0042750D">
              <w:rPr>
                <w:b/>
                <w:bCs/>
                <w:sz w:val="24"/>
                <w:szCs w:val="24"/>
              </w:rPr>
              <w:t>).</w:t>
            </w:r>
          </w:p>
        </w:tc>
        <w:tc>
          <w:tcPr>
            <w:tcW w:w="1331" w:type="dxa"/>
            <w:tcBorders>
              <w:top w:val="single" w:sz="12" w:space="0" w:color="auto"/>
              <w:bottom w:val="single" w:sz="4" w:space="0" w:color="auto"/>
            </w:tcBorders>
            <w:shd w:val="clear" w:color="auto" w:fill="auto"/>
            <w:vAlign w:val="center"/>
          </w:tcPr>
          <w:p w14:paraId="226C7ECD" w14:textId="77777777" w:rsidR="00A01678" w:rsidRPr="0042750D" w:rsidRDefault="00A01678" w:rsidP="009812DC">
            <w:pPr>
              <w:pStyle w:val="Tabletext"/>
              <w:jc w:val="center"/>
              <w:rPr>
                <w:b/>
                <w:bCs/>
                <w:sz w:val="24"/>
                <w:szCs w:val="24"/>
              </w:rPr>
            </w:pPr>
            <w:r w:rsidRPr="0042750D">
              <w:rPr>
                <w:b/>
                <w:bCs/>
                <w:sz w:val="24"/>
                <w:szCs w:val="24"/>
              </w:rPr>
              <w:t>Ongoing</w:t>
            </w:r>
          </w:p>
        </w:tc>
        <w:tc>
          <w:tcPr>
            <w:tcW w:w="1141" w:type="dxa"/>
            <w:tcBorders>
              <w:top w:val="single" w:sz="12" w:space="0" w:color="auto"/>
              <w:bottom w:val="single" w:sz="4" w:space="0" w:color="auto"/>
            </w:tcBorders>
            <w:shd w:val="clear" w:color="auto" w:fill="auto"/>
            <w:vAlign w:val="center"/>
          </w:tcPr>
          <w:p w14:paraId="37493924" w14:textId="48BB3411" w:rsidR="00A01678" w:rsidRPr="0042750D" w:rsidRDefault="004E0B9F" w:rsidP="009812DC">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0F21FC8A" w14:textId="77777777" w:rsidR="00A01678" w:rsidRPr="0042750D" w:rsidRDefault="00A01678" w:rsidP="009812DC">
            <w:pPr>
              <w:pStyle w:val="Tabletext"/>
              <w:jc w:val="center"/>
              <w:rPr>
                <w:b/>
                <w:bCs/>
                <w:sz w:val="24"/>
                <w:szCs w:val="24"/>
              </w:rPr>
            </w:pPr>
          </w:p>
        </w:tc>
      </w:tr>
      <w:tr w:rsidR="00A01678" w:rsidRPr="0042750D" w14:paraId="1950BDFE" w14:textId="77777777" w:rsidTr="009812DC">
        <w:trPr>
          <w:jc w:val="center"/>
        </w:trPr>
        <w:tc>
          <w:tcPr>
            <w:tcW w:w="1217" w:type="dxa"/>
            <w:vMerge/>
            <w:tcBorders>
              <w:bottom w:val="single" w:sz="12" w:space="0" w:color="auto"/>
            </w:tcBorders>
            <w:shd w:val="clear" w:color="auto" w:fill="auto"/>
            <w:vAlign w:val="center"/>
          </w:tcPr>
          <w:p w14:paraId="658820CF" w14:textId="77777777" w:rsidR="00A01678" w:rsidRPr="0042750D" w:rsidRDefault="00A01678" w:rsidP="009812DC">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7A8CCD83" w14:textId="32C15DB4" w:rsidR="0046743F" w:rsidRPr="0042750D" w:rsidRDefault="004E0B9F" w:rsidP="006F2431">
            <w:pPr>
              <w:spacing w:before="40"/>
              <w:rPr>
                <w:szCs w:val="22"/>
              </w:rPr>
            </w:pPr>
            <w:r w:rsidRPr="0042750D">
              <w:rPr>
                <w:szCs w:val="22"/>
              </w:rPr>
              <w:t xml:space="preserve">ITU-T </w:t>
            </w:r>
            <w:r w:rsidR="0046743F" w:rsidRPr="0042750D">
              <w:rPr>
                <w:szCs w:val="22"/>
              </w:rPr>
              <w:t>SG17 identified OTTs as one of the new actors in the ecosystem that impacts security as part of its transformation of security studies.</w:t>
            </w:r>
          </w:p>
          <w:p w14:paraId="325F9E82" w14:textId="0EFE14BE" w:rsidR="00A01678" w:rsidRPr="0042750D" w:rsidRDefault="0046743F" w:rsidP="00BD567C">
            <w:pPr>
              <w:spacing w:after="40"/>
              <w:rPr>
                <w:sz w:val="24"/>
              </w:rPr>
            </w:pPr>
            <w:r w:rsidRPr="0042750D">
              <w:rPr>
                <w:szCs w:val="22"/>
              </w:rPr>
              <w:t>Q7/17 is studying application security including security for Over-the-tops (OTTs). Q7/17 developed Rec. ITU-T X.1450 (X.hakm), Guidelines on hybrid authentication and key management mechanisms in client-server, which may be used to protect OTT application and Security requirements and framework for big data analytics in mobile internet services, and is developing Rec. ITU-T X.</w:t>
            </w:r>
            <w:r w:rsidR="00BD567C" w:rsidRPr="0042750D">
              <w:rPr>
                <w:szCs w:val="22"/>
              </w:rPr>
              <w:t>sfop</w:t>
            </w:r>
            <w:r w:rsidRPr="0042750D">
              <w:rPr>
                <w:szCs w:val="22"/>
              </w:rPr>
              <w:t>, Security framework of open platform for FinTech services.</w:t>
            </w:r>
          </w:p>
        </w:tc>
      </w:tr>
      <w:tr w:rsidR="00F86AB6" w:rsidRPr="0042750D" w14:paraId="6F0C6D33" w14:textId="77777777" w:rsidTr="009812DC">
        <w:trPr>
          <w:jc w:val="center"/>
        </w:trPr>
        <w:tc>
          <w:tcPr>
            <w:tcW w:w="1217" w:type="dxa"/>
            <w:vMerge w:val="restart"/>
            <w:tcBorders>
              <w:top w:val="single" w:sz="12" w:space="0" w:color="auto"/>
            </w:tcBorders>
            <w:shd w:val="clear" w:color="auto" w:fill="auto"/>
          </w:tcPr>
          <w:p w14:paraId="3A080046" w14:textId="59F06C04" w:rsidR="00F86AB6" w:rsidRPr="0042750D" w:rsidRDefault="00F86AB6" w:rsidP="00F86AB6">
            <w:pPr>
              <w:pStyle w:val="Tabletext"/>
              <w:keepNext/>
              <w:keepLines/>
              <w:rPr>
                <w:b/>
                <w:bCs/>
                <w:sz w:val="24"/>
                <w:szCs w:val="24"/>
              </w:rPr>
            </w:pPr>
            <w:r w:rsidRPr="0042750D">
              <w:rPr>
                <w:b/>
                <w:sz w:val="24"/>
                <w:szCs w:val="24"/>
              </w:rPr>
              <w:t>206</w:t>
            </w:r>
            <w:r w:rsidRPr="0042750D">
              <w:rPr>
                <w:b/>
                <w:bCs/>
                <w:sz w:val="24"/>
                <w:szCs w:val="24"/>
              </w:rPr>
              <w:t>-05</w:t>
            </w:r>
          </w:p>
        </w:tc>
        <w:tc>
          <w:tcPr>
            <w:tcW w:w="4905" w:type="dxa"/>
            <w:tcBorders>
              <w:top w:val="single" w:sz="12" w:space="0" w:color="auto"/>
              <w:bottom w:val="single" w:sz="4" w:space="0" w:color="auto"/>
            </w:tcBorders>
            <w:shd w:val="clear" w:color="auto" w:fill="auto"/>
          </w:tcPr>
          <w:p w14:paraId="5FFF5206" w14:textId="1A1AA13F" w:rsidR="00F86AB6" w:rsidRPr="0042750D" w:rsidRDefault="00F86AB6" w:rsidP="00F86AB6">
            <w:pPr>
              <w:pStyle w:val="Tabletext"/>
              <w:keepNext/>
              <w:keepLines/>
              <w:rPr>
                <w:b/>
                <w:bCs/>
                <w:sz w:val="24"/>
                <w:szCs w:val="24"/>
              </w:rPr>
            </w:pPr>
            <w:r w:rsidRPr="0042750D">
              <w:rPr>
                <w:b/>
                <w:bCs/>
                <w:sz w:val="24"/>
                <w:szCs w:val="24"/>
              </w:rPr>
              <w:t>TSBDir to foster studies in relevant ITU study groups on different OTT aspects, such as technical, economic and policy aspects, which may have international considerations (</w:t>
            </w:r>
            <w:r w:rsidRPr="0042750D">
              <w:rPr>
                <w:b/>
                <w:bCs/>
                <w:i/>
                <w:sz w:val="24"/>
                <w:szCs w:val="24"/>
              </w:rPr>
              <w:t>instructs 2</w:t>
            </w:r>
            <w:r w:rsidRPr="0042750D">
              <w:rPr>
                <w:b/>
                <w:bCs/>
                <w:sz w:val="24"/>
                <w:szCs w:val="24"/>
              </w:rPr>
              <w:t>).</w:t>
            </w:r>
          </w:p>
        </w:tc>
        <w:tc>
          <w:tcPr>
            <w:tcW w:w="1331" w:type="dxa"/>
            <w:tcBorders>
              <w:top w:val="single" w:sz="12" w:space="0" w:color="auto"/>
              <w:bottom w:val="single" w:sz="4" w:space="0" w:color="auto"/>
            </w:tcBorders>
            <w:shd w:val="clear" w:color="auto" w:fill="auto"/>
            <w:vAlign w:val="center"/>
          </w:tcPr>
          <w:p w14:paraId="60FA8CCA" w14:textId="77777777" w:rsidR="00F86AB6" w:rsidRPr="0042750D" w:rsidRDefault="00F86AB6" w:rsidP="009812DC">
            <w:pPr>
              <w:pStyle w:val="Tabletext"/>
              <w:jc w:val="center"/>
              <w:rPr>
                <w:b/>
                <w:bCs/>
                <w:sz w:val="24"/>
                <w:szCs w:val="24"/>
              </w:rPr>
            </w:pPr>
            <w:r w:rsidRPr="0042750D">
              <w:rPr>
                <w:b/>
                <w:bCs/>
                <w:sz w:val="24"/>
                <w:szCs w:val="24"/>
              </w:rPr>
              <w:t>Ongoing</w:t>
            </w:r>
          </w:p>
        </w:tc>
        <w:tc>
          <w:tcPr>
            <w:tcW w:w="1141" w:type="dxa"/>
            <w:tcBorders>
              <w:top w:val="single" w:sz="12" w:space="0" w:color="auto"/>
              <w:bottom w:val="single" w:sz="4" w:space="0" w:color="auto"/>
            </w:tcBorders>
            <w:shd w:val="clear" w:color="auto" w:fill="auto"/>
            <w:vAlign w:val="center"/>
          </w:tcPr>
          <w:p w14:paraId="06F80EB5" w14:textId="7C19965F" w:rsidR="00F86AB6" w:rsidRPr="0042750D" w:rsidRDefault="00CB5744" w:rsidP="009812DC">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7558E9C0" w14:textId="77777777" w:rsidR="00F86AB6" w:rsidRPr="0042750D" w:rsidRDefault="00F86AB6" w:rsidP="009812DC">
            <w:pPr>
              <w:pStyle w:val="Tabletext"/>
              <w:jc w:val="center"/>
              <w:rPr>
                <w:b/>
                <w:bCs/>
                <w:sz w:val="24"/>
                <w:szCs w:val="24"/>
              </w:rPr>
            </w:pPr>
          </w:p>
        </w:tc>
      </w:tr>
      <w:tr w:rsidR="00F86AB6" w:rsidRPr="0042750D" w14:paraId="1D50A236" w14:textId="77777777" w:rsidTr="00F86AB6">
        <w:trPr>
          <w:jc w:val="center"/>
        </w:trPr>
        <w:tc>
          <w:tcPr>
            <w:tcW w:w="1217" w:type="dxa"/>
            <w:vMerge/>
            <w:tcBorders>
              <w:bottom w:val="single" w:sz="12" w:space="0" w:color="auto"/>
            </w:tcBorders>
            <w:shd w:val="clear" w:color="auto" w:fill="auto"/>
            <w:vAlign w:val="center"/>
          </w:tcPr>
          <w:p w14:paraId="4AC62082" w14:textId="77777777" w:rsidR="00F86AB6" w:rsidRPr="0042750D" w:rsidRDefault="00F86AB6" w:rsidP="009812DC">
            <w:pPr>
              <w:pStyle w:val="Tabletext"/>
              <w:rPr>
                <w:sz w:val="24"/>
                <w:szCs w:val="24"/>
              </w:rPr>
            </w:pPr>
          </w:p>
        </w:tc>
        <w:tc>
          <w:tcPr>
            <w:tcW w:w="8715" w:type="dxa"/>
            <w:gridSpan w:val="4"/>
            <w:tcBorders>
              <w:top w:val="single" w:sz="4" w:space="0" w:color="auto"/>
              <w:bottom w:val="single" w:sz="12" w:space="0" w:color="auto"/>
            </w:tcBorders>
            <w:shd w:val="clear" w:color="auto" w:fill="auto"/>
          </w:tcPr>
          <w:p w14:paraId="493302CA" w14:textId="1F83DB64" w:rsidR="0009155A" w:rsidRPr="0042750D" w:rsidRDefault="00E95681" w:rsidP="006F2431">
            <w:pPr>
              <w:pStyle w:val="ListParagraph"/>
              <w:widowControl w:val="0"/>
              <w:numPr>
                <w:ilvl w:val="0"/>
                <w:numId w:val="6"/>
              </w:numPr>
              <w:suppressLineNumbers/>
              <w:suppressAutoHyphens/>
              <w:spacing w:before="40" w:after="60"/>
              <w:ind w:left="357" w:hanging="357"/>
              <w:contextualSpacing w:val="0"/>
              <w:rPr>
                <w:rFonts w:asciiTheme="majorBidi" w:eastAsia="Arial Unicode MS" w:hAnsiTheme="majorBidi" w:cstheme="majorBidi"/>
                <w:kern w:val="1"/>
                <w:lang w:eastAsia="hi-IN" w:bidi="hi-IN"/>
              </w:rPr>
            </w:pPr>
            <w:r w:rsidRPr="0042750D">
              <w:rPr>
                <w:rFonts w:asciiTheme="majorBidi" w:eastAsia="Arial Unicode MS" w:hAnsiTheme="majorBidi" w:cstheme="majorBidi"/>
                <w:kern w:val="1"/>
                <w:lang w:eastAsia="hi-IN" w:bidi="hi-IN"/>
              </w:rPr>
              <w:t>ITU-T SG2 is progressing two new work items on OTTs: TR.OTTnumber “Current use of E.164 numbers as identifiers for OTTs” and E.sup.OTTnum “Guidance on the use of E.164 numbers as identifiers for OTTs”. ITU-T SG2 is also progressing a draft Recommendation ITU-T E.dit “Deemed impermissible traffic”, and a draft Recommendation ITU-T E.ACP “Alternative calling procedures”.</w:t>
            </w:r>
          </w:p>
          <w:p w14:paraId="2DD9F31E" w14:textId="702EA9BF" w:rsidR="00F86AB6" w:rsidRPr="0042750D" w:rsidRDefault="00B57478" w:rsidP="00E95681">
            <w:pPr>
              <w:pStyle w:val="ListParagraph"/>
              <w:widowControl w:val="0"/>
              <w:numPr>
                <w:ilvl w:val="0"/>
                <w:numId w:val="6"/>
              </w:numPr>
              <w:suppressLineNumbers/>
              <w:suppressAutoHyphens/>
              <w:spacing w:before="60" w:after="60"/>
              <w:ind w:left="357" w:hanging="357"/>
              <w:contextualSpacing w:val="0"/>
              <w:rPr>
                <w:rFonts w:asciiTheme="majorBidi" w:eastAsia="Arial Unicode MS" w:hAnsiTheme="majorBidi" w:cstheme="majorBidi"/>
                <w:kern w:val="1"/>
                <w:lang w:eastAsia="hi-IN" w:bidi="hi-IN"/>
              </w:rPr>
            </w:pPr>
            <w:r w:rsidRPr="0042750D">
              <w:t>SG3 approved Recommendation ITU-T D.262 “Collaborative Framework for OTTs”. SG3 is studying work items D.OTTConsumer on Customer redress mechanism and consumer protection, D.50Supp_OTT on OTTs in the context of IIC, Study_EPQoS on Study of economic and policy factors relevant to the efficient provision of international telecommunication services, STUDY_D52GUIDE on Guidelines on implementation of Recommendation ITU-T D.52 focusing on operationalization of regional Internet exchange points, D.DigID Guidelines for digital identity</w:t>
            </w:r>
            <w:r w:rsidR="00C818F7" w:rsidRPr="0042750D">
              <w:t xml:space="preserve">, </w:t>
            </w:r>
            <w:r w:rsidRPr="0042750D">
              <w:rPr>
                <w:rFonts w:asciiTheme="majorBidi" w:eastAsia="Arial Unicode MS" w:hAnsiTheme="majorBidi" w:cstheme="majorBidi"/>
                <w:kern w:val="1"/>
                <w:lang w:eastAsia="hi-IN" w:bidi="hi-IN"/>
              </w:rPr>
              <w:t>D.ConsumerOTT</w:t>
            </w:r>
            <w:r w:rsidR="00BC28AC" w:rsidRPr="0042750D">
              <w:rPr>
                <w:rFonts w:asciiTheme="majorBidi" w:eastAsia="Arial Unicode MS" w:hAnsiTheme="majorBidi" w:cstheme="majorBidi"/>
                <w:kern w:val="1"/>
                <w:lang w:eastAsia="hi-IN" w:bidi="hi-IN"/>
              </w:rPr>
              <w:t xml:space="preserve"> on </w:t>
            </w:r>
            <w:r w:rsidR="00BC28AC" w:rsidRPr="0042750D">
              <w:rPr>
                <w:rFonts w:eastAsia="Times New Roman"/>
                <w:szCs w:val="22"/>
              </w:rPr>
              <w:t xml:space="preserve">Customer redress mechanism and consumer protection, </w:t>
            </w:r>
            <w:r w:rsidRPr="0042750D">
              <w:rPr>
                <w:rFonts w:asciiTheme="majorBidi" w:eastAsia="Arial Unicode MS" w:hAnsiTheme="majorBidi" w:cstheme="majorBidi"/>
                <w:kern w:val="1"/>
                <w:lang w:eastAsia="hi-IN" w:bidi="hi-IN"/>
              </w:rPr>
              <w:t>D.OTTBypass</w:t>
            </w:r>
            <w:r w:rsidR="00BC28AC" w:rsidRPr="0042750D">
              <w:rPr>
                <w:rFonts w:asciiTheme="majorBidi" w:eastAsia="Arial Unicode MS" w:hAnsiTheme="majorBidi" w:cstheme="majorBidi"/>
                <w:kern w:val="1"/>
                <w:lang w:eastAsia="hi-IN" w:bidi="hi-IN"/>
              </w:rPr>
              <w:t xml:space="preserve"> on </w:t>
            </w:r>
            <w:r w:rsidR="00BC28AC" w:rsidRPr="0042750D">
              <w:rPr>
                <w:rFonts w:eastAsia="Times New Roman"/>
                <w:szCs w:val="22"/>
              </w:rPr>
              <w:t xml:space="preserve">OTT Bypass, </w:t>
            </w:r>
            <w:r w:rsidRPr="0042750D">
              <w:rPr>
                <w:rFonts w:asciiTheme="majorBidi" w:eastAsia="Arial Unicode MS" w:hAnsiTheme="majorBidi" w:cstheme="majorBidi"/>
                <w:kern w:val="1"/>
                <w:lang w:eastAsia="hi-IN" w:bidi="hi-IN"/>
              </w:rPr>
              <w:t>D.OTTMNO</w:t>
            </w:r>
            <w:r w:rsidR="00BC28AC" w:rsidRPr="0042750D">
              <w:rPr>
                <w:rFonts w:asciiTheme="majorBidi" w:eastAsia="Arial Unicode MS" w:hAnsiTheme="majorBidi" w:cstheme="majorBidi"/>
                <w:kern w:val="1"/>
                <w:lang w:eastAsia="hi-IN" w:bidi="hi-IN"/>
              </w:rPr>
              <w:t xml:space="preserve"> on </w:t>
            </w:r>
            <w:r w:rsidR="00BC28AC" w:rsidRPr="0042750D">
              <w:rPr>
                <w:rFonts w:eastAsia="Times New Roman"/>
                <w:szCs w:val="22"/>
              </w:rPr>
              <w:t xml:space="preserve">Guidelines on OTT-MNO Partnerships, </w:t>
            </w:r>
            <w:r w:rsidRPr="0042750D">
              <w:rPr>
                <w:rFonts w:asciiTheme="majorBidi" w:eastAsia="Arial Unicode MS" w:hAnsiTheme="majorBidi" w:cstheme="majorBidi"/>
                <w:kern w:val="1"/>
                <w:lang w:eastAsia="hi-IN" w:bidi="hi-IN"/>
              </w:rPr>
              <w:t>D7_R_OTTBypass</w:t>
            </w:r>
            <w:r w:rsidR="00BC28AC" w:rsidRPr="0042750D">
              <w:rPr>
                <w:rFonts w:asciiTheme="majorBidi" w:eastAsia="Arial Unicode MS" w:hAnsiTheme="majorBidi" w:cstheme="majorBidi"/>
                <w:kern w:val="1"/>
                <w:lang w:eastAsia="hi-IN" w:bidi="hi-IN"/>
              </w:rPr>
              <w:t xml:space="preserve"> on </w:t>
            </w:r>
            <w:r w:rsidR="00BC28AC" w:rsidRPr="0042750D">
              <w:rPr>
                <w:rFonts w:eastAsia="Times New Roman"/>
                <w:szCs w:val="22"/>
              </w:rPr>
              <w:t>Regional Recommendation on OTT bypass including national and regional collaboration between Member States and operators to deal with the OTT bypass issue</w:t>
            </w:r>
            <w:r w:rsidR="00C818F7" w:rsidRPr="0042750D">
              <w:rPr>
                <w:rFonts w:eastAsia="Times New Roman"/>
                <w:szCs w:val="22"/>
              </w:rPr>
              <w:t>.</w:t>
            </w:r>
          </w:p>
        </w:tc>
      </w:tr>
    </w:tbl>
    <w:p w14:paraId="70CE3422"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31B2EC85" w14:textId="4EA7A9B2" w:rsidR="00F0236A" w:rsidRPr="0042750D" w:rsidRDefault="00123DD7" w:rsidP="00024A4C">
      <w:pPr>
        <w:pStyle w:val="Heading1"/>
        <w:keepNext/>
        <w:keepLines/>
        <w:rPr>
          <w:sz w:val="24"/>
          <w:szCs w:val="24"/>
          <w:lang w:val="en-GB"/>
        </w:rPr>
      </w:pPr>
      <w:bookmarkStart w:id="404" w:name="_Resolution_93_-"/>
      <w:bookmarkStart w:id="405" w:name="_Toc30749196"/>
      <w:bookmarkEnd w:id="404"/>
      <w:r w:rsidRPr="0042750D">
        <w:rPr>
          <w:sz w:val="24"/>
          <w:szCs w:val="24"/>
          <w:lang w:val="en-GB"/>
        </w:rPr>
        <w:t xml:space="preserve">RESOLUTION </w:t>
      </w:r>
      <w:r w:rsidR="00F5110C" w:rsidRPr="0042750D">
        <w:rPr>
          <w:sz w:val="24"/>
          <w:szCs w:val="24"/>
          <w:lang w:val="en-GB"/>
        </w:rPr>
        <w:t>207</w:t>
      </w:r>
      <w:r w:rsidRPr="0042750D">
        <w:rPr>
          <w:sz w:val="24"/>
          <w:szCs w:val="24"/>
          <w:lang w:val="en-GB"/>
        </w:rPr>
        <w:t xml:space="preserve"> (DUBAI, 2018) – ITU Journal: ICT Discoveries</w:t>
      </w:r>
      <w:bookmarkEnd w:id="405"/>
    </w:p>
    <w:p w14:paraId="442E9C55" w14:textId="77777777" w:rsidR="00123DD7" w:rsidRPr="0042750D" w:rsidRDefault="00123DD7" w:rsidP="00024A4C">
      <w:pPr>
        <w:pStyle w:val="Call"/>
        <w:rPr>
          <w:szCs w:val="22"/>
          <w:lang w:val="en-GB"/>
        </w:rPr>
      </w:pPr>
      <w:r w:rsidRPr="0042750D">
        <w:rPr>
          <w:szCs w:val="22"/>
          <w:lang w:val="en-GB"/>
        </w:rPr>
        <w:t>resolves</w:t>
      </w:r>
    </w:p>
    <w:p w14:paraId="4B30486A" w14:textId="77777777" w:rsidR="00123DD7" w:rsidRPr="0042750D" w:rsidRDefault="00123DD7" w:rsidP="00024A4C">
      <w:pPr>
        <w:keepNext/>
        <w:keepLines/>
        <w:rPr>
          <w:szCs w:val="22"/>
        </w:rPr>
      </w:pPr>
      <w:r w:rsidRPr="0042750D">
        <w:rPr>
          <w:szCs w:val="22"/>
        </w:rPr>
        <w:t>1</w:t>
      </w:r>
      <w:r w:rsidRPr="0042750D">
        <w:rPr>
          <w:szCs w:val="22"/>
        </w:rPr>
        <w:tab/>
        <w:t>to support further development of the scholarly, professional, peer-reviewed, digital and online ITU Journal;</w:t>
      </w:r>
    </w:p>
    <w:p w14:paraId="1656D4B1" w14:textId="77777777" w:rsidR="00123DD7" w:rsidRPr="0042750D" w:rsidRDefault="00123DD7" w:rsidP="00123DD7">
      <w:pPr>
        <w:rPr>
          <w:szCs w:val="22"/>
        </w:rPr>
      </w:pPr>
      <w:r w:rsidRPr="0042750D">
        <w:rPr>
          <w:szCs w:val="22"/>
        </w:rPr>
        <w:t>2</w:t>
      </w:r>
      <w:r w:rsidRPr="0042750D">
        <w:rPr>
          <w:szCs w:val="22"/>
        </w:rPr>
        <w:tab/>
        <w:t>to publish original scientific research on technical developments in telecommunications/ICTs and the policy, regulatory, economic, social and legal dimensions thereof, with the aim of generating forward-thinking discussions around emerging trends of relevance to the work of the Union;</w:t>
      </w:r>
    </w:p>
    <w:p w14:paraId="1A8E189B" w14:textId="77777777" w:rsidR="00123DD7" w:rsidRPr="0042750D" w:rsidRDefault="00123DD7" w:rsidP="00123DD7">
      <w:pPr>
        <w:rPr>
          <w:szCs w:val="22"/>
        </w:rPr>
      </w:pPr>
      <w:r w:rsidRPr="0042750D">
        <w:rPr>
          <w:szCs w:val="22"/>
        </w:rPr>
        <w:t>3</w:t>
      </w:r>
      <w:r w:rsidRPr="0042750D">
        <w:rPr>
          <w:szCs w:val="22"/>
        </w:rPr>
        <w:tab/>
        <w:t>to establish collaborative efforts with the international research community and to raise awareness of the ITU Journal worldwide with a view to positioning it in scientific journal rankings,</w:t>
      </w:r>
    </w:p>
    <w:p w14:paraId="5852BEF6" w14:textId="77777777" w:rsidR="00123DD7" w:rsidRPr="0042750D" w:rsidRDefault="00123DD7" w:rsidP="00123DD7">
      <w:pPr>
        <w:pStyle w:val="Call"/>
        <w:rPr>
          <w:szCs w:val="22"/>
          <w:lang w:val="en-GB"/>
        </w:rPr>
      </w:pPr>
      <w:r w:rsidRPr="0042750D">
        <w:rPr>
          <w:szCs w:val="22"/>
          <w:lang w:val="en-GB"/>
        </w:rPr>
        <w:t>instructs the Director of the Telecommunication Standardization Bureau</w:t>
      </w:r>
    </w:p>
    <w:p w14:paraId="7974B63C" w14:textId="77777777" w:rsidR="00123DD7" w:rsidRPr="0042750D" w:rsidRDefault="00123DD7" w:rsidP="00123DD7">
      <w:pPr>
        <w:rPr>
          <w:szCs w:val="22"/>
        </w:rPr>
      </w:pPr>
      <w:r w:rsidRPr="0042750D">
        <w:rPr>
          <w:szCs w:val="22"/>
        </w:rPr>
        <w:t>to continue to lead the overall operations of the ITU Journal, including the editorial process,</w:t>
      </w:r>
    </w:p>
    <w:p w14:paraId="0D8017F5" w14:textId="77777777" w:rsidR="00123DD7" w:rsidRPr="0042750D" w:rsidRDefault="00123DD7" w:rsidP="00123DD7">
      <w:pPr>
        <w:pStyle w:val="Call"/>
        <w:tabs>
          <w:tab w:val="left" w:pos="1134"/>
        </w:tabs>
        <w:rPr>
          <w:szCs w:val="22"/>
          <w:lang w:val="en-GB"/>
        </w:rPr>
      </w:pPr>
      <w:r w:rsidRPr="0042750D">
        <w:rPr>
          <w:szCs w:val="22"/>
          <w:lang w:val="en-GB"/>
        </w:rPr>
        <w:t>instructs the Secretary-General and the Directors of the three Bureaux</w:t>
      </w:r>
    </w:p>
    <w:p w14:paraId="0623C4BC" w14:textId="77777777" w:rsidR="00123DD7" w:rsidRPr="0042750D" w:rsidRDefault="00123DD7" w:rsidP="00123DD7">
      <w:pPr>
        <w:rPr>
          <w:szCs w:val="22"/>
        </w:rPr>
      </w:pPr>
      <w:r w:rsidRPr="0042750D">
        <w:rPr>
          <w:szCs w:val="22"/>
        </w:rPr>
        <w:t>1</w:t>
      </w:r>
      <w:r w:rsidRPr="0042750D">
        <w:rPr>
          <w:szCs w:val="22"/>
        </w:rPr>
        <w:tab/>
        <w:t>to contribute to the development of the ITU Journal, providing advice on substantive matters, including the ITU Journal's policy and scope;</w:t>
      </w:r>
    </w:p>
    <w:p w14:paraId="253F12A7" w14:textId="77777777" w:rsidR="00123DD7" w:rsidRPr="0042750D" w:rsidRDefault="00123DD7" w:rsidP="00123DD7">
      <w:pPr>
        <w:rPr>
          <w:szCs w:val="22"/>
        </w:rPr>
      </w:pPr>
      <w:r w:rsidRPr="0042750D">
        <w:rPr>
          <w:szCs w:val="22"/>
        </w:rPr>
        <w:t>2</w:t>
      </w:r>
      <w:r w:rsidRPr="0042750D">
        <w:rPr>
          <w:szCs w:val="22"/>
        </w:rPr>
        <w:tab/>
        <w:t>to identify new topics to be addressed by the ITU Journal and nominate reputable scholars and professionals as candidates for the ITU Journal's Editorial Board;</w:t>
      </w:r>
    </w:p>
    <w:p w14:paraId="4D1A5F69" w14:textId="6D4C34BE" w:rsidR="00F0236A" w:rsidRPr="0042750D" w:rsidRDefault="00123DD7" w:rsidP="00123DD7">
      <w:pPr>
        <w:spacing w:after="120"/>
        <w:rPr>
          <w:szCs w:val="22"/>
        </w:rPr>
      </w:pPr>
      <w:r w:rsidRPr="0042750D">
        <w:rPr>
          <w:szCs w:val="22"/>
        </w:rPr>
        <w:t>3</w:t>
      </w:r>
      <w:r w:rsidRPr="0042750D">
        <w:rPr>
          <w:szCs w:val="22"/>
        </w:rPr>
        <w:tab/>
        <w:t>to promote the ITU Journal and disseminate its calls for papers as widely as possible among the ITU membership, universities and research institutes and other relevant communities, with the aim of soliciting original scientific papers</w:t>
      </w:r>
      <w:r w:rsidR="00F0236A" w:rsidRPr="0042750D">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8"/>
        <w:gridCol w:w="1334"/>
        <w:gridCol w:w="1142"/>
        <w:gridCol w:w="1338"/>
      </w:tblGrid>
      <w:tr w:rsidR="00F0236A" w:rsidRPr="0042750D" w14:paraId="1FDA3FB4" w14:textId="77777777" w:rsidTr="00123DD7">
        <w:trPr>
          <w:jc w:val="center"/>
        </w:trPr>
        <w:tc>
          <w:tcPr>
            <w:tcW w:w="1190" w:type="dxa"/>
            <w:tcBorders>
              <w:top w:val="single" w:sz="12" w:space="0" w:color="auto"/>
              <w:bottom w:val="single" w:sz="12" w:space="0" w:color="auto"/>
            </w:tcBorders>
            <w:shd w:val="clear" w:color="auto" w:fill="auto"/>
            <w:vAlign w:val="center"/>
          </w:tcPr>
          <w:p w14:paraId="07CB2F17" w14:textId="77777777" w:rsidR="00F0236A" w:rsidRPr="0042750D" w:rsidRDefault="00F0236A" w:rsidP="00837E38">
            <w:pPr>
              <w:pStyle w:val="Tablehead"/>
              <w:keepNext w:val="0"/>
              <w:rPr>
                <w:sz w:val="24"/>
                <w:szCs w:val="24"/>
              </w:rPr>
            </w:pPr>
            <w:r w:rsidRPr="0042750D">
              <w:rPr>
                <w:sz w:val="24"/>
                <w:szCs w:val="24"/>
              </w:rPr>
              <w:t>Action Item</w:t>
            </w:r>
          </w:p>
        </w:tc>
        <w:tc>
          <w:tcPr>
            <w:tcW w:w="4928" w:type="dxa"/>
            <w:tcBorders>
              <w:top w:val="single" w:sz="12" w:space="0" w:color="auto"/>
              <w:bottom w:val="single" w:sz="12" w:space="0" w:color="auto"/>
            </w:tcBorders>
            <w:shd w:val="clear" w:color="auto" w:fill="auto"/>
            <w:vAlign w:val="center"/>
            <w:hideMark/>
          </w:tcPr>
          <w:p w14:paraId="18DA4712" w14:textId="77777777" w:rsidR="00F0236A" w:rsidRPr="0042750D" w:rsidRDefault="00F0236A" w:rsidP="00DF36E1">
            <w:pPr>
              <w:pStyle w:val="Tablehead"/>
              <w:rPr>
                <w:sz w:val="24"/>
                <w:szCs w:val="24"/>
              </w:rPr>
            </w:pPr>
            <w:r w:rsidRPr="0042750D">
              <w:rPr>
                <w:sz w:val="24"/>
                <w:szCs w:val="24"/>
              </w:rPr>
              <w:t>Action</w:t>
            </w:r>
          </w:p>
        </w:tc>
        <w:tc>
          <w:tcPr>
            <w:tcW w:w="1334" w:type="dxa"/>
            <w:tcBorders>
              <w:top w:val="single" w:sz="12" w:space="0" w:color="auto"/>
              <w:bottom w:val="single" w:sz="12" w:space="0" w:color="auto"/>
            </w:tcBorders>
            <w:shd w:val="clear" w:color="auto" w:fill="auto"/>
            <w:vAlign w:val="center"/>
            <w:hideMark/>
          </w:tcPr>
          <w:p w14:paraId="08E53C7C" w14:textId="77777777" w:rsidR="00F0236A" w:rsidRPr="0042750D" w:rsidRDefault="00F0236A" w:rsidP="00DF36E1">
            <w:pPr>
              <w:pStyle w:val="Tablehead"/>
              <w:rPr>
                <w:sz w:val="24"/>
                <w:szCs w:val="24"/>
              </w:rPr>
            </w:pPr>
            <w:r w:rsidRPr="0042750D">
              <w:rPr>
                <w:sz w:val="24"/>
                <w:szCs w:val="24"/>
              </w:rPr>
              <w:t>Milestone</w:t>
            </w:r>
          </w:p>
        </w:tc>
        <w:tc>
          <w:tcPr>
            <w:tcW w:w="1142" w:type="dxa"/>
            <w:tcBorders>
              <w:top w:val="single" w:sz="12" w:space="0" w:color="auto"/>
              <w:bottom w:val="single" w:sz="12" w:space="0" w:color="auto"/>
            </w:tcBorders>
            <w:shd w:val="clear" w:color="auto" w:fill="auto"/>
          </w:tcPr>
          <w:p w14:paraId="5D4E0456"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1509464A"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28AE1EAD" w14:textId="77777777" w:rsidTr="00123DD7">
        <w:trPr>
          <w:jc w:val="center"/>
        </w:trPr>
        <w:tc>
          <w:tcPr>
            <w:tcW w:w="1190" w:type="dxa"/>
            <w:vMerge w:val="restart"/>
            <w:tcBorders>
              <w:top w:val="single" w:sz="12" w:space="0" w:color="auto"/>
            </w:tcBorders>
            <w:shd w:val="clear" w:color="auto" w:fill="auto"/>
          </w:tcPr>
          <w:p w14:paraId="12CAA66C" w14:textId="3E8960E6" w:rsidR="00F0236A" w:rsidRPr="0042750D" w:rsidRDefault="00F5110C" w:rsidP="00113400">
            <w:pPr>
              <w:pStyle w:val="Tabletext"/>
              <w:keepNext/>
              <w:keepLines/>
              <w:rPr>
                <w:b/>
                <w:bCs/>
                <w:sz w:val="24"/>
                <w:szCs w:val="24"/>
              </w:rPr>
            </w:pPr>
            <w:r w:rsidRPr="0042750D">
              <w:rPr>
                <w:b/>
                <w:bCs/>
                <w:sz w:val="24"/>
                <w:szCs w:val="24"/>
              </w:rPr>
              <w:t>207</w:t>
            </w:r>
            <w:r w:rsidR="00F0236A" w:rsidRPr="0042750D">
              <w:rPr>
                <w:b/>
                <w:bCs/>
                <w:sz w:val="24"/>
                <w:szCs w:val="24"/>
              </w:rPr>
              <w:t>-01</w:t>
            </w:r>
          </w:p>
        </w:tc>
        <w:tc>
          <w:tcPr>
            <w:tcW w:w="4928" w:type="dxa"/>
            <w:tcBorders>
              <w:top w:val="single" w:sz="12" w:space="0" w:color="auto"/>
              <w:bottom w:val="single" w:sz="2" w:space="0" w:color="auto"/>
            </w:tcBorders>
            <w:shd w:val="clear" w:color="auto" w:fill="auto"/>
          </w:tcPr>
          <w:p w14:paraId="513BC7F8" w14:textId="5D8CF259" w:rsidR="00F0236A" w:rsidRPr="0042750D" w:rsidRDefault="00123DD7" w:rsidP="00113400">
            <w:pPr>
              <w:pStyle w:val="Tabletext"/>
              <w:keepNext/>
              <w:keepLines/>
              <w:rPr>
                <w:b/>
                <w:bCs/>
                <w:sz w:val="24"/>
                <w:szCs w:val="24"/>
              </w:rPr>
            </w:pPr>
            <w:r w:rsidRPr="0042750D">
              <w:rPr>
                <w:b/>
                <w:bCs/>
                <w:sz w:val="24"/>
                <w:szCs w:val="24"/>
              </w:rPr>
              <w:t>TSBDir to continue to lead the overall operations of the ITU Journal, including the editorial process</w:t>
            </w:r>
            <w:r w:rsidR="001E24E4" w:rsidRPr="0042750D">
              <w:rPr>
                <w:b/>
                <w:bCs/>
                <w:sz w:val="24"/>
                <w:szCs w:val="24"/>
              </w:rPr>
              <w:t xml:space="preserve"> (</w:t>
            </w:r>
            <w:r w:rsidR="001E24E4" w:rsidRPr="0042750D">
              <w:rPr>
                <w:b/>
                <w:bCs/>
                <w:i/>
                <w:sz w:val="24"/>
                <w:szCs w:val="24"/>
              </w:rPr>
              <w:t>instructs</w:t>
            </w:r>
            <w:r w:rsidR="001E24E4" w:rsidRPr="0042750D">
              <w:rPr>
                <w:b/>
                <w:bCs/>
                <w:sz w:val="24"/>
                <w:szCs w:val="24"/>
              </w:rPr>
              <w:t>)</w:t>
            </w:r>
            <w:r w:rsidRPr="0042750D">
              <w:rPr>
                <w:b/>
                <w:bCs/>
                <w:sz w:val="24"/>
                <w:szCs w:val="24"/>
              </w:rPr>
              <w:t>.</w:t>
            </w:r>
          </w:p>
        </w:tc>
        <w:tc>
          <w:tcPr>
            <w:tcW w:w="1334" w:type="dxa"/>
            <w:tcBorders>
              <w:top w:val="single" w:sz="12" w:space="0" w:color="auto"/>
              <w:bottom w:val="single" w:sz="2" w:space="0" w:color="auto"/>
            </w:tcBorders>
            <w:shd w:val="clear" w:color="auto" w:fill="auto"/>
            <w:vAlign w:val="center"/>
          </w:tcPr>
          <w:p w14:paraId="7D734F14" w14:textId="77777777" w:rsidR="00F0236A" w:rsidRPr="0042750D" w:rsidRDefault="00F0236A" w:rsidP="00113400">
            <w:pPr>
              <w:pStyle w:val="Tabletext"/>
              <w:keepNext/>
              <w:keepLines/>
              <w:jc w:val="center"/>
              <w:rPr>
                <w:b/>
                <w:bCs/>
                <w:sz w:val="24"/>
                <w:szCs w:val="24"/>
              </w:rPr>
            </w:pPr>
            <w:r w:rsidRPr="0042750D">
              <w:rPr>
                <w:b/>
                <w:bCs/>
                <w:sz w:val="24"/>
                <w:szCs w:val="24"/>
              </w:rPr>
              <w:t>Ongoing</w:t>
            </w:r>
          </w:p>
        </w:tc>
        <w:tc>
          <w:tcPr>
            <w:tcW w:w="1142" w:type="dxa"/>
            <w:tcBorders>
              <w:top w:val="single" w:sz="12" w:space="0" w:color="auto"/>
              <w:bottom w:val="single" w:sz="2" w:space="0" w:color="auto"/>
            </w:tcBorders>
            <w:shd w:val="clear" w:color="auto" w:fill="auto"/>
            <w:vAlign w:val="center"/>
          </w:tcPr>
          <w:p w14:paraId="4BADB83D" w14:textId="3C2C0A23" w:rsidR="00F0236A" w:rsidRPr="0042750D" w:rsidRDefault="00837E38" w:rsidP="00113400">
            <w:pPr>
              <w:pStyle w:val="Tabletext"/>
              <w:keepNext/>
              <w:keepLines/>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6281CD4E" w14:textId="77777777" w:rsidR="00F0236A" w:rsidRPr="0042750D" w:rsidRDefault="00F0236A" w:rsidP="00113400">
            <w:pPr>
              <w:pStyle w:val="Tabletext"/>
              <w:keepNext/>
              <w:keepLines/>
              <w:jc w:val="center"/>
              <w:rPr>
                <w:b/>
                <w:bCs/>
                <w:sz w:val="24"/>
                <w:szCs w:val="24"/>
              </w:rPr>
            </w:pPr>
          </w:p>
        </w:tc>
      </w:tr>
      <w:tr w:rsidR="00F0236A" w:rsidRPr="0042750D" w14:paraId="012F9CB1" w14:textId="77777777" w:rsidTr="00123DD7">
        <w:trPr>
          <w:jc w:val="center"/>
        </w:trPr>
        <w:tc>
          <w:tcPr>
            <w:tcW w:w="1190" w:type="dxa"/>
            <w:vMerge/>
            <w:tcBorders>
              <w:bottom w:val="single" w:sz="12" w:space="0" w:color="auto"/>
            </w:tcBorders>
            <w:shd w:val="clear" w:color="auto" w:fill="auto"/>
          </w:tcPr>
          <w:p w14:paraId="3ADB978F" w14:textId="77777777" w:rsidR="00F0236A" w:rsidRPr="0042750D" w:rsidRDefault="00F0236A" w:rsidP="00113400">
            <w:pPr>
              <w:pStyle w:val="Tabletext"/>
              <w:keepNext/>
              <w:keepLines/>
              <w:rPr>
                <w:sz w:val="24"/>
                <w:szCs w:val="24"/>
              </w:rPr>
            </w:pPr>
          </w:p>
        </w:tc>
        <w:tc>
          <w:tcPr>
            <w:tcW w:w="8742" w:type="dxa"/>
            <w:gridSpan w:val="4"/>
            <w:tcBorders>
              <w:top w:val="single" w:sz="2" w:space="0" w:color="auto"/>
              <w:bottom w:val="single" w:sz="12" w:space="0" w:color="auto"/>
            </w:tcBorders>
            <w:shd w:val="clear" w:color="auto" w:fill="auto"/>
          </w:tcPr>
          <w:p w14:paraId="32E4737F" w14:textId="64A37B64" w:rsidR="00821985" w:rsidRPr="0042750D" w:rsidRDefault="00837E38" w:rsidP="006F2431">
            <w:pPr>
              <w:keepNext/>
              <w:keepLines/>
              <w:spacing w:before="40" w:after="40"/>
              <w:rPr>
                <w:szCs w:val="22"/>
              </w:rPr>
            </w:pPr>
            <w:r w:rsidRPr="0042750D">
              <w:t xml:space="preserve">The ITU Editorial Team </w:t>
            </w:r>
            <w:r w:rsidR="00BA6717" w:rsidRPr="0042750D">
              <w:t xml:space="preserve">(TSB staff) </w:t>
            </w:r>
            <w:r w:rsidRPr="0042750D">
              <w:t>leads the overall operations of the ITU Journal, and coordinates inputs and contributions from the other Sectors.</w:t>
            </w:r>
          </w:p>
        </w:tc>
      </w:tr>
      <w:tr w:rsidR="00123DD7" w:rsidRPr="0042750D" w14:paraId="2E813140" w14:textId="77777777" w:rsidTr="00123DD7">
        <w:trPr>
          <w:jc w:val="center"/>
        </w:trPr>
        <w:tc>
          <w:tcPr>
            <w:tcW w:w="1190" w:type="dxa"/>
            <w:vMerge w:val="restart"/>
            <w:tcBorders>
              <w:top w:val="single" w:sz="12" w:space="0" w:color="auto"/>
            </w:tcBorders>
            <w:shd w:val="clear" w:color="auto" w:fill="auto"/>
          </w:tcPr>
          <w:p w14:paraId="1A9AE5B4" w14:textId="25D84F55" w:rsidR="00123DD7" w:rsidRPr="0042750D" w:rsidRDefault="00F5110C" w:rsidP="00123DD7">
            <w:pPr>
              <w:pStyle w:val="Tabletext"/>
              <w:keepNext/>
              <w:keepLines/>
              <w:rPr>
                <w:b/>
                <w:bCs/>
                <w:sz w:val="24"/>
                <w:szCs w:val="24"/>
              </w:rPr>
            </w:pPr>
            <w:r w:rsidRPr="0042750D">
              <w:rPr>
                <w:b/>
                <w:bCs/>
                <w:sz w:val="24"/>
                <w:szCs w:val="24"/>
              </w:rPr>
              <w:t>207</w:t>
            </w:r>
            <w:r w:rsidR="00123DD7" w:rsidRPr="0042750D">
              <w:rPr>
                <w:b/>
                <w:bCs/>
                <w:sz w:val="24"/>
                <w:szCs w:val="24"/>
              </w:rPr>
              <w:t>-02</w:t>
            </w:r>
          </w:p>
        </w:tc>
        <w:tc>
          <w:tcPr>
            <w:tcW w:w="4928" w:type="dxa"/>
            <w:tcBorders>
              <w:top w:val="single" w:sz="12" w:space="0" w:color="auto"/>
              <w:bottom w:val="single" w:sz="4" w:space="0" w:color="auto"/>
            </w:tcBorders>
            <w:shd w:val="clear" w:color="auto" w:fill="auto"/>
          </w:tcPr>
          <w:p w14:paraId="436AF518" w14:textId="0A090DD9" w:rsidR="00123DD7" w:rsidRPr="0042750D" w:rsidRDefault="00123DD7" w:rsidP="00123DD7">
            <w:pPr>
              <w:pStyle w:val="Tabletext"/>
              <w:rPr>
                <w:b/>
                <w:bCs/>
                <w:sz w:val="24"/>
                <w:szCs w:val="24"/>
              </w:rPr>
            </w:pPr>
            <w:r w:rsidRPr="0042750D">
              <w:rPr>
                <w:b/>
                <w:bCs/>
                <w:sz w:val="24"/>
                <w:szCs w:val="24"/>
              </w:rPr>
              <w:t>TSBDir to contribute to the development of the ITU Journal, providing advice on substantive matters, including the ITU Journal's policy and scope</w:t>
            </w:r>
            <w:r w:rsidR="001E24E4" w:rsidRPr="0042750D">
              <w:rPr>
                <w:b/>
                <w:bCs/>
                <w:sz w:val="24"/>
                <w:szCs w:val="24"/>
              </w:rPr>
              <w:t xml:space="preserve"> (</w:t>
            </w:r>
            <w:r w:rsidR="001E24E4" w:rsidRPr="0042750D">
              <w:rPr>
                <w:b/>
                <w:bCs/>
                <w:i/>
                <w:sz w:val="24"/>
                <w:szCs w:val="24"/>
              </w:rPr>
              <w:t>instructs 1</w:t>
            </w:r>
            <w:r w:rsidR="001E24E4" w:rsidRPr="0042750D">
              <w:rPr>
                <w:b/>
                <w:bCs/>
                <w:sz w:val="24"/>
                <w:szCs w:val="24"/>
              </w:rPr>
              <w:t>)</w:t>
            </w:r>
            <w:r w:rsidRPr="0042750D">
              <w:rPr>
                <w:b/>
                <w:bCs/>
                <w:sz w:val="24"/>
                <w:szCs w:val="24"/>
              </w:rPr>
              <w:t>.</w:t>
            </w:r>
          </w:p>
        </w:tc>
        <w:tc>
          <w:tcPr>
            <w:tcW w:w="1334" w:type="dxa"/>
            <w:tcBorders>
              <w:top w:val="single" w:sz="12" w:space="0" w:color="auto"/>
              <w:bottom w:val="single" w:sz="4" w:space="0" w:color="auto"/>
            </w:tcBorders>
            <w:shd w:val="clear" w:color="auto" w:fill="auto"/>
            <w:vAlign w:val="center"/>
          </w:tcPr>
          <w:p w14:paraId="794982BA" w14:textId="77777777" w:rsidR="00123DD7" w:rsidRPr="0042750D" w:rsidRDefault="00123DD7" w:rsidP="00123DD7">
            <w:pPr>
              <w:pStyle w:val="Tabletext"/>
              <w:jc w:val="center"/>
              <w:rPr>
                <w:b/>
                <w:bCs/>
                <w:sz w:val="24"/>
                <w:szCs w:val="24"/>
              </w:rPr>
            </w:pPr>
            <w:r w:rsidRPr="0042750D">
              <w:rPr>
                <w:b/>
                <w:bCs/>
                <w:sz w:val="24"/>
                <w:szCs w:val="24"/>
              </w:rPr>
              <w:t>Ongoing</w:t>
            </w:r>
          </w:p>
        </w:tc>
        <w:tc>
          <w:tcPr>
            <w:tcW w:w="1142" w:type="dxa"/>
            <w:tcBorders>
              <w:top w:val="single" w:sz="12" w:space="0" w:color="auto"/>
              <w:bottom w:val="single" w:sz="4" w:space="0" w:color="auto"/>
            </w:tcBorders>
            <w:shd w:val="clear" w:color="auto" w:fill="auto"/>
            <w:vAlign w:val="center"/>
          </w:tcPr>
          <w:p w14:paraId="14291C66" w14:textId="7B38C057" w:rsidR="00123DD7" w:rsidRPr="0042750D" w:rsidRDefault="00687F07" w:rsidP="00123DD7">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08332E3B" w14:textId="77777777" w:rsidR="00123DD7" w:rsidRPr="0042750D" w:rsidRDefault="00123DD7" w:rsidP="00123DD7">
            <w:pPr>
              <w:pStyle w:val="Tabletext"/>
              <w:jc w:val="center"/>
              <w:rPr>
                <w:b/>
                <w:bCs/>
                <w:sz w:val="24"/>
                <w:szCs w:val="24"/>
              </w:rPr>
            </w:pPr>
          </w:p>
        </w:tc>
      </w:tr>
      <w:tr w:rsidR="00123DD7" w:rsidRPr="0042750D" w14:paraId="74270DC5" w14:textId="77777777" w:rsidTr="00123DD7">
        <w:trPr>
          <w:trHeight w:val="233"/>
          <w:jc w:val="center"/>
        </w:trPr>
        <w:tc>
          <w:tcPr>
            <w:tcW w:w="1190" w:type="dxa"/>
            <w:vMerge/>
            <w:tcBorders>
              <w:bottom w:val="single" w:sz="12" w:space="0" w:color="auto"/>
            </w:tcBorders>
            <w:shd w:val="clear" w:color="auto" w:fill="auto"/>
          </w:tcPr>
          <w:p w14:paraId="2D4B3759" w14:textId="77777777" w:rsidR="00123DD7" w:rsidRPr="0042750D" w:rsidRDefault="00123DD7" w:rsidP="00123DD7">
            <w:pPr>
              <w:pStyle w:val="Tabletext"/>
              <w:rPr>
                <w:sz w:val="24"/>
                <w:szCs w:val="24"/>
              </w:rPr>
            </w:pPr>
          </w:p>
        </w:tc>
        <w:tc>
          <w:tcPr>
            <w:tcW w:w="8742" w:type="dxa"/>
            <w:gridSpan w:val="4"/>
            <w:tcBorders>
              <w:top w:val="single" w:sz="4" w:space="0" w:color="auto"/>
              <w:bottom w:val="single" w:sz="12" w:space="0" w:color="auto"/>
            </w:tcBorders>
            <w:shd w:val="clear" w:color="auto" w:fill="auto"/>
          </w:tcPr>
          <w:p w14:paraId="399715AB" w14:textId="49A86939" w:rsidR="00123DD7" w:rsidRPr="0042750D" w:rsidRDefault="00687F07" w:rsidP="006F2431">
            <w:pPr>
              <w:pStyle w:val="normalWSIS"/>
              <w:numPr>
                <w:ilvl w:val="0"/>
                <w:numId w:val="0"/>
              </w:numPr>
              <w:spacing w:before="40" w:after="40"/>
              <w:rPr>
                <w:rFonts w:asciiTheme="majorBidi" w:hAnsiTheme="majorBidi" w:cstheme="majorBidi"/>
              </w:rPr>
            </w:pPr>
            <w:r w:rsidRPr="0042750D">
              <w:t>The ITU Journal embarked on a new expansion effort, through the signing of a co-publishing agreement with the Tsinghua University Press in January 2019.</w:t>
            </w:r>
          </w:p>
        </w:tc>
      </w:tr>
      <w:tr w:rsidR="00123DD7" w:rsidRPr="0042750D" w14:paraId="45CA961F" w14:textId="77777777" w:rsidTr="00123DD7">
        <w:trPr>
          <w:jc w:val="center"/>
        </w:trPr>
        <w:tc>
          <w:tcPr>
            <w:tcW w:w="1190" w:type="dxa"/>
            <w:vMerge w:val="restart"/>
            <w:tcBorders>
              <w:top w:val="single" w:sz="12" w:space="0" w:color="auto"/>
            </w:tcBorders>
            <w:shd w:val="clear" w:color="auto" w:fill="auto"/>
          </w:tcPr>
          <w:p w14:paraId="194837CE" w14:textId="178544AD" w:rsidR="00123DD7" w:rsidRPr="0042750D" w:rsidRDefault="00F5110C" w:rsidP="00123DD7">
            <w:pPr>
              <w:pStyle w:val="Tabletext"/>
              <w:keepNext/>
              <w:keepLines/>
              <w:rPr>
                <w:b/>
                <w:bCs/>
                <w:sz w:val="24"/>
                <w:szCs w:val="24"/>
              </w:rPr>
            </w:pPr>
            <w:r w:rsidRPr="0042750D">
              <w:rPr>
                <w:b/>
                <w:bCs/>
                <w:sz w:val="24"/>
                <w:szCs w:val="24"/>
              </w:rPr>
              <w:t>207</w:t>
            </w:r>
            <w:r w:rsidR="00123DD7" w:rsidRPr="0042750D">
              <w:rPr>
                <w:b/>
                <w:bCs/>
                <w:sz w:val="24"/>
                <w:szCs w:val="24"/>
              </w:rPr>
              <w:t>-03</w:t>
            </w:r>
          </w:p>
        </w:tc>
        <w:tc>
          <w:tcPr>
            <w:tcW w:w="4928" w:type="dxa"/>
            <w:tcBorders>
              <w:top w:val="single" w:sz="12" w:space="0" w:color="auto"/>
              <w:bottom w:val="single" w:sz="4" w:space="0" w:color="auto"/>
            </w:tcBorders>
            <w:shd w:val="clear" w:color="auto" w:fill="auto"/>
          </w:tcPr>
          <w:p w14:paraId="0291896B" w14:textId="08AA898C" w:rsidR="00123DD7" w:rsidRPr="0042750D" w:rsidRDefault="00D746CA" w:rsidP="00D746CA">
            <w:pPr>
              <w:pStyle w:val="Tabletext"/>
              <w:rPr>
                <w:b/>
                <w:bCs/>
                <w:sz w:val="24"/>
                <w:szCs w:val="24"/>
              </w:rPr>
            </w:pPr>
            <w:r w:rsidRPr="0042750D">
              <w:rPr>
                <w:b/>
                <w:bCs/>
                <w:sz w:val="24"/>
                <w:szCs w:val="24"/>
              </w:rPr>
              <w:t xml:space="preserve">TSBDir </w:t>
            </w:r>
            <w:r w:rsidR="00123DD7" w:rsidRPr="0042750D">
              <w:rPr>
                <w:b/>
                <w:bCs/>
                <w:sz w:val="24"/>
                <w:szCs w:val="24"/>
              </w:rPr>
              <w:t>to identify new topics to be addressed by the ITU Journal and nominate reputable scholars and professionals as candidates for the ITU Journal's Editorial Board</w:t>
            </w:r>
            <w:r w:rsidR="001E24E4" w:rsidRPr="0042750D">
              <w:rPr>
                <w:b/>
                <w:bCs/>
                <w:sz w:val="24"/>
                <w:szCs w:val="24"/>
              </w:rPr>
              <w:t xml:space="preserve"> (</w:t>
            </w:r>
            <w:r w:rsidR="001E24E4" w:rsidRPr="0042750D">
              <w:rPr>
                <w:b/>
                <w:bCs/>
                <w:i/>
                <w:sz w:val="24"/>
                <w:szCs w:val="24"/>
              </w:rPr>
              <w:t>instructs 2</w:t>
            </w:r>
            <w:r w:rsidR="001E24E4" w:rsidRPr="0042750D">
              <w:rPr>
                <w:b/>
                <w:bCs/>
                <w:sz w:val="24"/>
                <w:szCs w:val="24"/>
              </w:rPr>
              <w:t>)</w:t>
            </w:r>
            <w:r w:rsidR="00123DD7" w:rsidRPr="0042750D">
              <w:rPr>
                <w:b/>
                <w:bCs/>
                <w:sz w:val="24"/>
                <w:szCs w:val="24"/>
              </w:rPr>
              <w:t>.</w:t>
            </w:r>
          </w:p>
        </w:tc>
        <w:tc>
          <w:tcPr>
            <w:tcW w:w="1334" w:type="dxa"/>
            <w:tcBorders>
              <w:top w:val="single" w:sz="12" w:space="0" w:color="auto"/>
              <w:bottom w:val="single" w:sz="4" w:space="0" w:color="auto"/>
            </w:tcBorders>
            <w:shd w:val="clear" w:color="auto" w:fill="auto"/>
            <w:vAlign w:val="center"/>
          </w:tcPr>
          <w:p w14:paraId="24518E76" w14:textId="65B91D76" w:rsidR="00123DD7" w:rsidRPr="0042750D" w:rsidRDefault="00123DD7" w:rsidP="00123DD7">
            <w:pPr>
              <w:pStyle w:val="Tabletext"/>
              <w:jc w:val="center"/>
              <w:rPr>
                <w:b/>
                <w:bCs/>
                <w:sz w:val="24"/>
                <w:szCs w:val="24"/>
              </w:rPr>
            </w:pPr>
            <w:r w:rsidRPr="0042750D">
              <w:rPr>
                <w:b/>
                <w:bCs/>
                <w:sz w:val="24"/>
                <w:szCs w:val="24"/>
              </w:rPr>
              <w:t>Ongoing</w:t>
            </w:r>
          </w:p>
        </w:tc>
        <w:tc>
          <w:tcPr>
            <w:tcW w:w="1142" w:type="dxa"/>
            <w:tcBorders>
              <w:top w:val="single" w:sz="12" w:space="0" w:color="auto"/>
              <w:bottom w:val="single" w:sz="4" w:space="0" w:color="auto"/>
            </w:tcBorders>
            <w:shd w:val="clear" w:color="auto" w:fill="auto"/>
            <w:vAlign w:val="center"/>
          </w:tcPr>
          <w:p w14:paraId="67D30E5F" w14:textId="07E2449C" w:rsidR="00123DD7" w:rsidRPr="0042750D" w:rsidRDefault="00BF083D" w:rsidP="00123DD7">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26DB4AA0" w14:textId="77777777" w:rsidR="00123DD7" w:rsidRPr="0042750D" w:rsidRDefault="00123DD7" w:rsidP="00123DD7">
            <w:pPr>
              <w:pStyle w:val="Tabletext"/>
              <w:jc w:val="center"/>
              <w:rPr>
                <w:b/>
                <w:bCs/>
                <w:sz w:val="24"/>
                <w:szCs w:val="24"/>
              </w:rPr>
            </w:pPr>
          </w:p>
        </w:tc>
      </w:tr>
      <w:tr w:rsidR="00123DD7" w:rsidRPr="0042750D" w14:paraId="262F9B40" w14:textId="77777777" w:rsidTr="00123DD7">
        <w:trPr>
          <w:jc w:val="center"/>
        </w:trPr>
        <w:tc>
          <w:tcPr>
            <w:tcW w:w="1190" w:type="dxa"/>
            <w:vMerge/>
            <w:tcBorders>
              <w:bottom w:val="single" w:sz="12" w:space="0" w:color="auto"/>
            </w:tcBorders>
            <w:shd w:val="clear" w:color="auto" w:fill="auto"/>
          </w:tcPr>
          <w:p w14:paraId="07EDED5F" w14:textId="77777777" w:rsidR="00123DD7" w:rsidRPr="0042750D" w:rsidRDefault="00123DD7" w:rsidP="00123DD7">
            <w:pPr>
              <w:pStyle w:val="Tabletext"/>
              <w:rPr>
                <w:sz w:val="24"/>
                <w:szCs w:val="24"/>
              </w:rPr>
            </w:pPr>
          </w:p>
        </w:tc>
        <w:tc>
          <w:tcPr>
            <w:tcW w:w="8742" w:type="dxa"/>
            <w:gridSpan w:val="4"/>
            <w:tcBorders>
              <w:top w:val="single" w:sz="4" w:space="0" w:color="auto"/>
              <w:bottom w:val="single" w:sz="12" w:space="0" w:color="auto"/>
            </w:tcBorders>
            <w:shd w:val="clear" w:color="auto" w:fill="auto"/>
          </w:tcPr>
          <w:p w14:paraId="4DB7FB46" w14:textId="5A1434CC" w:rsidR="00123DD7" w:rsidRPr="0042750D" w:rsidRDefault="00BF083D" w:rsidP="00BA6717">
            <w:pPr>
              <w:pStyle w:val="Tabletext"/>
              <w:rPr>
                <w:szCs w:val="22"/>
              </w:rPr>
            </w:pPr>
            <w:r w:rsidRPr="0042750D">
              <w:t xml:space="preserve">For each special issue, top-level experts on that specific area of research </w:t>
            </w:r>
            <w:r w:rsidR="00BA6717" w:rsidRPr="0042750D">
              <w:t xml:space="preserve">are </w:t>
            </w:r>
            <w:r w:rsidRPr="0042750D">
              <w:t xml:space="preserve">invited to serve as Guest Editors, with the mandate to help promote and support the publication of the special issue. Also, leading researchers </w:t>
            </w:r>
            <w:r w:rsidR="00BA6717" w:rsidRPr="0042750D">
              <w:t xml:space="preserve">are </w:t>
            </w:r>
            <w:r w:rsidRPr="0042750D">
              <w:t>invited to submi</w:t>
            </w:r>
            <w:r w:rsidR="004270ED" w:rsidRPr="0042750D">
              <w:t>t</w:t>
            </w:r>
            <w:r w:rsidRPr="0042750D">
              <w:t xml:space="preserve"> papers.</w:t>
            </w:r>
          </w:p>
        </w:tc>
      </w:tr>
      <w:tr w:rsidR="00123DD7" w:rsidRPr="0042750D" w14:paraId="601A603B" w14:textId="77777777" w:rsidTr="00123DD7">
        <w:trPr>
          <w:jc w:val="center"/>
        </w:trPr>
        <w:tc>
          <w:tcPr>
            <w:tcW w:w="1190" w:type="dxa"/>
            <w:vMerge w:val="restart"/>
            <w:tcBorders>
              <w:top w:val="single" w:sz="12" w:space="0" w:color="auto"/>
            </w:tcBorders>
            <w:shd w:val="clear" w:color="auto" w:fill="auto"/>
          </w:tcPr>
          <w:p w14:paraId="0B63B288" w14:textId="4DDCA19D" w:rsidR="00123DD7" w:rsidRPr="0042750D" w:rsidRDefault="00F5110C" w:rsidP="00123DD7">
            <w:pPr>
              <w:pStyle w:val="Tabletext"/>
              <w:keepNext/>
              <w:keepLines/>
              <w:rPr>
                <w:b/>
                <w:bCs/>
                <w:sz w:val="24"/>
                <w:szCs w:val="24"/>
              </w:rPr>
            </w:pPr>
            <w:r w:rsidRPr="0042750D">
              <w:rPr>
                <w:b/>
                <w:bCs/>
                <w:sz w:val="24"/>
                <w:szCs w:val="24"/>
              </w:rPr>
              <w:t>207</w:t>
            </w:r>
            <w:r w:rsidR="00123DD7" w:rsidRPr="0042750D">
              <w:rPr>
                <w:b/>
                <w:bCs/>
                <w:sz w:val="24"/>
                <w:szCs w:val="24"/>
              </w:rPr>
              <w:t>-04</w:t>
            </w:r>
          </w:p>
        </w:tc>
        <w:tc>
          <w:tcPr>
            <w:tcW w:w="4928" w:type="dxa"/>
            <w:tcBorders>
              <w:top w:val="single" w:sz="12" w:space="0" w:color="auto"/>
              <w:bottom w:val="single" w:sz="4" w:space="0" w:color="auto"/>
            </w:tcBorders>
            <w:shd w:val="clear" w:color="auto" w:fill="auto"/>
          </w:tcPr>
          <w:p w14:paraId="0AC4BB70" w14:textId="6C740E8C" w:rsidR="00123DD7" w:rsidRPr="0042750D" w:rsidRDefault="00D746CA" w:rsidP="00123DD7">
            <w:pPr>
              <w:pStyle w:val="Tabletext"/>
              <w:rPr>
                <w:b/>
                <w:bCs/>
                <w:sz w:val="24"/>
                <w:szCs w:val="24"/>
              </w:rPr>
            </w:pPr>
            <w:r w:rsidRPr="0042750D">
              <w:rPr>
                <w:b/>
                <w:bCs/>
                <w:sz w:val="24"/>
                <w:szCs w:val="24"/>
              </w:rPr>
              <w:t>TSBDir to promote the ITU Journal and disseminate its calls for papers as widely as possible among the ITU membership, universities and research institutes and other relevant communities, with the aim of soliciting original scientific papers</w:t>
            </w:r>
            <w:r w:rsidR="001E24E4" w:rsidRPr="0042750D">
              <w:rPr>
                <w:b/>
                <w:bCs/>
                <w:sz w:val="24"/>
                <w:szCs w:val="24"/>
              </w:rPr>
              <w:t xml:space="preserve"> (</w:t>
            </w:r>
            <w:r w:rsidR="001E24E4" w:rsidRPr="0042750D">
              <w:rPr>
                <w:b/>
                <w:bCs/>
                <w:i/>
                <w:sz w:val="24"/>
                <w:szCs w:val="24"/>
              </w:rPr>
              <w:t>instructs 3</w:t>
            </w:r>
            <w:r w:rsidR="001E24E4" w:rsidRPr="0042750D">
              <w:rPr>
                <w:b/>
                <w:bCs/>
                <w:sz w:val="24"/>
                <w:szCs w:val="24"/>
              </w:rPr>
              <w:t>)</w:t>
            </w:r>
            <w:r w:rsidRPr="0042750D">
              <w:rPr>
                <w:b/>
                <w:bCs/>
                <w:sz w:val="24"/>
                <w:szCs w:val="24"/>
              </w:rPr>
              <w:t>.</w:t>
            </w:r>
          </w:p>
        </w:tc>
        <w:tc>
          <w:tcPr>
            <w:tcW w:w="1334" w:type="dxa"/>
            <w:tcBorders>
              <w:top w:val="single" w:sz="12" w:space="0" w:color="auto"/>
              <w:bottom w:val="single" w:sz="4" w:space="0" w:color="auto"/>
            </w:tcBorders>
            <w:shd w:val="clear" w:color="auto" w:fill="auto"/>
            <w:vAlign w:val="center"/>
          </w:tcPr>
          <w:p w14:paraId="38577BB9" w14:textId="77777777" w:rsidR="00123DD7" w:rsidRPr="0042750D" w:rsidRDefault="00123DD7" w:rsidP="00123DD7">
            <w:pPr>
              <w:pStyle w:val="Tabletext"/>
              <w:jc w:val="center"/>
              <w:rPr>
                <w:b/>
                <w:bCs/>
                <w:sz w:val="24"/>
                <w:szCs w:val="24"/>
              </w:rPr>
            </w:pPr>
            <w:r w:rsidRPr="0042750D">
              <w:rPr>
                <w:b/>
                <w:bCs/>
                <w:sz w:val="24"/>
                <w:szCs w:val="24"/>
              </w:rPr>
              <w:t>Ongoing</w:t>
            </w:r>
          </w:p>
        </w:tc>
        <w:tc>
          <w:tcPr>
            <w:tcW w:w="1142" w:type="dxa"/>
            <w:tcBorders>
              <w:top w:val="single" w:sz="12" w:space="0" w:color="auto"/>
              <w:bottom w:val="single" w:sz="4" w:space="0" w:color="auto"/>
            </w:tcBorders>
            <w:shd w:val="clear" w:color="auto" w:fill="auto"/>
            <w:vAlign w:val="center"/>
          </w:tcPr>
          <w:p w14:paraId="0F323F5A" w14:textId="7DA07F9B" w:rsidR="00123DD7" w:rsidRPr="0042750D" w:rsidRDefault="009344CE" w:rsidP="00123DD7">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15B51CB1" w14:textId="77777777" w:rsidR="00123DD7" w:rsidRPr="0042750D" w:rsidRDefault="00123DD7" w:rsidP="00123DD7">
            <w:pPr>
              <w:pStyle w:val="Tabletext"/>
              <w:jc w:val="center"/>
              <w:rPr>
                <w:b/>
                <w:bCs/>
                <w:sz w:val="24"/>
                <w:szCs w:val="24"/>
              </w:rPr>
            </w:pPr>
          </w:p>
        </w:tc>
      </w:tr>
      <w:tr w:rsidR="00F0236A" w:rsidRPr="0042750D" w14:paraId="0EB915BB" w14:textId="77777777" w:rsidTr="00D746CA">
        <w:trPr>
          <w:trHeight w:val="327"/>
          <w:jc w:val="center"/>
        </w:trPr>
        <w:tc>
          <w:tcPr>
            <w:tcW w:w="1190" w:type="dxa"/>
            <w:vMerge/>
            <w:tcBorders>
              <w:bottom w:val="single" w:sz="12" w:space="0" w:color="auto"/>
            </w:tcBorders>
            <w:shd w:val="clear" w:color="auto" w:fill="auto"/>
          </w:tcPr>
          <w:p w14:paraId="6EEA9E88" w14:textId="77777777" w:rsidR="00F0236A" w:rsidRPr="0042750D" w:rsidRDefault="00F0236A" w:rsidP="00DF36E1">
            <w:pPr>
              <w:pStyle w:val="Tabletext"/>
              <w:rPr>
                <w:sz w:val="24"/>
                <w:szCs w:val="24"/>
              </w:rPr>
            </w:pPr>
          </w:p>
        </w:tc>
        <w:tc>
          <w:tcPr>
            <w:tcW w:w="8742" w:type="dxa"/>
            <w:gridSpan w:val="4"/>
            <w:tcBorders>
              <w:top w:val="single" w:sz="4" w:space="0" w:color="auto"/>
              <w:bottom w:val="single" w:sz="12" w:space="0" w:color="auto"/>
            </w:tcBorders>
            <w:shd w:val="clear" w:color="auto" w:fill="auto"/>
          </w:tcPr>
          <w:p w14:paraId="635E2046" w14:textId="77777777" w:rsidR="009344CE" w:rsidRPr="0042750D" w:rsidRDefault="009344CE" w:rsidP="006F2431">
            <w:pPr>
              <w:pStyle w:val="Tabletext"/>
              <w:spacing w:after="0"/>
              <w:rPr>
                <w:rFonts w:eastAsiaTheme="minorHAnsi"/>
                <w:szCs w:val="22"/>
                <w:lang w:eastAsia="en-GB"/>
              </w:rPr>
            </w:pPr>
            <w:r w:rsidRPr="0042750D">
              <w:t>In December 2018, the ITU Journal published a new special issue dedicated to the theme "</w:t>
            </w:r>
            <w:hyperlink r:id="rId161" w:history="1">
              <w:r w:rsidRPr="0042750D">
                <w:rPr>
                  <w:rStyle w:val="Hyperlink"/>
                </w:rPr>
                <w:t>Data for Good</w:t>
              </w:r>
            </w:hyperlink>
            <w:r w:rsidRPr="0042750D">
              <w:t>". This issue contains original academic papers investigating the technical, business and policy challenges underlying effective data management and analysis.</w:t>
            </w:r>
          </w:p>
          <w:p w14:paraId="2D091158" w14:textId="5FAEE5B1" w:rsidR="009344CE" w:rsidRPr="0042750D" w:rsidRDefault="009344CE" w:rsidP="009344CE">
            <w:pPr>
              <w:pStyle w:val="Tabletext"/>
              <w:spacing w:before="120" w:after="0"/>
            </w:pPr>
            <w:r w:rsidRPr="0042750D">
              <w:t>In February 2019, together with BR, the call for papers for a new special issue on radio wave propagation was announced titled, "</w:t>
            </w:r>
            <w:hyperlink r:id="rId162" w:history="1">
              <w:r w:rsidRPr="0042750D">
                <w:rPr>
                  <w:rStyle w:val="Hyperlink"/>
                </w:rPr>
                <w:t>Propagatio</w:t>
              </w:r>
              <w:r w:rsidR="002636A5" w:rsidRPr="0042750D">
                <w:rPr>
                  <w:rStyle w:val="Hyperlink"/>
                </w:rPr>
                <w:t>n</w:t>
              </w:r>
              <w:r w:rsidRPr="0042750D">
                <w:rPr>
                  <w:rStyle w:val="Hyperlink"/>
                </w:rPr>
                <w:t xml:space="preserve"> modelling for advanced future radio systems – Challenges for a congested radio spectrum</w:t>
              </w:r>
            </w:hyperlink>
            <w:r w:rsidRPr="0042750D">
              <w:t xml:space="preserve">". This issue </w:t>
            </w:r>
            <w:r w:rsidR="00BA6717" w:rsidRPr="0042750D">
              <w:t xml:space="preserve">was </w:t>
            </w:r>
            <w:r w:rsidRPr="0042750D">
              <w:t>published in December 2019.</w:t>
            </w:r>
          </w:p>
          <w:p w14:paraId="4FEB36BB" w14:textId="5C66B7CB" w:rsidR="009344CE" w:rsidRPr="0042750D" w:rsidRDefault="009344CE" w:rsidP="009344CE">
            <w:pPr>
              <w:pStyle w:val="Tabletext"/>
              <w:spacing w:before="120" w:after="0"/>
            </w:pPr>
            <w:r w:rsidRPr="0042750D">
              <w:t>As of July 2019, preparations have begun for a new special issue on "</w:t>
            </w:r>
            <w:hyperlink r:id="rId163" w:history="1">
              <w:r w:rsidRPr="0042750D">
                <w:rPr>
                  <w:rStyle w:val="Hyperlink"/>
                </w:rPr>
                <w:t>The future of video and immersive media</w:t>
              </w:r>
            </w:hyperlink>
            <w:r w:rsidRPr="0042750D">
              <w:t xml:space="preserve">". </w:t>
            </w:r>
            <w:r w:rsidR="00BA6717" w:rsidRPr="0042750D">
              <w:t xml:space="preserve">In October </w:t>
            </w:r>
            <w:r w:rsidR="00617FAE" w:rsidRPr="0042750D">
              <w:t xml:space="preserve">2019, ITU-T held a workshop on “The future of media”, which gatherd together notable researchers and technical experts, including Editors of the ITU Journal. </w:t>
            </w:r>
            <w:r w:rsidRPr="0042750D">
              <w:t>This special issue</w:t>
            </w:r>
            <w:r w:rsidR="00617FAE" w:rsidRPr="0042750D">
              <w:t xml:space="preserve"> is to be published in March 202 and will explore the state of the art in multimedia and the associated challenges</w:t>
            </w:r>
            <w:r w:rsidRPr="0042750D">
              <w:t>.</w:t>
            </w:r>
          </w:p>
          <w:p w14:paraId="192A818F" w14:textId="0D9F9501" w:rsidR="00F0236A" w:rsidRPr="0042750D" w:rsidRDefault="009344CE" w:rsidP="009344CE">
            <w:pPr>
              <w:pStyle w:val="Tabletext"/>
              <w:tabs>
                <w:tab w:val="clear" w:pos="567"/>
                <w:tab w:val="left" w:pos="729"/>
              </w:tabs>
              <w:spacing w:before="120"/>
              <w:rPr>
                <w:sz w:val="24"/>
                <w:szCs w:val="24"/>
              </w:rPr>
            </w:pPr>
            <w:r w:rsidRPr="0042750D">
              <w:t>The ITU Journal also welcomes regular submissions at any time, on any topic within its scope.</w:t>
            </w:r>
          </w:p>
        </w:tc>
      </w:tr>
    </w:tbl>
    <w:bookmarkStart w:id="406" w:name="Item93_01"/>
    <w:bookmarkStart w:id="407" w:name="Item93_02"/>
    <w:bookmarkStart w:id="408" w:name="Item93_03"/>
    <w:bookmarkStart w:id="409" w:name="Item93_04"/>
    <w:bookmarkStart w:id="410" w:name="Item93_05"/>
    <w:bookmarkEnd w:id="406"/>
    <w:bookmarkEnd w:id="407"/>
    <w:bookmarkEnd w:id="408"/>
    <w:bookmarkEnd w:id="409"/>
    <w:bookmarkEnd w:id="410"/>
    <w:p w14:paraId="1A312D29"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6B9E3A49" w14:textId="1A5DDC01" w:rsidR="00F0236A" w:rsidRPr="0042750D" w:rsidRDefault="00AD22EF" w:rsidP="004378B7">
      <w:pPr>
        <w:pStyle w:val="Heading1"/>
        <w:keepNext/>
        <w:keepLines/>
        <w:rPr>
          <w:sz w:val="24"/>
          <w:szCs w:val="24"/>
          <w:lang w:val="en-GB"/>
        </w:rPr>
      </w:pPr>
      <w:bookmarkStart w:id="411" w:name="_Resolution_94_-"/>
      <w:bookmarkStart w:id="412" w:name="_Toc30749197"/>
      <w:bookmarkEnd w:id="411"/>
      <w:r w:rsidRPr="0042750D">
        <w:rPr>
          <w:sz w:val="24"/>
          <w:szCs w:val="24"/>
          <w:lang w:val="en-GB"/>
        </w:rPr>
        <w:t xml:space="preserve">RESOLUTION </w:t>
      </w:r>
      <w:r w:rsidR="00270AD8" w:rsidRPr="0042750D">
        <w:rPr>
          <w:sz w:val="24"/>
          <w:szCs w:val="24"/>
          <w:lang w:val="en-GB"/>
        </w:rPr>
        <w:t>208</w:t>
      </w:r>
      <w:r w:rsidRPr="0042750D">
        <w:rPr>
          <w:sz w:val="24"/>
          <w:szCs w:val="24"/>
          <w:lang w:val="en-GB"/>
        </w:rPr>
        <w:t xml:space="preserve"> (DUBAI, 2018) – Appointment and maximum term of office for chairmen and vice-chairmen of Sector advisory groups, study groups and other groups</w:t>
      </w:r>
      <w:bookmarkEnd w:id="412"/>
    </w:p>
    <w:p w14:paraId="5EFFE078" w14:textId="77777777" w:rsidR="00AD22EF" w:rsidRPr="0042750D" w:rsidRDefault="00AD22EF" w:rsidP="004378B7">
      <w:pPr>
        <w:pStyle w:val="Call"/>
        <w:rPr>
          <w:szCs w:val="22"/>
          <w:lang w:val="en-GB"/>
        </w:rPr>
      </w:pPr>
      <w:r w:rsidRPr="0042750D">
        <w:rPr>
          <w:szCs w:val="22"/>
          <w:lang w:val="en-GB"/>
        </w:rPr>
        <w:t>resolves</w:t>
      </w:r>
    </w:p>
    <w:p w14:paraId="19533450" w14:textId="77777777" w:rsidR="00AD22EF" w:rsidRPr="0042750D" w:rsidRDefault="00AD22EF" w:rsidP="004378B7">
      <w:pPr>
        <w:keepNext/>
        <w:keepLines/>
        <w:rPr>
          <w:szCs w:val="22"/>
        </w:rPr>
      </w:pPr>
      <w:r w:rsidRPr="0042750D">
        <w:rPr>
          <w:szCs w:val="22"/>
        </w:rPr>
        <w:t>1</w:t>
      </w:r>
      <w:r w:rsidRPr="0042750D">
        <w:rPr>
          <w:szCs w:val="22"/>
        </w:rPr>
        <w:tab/>
        <w:t xml:space="preserve">that candidates for the posts of chairmen and vice-chairmen of </w:t>
      </w:r>
      <w:r w:rsidRPr="0042750D">
        <w:rPr>
          <w:w w:val="105"/>
          <w:szCs w:val="22"/>
        </w:rPr>
        <w:t xml:space="preserve">Sector advisory groups, study groups and other groups (including, to the extent practicable, the Conference Preparatory Meeting (CPM) and </w:t>
      </w:r>
      <w:r w:rsidRPr="0042750D">
        <w:rPr>
          <w:szCs w:val="22"/>
        </w:rPr>
        <w:t xml:space="preserve">the Coordination Committee for Vocabulary (CCV) </w:t>
      </w:r>
      <w:r w:rsidRPr="0042750D">
        <w:rPr>
          <w:w w:val="105"/>
          <w:szCs w:val="22"/>
        </w:rPr>
        <w:t>in the ITU Radiocommunication Sector (ITU</w:t>
      </w:r>
      <w:r w:rsidRPr="0042750D">
        <w:rPr>
          <w:w w:val="105"/>
          <w:szCs w:val="22"/>
        </w:rPr>
        <w:noBreakHyphen/>
        <w:t>R)</w:t>
      </w:r>
      <w:r w:rsidRPr="0042750D">
        <w:rPr>
          <w:rStyle w:val="FootnoteReference"/>
          <w:color w:val="231F20"/>
          <w:w w:val="105"/>
          <w:sz w:val="22"/>
          <w:szCs w:val="22"/>
        </w:rPr>
        <w:footnoteReference w:customMarkFollows="1" w:id="20"/>
        <w:t>4</w:t>
      </w:r>
      <w:r w:rsidRPr="0042750D">
        <w:rPr>
          <w:w w:val="105"/>
          <w:szCs w:val="22"/>
        </w:rPr>
        <w:t xml:space="preserve">, and the </w:t>
      </w:r>
      <w:r w:rsidRPr="0042750D">
        <w:rPr>
          <w:szCs w:val="22"/>
        </w:rPr>
        <w:t xml:space="preserve">Standardization Committee for Vocabulary (SCV) </w:t>
      </w:r>
      <w:r w:rsidRPr="0042750D">
        <w:rPr>
          <w:w w:val="105"/>
          <w:szCs w:val="22"/>
        </w:rPr>
        <w:t>in ITU Telecommunication Standardization Sector (ITU</w:t>
      </w:r>
      <w:r w:rsidRPr="0042750D">
        <w:rPr>
          <w:w w:val="105"/>
          <w:szCs w:val="22"/>
        </w:rPr>
        <w:noBreakHyphen/>
        <w:t>T)</w:t>
      </w:r>
      <w:r w:rsidRPr="0042750D">
        <w:rPr>
          <w:w w:val="105"/>
          <w:szCs w:val="22"/>
          <w:vertAlign w:val="superscript"/>
        </w:rPr>
        <w:t>4</w:t>
      </w:r>
      <w:r w:rsidRPr="0042750D">
        <w:rPr>
          <w:szCs w:val="22"/>
        </w:rPr>
        <w:t xml:space="preserve"> should be appointed according to the procedures given in Annex 1, the qualifications given in Annex 2 and the guidelines given in Annex 3 to this resolution and </w:t>
      </w:r>
      <w:r w:rsidRPr="0042750D">
        <w:rPr>
          <w:i/>
          <w:szCs w:val="22"/>
        </w:rPr>
        <w:t xml:space="preserve">resolves </w:t>
      </w:r>
      <w:r w:rsidRPr="0042750D">
        <w:rPr>
          <w:szCs w:val="22"/>
        </w:rPr>
        <w:t>2 of Resolution 58 (Rev. Busan,</w:t>
      </w:r>
      <w:r w:rsidRPr="0042750D">
        <w:rPr>
          <w:spacing w:val="-11"/>
          <w:szCs w:val="22"/>
        </w:rPr>
        <w:t xml:space="preserve"> </w:t>
      </w:r>
      <w:r w:rsidRPr="0042750D">
        <w:rPr>
          <w:szCs w:val="22"/>
        </w:rPr>
        <w:t>2014);</w:t>
      </w:r>
    </w:p>
    <w:p w14:paraId="280A96F0" w14:textId="77777777" w:rsidR="00AD22EF" w:rsidRPr="0042750D" w:rsidRDefault="00AD22EF" w:rsidP="00AD22EF">
      <w:pPr>
        <w:rPr>
          <w:szCs w:val="22"/>
        </w:rPr>
      </w:pPr>
      <w:r w:rsidRPr="0042750D">
        <w:rPr>
          <w:szCs w:val="22"/>
        </w:rPr>
        <w:t>2</w:t>
      </w:r>
      <w:r w:rsidRPr="0042750D">
        <w:rPr>
          <w:szCs w:val="22"/>
        </w:rPr>
        <w:tab/>
      </w:r>
      <w:r w:rsidRPr="0042750D">
        <w:rPr>
          <w:w w:val="105"/>
          <w:szCs w:val="22"/>
        </w:rPr>
        <w:t xml:space="preserve">that candidates for the posts of chairmen </w:t>
      </w:r>
      <w:r w:rsidRPr="0042750D">
        <w:rPr>
          <w:szCs w:val="22"/>
        </w:rPr>
        <w:t xml:space="preserve">and vice-chairmen of the </w:t>
      </w:r>
      <w:r w:rsidRPr="0042750D">
        <w:rPr>
          <w:w w:val="105"/>
          <w:szCs w:val="22"/>
        </w:rPr>
        <w:t>Sector advisory groups, study groups and other groups</w:t>
      </w:r>
      <w:r w:rsidRPr="0042750D">
        <w:rPr>
          <w:szCs w:val="22"/>
        </w:rPr>
        <w:t xml:space="preserve"> should be identified, taking into account that, for each </w:t>
      </w:r>
      <w:r w:rsidRPr="0042750D">
        <w:rPr>
          <w:w w:val="105"/>
          <w:szCs w:val="22"/>
        </w:rPr>
        <w:t>Sector advisory group, study group and other group, the</w:t>
      </w:r>
      <w:r w:rsidRPr="0042750D">
        <w:rPr>
          <w:szCs w:val="22"/>
        </w:rPr>
        <w:t xml:space="preserve"> respective assembly or conference will appoint the chairman and only the number of vice-chairmen deemed necessary for the efficient and effective management and functioning of the group in question, applying the guidelines given in Annex 3;</w:t>
      </w:r>
    </w:p>
    <w:p w14:paraId="394D3FAB" w14:textId="77777777" w:rsidR="00AD22EF" w:rsidRPr="0042750D" w:rsidRDefault="00AD22EF" w:rsidP="00AD22EF">
      <w:pPr>
        <w:rPr>
          <w:w w:val="105"/>
          <w:szCs w:val="22"/>
        </w:rPr>
      </w:pPr>
      <w:r w:rsidRPr="0042750D">
        <w:rPr>
          <w:szCs w:val="22"/>
        </w:rPr>
        <w:t>3</w:t>
      </w:r>
      <w:r w:rsidRPr="0042750D">
        <w:rPr>
          <w:szCs w:val="22"/>
        </w:rPr>
        <w:tab/>
      </w:r>
      <w:r w:rsidRPr="0042750D">
        <w:rPr>
          <w:w w:val="105"/>
          <w:szCs w:val="22"/>
        </w:rPr>
        <w:t>that nominations for the posts of chairmen</w:t>
      </w:r>
      <w:r w:rsidRPr="0042750D">
        <w:rPr>
          <w:spacing w:val="-4"/>
          <w:w w:val="105"/>
          <w:szCs w:val="22"/>
        </w:rPr>
        <w:t xml:space="preserve"> </w:t>
      </w:r>
      <w:r w:rsidRPr="0042750D">
        <w:rPr>
          <w:w w:val="105"/>
          <w:szCs w:val="22"/>
        </w:rPr>
        <w:t>and</w:t>
      </w:r>
      <w:r w:rsidRPr="0042750D">
        <w:rPr>
          <w:spacing w:val="-4"/>
          <w:w w:val="105"/>
          <w:szCs w:val="22"/>
        </w:rPr>
        <w:t xml:space="preserve"> </w:t>
      </w:r>
      <w:r w:rsidRPr="0042750D">
        <w:rPr>
          <w:w w:val="105"/>
          <w:szCs w:val="22"/>
        </w:rPr>
        <w:t>vice-chairmen</w:t>
      </w:r>
      <w:r w:rsidRPr="0042750D">
        <w:rPr>
          <w:spacing w:val="-4"/>
          <w:w w:val="105"/>
          <w:szCs w:val="22"/>
        </w:rPr>
        <w:t xml:space="preserve"> </w:t>
      </w:r>
      <w:r w:rsidRPr="0042750D">
        <w:rPr>
          <w:w w:val="105"/>
          <w:szCs w:val="22"/>
        </w:rPr>
        <w:t>of</w:t>
      </w:r>
      <w:r w:rsidRPr="0042750D">
        <w:rPr>
          <w:spacing w:val="-4"/>
          <w:w w:val="105"/>
          <w:szCs w:val="22"/>
        </w:rPr>
        <w:t xml:space="preserve"> </w:t>
      </w:r>
      <w:r w:rsidRPr="0042750D">
        <w:rPr>
          <w:szCs w:val="22"/>
        </w:rPr>
        <w:t xml:space="preserve">the </w:t>
      </w:r>
      <w:r w:rsidRPr="0042750D">
        <w:rPr>
          <w:w w:val="105"/>
          <w:szCs w:val="22"/>
        </w:rPr>
        <w:t>Sector advisory groups, study groups and other groups</w:t>
      </w:r>
      <w:r w:rsidRPr="0042750D">
        <w:rPr>
          <w:szCs w:val="22"/>
        </w:rPr>
        <w:t xml:space="preserve"> </w:t>
      </w:r>
      <w:r w:rsidRPr="0042750D">
        <w:rPr>
          <w:w w:val="105"/>
          <w:szCs w:val="22"/>
        </w:rPr>
        <w:t>should be</w:t>
      </w:r>
      <w:r w:rsidRPr="0042750D">
        <w:rPr>
          <w:spacing w:val="-4"/>
          <w:w w:val="105"/>
          <w:szCs w:val="22"/>
        </w:rPr>
        <w:t xml:space="preserve"> </w:t>
      </w:r>
      <w:r w:rsidRPr="0042750D">
        <w:rPr>
          <w:w w:val="105"/>
          <w:szCs w:val="22"/>
        </w:rPr>
        <w:t>accompanied</w:t>
      </w:r>
      <w:r w:rsidRPr="0042750D">
        <w:rPr>
          <w:spacing w:val="-4"/>
          <w:w w:val="105"/>
          <w:szCs w:val="22"/>
        </w:rPr>
        <w:t xml:space="preserve"> </w:t>
      </w:r>
      <w:r w:rsidRPr="0042750D">
        <w:rPr>
          <w:w w:val="105"/>
          <w:szCs w:val="22"/>
        </w:rPr>
        <w:t>by</w:t>
      </w:r>
      <w:r w:rsidRPr="0042750D">
        <w:rPr>
          <w:spacing w:val="-6"/>
          <w:w w:val="105"/>
          <w:szCs w:val="22"/>
        </w:rPr>
        <w:t xml:space="preserve"> </w:t>
      </w:r>
      <w:r w:rsidRPr="0042750D">
        <w:rPr>
          <w:w w:val="105"/>
          <w:szCs w:val="22"/>
        </w:rPr>
        <w:t>a</w:t>
      </w:r>
      <w:r w:rsidRPr="0042750D">
        <w:rPr>
          <w:spacing w:val="-4"/>
          <w:w w:val="105"/>
          <w:szCs w:val="22"/>
        </w:rPr>
        <w:t xml:space="preserve"> </w:t>
      </w:r>
      <w:r w:rsidRPr="0042750D">
        <w:rPr>
          <w:w w:val="105"/>
          <w:szCs w:val="22"/>
        </w:rPr>
        <w:t>biographical</w:t>
      </w:r>
      <w:r w:rsidRPr="0042750D">
        <w:rPr>
          <w:spacing w:val="-5"/>
          <w:w w:val="105"/>
          <w:szCs w:val="22"/>
        </w:rPr>
        <w:t xml:space="preserve"> </w:t>
      </w:r>
      <w:r w:rsidRPr="0042750D">
        <w:rPr>
          <w:w w:val="105"/>
          <w:szCs w:val="22"/>
        </w:rPr>
        <w:t>profile</w:t>
      </w:r>
      <w:r w:rsidRPr="0042750D">
        <w:rPr>
          <w:spacing w:val="-3"/>
          <w:w w:val="105"/>
          <w:szCs w:val="22"/>
        </w:rPr>
        <w:t xml:space="preserve"> </w:t>
      </w:r>
      <w:r w:rsidRPr="0042750D">
        <w:rPr>
          <w:w w:val="105"/>
          <w:szCs w:val="22"/>
        </w:rPr>
        <w:t>highlighting</w:t>
      </w:r>
      <w:r w:rsidRPr="0042750D">
        <w:rPr>
          <w:spacing w:val="-5"/>
          <w:w w:val="105"/>
          <w:szCs w:val="22"/>
        </w:rPr>
        <w:t xml:space="preserve"> </w:t>
      </w:r>
      <w:r w:rsidRPr="0042750D">
        <w:rPr>
          <w:w w:val="105"/>
          <w:szCs w:val="22"/>
        </w:rPr>
        <w:t>the</w:t>
      </w:r>
      <w:r w:rsidRPr="0042750D">
        <w:rPr>
          <w:spacing w:val="-4"/>
          <w:w w:val="105"/>
          <w:szCs w:val="22"/>
        </w:rPr>
        <w:t xml:space="preserve"> </w:t>
      </w:r>
      <w:r w:rsidRPr="0042750D">
        <w:rPr>
          <w:w w:val="105"/>
          <w:szCs w:val="22"/>
        </w:rPr>
        <w:t>qualifications</w:t>
      </w:r>
      <w:r w:rsidRPr="0042750D">
        <w:rPr>
          <w:spacing w:val="-5"/>
          <w:w w:val="105"/>
          <w:szCs w:val="22"/>
        </w:rPr>
        <w:t xml:space="preserve"> </w:t>
      </w:r>
      <w:r w:rsidRPr="0042750D">
        <w:rPr>
          <w:w w:val="105"/>
          <w:szCs w:val="22"/>
        </w:rPr>
        <w:t>of</w:t>
      </w:r>
      <w:r w:rsidRPr="0042750D">
        <w:rPr>
          <w:spacing w:val="-4"/>
          <w:w w:val="105"/>
          <w:szCs w:val="22"/>
        </w:rPr>
        <w:t xml:space="preserve"> </w:t>
      </w:r>
      <w:r w:rsidRPr="0042750D">
        <w:rPr>
          <w:w w:val="105"/>
          <w:szCs w:val="22"/>
        </w:rPr>
        <w:t>the individuals proposed, taking into consideration continuity in participation in the Sector advisory group, study group or other group,</w:t>
      </w:r>
      <w:r w:rsidRPr="0042750D">
        <w:rPr>
          <w:szCs w:val="22"/>
        </w:rPr>
        <w:t xml:space="preserve"> and that the Director of the Bureau concerned will circulate the profiles to the heads of delegation present at the assembly or conference</w:t>
      </w:r>
      <w:r w:rsidRPr="0042750D">
        <w:rPr>
          <w:w w:val="105"/>
          <w:szCs w:val="22"/>
        </w:rPr>
        <w:t>;</w:t>
      </w:r>
    </w:p>
    <w:p w14:paraId="63904BBA" w14:textId="77777777" w:rsidR="00AD22EF" w:rsidRPr="0042750D" w:rsidRDefault="00AD22EF" w:rsidP="00AD22EF">
      <w:pPr>
        <w:rPr>
          <w:szCs w:val="22"/>
        </w:rPr>
      </w:pPr>
      <w:r w:rsidRPr="0042750D">
        <w:rPr>
          <w:szCs w:val="22"/>
        </w:rPr>
        <w:t>4</w:t>
      </w:r>
      <w:r w:rsidRPr="0042750D">
        <w:rPr>
          <w:szCs w:val="22"/>
        </w:rPr>
        <w:tab/>
      </w:r>
      <w:r w:rsidRPr="0042750D">
        <w:rPr>
          <w:w w:val="105"/>
          <w:szCs w:val="22"/>
        </w:rPr>
        <w:t>that the term of office for both chairmen and vice-chairmen shall</w:t>
      </w:r>
      <w:r w:rsidRPr="0042750D">
        <w:rPr>
          <w:spacing w:val="-21"/>
          <w:w w:val="105"/>
          <w:szCs w:val="22"/>
        </w:rPr>
        <w:t xml:space="preserve"> </w:t>
      </w:r>
      <w:r w:rsidRPr="0042750D">
        <w:rPr>
          <w:w w:val="105"/>
          <w:szCs w:val="22"/>
        </w:rPr>
        <w:t>not exceed</w:t>
      </w:r>
      <w:r w:rsidRPr="0042750D">
        <w:rPr>
          <w:spacing w:val="-20"/>
          <w:w w:val="105"/>
          <w:szCs w:val="22"/>
        </w:rPr>
        <w:t xml:space="preserve"> </w:t>
      </w:r>
      <w:r w:rsidRPr="0042750D">
        <w:rPr>
          <w:w w:val="105"/>
          <w:szCs w:val="22"/>
        </w:rPr>
        <w:t>two</w:t>
      </w:r>
      <w:r w:rsidRPr="0042750D">
        <w:rPr>
          <w:spacing w:val="-19"/>
          <w:w w:val="105"/>
          <w:szCs w:val="22"/>
        </w:rPr>
        <w:t xml:space="preserve"> </w:t>
      </w:r>
      <w:r w:rsidRPr="0042750D">
        <w:rPr>
          <w:w w:val="105"/>
          <w:szCs w:val="22"/>
        </w:rPr>
        <w:t>terms</w:t>
      </w:r>
      <w:r w:rsidRPr="0042750D">
        <w:rPr>
          <w:spacing w:val="-19"/>
          <w:w w:val="105"/>
          <w:szCs w:val="22"/>
        </w:rPr>
        <w:t xml:space="preserve"> </w:t>
      </w:r>
      <w:r w:rsidRPr="0042750D">
        <w:rPr>
          <w:w w:val="105"/>
          <w:szCs w:val="22"/>
        </w:rPr>
        <w:t>of</w:t>
      </w:r>
      <w:r w:rsidRPr="0042750D">
        <w:rPr>
          <w:spacing w:val="-19"/>
          <w:w w:val="105"/>
          <w:szCs w:val="22"/>
        </w:rPr>
        <w:t xml:space="preserve"> </w:t>
      </w:r>
      <w:r w:rsidRPr="0042750D">
        <w:rPr>
          <w:w w:val="105"/>
          <w:szCs w:val="22"/>
        </w:rPr>
        <w:t>office</w:t>
      </w:r>
      <w:r w:rsidRPr="0042750D">
        <w:rPr>
          <w:spacing w:val="-19"/>
          <w:w w:val="105"/>
          <w:szCs w:val="22"/>
        </w:rPr>
        <w:t xml:space="preserve"> </w:t>
      </w:r>
      <w:r w:rsidRPr="0042750D">
        <w:rPr>
          <w:w w:val="105"/>
          <w:szCs w:val="22"/>
        </w:rPr>
        <w:t>between</w:t>
      </w:r>
      <w:r w:rsidRPr="0042750D">
        <w:rPr>
          <w:spacing w:val="-18"/>
          <w:w w:val="105"/>
          <w:szCs w:val="22"/>
        </w:rPr>
        <w:t xml:space="preserve"> </w:t>
      </w:r>
      <w:r w:rsidRPr="0042750D">
        <w:rPr>
          <w:w w:val="105"/>
          <w:szCs w:val="22"/>
        </w:rPr>
        <w:t>consecutive assemblies or conferences</w:t>
      </w:r>
      <w:r w:rsidRPr="0042750D">
        <w:rPr>
          <w:szCs w:val="22"/>
        </w:rPr>
        <w:t>;</w:t>
      </w:r>
    </w:p>
    <w:p w14:paraId="2D16052C" w14:textId="77777777" w:rsidR="00AD22EF" w:rsidRPr="0042750D" w:rsidRDefault="00AD22EF" w:rsidP="00AD22EF">
      <w:pPr>
        <w:rPr>
          <w:szCs w:val="22"/>
        </w:rPr>
      </w:pPr>
      <w:r w:rsidRPr="0042750D">
        <w:rPr>
          <w:szCs w:val="22"/>
        </w:rPr>
        <w:t>5</w:t>
      </w:r>
      <w:r w:rsidRPr="0042750D">
        <w:rPr>
          <w:szCs w:val="22"/>
        </w:rPr>
        <w:tab/>
      </w:r>
      <w:r w:rsidRPr="0042750D">
        <w:rPr>
          <w:w w:val="105"/>
          <w:szCs w:val="22"/>
        </w:rPr>
        <w:t>that the term of office in one appointment (e.g. as a vice-chairman) does not count towards the term of office for another appointment (e.g. as a chairman)</w:t>
      </w:r>
      <w:r w:rsidRPr="0042750D">
        <w:rPr>
          <w:spacing w:val="-10"/>
          <w:w w:val="105"/>
          <w:szCs w:val="22"/>
        </w:rPr>
        <w:t xml:space="preserve"> </w:t>
      </w:r>
      <w:r w:rsidRPr="0042750D">
        <w:rPr>
          <w:w w:val="105"/>
          <w:szCs w:val="22"/>
        </w:rPr>
        <w:t>and</w:t>
      </w:r>
      <w:r w:rsidRPr="0042750D">
        <w:rPr>
          <w:spacing w:val="-10"/>
          <w:w w:val="105"/>
          <w:szCs w:val="22"/>
        </w:rPr>
        <w:t xml:space="preserve"> </w:t>
      </w:r>
      <w:r w:rsidRPr="0042750D">
        <w:rPr>
          <w:w w:val="105"/>
          <w:szCs w:val="22"/>
        </w:rPr>
        <w:t>that</w:t>
      </w:r>
      <w:r w:rsidRPr="0042750D">
        <w:rPr>
          <w:spacing w:val="-11"/>
          <w:w w:val="105"/>
          <w:szCs w:val="22"/>
        </w:rPr>
        <w:t xml:space="preserve"> </w:t>
      </w:r>
      <w:r w:rsidRPr="0042750D">
        <w:rPr>
          <w:w w:val="105"/>
          <w:szCs w:val="22"/>
        </w:rPr>
        <w:t>steps</w:t>
      </w:r>
      <w:r w:rsidRPr="0042750D">
        <w:rPr>
          <w:spacing w:val="-9"/>
          <w:w w:val="105"/>
          <w:szCs w:val="22"/>
        </w:rPr>
        <w:t xml:space="preserve"> </w:t>
      </w:r>
      <w:r w:rsidRPr="0042750D">
        <w:rPr>
          <w:w w:val="105"/>
          <w:szCs w:val="22"/>
        </w:rPr>
        <w:t>should</w:t>
      </w:r>
      <w:r w:rsidRPr="0042750D">
        <w:rPr>
          <w:spacing w:val="-9"/>
          <w:w w:val="105"/>
          <w:szCs w:val="22"/>
        </w:rPr>
        <w:t xml:space="preserve"> </w:t>
      </w:r>
      <w:r w:rsidRPr="0042750D">
        <w:rPr>
          <w:w w:val="105"/>
          <w:szCs w:val="22"/>
        </w:rPr>
        <w:t>be</w:t>
      </w:r>
      <w:r w:rsidRPr="0042750D">
        <w:rPr>
          <w:spacing w:val="-9"/>
          <w:w w:val="105"/>
          <w:szCs w:val="22"/>
        </w:rPr>
        <w:t xml:space="preserve"> </w:t>
      </w:r>
      <w:r w:rsidRPr="0042750D">
        <w:rPr>
          <w:w w:val="105"/>
          <w:szCs w:val="22"/>
        </w:rPr>
        <w:t>taken</w:t>
      </w:r>
      <w:r w:rsidRPr="0042750D">
        <w:rPr>
          <w:spacing w:val="-9"/>
          <w:w w:val="105"/>
          <w:szCs w:val="22"/>
        </w:rPr>
        <w:t xml:space="preserve"> </w:t>
      </w:r>
      <w:r w:rsidRPr="0042750D">
        <w:rPr>
          <w:w w:val="105"/>
          <w:szCs w:val="22"/>
        </w:rPr>
        <w:t>to</w:t>
      </w:r>
      <w:r w:rsidRPr="0042750D">
        <w:rPr>
          <w:spacing w:val="-9"/>
          <w:w w:val="105"/>
          <w:szCs w:val="22"/>
        </w:rPr>
        <w:t xml:space="preserve"> </w:t>
      </w:r>
      <w:r w:rsidRPr="0042750D">
        <w:rPr>
          <w:w w:val="105"/>
          <w:szCs w:val="22"/>
        </w:rPr>
        <w:t>provide</w:t>
      </w:r>
      <w:r w:rsidRPr="0042750D">
        <w:rPr>
          <w:spacing w:val="-9"/>
          <w:w w:val="105"/>
          <w:szCs w:val="22"/>
        </w:rPr>
        <w:t xml:space="preserve"> </w:t>
      </w:r>
      <w:r w:rsidRPr="0042750D">
        <w:rPr>
          <w:w w:val="105"/>
          <w:szCs w:val="22"/>
        </w:rPr>
        <w:t>some</w:t>
      </w:r>
      <w:r w:rsidRPr="0042750D">
        <w:rPr>
          <w:spacing w:val="-9"/>
          <w:w w:val="105"/>
          <w:szCs w:val="22"/>
        </w:rPr>
        <w:t xml:space="preserve"> </w:t>
      </w:r>
      <w:r w:rsidRPr="0042750D">
        <w:rPr>
          <w:w w:val="105"/>
          <w:szCs w:val="22"/>
        </w:rPr>
        <w:t>continuity</w:t>
      </w:r>
      <w:r w:rsidRPr="0042750D">
        <w:rPr>
          <w:spacing w:val="-9"/>
          <w:w w:val="105"/>
          <w:szCs w:val="22"/>
        </w:rPr>
        <w:t xml:space="preserve"> </w:t>
      </w:r>
      <w:r w:rsidRPr="0042750D">
        <w:rPr>
          <w:w w:val="105"/>
          <w:szCs w:val="22"/>
        </w:rPr>
        <w:t>between chairmen</w:t>
      </w:r>
      <w:r w:rsidRPr="0042750D">
        <w:rPr>
          <w:spacing w:val="-29"/>
          <w:w w:val="105"/>
          <w:szCs w:val="22"/>
        </w:rPr>
        <w:t xml:space="preserve"> </w:t>
      </w:r>
      <w:r w:rsidRPr="0042750D">
        <w:rPr>
          <w:w w:val="105"/>
          <w:szCs w:val="22"/>
        </w:rPr>
        <w:t>and</w:t>
      </w:r>
      <w:r w:rsidRPr="0042750D">
        <w:rPr>
          <w:spacing w:val="-29"/>
          <w:w w:val="105"/>
          <w:szCs w:val="22"/>
        </w:rPr>
        <w:t xml:space="preserve"> </w:t>
      </w:r>
      <w:r w:rsidRPr="0042750D">
        <w:rPr>
          <w:w w:val="105"/>
          <w:szCs w:val="22"/>
        </w:rPr>
        <w:t>vice-chairmen</w:t>
      </w:r>
      <w:r w:rsidRPr="0042750D">
        <w:rPr>
          <w:szCs w:val="22"/>
        </w:rPr>
        <w:t>;</w:t>
      </w:r>
    </w:p>
    <w:p w14:paraId="40D12DC5" w14:textId="77777777" w:rsidR="00AD22EF" w:rsidRPr="0042750D" w:rsidRDefault="00AD22EF" w:rsidP="00AD22EF">
      <w:pPr>
        <w:rPr>
          <w:w w:val="105"/>
          <w:szCs w:val="22"/>
        </w:rPr>
      </w:pPr>
      <w:r w:rsidRPr="0042750D">
        <w:rPr>
          <w:szCs w:val="22"/>
        </w:rPr>
        <w:t>6</w:t>
      </w:r>
      <w:r w:rsidRPr="0042750D">
        <w:rPr>
          <w:szCs w:val="22"/>
        </w:rPr>
        <w:tab/>
      </w:r>
      <w:r w:rsidRPr="0042750D">
        <w:rPr>
          <w:w w:val="105"/>
          <w:szCs w:val="22"/>
        </w:rPr>
        <w:t>that the period served by a chairman or vice-chairman elected under No. 244 of the Convention in the interval between assemblies or conferences does not count towards the</w:t>
      </w:r>
      <w:r w:rsidRPr="0042750D">
        <w:rPr>
          <w:spacing w:val="-16"/>
          <w:w w:val="105"/>
          <w:szCs w:val="22"/>
        </w:rPr>
        <w:t xml:space="preserve"> </w:t>
      </w:r>
      <w:r w:rsidRPr="0042750D">
        <w:rPr>
          <w:w w:val="105"/>
          <w:szCs w:val="22"/>
        </w:rPr>
        <w:t>term</w:t>
      </w:r>
      <w:r w:rsidRPr="0042750D">
        <w:rPr>
          <w:spacing w:val="-15"/>
          <w:w w:val="105"/>
          <w:szCs w:val="22"/>
        </w:rPr>
        <w:t xml:space="preserve"> </w:t>
      </w:r>
      <w:r w:rsidRPr="0042750D">
        <w:rPr>
          <w:w w:val="105"/>
          <w:szCs w:val="22"/>
        </w:rPr>
        <w:t>of</w:t>
      </w:r>
      <w:r w:rsidRPr="0042750D">
        <w:rPr>
          <w:spacing w:val="-16"/>
          <w:w w:val="105"/>
          <w:szCs w:val="22"/>
        </w:rPr>
        <w:t xml:space="preserve"> </w:t>
      </w:r>
      <w:r w:rsidRPr="0042750D">
        <w:rPr>
          <w:w w:val="105"/>
          <w:szCs w:val="22"/>
        </w:rPr>
        <w:t>office,</w:t>
      </w:r>
    </w:p>
    <w:p w14:paraId="33D5AEAA" w14:textId="77777777" w:rsidR="00AD22EF" w:rsidRPr="0042750D" w:rsidRDefault="00AD22EF" w:rsidP="00AD22EF">
      <w:pPr>
        <w:pStyle w:val="Call"/>
        <w:rPr>
          <w:szCs w:val="22"/>
          <w:lang w:val="en-GB"/>
        </w:rPr>
      </w:pPr>
      <w:r w:rsidRPr="0042750D">
        <w:rPr>
          <w:szCs w:val="22"/>
          <w:lang w:val="en-GB"/>
        </w:rPr>
        <w:t>resolves further</w:t>
      </w:r>
    </w:p>
    <w:p w14:paraId="279A9044" w14:textId="77777777" w:rsidR="00AD22EF" w:rsidRPr="0042750D" w:rsidRDefault="00AD22EF" w:rsidP="00AD22EF">
      <w:pPr>
        <w:rPr>
          <w:szCs w:val="22"/>
        </w:rPr>
      </w:pPr>
      <w:r w:rsidRPr="0042750D">
        <w:rPr>
          <w:szCs w:val="22"/>
        </w:rPr>
        <w:t>1</w:t>
      </w:r>
      <w:r w:rsidRPr="0042750D">
        <w:rPr>
          <w:szCs w:val="22"/>
        </w:rPr>
        <w:tab/>
        <w:t>that vice-chairmen of Sector advisory groups and study groups should be encouraged to assume a leadership role in activities in order to ensure equitable distribution of the tasks and achieve greater involvement of the vice-chairmen in the management and work of advisory groups and the study</w:t>
      </w:r>
      <w:r w:rsidRPr="0042750D">
        <w:rPr>
          <w:spacing w:val="-13"/>
          <w:szCs w:val="22"/>
        </w:rPr>
        <w:t xml:space="preserve"> </w:t>
      </w:r>
      <w:r w:rsidRPr="0042750D">
        <w:rPr>
          <w:szCs w:val="22"/>
        </w:rPr>
        <w:t>groups;</w:t>
      </w:r>
    </w:p>
    <w:p w14:paraId="6F9D58BE" w14:textId="77777777" w:rsidR="00AD22EF" w:rsidRPr="0042750D" w:rsidRDefault="00AD22EF" w:rsidP="00AD22EF">
      <w:pPr>
        <w:rPr>
          <w:szCs w:val="22"/>
        </w:rPr>
      </w:pPr>
      <w:r w:rsidRPr="0042750D">
        <w:rPr>
          <w:szCs w:val="22"/>
        </w:rPr>
        <w:t>2</w:t>
      </w:r>
      <w:r w:rsidRPr="0042750D">
        <w:rPr>
          <w:szCs w:val="22"/>
        </w:rPr>
        <w:tab/>
        <w:t xml:space="preserve">that the appointment of vice-chairmen of Sector advisory groups should be limited to two candidates and of vice-chairmen of study groups to two or three candidates from each regional organization, taking into account Resolution 70 (Rev. Dubai, 2018) and </w:t>
      </w:r>
      <w:r w:rsidRPr="0042750D">
        <w:rPr>
          <w:i/>
          <w:szCs w:val="22"/>
        </w:rPr>
        <w:t xml:space="preserve">resolves </w:t>
      </w:r>
      <w:r w:rsidRPr="0042750D">
        <w:rPr>
          <w:szCs w:val="22"/>
        </w:rPr>
        <w:t>2 of Resolution 58 (Rev. Busan, 2014), to ensure equitable geographical distribution among the ITU regions so as to ensure that every region is represented by not more than three competent and qualified</w:t>
      </w:r>
      <w:r w:rsidRPr="0042750D">
        <w:rPr>
          <w:spacing w:val="-5"/>
          <w:szCs w:val="22"/>
        </w:rPr>
        <w:t xml:space="preserve"> </w:t>
      </w:r>
      <w:r w:rsidRPr="0042750D">
        <w:rPr>
          <w:szCs w:val="22"/>
        </w:rPr>
        <w:t>candidates;</w:t>
      </w:r>
    </w:p>
    <w:p w14:paraId="02625B47" w14:textId="77777777" w:rsidR="00AD22EF" w:rsidRPr="0042750D" w:rsidRDefault="00AD22EF" w:rsidP="00AD22EF">
      <w:pPr>
        <w:rPr>
          <w:color w:val="231F20"/>
          <w:w w:val="105"/>
          <w:szCs w:val="22"/>
        </w:rPr>
      </w:pPr>
      <w:r w:rsidRPr="0042750D">
        <w:rPr>
          <w:szCs w:val="22"/>
        </w:rPr>
        <w:t>3</w:t>
      </w:r>
      <w:r w:rsidRPr="0042750D">
        <w:rPr>
          <w:szCs w:val="22"/>
        </w:rPr>
        <w:tab/>
      </w:r>
      <w:r w:rsidRPr="0042750D">
        <w:rPr>
          <w:color w:val="231F20"/>
          <w:w w:val="105"/>
          <w:szCs w:val="22"/>
        </w:rPr>
        <w:t>that the appointment of candidates from countries that do not hold any chairmanship</w:t>
      </w:r>
      <w:r w:rsidRPr="0042750D">
        <w:rPr>
          <w:color w:val="231F20"/>
          <w:spacing w:val="-19"/>
          <w:w w:val="105"/>
          <w:szCs w:val="22"/>
        </w:rPr>
        <w:t xml:space="preserve"> </w:t>
      </w:r>
      <w:r w:rsidRPr="0042750D">
        <w:rPr>
          <w:color w:val="231F20"/>
          <w:w w:val="105"/>
          <w:szCs w:val="22"/>
        </w:rPr>
        <w:t>or</w:t>
      </w:r>
      <w:r w:rsidRPr="0042750D">
        <w:rPr>
          <w:color w:val="231F20"/>
          <w:spacing w:val="-19"/>
          <w:w w:val="105"/>
          <w:szCs w:val="22"/>
        </w:rPr>
        <w:t xml:space="preserve"> </w:t>
      </w:r>
      <w:r w:rsidRPr="0042750D">
        <w:rPr>
          <w:color w:val="231F20"/>
          <w:w w:val="105"/>
          <w:szCs w:val="22"/>
        </w:rPr>
        <w:t>vice-chairmanship position</w:t>
      </w:r>
      <w:r w:rsidRPr="0042750D">
        <w:rPr>
          <w:color w:val="231F20"/>
          <w:spacing w:val="-19"/>
          <w:w w:val="105"/>
          <w:szCs w:val="22"/>
        </w:rPr>
        <w:t xml:space="preserve"> </w:t>
      </w:r>
      <w:r w:rsidRPr="0042750D">
        <w:rPr>
          <w:color w:val="231F20"/>
          <w:w w:val="105"/>
          <w:szCs w:val="22"/>
        </w:rPr>
        <w:t>should</w:t>
      </w:r>
      <w:r w:rsidRPr="0042750D">
        <w:rPr>
          <w:color w:val="231F20"/>
          <w:spacing w:val="-19"/>
          <w:w w:val="105"/>
          <w:szCs w:val="22"/>
        </w:rPr>
        <w:t xml:space="preserve"> </w:t>
      </w:r>
      <w:r w:rsidRPr="0042750D">
        <w:rPr>
          <w:color w:val="231F20"/>
          <w:w w:val="105"/>
          <w:szCs w:val="22"/>
        </w:rPr>
        <w:t>be</w:t>
      </w:r>
      <w:r w:rsidRPr="0042750D">
        <w:rPr>
          <w:color w:val="231F20"/>
          <w:spacing w:val="-19"/>
          <w:w w:val="105"/>
          <w:szCs w:val="22"/>
        </w:rPr>
        <w:t xml:space="preserve"> </w:t>
      </w:r>
      <w:r w:rsidRPr="0042750D">
        <w:rPr>
          <w:color w:val="231F20"/>
          <w:w w:val="105"/>
          <w:szCs w:val="22"/>
        </w:rPr>
        <w:t>encouraged;</w:t>
      </w:r>
    </w:p>
    <w:p w14:paraId="125455CA" w14:textId="77777777" w:rsidR="00AD22EF" w:rsidRPr="0042750D" w:rsidRDefault="00AD22EF" w:rsidP="00AD22EF">
      <w:pPr>
        <w:rPr>
          <w:szCs w:val="22"/>
        </w:rPr>
      </w:pPr>
      <w:r w:rsidRPr="0042750D">
        <w:rPr>
          <w:szCs w:val="22"/>
        </w:rPr>
        <w:t>4</w:t>
      </w:r>
      <w:r w:rsidRPr="0042750D">
        <w:rPr>
          <w:szCs w:val="22"/>
        </w:rPr>
        <w:tab/>
      </w:r>
      <w:r w:rsidRPr="0042750D">
        <w:rPr>
          <w:rFonts w:eastAsiaTheme="minorHAnsi"/>
          <w:color w:val="231F20"/>
          <w:w w:val="105"/>
          <w:szCs w:val="22"/>
        </w:rPr>
        <w:t>that no single individual may hold more than one vice-chairmanship position in these groups in any one Sector, and only in exceptional cases hold such a position in more than one Sector</w:t>
      </w:r>
      <w:r w:rsidRPr="0042750D">
        <w:rPr>
          <w:szCs w:val="22"/>
        </w:rPr>
        <w:t>;</w:t>
      </w:r>
    </w:p>
    <w:p w14:paraId="486BD331" w14:textId="77777777" w:rsidR="00AD22EF" w:rsidRPr="0042750D" w:rsidRDefault="00AD22EF" w:rsidP="00AD22EF">
      <w:pPr>
        <w:rPr>
          <w:szCs w:val="22"/>
        </w:rPr>
      </w:pPr>
      <w:r w:rsidRPr="0042750D">
        <w:rPr>
          <w:szCs w:val="22"/>
        </w:rPr>
        <w:t>5</w:t>
      </w:r>
      <w:r w:rsidRPr="0042750D">
        <w:rPr>
          <w:szCs w:val="22"/>
        </w:rPr>
        <w:tab/>
        <w:t>that each ITU regional organization attending RA, WTSA and WTDC should be encouraged, when assigning the positions to individual experienced professionals, to observe fully the principle of equitable geographical distribution among ITU regional organizations, and the need to promote more efficient participation by the developing countries;</w:t>
      </w:r>
    </w:p>
    <w:p w14:paraId="64D46C62" w14:textId="2948AE01" w:rsidR="00F0236A" w:rsidRPr="0042750D" w:rsidRDefault="00AD22EF" w:rsidP="00AD22EF">
      <w:pPr>
        <w:spacing w:after="240"/>
        <w:rPr>
          <w:szCs w:val="22"/>
        </w:rPr>
      </w:pPr>
      <w:r w:rsidRPr="0042750D">
        <w:rPr>
          <w:szCs w:val="22"/>
        </w:rPr>
        <w:t>6</w:t>
      </w:r>
      <w:r w:rsidRPr="0042750D">
        <w:rPr>
          <w:szCs w:val="22"/>
        </w:rPr>
        <w:tab/>
      </w:r>
      <w:r w:rsidRPr="0042750D">
        <w:rPr>
          <w:color w:val="231F20"/>
          <w:w w:val="105"/>
          <w:szCs w:val="22"/>
        </w:rPr>
        <w:t>that the above-mentioned guidelines may, to the extent practicable, be applied</w:t>
      </w:r>
      <w:r w:rsidRPr="0042750D">
        <w:rPr>
          <w:color w:val="231F20"/>
          <w:spacing w:val="-13"/>
          <w:w w:val="105"/>
          <w:szCs w:val="22"/>
        </w:rPr>
        <w:t xml:space="preserve"> </w:t>
      </w:r>
      <w:r w:rsidRPr="0042750D">
        <w:rPr>
          <w:color w:val="231F20"/>
          <w:w w:val="105"/>
          <w:szCs w:val="22"/>
        </w:rPr>
        <w:t>to</w:t>
      </w:r>
      <w:r w:rsidRPr="0042750D">
        <w:rPr>
          <w:color w:val="231F20"/>
          <w:spacing w:val="-13"/>
          <w:w w:val="105"/>
          <w:szCs w:val="22"/>
        </w:rPr>
        <w:t xml:space="preserve"> </w:t>
      </w:r>
      <w:r w:rsidRPr="0042750D">
        <w:rPr>
          <w:color w:val="231F20"/>
          <w:w w:val="105"/>
          <w:szCs w:val="22"/>
        </w:rPr>
        <w:t>CPM</w:t>
      </w:r>
      <w:r w:rsidRPr="0042750D">
        <w:rPr>
          <w:color w:val="231F20"/>
          <w:spacing w:val="-13"/>
          <w:w w:val="105"/>
          <w:szCs w:val="22"/>
        </w:rPr>
        <w:t xml:space="preserve"> </w:t>
      </w:r>
      <w:r w:rsidRPr="0042750D">
        <w:rPr>
          <w:color w:val="231F20"/>
          <w:w w:val="105"/>
          <w:szCs w:val="22"/>
        </w:rPr>
        <w:t>in</w:t>
      </w:r>
      <w:r w:rsidRPr="0042750D">
        <w:rPr>
          <w:color w:val="231F20"/>
          <w:spacing w:val="-13"/>
          <w:w w:val="105"/>
          <w:szCs w:val="22"/>
        </w:rPr>
        <w:t xml:space="preserve"> </w:t>
      </w:r>
      <w:r w:rsidRPr="0042750D">
        <w:rPr>
          <w:color w:val="231F20"/>
          <w:w w:val="105"/>
          <w:szCs w:val="22"/>
        </w:rPr>
        <w:t>ITU</w:t>
      </w:r>
      <w:r w:rsidRPr="0042750D">
        <w:rPr>
          <w:color w:val="231F20"/>
          <w:w w:val="105"/>
          <w:szCs w:val="22"/>
        </w:rPr>
        <w:noBreakHyphen/>
        <w:t>R</w:t>
      </w:r>
      <w:r w:rsidR="003462B2" w:rsidRPr="0042750D">
        <w:rPr>
          <w:color w:val="231F20"/>
          <w:w w:val="105"/>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1"/>
        <w:gridCol w:w="4929"/>
        <w:gridCol w:w="1333"/>
        <w:gridCol w:w="1141"/>
        <w:gridCol w:w="1338"/>
      </w:tblGrid>
      <w:tr w:rsidR="00F0236A" w:rsidRPr="0042750D" w14:paraId="1C07595E" w14:textId="77777777" w:rsidTr="00345B80">
        <w:trPr>
          <w:tblHeader/>
          <w:jc w:val="center"/>
        </w:trPr>
        <w:tc>
          <w:tcPr>
            <w:tcW w:w="1191" w:type="dxa"/>
            <w:tcBorders>
              <w:top w:val="single" w:sz="12" w:space="0" w:color="auto"/>
              <w:bottom w:val="single" w:sz="12" w:space="0" w:color="auto"/>
            </w:tcBorders>
            <w:shd w:val="clear" w:color="auto" w:fill="auto"/>
            <w:vAlign w:val="center"/>
          </w:tcPr>
          <w:p w14:paraId="444EE8E2" w14:textId="77777777" w:rsidR="00F0236A" w:rsidRPr="0042750D" w:rsidRDefault="00F0236A" w:rsidP="003F7C87">
            <w:pPr>
              <w:pStyle w:val="Tablehead"/>
              <w:keepNext w:val="0"/>
              <w:rPr>
                <w:sz w:val="24"/>
                <w:szCs w:val="24"/>
              </w:rPr>
            </w:pPr>
            <w:r w:rsidRPr="0042750D">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2248F48E" w14:textId="77777777" w:rsidR="00F0236A" w:rsidRPr="0042750D" w:rsidRDefault="00F0236A" w:rsidP="00DF36E1">
            <w:pPr>
              <w:pStyle w:val="Tablehead"/>
              <w:rPr>
                <w:sz w:val="24"/>
                <w:szCs w:val="24"/>
              </w:rPr>
            </w:pPr>
            <w:r w:rsidRPr="0042750D">
              <w:rPr>
                <w:sz w:val="24"/>
                <w:szCs w:val="24"/>
              </w:rPr>
              <w:t>Action</w:t>
            </w:r>
          </w:p>
        </w:tc>
        <w:tc>
          <w:tcPr>
            <w:tcW w:w="1333" w:type="dxa"/>
            <w:tcBorders>
              <w:top w:val="single" w:sz="12" w:space="0" w:color="auto"/>
              <w:bottom w:val="single" w:sz="12" w:space="0" w:color="auto"/>
            </w:tcBorders>
            <w:shd w:val="clear" w:color="auto" w:fill="auto"/>
            <w:vAlign w:val="center"/>
            <w:hideMark/>
          </w:tcPr>
          <w:p w14:paraId="63DAA5E1" w14:textId="77777777" w:rsidR="00F0236A" w:rsidRPr="0042750D" w:rsidRDefault="00F0236A" w:rsidP="00DF36E1">
            <w:pPr>
              <w:pStyle w:val="Tablehead"/>
              <w:rPr>
                <w:sz w:val="24"/>
                <w:szCs w:val="24"/>
              </w:rPr>
            </w:pPr>
            <w:r w:rsidRPr="0042750D">
              <w:rPr>
                <w:sz w:val="24"/>
                <w:szCs w:val="24"/>
              </w:rPr>
              <w:t>Milestone</w:t>
            </w:r>
          </w:p>
        </w:tc>
        <w:tc>
          <w:tcPr>
            <w:tcW w:w="1141" w:type="dxa"/>
            <w:tcBorders>
              <w:top w:val="single" w:sz="12" w:space="0" w:color="auto"/>
              <w:bottom w:val="single" w:sz="12" w:space="0" w:color="auto"/>
            </w:tcBorders>
            <w:shd w:val="clear" w:color="auto" w:fill="auto"/>
          </w:tcPr>
          <w:p w14:paraId="561A8EB7"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3E1E47C"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2F212EC1" w14:textId="77777777" w:rsidTr="00027F2D">
        <w:trPr>
          <w:jc w:val="center"/>
        </w:trPr>
        <w:tc>
          <w:tcPr>
            <w:tcW w:w="1191" w:type="dxa"/>
            <w:vMerge w:val="restart"/>
            <w:tcBorders>
              <w:top w:val="single" w:sz="12" w:space="0" w:color="auto"/>
            </w:tcBorders>
            <w:shd w:val="clear" w:color="auto" w:fill="auto"/>
          </w:tcPr>
          <w:p w14:paraId="60FC2956" w14:textId="54D54A49" w:rsidR="00F0236A" w:rsidRPr="0042750D" w:rsidRDefault="00270AD8" w:rsidP="00DF36E1">
            <w:pPr>
              <w:pStyle w:val="Tabletext"/>
              <w:rPr>
                <w:b/>
                <w:bCs/>
                <w:sz w:val="24"/>
                <w:szCs w:val="24"/>
              </w:rPr>
            </w:pPr>
            <w:r w:rsidRPr="0042750D">
              <w:rPr>
                <w:b/>
                <w:sz w:val="24"/>
                <w:szCs w:val="24"/>
              </w:rPr>
              <w:t>208</w:t>
            </w:r>
            <w:r w:rsidR="00F0236A" w:rsidRPr="0042750D">
              <w:rPr>
                <w:b/>
                <w:bCs/>
                <w:sz w:val="24"/>
                <w:szCs w:val="24"/>
              </w:rPr>
              <w:t>-01</w:t>
            </w:r>
          </w:p>
        </w:tc>
        <w:tc>
          <w:tcPr>
            <w:tcW w:w="4929" w:type="dxa"/>
            <w:tcBorders>
              <w:top w:val="single" w:sz="12" w:space="0" w:color="auto"/>
              <w:bottom w:val="single" w:sz="2" w:space="0" w:color="auto"/>
            </w:tcBorders>
            <w:shd w:val="clear" w:color="auto" w:fill="auto"/>
          </w:tcPr>
          <w:p w14:paraId="4B6D854A" w14:textId="63CD1F0B" w:rsidR="00AD22EF" w:rsidRPr="0042750D" w:rsidRDefault="00AD22EF" w:rsidP="00AD22EF">
            <w:pPr>
              <w:pStyle w:val="Tabletext"/>
              <w:rPr>
                <w:b/>
                <w:bCs/>
                <w:sz w:val="24"/>
                <w:szCs w:val="24"/>
              </w:rPr>
            </w:pPr>
            <w:r w:rsidRPr="0042750D">
              <w:rPr>
                <w:b/>
                <w:bCs/>
                <w:sz w:val="24"/>
                <w:szCs w:val="24"/>
              </w:rPr>
              <w:t>Candidates for the posts of chairmen and vice-chairmen of Sector advisory groups, study groups and other groups (including, to the extent practicable, the Conference Preparatory Meeting (CPM) and the Coordination Committee for Vocabulary (CCV) in the ITU R</w:t>
            </w:r>
            <w:r w:rsidR="000A307B" w:rsidRPr="0042750D">
              <w:rPr>
                <w:b/>
                <w:bCs/>
                <w:sz w:val="24"/>
                <w:szCs w:val="24"/>
              </w:rPr>
              <w:t>adiocommunication Sector (ITU-</w:t>
            </w:r>
            <w:r w:rsidRPr="0042750D">
              <w:rPr>
                <w:b/>
                <w:bCs/>
                <w:sz w:val="24"/>
                <w:szCs w:val="24"/>
              </w:rPr>
              <w:t>R), and the Standardization Committee for Vocabulary (SCV) in ITU Telecommunicat</w:t>
            </w:r>
            <w:r w:rsidR="000A307B" w:rsidRPr="0042750D">
              <w:rPr>
                <w:b/>
                <w:bCs/>
                <w:sz w:val="24"/>
                <w:szCs w:val="24"/>
              </w:rPr>
              <w:t>ion Standardization Sector (ITU-</w:t>
            </w:r>
            <w:r w:rsidRPr="0042750D">
              <w:rPr>
                <w:b/>
                <w:bCs/>
                <w:sz w:val="24"/>
                <w:szCs w:val="24"/>
              </w:rPr>
              <w:t>T) should be appointed according to the procedures given in Annex 1, the qualifications given in Annex 2 and the guidelines given in Annex 3 to this resolution and resolves 2 of Resolution 58 (Rev. Busan, 2014)</w:t>
            </w:r>
            <w:r w:rsidR="006131C2" w:rsidRPr="0042750D">
              <w:rPr>
                <w:b/>
                <w:bCs/>
                <w:sz w:val="24"/>
                <w:szCs w:val="24"/>
              </w:rPr>
              <w:t xml:space="preserve"> (</w:t>
            </w:r>
            <w:r w:rsidR="006131C2" w:rsidRPr="0042750D">
              <w:rPr>
                <w:b/>
                <w:bCs/>
                <w:i/>
                <w:sz w:val="24"/>
                <w:szCs w:val="24"/>
              </w:rPr>
              <w:t>resolves 1</w:t>
            </w:r>
            <w:r w:rsidR="006131C2" w:rsidRPr="0042750D">
              <w:rPr>
                <w:b/>
                <w:bCs/>
                <w:sz w:val="24"/>
                <w:szCs w:val="24"/>
              </w:rPr>
              <w:t>)</w:t>
            </w:r>
            <w:r w:rsidRPr="0042750D">
              <w:rPr>
                <w:b/>
                <w:bCs/>
                <w:sz w:val="24"/>
                <w:szCs w:val="24"/>
              </w:rPr>
              <w:t>.</w:t>
            </w:r>
          </w:p>
          <w:p w14:paraId="439F3223" w14:textId="77777777" w:rsidR="00AD22EF" w:rsidRPr="0042750D" w:rsidRDefault="00AD22EF" w:rsidP="00AD22EF">
            <w:pPr>
              <w:pStyle w:val="Tabletext"/>
              <w:rPr>
                <w:b/>
                <w:bCs/>
                <w:sz w:val="24"/>
                <w:szCs w:val="24"/>
              </w:rPr>
            </w:pPr>
            <w:r w:rsidRPr="0042750D">
              <w:rPr>
                <w:b/>
                <w:bCs/>
                <w:sz w:val="24"/>
                <w:szCs w:val="24"/>
              </w:rPr>
              <w:t>Candidates for the posts of chairmen and vice-chairmen of the Sector advisory groups, study groups and other groups should be identified, taking into account that, for each Sector advisory group, study group and other group, the respective assembly or conference will appoint the chairman and only the number of vice-chairmen deemed necessary for the efficient and effective management and functioning of the group in question, applying the guidelines given in Annex 3.</w:t>
            </w:r>
          </w:p>
          <w:p w14:paraId="4D5342C7" w14:textId="0C2C3E0D" w:rsidR="00AD22EF" w:rsidRPr="0042750D" w:rsidRDefault="00AD22EF" w:rsidP="00AD22EF">
            <w:pPr>
              <w:pStyle w:val="Tabletext"/>
              <w:rPr>
                <w:b/>
                <w:bCs/>
                <w:sz w:val="24"/>
                <w:szCs w:val="24"/>
              </w:rPr>
            </w:pPr>
            <w:r w:rsidRPr="0042750D">
              <w:rPr>
                <w:b/>
                <w:bCs/>
                <w:sz w:val="24"/>
                <w:szCs w:val="24"/>
              </w:rPr>
              <w:t>Nominations for the posts of chairmen and vice-chairmen of the Sector advisory groups, study groups and other groups should be accompanied by a biographical profile highlighting the qualifications of the individuals proposed, taking into consideration continuity in participation in the Sector advisory group, study group or other group, and that the Director of the Bureau concerned will circulate the profiles to the heads of delegation present at the assembly or conference</w:t>
            </w:r>
            <w:r w:rsidR="006131C2" w:rsidRPr="0042750D">
              <w:rPr>
                <w:b/>
                <w:bCs/>
                <w:sz w:val="24"/>
                <w:szCs w:val="24"/>
              </w:rPr>
              <w:t xml:space="preserve"> (</w:t>
            </w:r>
            <w:r w:rsidR="006131C2" w:rsidRPr="0042750D">
              <w:rPr>
                <w:b/>
                <w:bCs/>
                <w:i/>
                <w:sz w:val="24"/>
                <w:szCs w:val="24"/>
              </w:rPr>
              <w:t>resolves 2</w:t>
            </w:r>
            <w:r w:rsidR="006131C2" w:rsidRPr="0042750D">
              <w:rPr>
                <w:b/>
                <w:bCs/>
                <w:sz w:val="24"/>
                <w:szCs w:val="24"/>
              </w:rPr>
              <w:t>)</w:t>
            </w:r>
            <w:r w:rsidRPr="0042750D">
              <w:rPr>
                <w:b/>
                <w:bCs/>
                <w:sz w:val="24"/>
                <w:szCs w:val="24"/>
              </w:rPr>
              <w:t>.</w:t>
            </w:r>
          </w:p>
          <w:p w14:paraId="44CABF4E" w14:textId="5C23BE55" w:rsidR="00F0236A" w:rsidRPr="0042750D" w:rsidRDefault="00AD22EF" w:rsidP="00AD22EF">
            <w:pPr>
              <w:pStyle w:val="Tabletext"/>
              <w:rPr>
                <w:b/>
                <w:bCs/>
                <w:sz w:val="24"/>
                <w:szCs w:val="24"/>
              </w:rPr>
            </w:pPr>
            <w:r w:rsidRPr="0042750D">
              <w:rPr>
                <w:b/>
                <w:bCs/>
                <w:sz w:val="24"/>
                <w:szCs w:val="24"/>
              </w:rPr>
              <w:t>The term of office for both chairmen and vice-chairmen shall not exceed two terms of office between consecutive assemblies or conferences</w:t>
            </w:r>
            <w:r w:rsidR="006131C2" w:rsidRPr="0042750D">
              <w:rPr>
                <w:b/>
                <w:bCs/>
                <w:sz w:val="24"/>
                <w:szCs w:val="24"/>
              </w:rPr>
              <w:t xml:space="preserve"> (</w:t>
            </w:r>
            <w:r w:rsidR="006131C2" w:rsidRPr="0042750D">
              <w:rPr>
                <w:b/>
                <w:bCs/>
                <w:i/>
                <w:sz w:val="24"/>
                <w:szCs w:val="24"/>
              </w:rPr>
              <w:t>resolves 4</w:t>
            </w:r>
            <w:r w:rsidR="006131C2"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3119DEDD"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1" w:type="dxa"/>
            <w:tcBorders>
              <w:top w:val="single" w:sz="12" w:space="0" w:color="auto"/>
              <w:bottom w:val="single" w:sz="2" w:space="0" w:color="auto"/>
            </w:tcBorders>
            <w:shd w:val="clear" w:color="auto" w:fill="auto"/>
            <w:vAlign w:val="center"/>
          </w:tcPr>
          <w:p w14:paraId="4887A1B8" w14:textId="7CB8BABA" w:rsidR="00F0236A" w:rsidRPr="0042750D" w:rsidRDefault="00D7699A"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1653FD18" w14:textId="77777777" w:rsidR="00F0236A" w:rsidRPr="0042750D" w:rsidRDefault="00F0236A" w:rsidP="00DF36E1">
            <w:pPr>
              <w:pStyle w:val="Tabletext"/>
              <w:jc w:val="center"/>
              <w:rPr>
                <w:b/>
                <w:bCs/>
                <w:sz w:val="24"/>
                <w:szCs w:val="24"/>
              </w:rPr>
            </w:pPr>
          </w:p>
        </w:tc>
      </w:tr>
      <w:tr w:rsidR="00F0236A" w:rsidRPr="0042750D" w14:paraId="69D23214" w14:textId="77777777" w:rsidTr="00027F2D">
        <w:trPr>
          <w:jc w:val="center"/>
        </w:trPr>
        <w:tc>
          <w:tcPr>
            <w:tcW w:w="1191" w:type="dxa"/>
            <w:vMerge/>
            <w:tcBorders>
              <w:bottom w:val="single" w:sz="12" w:space="0" w:color="auto"/>
            </w:tcBorders>
            <w:shd w:val="clear" w:color="auto" w:fill="auto"/>
          </w:tcPr>
          <w:p w14:paraId="270B5BF6" w14:textId="77777777" w:rsidR="00F0236A" w:rsidRPr="0042750D" w:rsidRDefault="00F0236A" w:rsidP="00DF36E1">
            <w:pPr>
              <w:pStyle w:val="Tabletext"/>
              <w:rPr>
                <w:sz w:val="24"/>
                <w:szCs w:val="24"/>
              </w:rPr>
            </w:pPr>
          </w:p>
        </w:tc>
        <w:tc>
          <w:tcPr>
            <w:tcW w:w="8741" w:type="dxa"/>
            <w:gridSpan w:val="4"/>
            <w:tcBorders>
              <w:top w:val="single" w:sz="2" w:space="0" w:color="auto"/>
              <w:bottom w:val="single" w:sz="12" w:space="0" w:color="auto"/>
            </w:tcBorders>
            <w:shd w:val="clear" w:color="auto" w:fill="auto"/>
          </w:tcPr>
          <w:p w14:paraId="2C0F80F0" w14:textId="6BA6426F" w:rsidR="0004463E" w:rsidRPr="0042750D" w:rsidRDefault="00DD025B" w:rsidP="006F2431">
            <w:pPr>
              <w:spacing w:before="40" w:after="40"/>
            </w:pPr>
            <w:hyperlink r:id="rId164" w:history="1">
              <w:r w:rsidR="00D7699A" w:rsidRPr="0042750D">
                <w:rPr>
                  <w:rStyle w:val="Hyperlink"/>
                  <w:szCs w:val="22"/>
                </w:rPr>
                <w:t xml:space="preserve">TSB </w:t>
              </w:r>
              <w:r w:rsidR="00D7699A" w:rsidRPr="0042750D">
                <w:rPr>
                  <w:rStyle w:val="Hyperlink"/>
                </w:rPr>
                <w:t>Circular 202</w:t>
              </w:r>
            </w:hyperlink>
            <w:r w:rsidR="00D7699A" w:rsidRPr="0042750D">
              <w:t xml:space="preserve"> “Candidates for chairmen and vice-chairmen of ITU-T study groups, the Telecommunication Standardization Advisory Group (TSAG) and the Standardization Committee for Vocabulary (SCV) for 2021-2024” is posted.</w:t>
            </w:r>
          </w:p>
        </w:tc>
      </w:tr>
    </w:tbl>
    <w:bookmarkStart w:id="413" w:name="Item94_01"/>
    <w:bookmarkStart w:id="414" w:name="Item94_02"/>
    <w:bookmarkStart w:id="415" w:name="Item94_03"/>
    <w:bookmarkStart w:id="416" w:name="Item94_04"/>
    <w:bookmarkStart w:id="417" w:name="Item94_05"/>
    <w:bookmarkEnd w:id="413"/>
    <w:bookmarkEnd w:id="414"/>
    <w:bookmarkEnd w:id="415"/>
    <w:bookmarkEnd w:id="416"/>
    <w:bookmarkEnd w:id="417"/>
    <w:p w14:paraId="319581C3"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4F9FD5E7" w14:textId="0EF9E7D9" w:rsidR="00F0236A" w:rsidRPr="0042750D" w:rsidRDefault="000A307B" w:rsidP="00D50A4E">
      <w:pPr>
        <w:pStyle w:val="Heading1"/>
        <w:rPr>
          <w:sz w:val="24"/>
          <w:szCs w:val="24"/>
          <w:lang w:val="en-GB"/>
        </w:rPr>
      </w:pPr>
      <w:bookmarkStart w:id="418" w:name="_Resolution_95_-"/>
      <w:bookmarkStart w:id="419" w:name="_Toc30749198"/>
      <w:bookmarkEnd w:id="418"/>
      <w:r w:rsidRPr="0042750D">
        <w:rPr>
          <w:sz w:val="24"/>
          <w:szCs w:val="24"/>
          <w:lang w:val="en-GB"/>
        </w:rPr>
        <w:t xml:space="preserve">RESOLUTION </w:t>
      </w:r>
      <w:r w:rsidR="00207BF5" w:rsidRPr="0042750D">
        <w:rPr>
          <w:sz w:val="24"/>
          <w:szCs w:val="24"/>
          <w:lang w:val="en-GB"/>
        </w:rPr>
        <w:t>209</w:t>
      </w:r>
      <w:r w:rsidRPr="0042750D">
        <w:rPr>
          <w:sz w:val="24"/>
          <w:szCs w:val="24"/>
          <w:lang w:val="en-GB"/>
        </w:rPr>
        <w:t xml:space="preserve"> (DUBAI, 2018) – Encouraging the participation of small and medium enterprises in the work of the Union</w:t>
      </w:r>
      <w:bookmarkEnd w:id="419"/>
    </w:p>
    <w:p w14:paraId="0A1B5DA8" w14:textId="77777777" w:rsidR="000A307B" w:rsidRPr="0042750D" w:rsidRDefault="000A307B" w:rsidP="000A307B">
      <w:pPr>
        <w:pStyle w:val="Call"/>
        <w:rPr>
          <w:szCs w:val="22"/>
          <w:lang w:val="en-GB"/>
        </w:rPr>
      </w:pPr>
      <w:r w:rsidRPr="0042750D">
        <w:rPr>
          <w:szCs w:val="22"/>
          <w:lang w:val="en-GB"/>
        </w:rPr>
        <w:t>resolves</w:t>
      </w:r>
    </w:p>
    <w:p w14:paraId="56E4BA71" w14:textId="77777777" w:rsidR="000A307B" w:rsidRPr="0042750D" w:rsidRDefault="000A307B" w:rsidP="000A307B">
      <w:pPr>
        <w:rPr>
          <w:szCs w:val="22"/>
        </w:rPr>
      </w:pPr>
      <w:r w:rsidRPr="0042750D">
        <w:rPr>
          <w:szCs w:val="22"/>
        </w:rPr>
        <w:t>1</w:t>
      </w:r>
      <w:r w:rsidRPr="0042750D">
        <w:rPr>
          <w:szCs w:val="22"/>
        </w:rPr>
        <w:tab/>
        <w:t>to encourage the participation of SMEs as Associates in the Sectors of the Union by introducing reduced fees for such entities, pursuant to the provisions of this resolution, without the need for any amendment to Articles 2 and 3 of the ITU Constitution, and Article 19 of the ITU Convention or any other provision of the Convention, with a differentiated level of financial contribution during a trial period that will extend until the next plenipotentiary conference;</w:t>
      </w:r>
    </w:p>
    <w:p w14:paraId="3CAA193C" w14:textId="77777777" w:rsidR="000A307B" w:rsidRPr="0042750D" w:rsidRDefault="000A307B" w:rsidP="000A307B">
      <w:pPr>
        <w:rPr>
          <w:szCs w:val="22"/>
        </w:rPr>
      </w:pPr>
      <w:r w:rsidRPr="0042750D">
        <w:rPr>
          <w:szCs w:val="22"/>
        </w:rPr>
        <w:t>2</w:t>
      </w:r>
      <w:r w:rsidRPr="0042750D">
        <w:rPr>
          <w:szCs w:val="22"/>
        </w:rPr>
        <w:tab/>
        <w:t>to set the level of the financial contribution for participation in each Sector of the Union at one-sixteenth of the value of a contributory unit for Sector Members in the case of SMEs from developed countries, and one-thirty second of the value of the contributory unit for Sector Members in the case of SMEs from developing countries, subject to ongoing review by the Council;</w:t>
      </w:r>
    </w:p>
    <w:p w14:paraId="6496E8F6" w14:textId="77777777" w:rsidR="000A307B" w:rsidRPr="0042750D" w:rsidRDefault="000A307B" w:rsidP="000A307B">
      <w:pPr>
        <w:rPr>
          <w:szCs w:val="22"/>
        </w:rPr>
      </w:pPr>
      <w:r w:rsidRPr="0042750D">
        <w:rPr>
          <w:szCs w:val="22"/>
        </w:rPr>
        <w:t>3</w:t>
      </w:r>
      <w:r w:rsidRPr="0042750D">
        <w:rPr>
          <w:szCs w:val="22"/>
        </w:rPr>
        <w:tab/>
        <w:t>that acceptance of applications for participation shall be conditional on the support of the Member States of the Union to which these entities belong, attesting that the applicant is an SME in accordance with the country's definition thereof, and that, if such an entity is approved by their respective Member State as meeting national criteria for an SME, to be eligible for the SME reduced fees, they must also have fewer than 250 employees as well as annual revenues below a maximum set by Council;</w:t>
      </w:r>
    </w:p>
    <w:p w14:paraId="0C74213A" w14:textId="77777777" w:rsidR="000A307B" w:rsidRPr="0042750D" w:rsidRDefault="000A307B" w:rsidP="000A307B">
      <w:pPr>
        <w:rPr>
          <w:szCs w:val="22"/>
        </w:rPr>
      </w:pPr>
      <w:r w:rsidRPr="0042750D">
        <w:rPr>
          <w:szCs w:val="22"/>
        </w:rPr>
        <w:t>4</w:t>
      </w:r>
      <w:r w:rsidRPr="0042750D">
        <w:rPr>
          <w:szCs w:val="22"/>
        </w:rPr>
        <w:tab/>
        <w:t>that in no case can a subsidiary or affiliate of a company that would not qualify for reduced fees under this resolution be presented as an SME,</w:t>
      </w:r>
    </w:p>
    <w:p w14:paraId="648ACC98" w14:textId="77777777" w:rsidR="000A307B" w:rsidRPr="0042750D" w:rsidRDefault="000A307B" w:rsidP="000A307B">
      <w:pPr>
        <w:pStyle w:val="Call"/>
        <w:rPr>
          <w:szCs w:val="22"/>
          <w:lang w:val="en-GB"/>
        </w:rPr>
      </w:pPr>
      <w:r w:rsidRPr="0042750D">
        <w:rPr>
          <w:szCs w:val="22"/>
          <w:lang w:val="en-GB"/>
        </w:rPr>
        <w:t>instructs the Secretary-General and the Directors of the three Bureaux</w:t>
      </w:r>
    </w:p>
    <w:p w14:paraId="3BD7CA8C" w14:textId="77777777" w:rsidR="000A307B" w:rsidRPr="0042750D" w:rsidRDefault="000A307B" w:rsidP="000A307B">
      <w:pPr>
        <w:rPr>
          <w:szCs w:val="22"/>
        </w:rPr>
      </w:pPr>
      <w:r w:rsidRPr="0042750D">
        <w:rPr>
          <w:szCs w:val="22"/>
        </w:rPr>
        <w:t>1</w:t>
      </w:r>
      <w:r w:rsidRPr="0042750D">
        <w:rPr>
          <w:szCs w:val="22"/>
        </w:rPr>
        <w:tab/>
        <w:t>to take necessary and appropriate action to implement this resolution;</w:t>
      </w:r>
    </w:p>
    <w:p w14:paraId="757D5CA9" w14:textId="6A060B0C" w:rsidR="00F0236A" w:rsidRPr="0042750D" w:rsidRDefault="000A307B" w:rsidP="000A307B">
      <w:pPr>
        <w:spacing w:after="120"/>
        <w:rPr>
          <w:i/>
          <w:szCs w:val="22"/>
        </w:rPr>
      </w:pPr>
      <w:r w:rsidRPr="0042750D">
        <w:rPr>
          <w:szCs w:val="22"/>
        </w:rPr>
        <w:t>2</w:t>
      </w:r>
      <w:r w:rsidRPr="0042750D">
        <w:rPr>
          <w:szCs w:val="22"/>
        </w:rPr>
        <w:tab/>
        <w:t>to continue encouraging the participation of SMEs in the relevant activities of the Union</w:t>
      </w:r>
      <w:r w:rsidR="00F0236A" w:rsidRPr="0042750D">
        <w:rPr>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1"/>
        <w:gridCol w:w="4929"/>
        <w:gridCol w:w="1333"/>
        <w:gridCol w:w="1141"/>
        <w:gridCol w:w="1338"/>
      </w:tblGrid>
      <w:tr w:rsidR="00F0236A" w:rsidRPr="0042750D" w14:paraId="66C7E5CA" w14:textId="77777777" w:rsidTr="003462B2">
        <w:trPr>
          <w:jc w:val="center"/>
        </w:trPr>
        <w:tc>
          <w:tcPr>
            <w:tcW w:w="1191" w:type="dxa"/>
            <w:tcBorders>
              <w:top w:val="single" w:sz="12" w:space="0" w:color="auto"/>
              <w:bottom w:val="single" w:sz="12" w:space="0" w:color="auto"/>
            </w:tcBorders>
            <w:shd w:val="clear" w:color="auto" w:fill="auto"/>
            <w:vAlign w:val="center"/>
          </w:tcPr>
          <w:p w14:paraId="6558C896" w14:textId="77777777" w:rsidR="00F0236A" w:rsidRPr="0042750D" w:rsidRDefault="00F0236A" w:rsidP="00F6275A">
            <w:pPr>
              <w:pStyle w:val="Tablehead"/>
              <w:keepLines/>
              <w:rPr>
                <w:sz w:val="24"/>
                <w:szCs w:val="24"/>
              </w:rPr>
            </w:pPr>
            <w:r w:rsidRPr="0042750D">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1A1412D0" w14:textId="77777777" w:rsidR="00F0236A" w:rsidRPr="0042750D" w:rsidRDefault="00F0236A" w:rsidP="00DF36E1">
            <w:pPr>
              <w:pStyle w:val="Tablehead"/>
              <w:rPr>
                <w:sz w:val="24"/>
                <w:szCs w:val="24"/>
              </w:rPr>
            </w:pPr>
            <w:r w:rsidRPr="0042750D">
              <w:rPr>
                <w:sz w:val="24"/>
                <w:szCs w:val="24"/>
              </w:rPr>
              <w:t>Action</w:t>
            </w:r>
          </w:p>
        </w:tc>
        <w:tc>
          <w:tcPr>
            <w:tcW w:w="1333" w:type="dxa"/>
            <w:tcBorders>
              <w:top w:val="single" w:sz="12" w:space="0" w:color="auto"/>
              <w:bottom w:val="single" w:sz="12" w:space="0" w:color="auto"/>
            </w:tcBorders>
            <w:shd w:val="clear" w:color="auto" w:fill="auto"/>
            <w:vAlign w:val="center"/>
            <w:hideMark/>
          </w:tcPr>
          <w:p w14:paraId="0F2273C2" w14:textId="77777777" w:rsidR="00F0236A" w:rsidRPr="0042750D" w:rsidRDefault="00F0236A" w:rsidP="00DF36E1">
            <w:pPr>
              <w:pStyle w:val="Tablehead"/>
              <w:rPr>
                <w:sz w:val="24"/>
                <w:szCs w:val="24"/>
              </w:rPr>
            </w:pPr>
            <w:r w:rsidRPr="0042750D">
              <w:rPr>
                <w:sz w:val="24"/>
                <w:szCs w:val="24"/>
              </w:rPr>
              <w:t>Milestone</w:t>
            </w:r>
          </w:p>
        </w:tc>
        <w:tc>
          <w:tcPr>
            <w:tcW w:w="1141" w:type="dxa"/>
            <w:tcBorders>
              <w:top w:val="single" w:sz="12" w:space="0" w:color="auto"/>
              <w:bottom w:val="single" w:sz="12" w:space="0" w:color="auto"/>
            </w:tcBorders>
            <w:shd w:val="clear" w:color="auto" w:fill="auto"/>
          </w:tcPr>
          <w:p w14:paraId="37BF83D0" w14:textId="77777777" w:rsidR="00F0236A" w:rsidRPr="0042750D" w:rsidRDefault="00F0236A" w:rsidP="00DF36E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49308E17" w14:textId="77777777" w:rsidR="00F0236A" w:rsidRPr="0042750D" w:rsidRDefault="00F0236A" w:rsidP="00DF36E1">
            <w:pPr>
              <w:pStyle w:val="Tablehead"/>
              <w:rPr>
                <w:sz w:val="24"/>
                <w:szCs w:val="24"/>
              </w:rPr>
            </w:pPr>
            <w:r w:rsidRPr="0042750D">
              <w:rPr>
                <w:sz w:val="24"/>
                <w:szCs w:val="24"/>
              </w:rPr>
              <w:t>Completed</w:t>
            </w:r>
          </w:p>
        </w:tc>
      </w:tr>
      <w:tr w:rsidR="00F0236A" w:rsidRPr="0042750D" w14:paraId="0CFEC68C" w14:textId="77777777" w:rsidTr="003462B2">
        <w:trPr>
          <w:jc w:val="center"/>
        </w:trPr>
        <w:tc>
          <w:tcPr>
            <w:tcW w:w="1191" w:type="dxa"/>
            <w:vMerge w:val="restart"/>
            <w:tcBorders>
              <w:top w:val="single" w:sz="12" w:space="0" w:color="auto"/>
            </w:tcBorders>
            <w:shd w:val="clear" w:color="auto" w:fill="auto"/>
          </w:tcPr>
          <w:p w14:paraId="1DC763A1" w14:textId="1DACBD15" w:rsidR="00F0236A" w:rsidRPr="0042750D" w:rsidRDefault="00207BF5" w:rsidP="00F6275A">
            <w:pPr>
              <w:pStyle w:val="Tabletext"/>
              <w:keepNext/>
              <w:keepLines/>
              <w:rPr>
                <w:b/>
                <w:bCs/>
                <w:sz w:val="24"/>
                <w:szCs w:val="24"/>
              </w:rPr>
            </w:pPr>
            <w:r w:rsidRPr="0042750D">
              <w:rPr>
                <w:b/>
                <w:bCs/>
                <w:sz w:val="24"/>
                <w:szCs w:val="24"/>
              </w:rPr>
              <w:t>209</w:t>
            </w:r>
            <w:r w:rsidR="00F0236A" w:rsidRPr="0042750D">
              <w:rPr>
                <w:b/>
                <w:bCs/>
                <w:sz w:val="24"/>
                <w:szCs w:val="24"/>
              </w:rPr>
              <w:t>-01</w:t>
            </w:r>
          </w:p>
        </w:tc>
        <w:tc>
          <w:tcPr>
            <w:tcW w:w="4929" w:type="dxa"/>
            <w:tcBorders>
              <w:top w:val="single" w:sz="12" w:space="0" w:color="auto"/>
              <w:bottom w:val="single" w:sz="2" w:space="0" w:color="auto"/>
            </w:tcBorders>
            <w:shd w:val="clear" w:color="auto" w:fill="auto"/>
          </w:tcPr>
          <w:p w14:paraId="0545EAE3" w14:textId="5553E03B" w:rsidR="00F0236A" w:rsidRPr="0042750D" w:rsidRDefault="000A307B" w:rsidP="000A307B">
            <w:pPr>
              <w:pStyle w:val="Tabletext"/>
              <w:rPr>
                <w:b/>
                <w:bCs/>
                <w:sz w:val="24"/>
                <w:szCs w:val="24"/>
              </w:rPr>
            </w:pPr>
            <w:r w:rsidRPr="0042750D">
              <w:rPr>
                <w:b/>
                <w:bCs/>
                <w:sz w:val="24"/>
                <w:szCs w:val="24"/>
              </w:rPr>
              <w:t>TSBDir to take necessary and appropriate action to implement this resolution</w:t>
            </w:r>
            <w:r w:rsidR="00F054DF" w:rsidRPr="0042750D">
              <w:rPr>
                <w:b/>
                <w:bCs/>
                <w:sz w:val="24"/>
                <w:szCs w:val="24"/>
              </w:rPr>
              <w:t xml:space="preserve"> (</w:t>
            </w:r>
            <w:r w:rsidR="00F054DF" w:rsidRPr="0042750D">
              <w:rPr>
                <w:b/>
                <w:bCs/>
                <w:i/>
                <w:sz w:val="24"/>
                <w:szCs w:val="24"/>
              </w:rPr>
              <w:t>instructs 1</w:t>
            </w:r>
            <w:r w:rsidR="00F054DF"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6650C04F"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1" w:type="dxa"/>
            <w:tcBorders>
              <w:top w:val="single" w:sz="12" w:space="0" w:color="auto"/>
              <w:bottom w:val="single" w:sz="2" w:space="0" w:color="auto"/>
            </w:tcBorders>
            <w:shd w:val="clear" w:color="auto" w:fill="auto"/>
            <w:vAlign w:val="center"/>
          </w:tcPr>
          <w:p w14:paraId="42EE793B" w14:textId="148B5E75" w:rsidR="00F0236A" w:rsidRPr="0042750D" w:rsidRDefault="005226AC"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51ADA0CD" w14:textId="77777777" w:rsidR="00F0236A" w:rsidRPr="0042750D" w:rsidRDefault="00F0236A" w:rsidP="00DF36E1">
            <w:pPr>
              <w:pStyle w:val="Tabletext"/>
              <w:jc w:val="center"/>
              <w:rPr>
                <w:b/>
                <w:bCs/>
                <w:sz w:val="24"/>
                <w:szCs w:val="24"/>
              </w:rPr>
            </w:pPr>
          </w:p>
        </w:tc>
      </w:tr>
      <w:tr w:rsidR="00F0236A" w:rsidRPr="0042750D" w14:paraId="7192EF8A" w14:textId="77777777" w:rsidTr="003462B2">
        <w:trPr>
          <w:jc w:val="center"/>
        </w:trPr>
        <w:tc>
          <w:tcPr>
            <w:tcW w:w="1191" w:type="dxa"/>
            <w:vMerge/>
            <w:tcBorders>
              <w:bottom w:val="single" w:sz="12" w:space="0" w:color="auto"/>
            </w:tcBorders>
            <w:shd w:val="clear" w:color="auto" w:fill="auto"/>
          </w:tcPr>
          <w:p w14:paraId="251395D1" w14:textId="77777777" w:rsidR="00F0236A" w:rsidRPr="0042750D" w:rsidRDefault="00F0236A" w:rsidP="00DF36E1">
            <w:pPr>
              <w:pStyle w:val="Tabletext"/>
              <w:rPr>
                <w:sz w:val="24"/>
                <w:szCs w:val="24"/>
              </w:rPr>
            </w:pPr>
          </w:p>
        </w:tc>
        <w:tc>
          <w:tcPr>
            <w:tcW w:w="8741" w:type="dxa"/>
            <w:gridSpan w:val="4"/>
            <w:tcBorders>
              <w:top w:val="single" w:sz="2" w:space="0" w:color="auto"/>
              <w:bottom w:val="single" w:sz="12" w:space="0" w:color="auto"/>
            </w:tcBorders>
            <w:shd w:val="clear" w:color="auto" w:fill="auto"/>
          </w:tcPr>
          <w:p w14:paraId="4E5A198C" w14:textId="01E6FC3A" w:rsidR="003E668D" w:rsidRPr="0042750D" w:rsidRDefault="005226AC" w:rsidP="006F2431">
            <w:pPr>
              <w:spacing w:before="40" w:after="40"/>
            </w:pPr>
            <w:r w:rsidRPr="0042750D">
              <w:t>Under the guidance of the TSB Director, the TSB Secretariat, in coordination with the General Secretariat, is taking the necessary and appropriate steps to implement Res. 209 (Dubai, 2018). The new reduced fee option for SMEs established by Res. 209 (Dubai, 2018) will be implemented as of 31 January 2020 to allow time for an orderly transition, as recommended by CWG-FHR.</w:t>
            </w:r>
          </w:p>
        </w:tc>
      </w:tr>
      <w:tr w:rsidR="00F0236A" w:rsidRPr="0042750D" w14:paraId="6AFAE67F" w14:textId="77777777" w:rsidTr="003462B2">
        <w:trPr>
          <w:jc w:val="center"/>
        </w:trPr>
        <w:tc>
          <w:tcPr>
            <w:tcW w:w="1191" w:type="dxa"/>
            <w:vMerge w:val="restart"/>
            <w:tcBorders>
              <w:top w:val="single" w:sz="12" w:space="0" w:color="auto"/>
            </w:tcBorders>
            <w:shd w:val="clear" w:color="auto" w:fill="auto"/>
          </w:tcPr>
          <w:p w14:paraId="2CFC7F9D" w14:textId="21743482" w:rsidR="00F0236A" w:rsidRPr="0042750D" w:rsidRDefault="00207BF5" w:rsidP="001655CE">
            <w:pPr>
              <w:pStyle w:val="Tabletext"/>
              <w:keepNext/>
              <w:keepLines/>
              <w:rPr>
                <w:b/>
                <w:bCs/>
                <w:sz w:val="24"/>
                <w:szCs w:val="24"/>
              </w:rPr>
            </w:pPr>
            <w:r w:rsidRPr="0042750D">
              <w:rPr>
                <w:b/>
                <w:bCs/>
                <w:sz w:val="24"/>
                <w:szCs w:val="24"/>
              </w:rPr>
              <w:t>209</w:t>
            </w:r>
            <w:r w:rsidR="000A307B" w:rsidRPr="0042750D">
              <w:rPr>
                <w:b/>
                <w:bCs/>
                <w:sz w:val="24"/>
                <w:szCs w:val="24"/>
              </w:rPr>
              <w:t>-02</w:t>
            </w:r>
          </w:p>
        </w:tc>
        <w:tc>
          <w:tcPr>
            <w:tcW w:w="4929" w:type="dxa"/>
            <w:tcBorders>
              <w:top w:val="single" w:sz="12" w:space="0" w:color="auto"/>
              <w:bottom w:val="single" w:sz="4" w:space="0" w:color="auto"/>
            </w:tcBorders>
            <w:shd w:val="clear" w:color="auto" w:fill="auto"/>
          </w:tcPr>
          <w:p w14:paraId="586913E9" w14:textId="7CB1BFA5" w:rsidR="00F0236A" w:rsidRPr="0042750D" w:rsidRDefault="000A307B" w:rsidP="00DF36E1">
            <w:pPr>
              <w:pStyle w:val="Tabletext"/>
              <w:rPr>
                <w:b/>
                <w:bCs/>
                <w:sz w:val="24"/>
                <w:szCs w:val="24"/>
              </w:rPr>
            </w:pPr>
            <w:r w:rsidRPr="0042750D">
              <w:rPr>
                <w:b/>
                <w:bCs/>
                <w:sz w:val="24"/>
                <w:szCs w:val="24"/>
              </w:rPr>
              <w:t>TSBDir to continue encouraging the participation of SMEs in the relevant activities of ITU-T</w:t>
            </w:r>
            <w:r w:rsidR="00F054DF" w:rsidRPr="0042750D">
              <w:rPr>
                <w:b/>
                <w:bCs/>
                <w:sz w:val="24"/>
                <w:szCs w:val="24"/>
              </w:rPr>
              <w:t xml:space="preserve"> (</w:t>
            </w:r>
            <w:r w:rsidR="00F054DF" w:rsidRPr="0042750D">
              <w:rPr>
                <w:b/>
                <w:bCs/>
                <w:i/>
                <w:sz w:val="24"/>
                <w:szCs w:val="24"/>
              </w:rPr>
              <w:t>instructs 2</w:t>
            </w:r>
            <w:r w:rsidR="00F054DF" w:rsidRPr="0042750D">
              <w:rPr>
                <w:b/>
                <w:bCs/>
                <w:sz w:val="24"/>
                <w:szCs w:val="24"/>
              </w:rPr>
              <w:t>)</w:t>
            </w:r>
            <w:r w:rsidRPr="0042750D">
              <w:rPr>
                <w:b/>
                <w:bCs/>
                <w:sz w:val="24"/>
                <w:szCs w:val="24"/>
              </w:rPr>
              <w:t>.</w:t>
            </w:r>
          </w:p>
        </w:tc>
        <w:tc>
          <w:tcPr>
            <w:tcW w:w="1333" w:type="dxa"/>
            <w:tcBorders>
              <w:top w:val="single" w:sz="12" w:space="0" w:color="auto"/>
              <w:bottom w:val="single" w:sz="4" w:space="0" w:color="auto"/>
            </w:tcBorders>
            <w:shd w:val="clear" w:color="auto" w:fill="auto"/>
            <w:vAlign w:val="center"/>
          </w:tcPr>
          <w:p w14:paraId="522DBDC4" w14:textId="77777777" w:rsidR="00F0236A" w:rsidRPr="0042750D" w:rsidRDefault="00F0236A" w:rsidP="00DF36E1">
            <w:pPr>
              <w:pStyle w:val="Tabletext"/>
              <w:jc w:val="center"/>
              <w:rPr>
                <w:b/>
                <w:bCs/>
                <w:sz w:val="24"/>
                <w:szCs w:val="24"/>
              </w:rPr>
            </w:pPr>
            <w:r w:rsidRPr="0042750D">
              <w:rPr>
                <w:b/>
                <w:bCs/>
                <w:sz w:val="24"/>
                <w:szCs w:val="24"/>
              </w:rPr>
              <w:t>Ongoing</w:t>
            </w:r>
          </w:p>
        </w:tc>
        <w:tc>
          <w:tcPr>
            <w:tcW w:w="1141" w:type="dxa"/>
            <w:tcBorders>
              <w:top w:val="single" w:sz="12" w:space="0" w:color="auto"/>
              <w:bottom w:val="single" w:sz="4" w:space="0" w:color="auto"/>
            </w:tcBorders>
            <w:shd w:val="clear" w:color="auto" w:fill="auto"/>
            <w:vAlign w:val="center"/>
          </w:tcPr>
          <w:p w14:paraId="3FD5E62A" w14:textId="4426E00D" w:rsidR="00F0236A" w:rsidRPr="0042750D" w:rsidRDefault="00774B65" w:rsidP="00DF36E1">
            <w:pPr>
              <w:pStyle w:val="Tabletext"/>
              <w:jc w:val="center"/>
              <w:rPr>
                <w:b/>
                <w:bCs/>
                <w:sz w:val="24"/>
                <w:szCs w:val="24"/>
              </w:rPr>
            </w:pPr>
            <w:r w:rsidRPr="0042750D">
              <w:rPr>
                <w:b/>
                <w:bCs/>
                <w:sz w:val="24"/>
                <w:szCs w:val="24"/>
              </w:rPr>
              <w:t>√</w:t>
            </w:r>
          </w:p>
        </w:tc>
        <w:tc>
          <w:tcPr>
            <w:tcW w:w="1338" w:type="dxa"/>
            <w:tcBorders>
              <w:top w:val="single" w:sz="12" w:space="0" w:color="auto"/>
              <w:bottom w:val="single" w:sz="4" w:space="0" w:color="auto"/>
            </w:tcBorders>
            <w:shd w:val="clear" w:color="auto" w:fill="auto"/>
            <w:vAlign w:val="center"/>
          </w:tcPr>
          <w:p w14:paraId="0BEBAA8F" w14:textId="77777777" w:rsidR="00F0236A" w:rsidRPr="0042750D" w:rsidRDefault="00F0236A" w:rsidP="00DF36E1">
            <w:pPr>
              <w:pStyle w:val="Tabletext"/>
              <w:jc w:val="center"/>
              <w:rPr>
                <w:b/>
                <w:bCs/>
                <w:sz w:val="24"/>
                <w:szCs w:val="24"/>
              </w:rPr>
            </w:pPr>
          </w:p>
        </w:tc>
      </w:tr>
      <w:tr w:rsidR="00F0236A" w:rsidRPr="0042750D" w14:paraId="04D38CEB" w14:textId="77777777" w:rsidTr="003462B2">
        <w:trPr>
          <w:jc w:val="center"/>
        </w:trPr>
        <w:tc>
          <w:tcPr>
            <w:tcW w:w="1191" w:type="dxa"/>
            <w:vMerge/>
            <w:tcBorders>
              <w:bottom w:val="single" w:sz="12" w:space="0" w:color="auto"/>
            </w:tcBorders>
            <w:shd w:val="clear" w:color="auto" w:fill="auto"/>
          </w:tcPr>
          <w:p w14:paraId="366978F8" w14:textId="77777777" w:rsidR="00F0236A" w:rsidRPr="0042750D" w:rsidRDefault="00F0236A" w:rsidP="00DF36E1">
            <w:pPr>
              <w:pStyle w:val="Tabletext"/>
              <w:rPr>
                <w:sz w:val="24"/>
                <w:szCs w:val="24"/>
              </w:rPr>
            </w:pPr>
          </w:p>
        </w:tc>
        <w:tc>
          <w:tcPr>
            <w:tcW w:w="8741" w:type="dxa"/>
            <w:gridSpan w:val="4"/>
            <w:tcBorders>
              <w:top w:val="single" w:sz="4" w:space="0" w:color="auto"/>
              <w:bottom w:val="single" w:sz="12" w:space="0" w:color="auto"/>
            </w:tcBorders>
            <w:shd w:val="clear" w:color="auto" w:fill="auto"/>
          </w:tcPr>
          <w:p w14:paraId="713E1D9B" w14:textId="77777777" w:rsidR="00774B65" w:rsidRPr="0042750D" w:rsidRDefault="00774B65" w:rsidP="006F2431">
            <w:pPr>
              <w:overflowPunct w:val="0"/>
              <w:autoSpaceDE w:val="0"/>
              <w:autoSpaceDN w:val="0"/>
              <w:spacing w:before="40"/>
              <w:textAlignment w:val="baseline"/>
              <w:rPr>
                <w:rFonts w:eastAsiaTheme="minorHAnsi"/>
                <w:szCs w:val="22"/>
                <w:lang w:eastAsia="zh-CN"/>
              </w:rPr>
            </w:pPr>
            <w:r w:rsidRPr="0042750D">
              <w:rPr>
                <w:lang w:eastAsia="zh-CN"/>
              </w:rPr>
              <w:t>Under the guidance of the TSB Director, the TSB Secretariat is continuing to assist Member States with admitting eligible SMEs to the SME Pilot Project. This pilot project will continue until Res. 209 (Dubai, 2018) is implemented. Currently ITU-T Study Groups 5, 11, 16 and 20 have volunteered for the pilot project to increase the engagement of SMEs in the work of ITU-T.</w:t>
            </w:r>
          </w:p>
          <w:p w14:paraId="07528C0D" w14:textId="5651021D" w:rsidR="00F0236A" w:rsidRPr="0042750D" w:rsidRDefault="00774B65" w:rsidP="00774B65">
            <w:pPr>
              <w:overflowPunct w:val="0"/>
              <w:autoSpaceDE w:val="0"/>
              <w:autoSpaceDN w:val="0"/>
              <w:spacing w:after="40"/>
              <w:textAlignment w:val="baseline"/>
              <w:rPr>
                <w:lang w:eastAsia="zh-CN"/>
              </w:rPr>
            </w:pPr>
            <w:r w:rsidRPr="0042750D">
              <w:rPr>
                <w:lang w:eastAsia="zh-CN"/>
              </w:rPr>
              <w:t xml:space="preserve">A number of SMEs currently participating in this pilot project have expressed a strong interest in applying for Associate status under the reduced fee option contained in Res. 209 (Dubai, 2018). TSB is advising interested SMEs accordingly and notifying the relevant Member States of this interest. </w:t>
            </w:r>
          </w:p>
        </w:tc>
      </w:tr>
    </w:tbl>
    <w:bookmarkStart w:id="420" w:name="Item95_01"/>
    <w:bookmarkStart w:id="421" w:name="Item95_02"/>
    <w:bookmarkStart w:id="422" w:name="Item95_03"/>
    <w:bookmarkStart w:id="423" w:name="Item95_04"/>
    <w:bookmarkStart w:id="424" w:name="Item95_05"/>
    <w:bookmarkStart w:id="425" w:name="Item95_06"/>
    <w:bookmarkStart w:id="426" w:name="Item95_07"/>
    <w:bookmarkStart w:id="427" w:name="Item95_08"/>
    <w:bookmarkStart w:id="428" w:name="Item95_09"/>
    <w:bookmarkStart w:id="429" w:name="Item95_10"/>
    <w:bookmarkStart w:id="430" w:name="Item95_11"/>
    <w:bookmarkStart w:id="431" w:name="Item95_12"/>
    <w:bookmarkEnd w:id="420"/>
    <w:bookmarkEnd w:id="421"/>
    <w:bookmarkEnd w:id="422"/>
    <w:bookmarkEnd w:id="423"/>
    <w:bookmarkEnd w:id="424"/>
    <w:bookmarkEnd w:id="425"/>
    <w:bookmarkEnd w:id="426"/>
    <w:bookmarkEnd w:id="427"/>
    <w:bookmarkEnd w:id="428"/>
    <w:bookmarkEnd w:id="429"/>
    <w:bookmarkEnd w:id="430"/>
    <w:bookmarkEnd w:id="431"/>
    <w:p w14:paraId="304AD224"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416C8792" w14:textId="35AEACBA" w:rsidR="00F0236A" w:rsidRPr="0042750D" w:rsidRDefault="00F12B83" w:rsidP="00945FF7">
      <w:pPr>
        <w:pStyle w:val="Heading1"/>
        <w:keepNext/>
        <w:keepLines/>
        <w:rPr>
          <w:sz w:val="24"/>
          <w:szCs w:val="24"/>
          <w:lang w:val="en-GB"/>
        </w:rPr>
      </w:pPr>
      <w:bookmarkStart w:id="432" w:name="_Resolution_96_-"/>
      <w:bookmarkStart w:id="433" w:name="_Toc30749199"/>
      <w:bookmarkEnd w:id="432"/>
      <w:r w:rsidRPr="0042750D">
        <w:rPr>
          <w:sz w:val="24"/>
          <w:szCs w:val="24"/>
          <w:lang w:val="en-GB"/>
        </w:rPr>
        <w:t xml:space="preserve">RESOLUTION </w:t>
      </w:r>
      <w:r w:rsidR="00977B7C" w:rsidRPr="0042750D">
        <w:rPr>
          <w:sz w:val="24"/>
          <w:szCs w:val="24"/>
          <w:lang w:val="en-GB"/>
        </w:rPr>
        <w:t>211</w:t>
      </w:r>
      <w:r w:rsidRPr="0042750D">
        <w:rPr>
          <w:sz w:val="24"/>
          <w:szCs w:val="24"/>
          <w:lang w:val="en-GB"/>
        </w:rPr>
        <w:t xml:space="preserve"> (DUBAI, 2018) – Support for the Iraqi Du3M 2025 initiative for advancement of the telecommunication and information technology sectors</w:t>
      </w:r>
      <w:bookmarkEnd w:id="433"/>
    </w:p>
    <w:p w14:paraId="34DC2E4C" w14:textId="188840E3" w:rsidR="00F12B83" w:rsidRPr="0042750D" w:rsidRDefault="00F12B83" w:rsidP="00945FF7">
      <w:pPr>
        <w:pStyle w:val="Call"/>
        <w:rPr>
          <w:lang w:val="en-GB"/>
        </w:rPr>
      </w:pPr>
      <w:r w:rsidRPr="0042750D">
        <w:rPr>
          <w:lang w:val="en-GB"/>
        </w:rPr>
        <w:t>resolves to instruct the Director of the Telecommunication Development Bureau, in coordination with the Dir</w:t>
      </w:r>
      <w:r w:rsidR="00113400" w:rsidRPr="0042750D">
        <w:rPr>
          <w:lang w:val="en-GB"/>
        </w:rPr>
        <w:t>ectors of the other two Bureaux</w:t>
      </w:r>
    </w:p>
    <w:p w14:paraId="7DE8FB50" w14:textId="77777777" w:rsidR="00F12B83" w:rsidRPr="0042750D" w:rsidRDefault="00F12B83" w:rsidP="00945FF7">
      <w:pPr>
        <w:keepNext/>
        <w:keepLines/>
      </w:pPr>
      <w:r w:rsidRPr="0042750D">
        <w:t>to provide the appropriate technical expertise within or external to the Union for implementation of the Du</w:t>
      </w:r>
      <w:r w:rsidRPr="0042750D">
        <w:rPr>
          <w:vertAlign w:val="subscript"/>
        </w:rPr>
        <w:t>3</w:t>
      </w:r>
      <w:r w:rsidRPr="0042750D">
        <w:t>M 2025 initiative, and that the technical resources should be allocated within the financial plan and the budget as approved by the ITU Council,</w:t>
      </w:r>
    </w:p>
    <w:p w14:paraId="6DFE26DE" w14:textId="77777777" w:rsidR="00F12B83" w:rsidRPr="0042750D" w:rsidRDefault="00F12B83" w:rsidP="00F12B83">
      <w:pPr>
        <w:pStyle w:val="Call"/>
        <w:rPr>
          <w:lang w:val="en-GB"/>
        </w:rPr>
      </w:pPr>
      <w:r w:rsidRPr="0042750D">
        <w:rPr>
          <w:lang w:val="en-GB"/>
        </w:rPr>
        <w:t>invites Member States</w:t>
      </w:r>
    </w:p>
    <w:p w14:paraId="4A2607C3" w14:textId="77777777" w:rsidR="00F12B83" w:rsidRPr="0042750D" w:rsidRDefault="00F12B83" w:rsidP="00F12B83">
      <w:r w:rsidRPr="0042750D">
        <w:t>to offer all possible assistance and support to the Government of the Republic of Iraq to implement the Du</w:t>
      </w:r>
      <w:r w:rsidRPr="0042750D">
        <w:rPr>
          <w:vertAlign w:val="subscript"/>
        </w:rPr>
        <w:t>3</w:t>
      </w:r>
      <w:r w:rsidRPr="0042750D">
        <w:t>M 2025 initiative for advancement of the ICT sector in order to achieve economic and social development of the Iraqi people,</w:t>
      </w:r>
    </w:p>
    <w:p w14:paraId="30049A15" w14:textId="77777777" w:rsidR="00F12B83" w:rsidRPr="0042750D" w:rsidRDefault="00F12B83" w:rsidP="00F12B83">
      <w:pPr>
        <w:pStyle w:val="Call"/>
        <w:rPr>
          <w:sz w:val="30"/>
          <w:lang w:val="en-GB"/>
        </w:rPr>
      </w:pPr>
      <w:r w:rsidRPr="0042750D">
        <w:rPr>
          <w:lang w:val="en-GB"/>
        </w:rPr>
        <w:t>instructs the Secretary-General</w:t>
      </w:r>
    </w:p>
    <w:p w14:paraId="3B97F417" w14:textId="77777777" w:rsidR="00F12B83" w:rsidRPr="0042750D" w:rsidRDefault="00F12B83" w:rsidP="00F12B83">
      <w:r w:rsidRPr="0042750D">
        <w:t>1</w:t>
      </w:r>
      <w:r w:rsidRPr="0042750D">
        <w:tab/>
        <w:t>to provide the necessary technical resources and to take all possible measures to mobilize additional non-financial resources for such actions, on the basis of an action plan and timetable agreed with the Administration of Iraq;</w:t>
      </w:r>
    </w:p>
    <w:p w14:paraId="0590DEA3" w14:textId="4E21AA0A" w:rsidR="00F0236A" w:rsidRPr="0042750D" w:rsidRDefault="00F12B83" w:rsidP="00F12B83">
      <w:pPr>
        <w:spacing w:after="120"/>
      </w:pPr>
      <w:r w:rsidRPr="0042750D">
        <w:t>2</w:t>
      </w:r>
      <w:r w:rsidRPr="0042750D">
        <w:tab/>
        <w:t>to report on the matter annually to the Council on the progress made in the implementation of this resolution and mechanisms used to address difficulties as they occur.</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10"/>
        <w:gridCol w:w="1333"/>
        <w:gridCol w:w="1141"/>
        <w:gridCol w:w="1358"/>
      </w:tblGrid>
      <w:tr w:rsidR="00B6343E" w:rsidRPr="0042750D" w14:paraId="4B009898" w14:textId="77777777" w:rsidTr="003462B2">
        <w:trPr>
          <w:jc w:val="center"/>
        </w:trPr>
        <w:tc>
          <w:tcPr>
            <w:tcW w:w="1190" w:type="dxa"/>
            <w:tcBorders>
              <w:top w:val="single" w:sz="12" w:space="0" w:color="auto"/>
              <w:bottom w:val="single" w:sz="12" w:space="0" w:color="auto"/>
            </w:tcBorders>
            <w:shd w:val="clear" w:color="auto" w:fill="auto"/>
            <w:vAlign w:val="center"/>
          </w:tcPr>
          <w:p w14:paraId="4B514E28" w14:textId="77777777" w:rsidR="00B6343E" w:rsidRPr="0042750D" w:rsidRDefault="00B6343E" w:rsidP="00113400">
            <w:pPr>
              <w:pStyle w:val="Tablehead"/>
              <w:keepLines/>
              <w:rPr>
                <w:sz w:val="24"/>
                <w:szCs w:val="24"/>
              </w:rPr>
            </w:pPr>
            <w:r w:rsidRPr="0042750D">
              <w:rPr>
                <w:sz w:val="24"/>
                <w:szCs w:val="24"/>
              </w:rPr>
              <w:t>Action Item</w:t>
            </w:r>
          </w:p>
        </w:tc>
        <w:tc>
          <w:tcPr>
            <w:tcW w:w="4910" w:type="dxa"/>
            <w:tcBorders>
              <w:top w:val="single" w:sz="12" w:space="0" w:color="auto"/>
              <w:bottom w:val="single" w:sz="12" w:space="0" w:color="auto"/>
            </w:tcBorders>
            <w:shd w:val="clear" w:color="auto" w:fill="auto"/>
            <w:vAlign w:val="center"/>
            <w:hideMark/>
          </w:tcPr>
          <w:p w14:paraId="09303831" w14:textId="77777777" w:rsidR="00B6343E" w:rsidRPr="0042750D" w:rsidRDefault="00B6343E" w:rsidP="00113400">
            <w:pPr>
              <w:pStyle w:val="Tablehead"/>
              <w:keepLines/>
              <w:rPr>
                <w:sz w:val="24"/>
                <w:szCs w:val="24"/>
              </w:rPr>
            </w:pPr>
            <w:r w:rsidRPr="0042750D">
              <w:rPr>
                <w:sz w:val="24"/>
                <w:szCs w:val="24"/>
              </w:rPr>
              <w:t>Action</w:t>
            </w:r>
          </w:p>
        </w:tc>
        <w:tc>
          <w:tcPr>
            <w:tcW w:w="1333" w:type="dxa"/>
            <w:tcBorders>
              <w:top w:val="single" w:sz="12" w:space="0" w:color="auto"/>
              <w:bottom w:val="single" w:sz="12" w:space="0" w:color="auto"/>
            </w:tcBorders>
            <w:shd w:val="clear" w:color="auto" w:fill="auto"/>
            <w:vAlign w:val="center"/>
            <w:hideMark/>
          </w:tcPr>
          <w:p w14:paraId="19E8533F" w14:textId="77777777" w:rsidR="00B6343E" w:rsidRPr="0042750D" w:rsidRDefault="00B6343E" w:rsidP="005E0B71">
            <w:pPr>
              <w:pStyle w:val="Tablehead"/>
              <w:rPr>
                <w:sz w:val="24"/>
                <w:szCs w:val="24"/>
              </w:rPr>
            </w:pPr>
            <w:r w:rsidRPr="0042750D">
              <w:rPr>
                <w:sz w:val="24"/>
                <w:szCs w:val="24"/>
              </w:rPr>
              <w:t>Milestone</w:t>
            </w:r>
          </w:p>
        </w:tc>
        <w:tc>
          <w:tcPr>
            <w:tcW w:w="1141" w:type="dxa"/>
            <w:tcBorders>
              <w:top w:val="single" w:sz="12" w:space="0" w:color="auto"/>
              <w:bottom w:val="single" w:sz="12" w:space="0" w:color="auto"/>
            </w:tcBorders>
            <w:shd w:val="clear" w:color="auto" w:fill="auto"/>
          </w:tcPr>
          <w:p w14:paraId="00CE4825" w14:textId="77777777" w:rsidR="00B6343E" w:rsidRPr="0042750D" w:rsidRDefault="00B6343E" w:rsidP="005E0B71">
            <w:pPr>
              <w:pStyle w:val="Tablehead"/>
              <w:rPr>
                <w:sz w:val="24"/>
                <w:szCs w:val="24"/>
              </w:rPr>
            </w:pPr>
            <w:r w:rsidRPr="0042750D">
              <w:rPr>
                <w:sz w:val="24"/>
                <w:szCs w:val="24"/>
              </w:rPr>
              <w:t>Periodic goals met</w:t>
            </w:r>
          </w:p>
        </w:tc>
        <w:tc>
          <w:tcPr>
            <w:tcW w:w="1358" w:type="dxa"/>
            <w:tcBorders>
              <w:top w:val="single" w:sz="12" w:space="0" w:color="auto"/>
              <w:bottom w:val="single" w:sz="12" w:space="0" w:color="auto"/>
            </w:tcBorders>
            <w:shd w:val="clear" w:color="auto" w:fill="auto"/>
            <w:vAlign w:val="center"/>
          </w:tcPr>
          <w:p w14:paraId="04B26606" w14:textId="77777777" w:rsidR="00B6343E" w:rsidRPr="0042750D" w:rsidRDefault="00B6343E" w:rsidP="005E0B71">
            <w:pPr>
              <w:pStyle w:val="Tablehead"/>
              <w:rPr>
                <w:sz w:val="24"/>
                <w:szCs w:val="24"/>
              </w:rPr>
            </w:pPr>
            <w:r w:rsidRPr="0042750D">
              <w:rPr>
                <w:sz w:val="24"/>
                <w:szCs w:val="24"/>
              </w:rPr>
              <w:t>Completed</w:t>
            </w:r>
          </w:p>
        </w:tc>
      </w:tr>
      <w:tr w:rsidR="00B6343E" w:rsidRPr="0042750D" w14:paraId="59D51029" w14:textId="77777777" w:rsidTr="003462B2">
        <w:trPr>
          <w:jc w:val="center"/>
        </w:trPr>
        <w:tc>
          <w:tcPr>
            <w:tcW w:w="1190" w:type="dxa"/>
            <w:vMerge w:val="restart"/>
            <w:tcBorders>
              <w:top w:val="single" w:sz="12" w:space="0" w:color="auto"/>
            </w:tcBorders>
            <w:shd w:val="clear" w:color="auto" w:fill="auto"/>
          </w:tcPr>
          <w:p w14:paraId="70EAEF31" w14:textId="550D603C" w:rsidR="00B6343E" w:rsidRPr="0042750D" w:rsidRDefault="00977B7C" w:rsidP="00113400">
            <w:pPr>
              <w:pStyle w:val="Tabletext"/>
              <w:keepNext/>
              <w:keepLines/>
              <w:rPr>
                <w:b/>
                <w:bCs/>
                <w:sz w:val="24"/>
                <w:szCs w:val="24"/>
              </w:rPr>
            </w:pPr>
            <w:r w:rsidRPr="0042750D">
              <w:rPr>
                <w:b/>
                <w:sz w:val="24"/>
                <w:szCs w:val="24"/>
              </w:rPr>
              <w:t>211</w:t>
            </w:r>
            <w:r w:rsidR="00B6343E" w:rsidRPr="0042750D">
              <w:rPr>
                <w:b/>
                <w:bCs/>
                <w:sz w:val="24"/>
                <w:szCs w:val="24"/>
              </w:rPr>
              <w:t>-01</w:t>
            </w:r>
          </w:p>
        </w:tc>
        <w:tc>
          <w:tcPr>
            <w:tcW w:w="4910" w:type="dxa"/>
            <w:tcBorders>
              <w:top w:val="single" w:sz="12" w:space="0" w:color="auto"/>
              <w:bottom w:val="single" w:sz="2" w:space="0" w:color="auto"/>
            </w:tcBorders>
            <w:shd w:val="clear" w:color="auto" w:fill="auto"/>
          </w:tcPr>
          <w:p w14:paraId="7FE721EF" w14:textId="7AD6F036" w:rsidR="00B6343E" w:rsidRPr="0042750D" w:rsidRDefault="00F12B83" w:rsidP="00113400">
            <w:pPr>
              <w:pStyle w:val="Tabletext"/>
              <w:keepNext/>
              <w:keepLines/>
              <w:rPr>
                <w:b/>
                <w:bCs/>
                <w:sz w:val="24"/>
                <w:szCs w:val="24"/>
              </w:rPr>
            </w:pPr>
            <w:r w:rsidRPr="0042750D">
              <w:rPr>
                <w:b/>
                <w:bCs/>
                <w:sz w:val="24"/>
                <w:szCs w:val="24"/>
              </w:rPr>
              <w:t>TSBDir to provide the appropriate technical expertise within or external to ITU-T for implementation of the Du3M 2025 initiative, and that the technical resources should be allocated within the financial plan and the budget as approved by the ITU Council</w:t>
            </w:r>
            <w:r w:rsidR="00F054DF" w:rsidRPr="0042750D">
              <w:rPr>
                <w:b/>
                <w:bCs/>
                <w:sz w:val="24"/>
                <w:szCs w:val="24"/>
              </w:rPr>
              <w:t xml:space="preserve"> (</w:t>
            </w:r>
            <w:r w:rsidR="00F054DF" w:rsidRPr="0042750D">
              <w:rPr>
                <w:b/>
                <w:bCs/>
                <w:i/>
                <w:sz w:val="24"/>
                <w:szCs w:val="24"/>
              </w:rPr>
              <w:t>resolves</w:t>
            </w:r>
            <w:r w:rsidR="00F054DF"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610DC6D5" w14:textId="591C72AF" w:rsidR="00B6343E" w:rsidRPr="0042750D" w:rsidRDefault="00B6343E" w:rsidP="00B6343E">
            <w:pPr>
              <w:pStyle w:val="Tabletext"/>
              <w:jc w:val="center"/>
              <w:rPr>
                <w:b/>
                <w:bCs/>
                <w:sz w:val="24"/>
                <w:szCs w:val="24"/>
              </w:rPr>
            </w:pPr>
            <w:r w:rsidRPr="0042750D">
              <w:rPr>
                <w:b/>
                <w:bCs/>
                <w:sz w:val="24"/>
                <w:szCs w:val="24"/>
              </w:rPr>
              <w:t>Ongoing</w:t>
            </w:r>
          </w:p>
        </w:tc>
        <w:tc>
          <w:tcPr>
            <w:tcW w:w="1141" w:type="dxa"/>
            <w:tcBorders>
              <w:top w:val="single" w:sz="12" w:space="0" w:color="auto"/>
              <w:bottom w:val="single" w:sz="2" w:space="0" w:color="auto"/>
            </w:tcBorders>
            <w:shd w:val="clear" w:color="auto" w:fill="auto"/>
            <w:vAlign w:val="center"/>
          </w:tcPr>
          <w:p w14:paraId="6891C0B4" w14:textId="12103FA4" w:rsidR="00B6343E" w:rsidRPr="0042750D" w:rsidRDefault="00B6343E" w:rsidP="00B6343E">
            <w:pPr>
              <w:pStyle w:val="Tabletext"/>
              <w:jc w:val="center"/>
              <w:rPr>
                <w:b/>
                <w:bCs/>
                <w:sz w:val="24"/>
                <w:szCs w:val="24"/>
              </w:rPr>
            </w:pPr>
          </w:p>
        </w:tc>
        <w:tc>
          <w:tcPr>
            <w:tcW w:w="1358" w:type="dxa"/>
            <w:tcBorders>
              <w:top w:val="single" w:sz="12" w:space="0" w:color="auto"/>
              <w:bottom w:val="single" w:sz="2" w:space="0" w:color="auto"/>
            </w:tcBorders>
            <w:shd w:val="clear" w:color="auto" w:fill="auto"/>
            <w:vAlign w:val="center"/>
          </w:tcPr>
          <w:p w14:paraId="3A9AA5BD" w14:textId="77777777" w:rsidR="00B6343E" w:rsidRPr="0042750D" w:rsidRDefault="00B6343E" w:rsidP="00B6343E">
            <w:pPr>
              <w:pStyle w:val="Tabletext"/>
              <w:jc w:val="center"/>
              <w:rPr>
                <w:b/>
                <w:bCs/>
                <w:sz w:val="24"/>
                <w:szCs w:val="24"/>
              </w:rPr>
            </w:pPr>
          </w:p>
        </w:tc>
      </w:tr>
      <w:tr w:rsidR="00B6343E" w:rsidRPr="0042750D" w14:paraId="3F37BF29" w14:textId="77777777" w:rsidTr="003462B2">
        <w:trPr>
          <w:jc w:val="center"/>
        </w:trPr>
        <w:tc>
          <w:tcPr>
            <w:tcW w:w="1190" w:type="dxa"/>
            <w:vMerge/>
            <w:tcBorders>
              <w:bottom w:val="single" w:sz="12" w:space="0" w:color="auto"/>
            </w:tcBorders>
            <w:shd w:val="clear" w:color="auto" w:fill="auto"/>
          </w:tcPr>
          <w:p w14:paraId="5DD9E031" w14:textId="77777777" w:rsidR="00B6343E" w:rsidRPr="0042750D" w:rsidRDefault="00B6343E" w:rsidP="005E0B71">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0A5A2485" w14:textId="146642B5" w:rsidR="00B6343E" w:rsidRPr="0042750D" w:rsidRDefault="00B6343E" w:rsidP="00F12B83"/>
        </w:tc>
      </w:tr>
    </w:tbl>
    <w:bookmarkStart w:id="434" w:name="Item96_01"/>
    <w:bookmarkStart w:id="435" w:name="Item96_02"/>
    <w:bookmarkStart w:id="436" w:name="Item96_03"/>
    <w:bookmarkStart w:id="437" w:name="Item96_04"/>
    <w:bookmarkStart w:id="438" w:name="Item96_05"/>
    <w:bookmarkStart w:id="439" w:name="Item96_06"/>
    <w:bookmarkStart w:id="440" w:name="Item96_07"/>
    <w:bookmarkStart w:id="441" w:name="Item96_08"/>
    <w:bookmarkStart w:id="442" w:name="Item96_09"/>
    <w:bookmarkStart w:id="443" w:name="Item96_10"/>
    <w:bookmarkStart w:id="444" w:name="Item96_11"/>
    <w:bookmarkStart w:id="445" w:name="Item96_12"/>
    <w:bookmarkStart w:id="446" w:name="Item96_13"/>
    <w:bookmarkStart w:id="447" w:name="Item96_14"/>
    <w:bookmarkStart w:id="448" w:name="Item96_15"/>
    <w:bookmarkStart w:id="449" w:name="Item96_16"/>
    <w:bookmarkStart w:id="450" w:name="Item96_17"/>
    <w:bookmarkStart w:id="451" w:name="Item96_18"/>
    <w:bookmarkStart w:id="452" w:name="_Resolution_97_-"/>
    <w:bookmarkStart w:id="453" w:name="Item97_01"/>
    <w:bookmarkStart w:id="454" w:name="Item97_02"/>
    <w:bookmarkStart w:id="455" w:name="Item97_03"/>
    <w:bookmarkStart w:id="456" w:name="Item97_04"/>
    <w:bookmarkStart w:id="457" w:name="Item97_05"/>
    <w:bookmarkStart w:id="458" w:name="Item97_06"/>
    <w:bookmarkStart w:id="459" w:name="Item97_07"/>
    <w:bookmarkStart w:id="460" w:name="Item97_08"/>
    <w:bookmarkStart w:id="461" w:name="Item97_09"/>
    <w:bookmarkStart w:id="462" w:name="Item97_10"/>
    <w:bookmarkStart w:id="463" w:name="Item97_11"/>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14:paraId="7BBB3835" w14:textId="77777777" w:rsidR="00F0236A" w:rsidRPr="0042750D" w:rsidRDefault="00F0236A" w:rsidP="00F0236A">
      <w:pPr>
        <w:rPr>
          <w:sz w:val="24"/>
        </w:rPr>
      </w:pPr>
      <w:r w:rsidRPr="0042750D">
        <w:fldChar w:fldCharType="begin"/>
      </w:r>
      <w:r w:rsidRPr="0042750D">
        <w:rPr>
          <w:sz w:val="24"/>
        </w:rPr>
        <w:instrText xml:space="preserve"> HYPERLINK \l "Top" </w:instrText>
      </w:r>
      <w:r w:rsidRPr="0042750D">
        <w:fldChar w:fldCharType="separate"/>
      </w:r>
      <w:r w:rsidRPr="0042750D">
        <w:rPr>
          <w:rStyle w:val="Hyperlink"/>
          <w:rFonts w:eastAsia="Times New Roman"/>
          <w:sz w:val="24"/>
        </w:rPr>
        <w:t>» Top</w:t>
      </w:r>
      <w:r w:rsidRPr="0042750D">
        <w:rPr>
          <w:rStyle w:val="Hyperlink"/>
          <w:rFonts w:eastAsia="Times New Roman"/>
          <w:sz w:val="24"/>
        </w:rPr>
        <w:fldChar w:fldCharType="end"/>
      </w:r>
    </w:p>
    <w:p w14:paraId="58684662" w14:textId="116DCCC1" w:rsidR="00F0236A" w:rsidRPr="0042750D" w:rsidRDefault="000C5473" w:rsidP="00027F2D">
      <w:pPr>
        <w:pStyle w:val="Heading1"/>
        <w:keepNext/>
        <w:keepLines/>
        <w:rPr>
          <w:sz w:val="24"/>
          <w:szCs w:val="24"/>
          <w:lang w:val="en-GB"/>
        </w:rPr>
      </w:pPr>
      <w:bookmarkStart w:id="464" w:name="_Resolution_98_-"/>
      <w:bookmarkStart w:id="465" w:name="_Toc30749200"/>
      <w:bookmarkEnd w:id="464"/>
      <w:r w:rsidRPr="0042750D">
        <w:rPr>
          <w:sz w:val="24"/>
          <w:szCs w:val="24"/>
          <w:lang w:val="en-GB"/>
        </w:rPr>
        <w:t xml:space="preserve">RESOLUTION </w:t>
      </w:r>
      <w:r w:rsidR="00F57094" w:rsidRPr="0042750D">
        <w:rPr>
          <w:sz w:val="24"/>
          <w:szCs w:val="24"/>
          <w:lang w:val="en-GB"/>
        </w:rPr>
        <w:t>213</w:t>
      </w:r>
      <w:r w:rsidRPr="0042750D">
        <w:rPr>
          <w:sz w:val="24"/>
          <w:szCs w:val="24"/>
          <w:lang w:val="en-GB"/>
        </w:rPr>
        <w:t xml:space="preserve"> (DUBAI, 2018) – Measures to improve, promote and strengthen ITU fellowships</w:t>
      </w:r>
      <w:bookmarkEnd w:id="465"/>
    </w:p>
    <w:p w14:paraId="2D67C38C" w14:textId="77777777" w:rsidR="000C5473" w:rsidRPr="0042750D" w:rsidRDefault="000C5473" w:rsidP="00027F2D">
      <w:pPr>
        <w:pStyle w:val="Call"/>
        <w:rPr>
          <w:lang w:val="en-GB"/>
        </w:rPr>
      </w:pPr>
      <w:r w:rsidRPr="0042750D">
        <w:rPr>
          <w:lang w:val="en-GB"/>
        </w:rPr>
        <w:t>resolves</w:t>
      </w:r>
    </w:p>
    <w:p w14:paraId="00C59CDE" w14:textId="77777777" w:rsidR="000C5473" w:rsidRPr="0042750D" w:rsidRDefault="000C5473" w:rsidP="00027F2D">
      <w:pPr>
        <w:keepNext/>
        <w:keepLines/>
      </w:pPr>
      <w:r w:rsidRPr="0042750D">
        <w:t>1</w:t>
      </w:r>
      <w:r w:rsidRPr="0042750D">
        <w:tab/>
        <w:t>to take measures that promote inclusiveness and participation by Member States in ITU meetings and events;</w:t>
      </w:r>
    </w:p>
    <w:p w14:paraId="381F9D4E" w14:textId="77777777" w:rsidR="000C5473" w:rsidRPr="0042750D" w:rsidRDefault="000C5473" w:rsidP="000C5473">
      <w:r w:rsidRPr="0042750D">
        <w:t>2</w:t>
      </w:r>
      <w:r w:rsidRPr="0042750D">
        <w:tab/>
        <w:t>to ensure that fellowships are awarded in a fair and transparent manner with a view to maintaining equitable geographical distribution, gender balance and the inclusion of delegates with disabilities and with specific needs;</w:t>
      </w:r>
    </w:p>
    <w:p w14:paraId="2FE29D11" w14:textId="77777777" w:rsidR="000C5473" w:rsidRPr="0042750D" w:rsidRDefault="000C5473" w:rsidP="000C5473">
      <w:r w:rsidRPr="0042750D">
        <w:t>3</w:t>
      </w:r>
      <w:r w:rsidRPr="0042750D">
        <w:tab/>
        <w:t>to take measures that provide accountability of the Union with respect to fellowships,</w:t>
      </w:r>
    </w:p>
    <w:p w14:paraId="23B0716A" w14:textId="77777777" w:rsidR="000C5473" w:rsidRPr="0042750D" w:rsidRDefault="000C5473" w:rsidP="000C5473">
      <w:pPr>
        <w:pStyle w:val="Call"/>
        <w:rPr>
          <w:lang w:val="en-GB"/>
        </w:rPr>
      </w:pPr>
      <w:r w:rsidRPr="0042750D">
        <w:rPr>
          <w:lang w:val="en-GB"/>
        </w:rPr>
        <w:t>instructs the Secretary-General and the Directors of the three Bureaux</w:t>
      </w:r>
    </w:p>
    <w:p w14:paraId="42FBB9FD" w14:textId="77777777" w:rsidR="000C5473" w:rsidRPr="0042750D" w:rsidRDefault="000C5473" w:rsidP="000C5473">
      <w:r w:rsidRPr="0042750D">
        <w:t xml:space="preserve">to prepare annually a report to the ITU Council on fellowships which includes, </w:t>
      </w:r>
      <w:r w:rsidRPr="0042750D">
        <w:rPr>
          <w:i/>
          <w:iCs/>
        </w:rPr>
        <w:t>inter alia</w:t>
      </w:r>
      <w:r w:rsidRPr="0042750D">
        <w:t>, information and analysis on:</w:t>
      </w:r>
    </w:p>
    <w:p w14:paraId="4E1AE784" w14:textId="77777777" w:rsidR="000C5473" w:rsidRPr="0042750D" w:rsidRDefault="000C5473" w:rsidP="000C5473">
      <w:pPr>
        <w:pStyle w:val="enumlev10"/>
      </w:pPr>
      <w:r w:rsidRPr="0042750D">
        <w:t>–</w:t>
      </w:r>
      <w:r w:rsidRPr="0042750D">
        <w:tab/>
        <w:t>ITU Sectors;</w:t>
      </w:r>
    </w:p>
    <w:p w14:paraId="79308D2A" w14:textId="77777777" w:rsidR="000C5473" w:rsidRPr="0042750D" w:rsidRDefault="000C5473" w:rsidP="000C5473">
      <w:pPr>
        <w:pStyle w:val="enumlev10"/>
      </w:pPr>
      <w:r w:rsidRPr="0042750D">
        <w:t>–</w:t>
      </w:r>
      <w:r w:rsidRPr="0042750D">
        <w:tab/>
        <w:t>number of fellowships;</w:t>
      </w:r>
    </w:p>
    <w:p w14:paraId="56A478C5" w14:textId="77777777" w:rsidR="000C5473" w:rsidRPr="0042750D" w:rsidRDefault="000C5473" w:rsidP="000C5473">
      <w:pPr>
        <w:pStyle w:val="enumlev10"/>
      </w:pPr>
      <w:r w:rsidRPr="0042750D">
        <w:t>–</w:t>
      </w:r>
      <w:r w:rsidRPr="0042750D">
        <w:tab/>
        <w:t>region and country;</w:t>
      </w:r>
    </w:p>
    <w:p w14:paraId="7EBA08C9" w14:textId="77777777" w:rsidR="000C5473" w:rsidRPr="0042750D" w:rsidRDefault="000C5473" w:rsidP="000C5473">
      <w:pPr>
        <w:pStyle w:val="enumlev10"/>
      </w:pPr>
      <w:r w:rsidRPr="0042750D">
        <w:t>–</w:t>
      </w:r>
      <w:r w:rsidRPr="0042750D">
        <w:tab/>
        <w:t>gender/disabilities and specific needs;</w:t>
      </w:r>
    </w:p>
    <w:p w14:paraId="0742E86A" w14:textId="41EE115B" w:rsidR="00F0236A" w:rsidRPr="0042750D" w:rsidRDefault="000C5473" w:rsidP="000C5473">
      <w:pPr>
        <w:pStyle w:val="enumlev10"/>
        <w:spacing w:after="120"/>
      </w:pPr>
      <w:r w:rsidRPr="0042750D">
        <w:t>–</w:t>
      </w:r>
      <w:r w:rsidRPr="0042750D">
        <w:tab/>
        <w:t>expenses.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9"/>
        <w:gridCol w:w="1333"/>
        <w:gridCol w:w="1142"/>
        <w:gridCol w:w="1338"/>
      </w:tblGrid>
      <w:tr w:rsidR="007C4EA6" w:rsidRPr="0042750D" w14:paraId="05DB020C" w14:textId="77777777" w:rsidTr="00234522">
        <w:trPr>
          <w:tblHeader/>
          <w:jc w:val="center"/>
        </w:trPr>
        <w:tc>
          <w:tcPr>
            <w:tcW w:w="1190" w:type="dxa"/>
            <w:tcBorders>
              <w:top w:val="single" w:sz="12" w:space="0" w:color="auto"/>
              <w:bottom w:val="single" w:sz="12" w:space="0" w:color="auto"/>
            </w:tcBorders>
            <w:shd w:val="clear" w:color="auto" w:fill="auto"/>
            <w:vAlign w:val="center"/>
          </w:tcPr>
          <w:p w14:paraId="7E6A56EB" w14:textId="77777777" w:rsidR="007C4EA6" w:rsidRPr="0042750D" w:rsidRDefault="007C4EA6" w:rsidP="007C4EA6">
            <w:pPr>
              <w:pStyle w:val="Tablehead"/>
              <w:keepNext w:val="0"/>
              <w:rPr>
                <w:sz w:val="24"/>
                <w:szCs w:val="24"/>
              </w:rPr>
            </w:pPr>
            <w:r w:rsidRPr="0042750D">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5095635D" w14:textId="77777777" w:rsidR="007C4EA6" w:rsidRPr="0042750D" w:rsidRDefault="007C4EA6" w:rsidP="005E0B71">
            <w:pPr>
              <w:pStyle w:val="Tablehead"/>
              <w:rPr>
                <w:sz w:val="24"/>
                <w:szCs w:val="24"/>
              </w:rPr>
            </w:pPr>
            <w:r w:rsidRPr="0042750D">
              <w:rPr>
                <w:sz w:val="24"/>
                <w:szCs w:val="24"/>
              </w:rPr>
              <w:t>Action</w:t>
            </w:r>
          </w:p>
        </w:tc>
        <w:tc>
          <w:tcPr>
            <w:tcW w:w="1333" w:type="dxa"/>
            <w:tcBorders>
              <w:top w:val="single" w:sz="12" w:space="0" w:color="auto"/>
              <w:bottom w:val="single" w:sz="12" w:space="0" w:color="auto"/>
            </w:tcBorders>
            <w:shd w:val="clear" w:color="auto" w:fill="auto"/>
            <w:vAlign w:val="center"/>
            <w:hideMark/>
          </w:tcPr>
          <w:p w14:paraId="0E11D981" w14:textId="77777777" w:rsidR="007C4EA6" w:rsidRPr="0042750D" w:rsidRDefault="007C4EA6" w:rsidP="005E0B71">
            <w:pPr>
              <w:pStyle w:val="Tablehead"/>
              <w:rPr>
                <w:sz w:val="24"/>
                <w:szCs w:val="24"/>
              </w:rPr>
            </w:pPr>
            <w:r w:rsidRPr="0042750D">
              <w:rPr>
                <w:sz w:val="24"/>
                <w:szCs w:val="24"/>
              </w:rPr>
              <w:t>Milestone</w:t>
            </w:r>
          </w:p>
        </w:tc>
        <w:tc>
          <w:tcPr>
            <w:tcW w:w="1142" w:type="dxa"/>
            <w:tcBorders>
              <w:top w:val="single" w:sz="12" w:space="0" w:color="auto"/>
              <w:bottom w:val="single" w:sz="12" w:space="0" w:color="auto"/>
            </w:tcBorders>
            <w:shd w:val="clear" w:color="auto" w:fill="auto"/>
          </w:tcPr>
          <w:p w14:paraId="5DD1E0DC" w14:textId="77777777" w:rsidR="007C4EA6" w:rsidRPr="0042750D" w:rsidRDefault="007C4EA6" w:rsidP="005E0B71">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7AC3E33" w14:textId="77777777" w:rsidR="007C4EA6" w:rsidRPr="0042750D" w:rsidRDefault="007C4EA6" w:rsidP="005E0B71">
            <w:pPr>
              <w:pStyle w:val="Tablehead"/>
              <w:rPr>
                <w:sz w:val="24"/>
                <w:szCs w:val="24"/>
              </w:rPr>
            </w:pPr>
            <w:r w:rsidRPr="0042750D">
              <w:rPr>
                <w:sz w:val="24"/>
                <w:szCs w:val="24"/>
              </w:rPr>
              <w:t>Completed</w:t>
            </w:r>
          </w:p>
        </w:tc>
      </w:tr>
      <w:tr w:rsidR="005E0B71" w:rsidRPr="0042750D" w14:paraId="771590A2" w14:textId="77777777" w:rsidTr="003462B2">
        <w:trPr>
          <w:jc w:val="center"/>
        </w:trPr>
        <w:tc>
          <w:tcPr>
            <w:tcW w:w="1190" w:type="dxa"/>
            <w:vMerge w:val="restart"/>
            <w:tcBorders>
              <w:top w:val="single" w:sz="12" w:space="0" w:color="auto"/>
            </w:tcBorders>
            <w:shd w:val="clear" w:color="auto" w:fill="auto"/>
          </w:tcPr>
          <w:p w14:paraId="3DEA3FD4" w14:textId="00105E4F" w:rsidR="005E0B71" w:rsidRPr="0042750D" w:rsidRDefault="00F57094" w:rsidP="005E0B71">
            <w:pPr>
              <w:pStyle w:val="Tabletext"/>
              <w:rPr>
                <w:b/>
                <w:bCs/>
                <w:sz w:val="24"/>
                <w:szCs w:val="24"/>
              </w:rPr>
            </w:pPr>
            <w:r w:rsidRPr="0042750D">
              <w:rPr>
                <w:b/>
                <w:sz w:val="24"/>
                <w:szCs w:val="24"/>
              </w:rPr>
              <w:t>213</w:t>
            </w:r>
            <w:r w:rsidR="005E0B71" w:rsidRPr="0042750D">
              <w:rPr>
                <w:b/>
                <w:bCs/>
                <w:sz w:val="24"/>
                <w:szCs w:val="24"/>
              </w:rPr>
              <w:t>-01</w:t>
            </w:r>
          </w:p>
        </w:tc>
        <w:tc>
          <w:tcPr>
            <w:tcW w:w="4929" w:type="dxa"/>
            <w:tcBorders>
              <w:top w:val="single" w:sz="12" w:space="0" w:color="auto"/>
              <w:bottom w:val="single" w:sz="2" w:space="0" w:color="auto"/>
            </w:tcBorders>
            <w:shd w:val="clear" w:color="auto" w:fill="auto"/>
          </w:tcPr>
          <w:p w14:paraId="5E9F8E11" w14:textId="05A187EE" w:rsidR="005E0B71" w:rsidRPr="0042750D" w:rsidRDefault="000C5473" w:rsidP="000C5473">
            <w:pPr>
              <w:pStyle w:val="Tabletext"/>
              <w:rPr>
                <w:b/>
                <w:bCs/>
                <w:sz w:val="24"/>
                <w:szCs w:val="24"/>
              </w:rPr>
            </w:pPr>
            <w:r w:rsidRPr="0042750D">
              <w:rPr>
                <w:b/>
                <w:bCs/>
                <w:sz w:val="24"/>
                <w:szCs w:val="24"/>
              </w:rPr>
              <w:t>TSBDir to take measures that promote inclusiveness and participation by Member States in ITU meetings and events</w:t>
            </w:r>
            <w:r w:rsidR="00F054DF" w:rsidRPr="0042750D">
              <w:rPr>
                <w:b/>
                <w:bCs/>
                <w:sz w:val="24"/>
                <w:szCs w:val="24"/>
              </w:rPr>
              <w:t xml:space="preserve"> (</w:t>
            </w:r>
            <w:r w:rsidR="00F054DF" w:rsidRPr="0042750D">
              <w:rPr>
                <w:b/>
                <w:bCs/>
                <w:i/>
                <w:sz w:val="24"/>
                <w:szCs w:val="24"/>
              </w:rPr>
              <w:t>resolves 1</w:t>
            </w:r>
            <w:r w:rsidR="00F054DF"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2A1A0B27" w14:textId="4045E49B" w:rsidR="005E0B71" w:rsidRPr="0042750D" w:rsidRDefault="005E0B71" w:rsidP="005E0B71">
            <w:pPr>
              <w:pStyle w:val="Tabletext"/>
              <w:jc w:val="center"/>
              <w:rPr>
                <w:b/>
                <w:bCs/>
                <w:sz w:val="24"/>
                <w:szCs w:val="24"/>
              </w:rPr>
            </w:pPr>
            <w:r w:rsidRPr="0042750D">
              <w:rPr>
                <w:b/>
                <w:bCs/>
                <w:sz w:val="24"/>
                <w:szCs w:val="24"/>
              </w:rPr>
              <w:t>Ongoing</w:t>
            </w:r>
          </w:p>
        </w:tc>
        <w:tc>
          <w:tcPr>
            <w:tcW w:w="1142" w:type="dxa"/>
            <w:tcBorders>
              <w:top w:val="single" w:sz="12" w:space="0" w:color="auto"/>
              <w:bottom w:val="single" w:sz="2" w:space="0" w:color="auto"/>
            </w:tcBorders>
            <w:shd w:val="clear" w:color="auto" w:fill="auto"/>
            <w:vAlign w:val="center"/>
          </w:tcPr>
          <w:p w14:paraId="442A9D00" w14:textId="0D02AD3C" w:rsidR="005E0B71" w:rsidRPr="0042750D" w:rsidRDefault="005E0B71" w:rsidP="005E0B71">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31D5EDEE" w14:textId="77777777" w:rsidR="005E0B71" w:rsidRPr="0042750D" w:rsidRDefault="005E0B71" w:rsidP="005E0B71">
            <w:pPr>
              <w:pStyle w:val="Tabletext"/>
              <w:jc w:val="center"/>
              <w:rPr>
                <w:b/>
                <w:bCs/>
                <w:sz w:val="24"/>
                <w:szCs w:val="24"/>
              </w:rPr>
            </w:pPr>
          </w:p>
        </w:tc>
      </w:tr>
      <w:tr w:rsidR="007C4EA6" w:rsidRPr="0042750D" w14:paraId="217BF218" w14:textId="77777777" w:rsidTr="003462B2">
        <w:trPr>
          <w:jc w:val="center"/>
        </w:trPr>
        <w:tc>
          <w:tcPr>
            <w:tcW w:w="1190" w:type="dxa"/>
            <w:vMerge/>
            <w:tcBorders>
              <w:bottom w:val="single" w:sz="12" w:space="0" w:color="auto"/>
            </w:tcBorders>
            <w:shd w:val="clear" w:color="auto" w:fill="auto"/>
          </w:tcPr>
          <w:p w14:paraId="115A9A81" w14:textId="77777777" w:rsidR="007C4EA6" w:rsidRPr="0042750D" w:rsidRDefault="007C4EA6" w:rsidP="005E0B71">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219663B6" w14:textId="3ABC8DF2" w:rsidR="007C4EA6" w:rsidRPr="0042750D" w:rsidRDefault="007C4EA6" w:rsidP="006F2431">
            <w:pPr>
              <w:tabs>
                <w:tab w:val="left" w:pos="720"/>
              </w:tabs>
              <w:snapToGrid w:val="0"/>
              <w:spacing w:before="40" w:after="40"/>
            </w:pPr>
          </w:p>
        </w:tc>
      </w:tr>
      <w:tr w:rsidR="00142625" w:rsidRPr="0042750D" w14:paraId="4C2B393B" w14:textId="77777777" w:rsidTr="000476C9">
        <w:trPr>
          <w:jc w:val="center"/>
        </w:trPr>
        <w:tc>
          <w:tcPr>
            <w:tcW w:w="1190" w:type="dxa"/>
            <w:vMerge w:val="restart"/>
            <w:tcBorders>
              <w:top w:val="single" w:sz="12" w:space="0" w:color="auto"/>
            </w:tcBorders>
            <w:shd w:val="clear" w:color="auto" w:fill="auto"/>
          </w:tcPr>
          <w:p w14:paraId="7356314C" w14:textId="5CBF1440" w:rsidR="00142625" w:rsidRPr="0042750D" w:rsidRDefault="00F57094" w:rsidP="00A517B6">
            <w:pPr>
              <w:pStyle w:val="Tabletext"/>
              <w:keepNext/>
              <w:keepLines/>
              <w:rPr>
                <w:b/>
                <w:bCs/>
                <w:sz w:val="24"/>
                <w:szCs w:val="24"/>
              </w:rPr>
            </w:pPr>
            <w:bookmarkStart w:id="466" w:name="Item98_01"/>
            <w:bookmarkStart w:id="467" w:name="Item98_02"/>
            <w:bookmarkStart w:id="468" w:name="Item98_03"/>
            <w:bookmarkStart w:id="469" w:name="Item98_04"/>
            <w:bookmarkStart w:id="470" w:name="Item98_05"/>
            <w:bookmarkStart w:id="471" w:name="Item98_06"/>
            <w:bookmarkStart w:id="472" w:name="Item98_07"/>
            <w:bookmarkStart w:id="473" w:name="Item98_08"/>
            <w:bookmarkStart w:id="474" w:name="Item98_09"/>
            <w:bookmarkStart w:id="475" w:name="Item98_10"/>
            <w:bookmarkEnd w:id="466"/>
            <w:bookmarkEnd w:id="467"/>
            <w:bookmarkEnd w:id="468"/>
            <w:bookmarkEnd w:id="469"/>
            <w:bookmarkEnd w:id="470"/>
            <w:bookmarkEnd w:id="471"/>
            <w:bookmarkEnd w:id="472"/>
            <w:bookmarkEnd w:id="473"/>
            <w:bookmarkEnd w:id="474"/>
            <w:bookmarkEnd w:id="475"/>
            <w:r w:rsidRPr="0042750D">
              <w:rPr>
                <w:b/>
                <w:sz w:val="24"/>
                <w:szCs w:val="24"/>
              </w:rPr>
              <w:t>213</w:t>
            </w:r>
            <w:r w:rsidR="00142625" w:rsidRPr="0042750D">
              <w:rPr>
                <w:b/>
                <w:bCs/>
                <w:sz w:val="24"/>
                <w:szCs w:val="24"/>
              </w:rPr>
              <w:t>-02</w:t>
            </w:r>
          </w:p>
        </w:tc>
        <w:tc>
          <w:tcPr>
            <w:tcW w:w="4929" w:type="dxa"/>
            <w:tcBorders>
              <w:top w:val="single" w:sz="12" w:space="0" w:color="auto"/>
              <w:bottom w:val="single" w:sz="2" w:space="0" w:color="auto"/>
            </w:tcBorders>
            <w:shd w:val="clear" w:color="auto" w:fill="auto"/>
          </w:tcPr>
          <w:p w14:paraId="1CBB8E33" w14:textId="472AC1EA" w:rsidR="00142625" w:rsidRPr="0042750D" w:rsidRDefault="00142625" w:rsidP="00A517B6">
            <w:pPr>
              <w:pStyle w:val="Tabletext"/>
              <w:keepNext/>
              <w:keepLines/>
              <w:rPr>
                <w:b/>
                <w:bCs/>
                <w:sz w:val="24"/>
                <w:szCs w:val="24"/>
              </w:rPr>
            </w:pPr>
            <w:r w:rsidRPr="0042750D">
              <w:rPr>
                <w:b/>
                <w:bCs/>
                <w:sz w:val="24"/>
                <w:szCs w:val="24"/>
              </w:rPr>
              <w:t>TSBDir to ensure that fellowships are awarded in a fair and transparent manner with a view to maintaining equitable geographical distribution, gender balance and the inclusion of delegates with disabilities and with specific needs</w:t>
            </w:r>
            <w:r w:rsidR="00F054DF" w:rsidRPr="0042750D">
              <w:rPr>
                <w:b/>
                <w:bCs/>
                <w:sz w:val="24"/>
                <w:szCs w:val="24"/>
              </w:rPr>
              <w:t xml:space="preserve"> (</w:t>
            </w:r>
            <w:r w:rsidR="00F054DF" w:rsidRPr="0042750D">
              <w:rPr>
                <w:b/>
                <w:bCs/>
                <w:i/>
                <w:sz w:val="24"/>
                <w:szCs w:val="24"/>
              </w:rPr>
              <w:t>resolves 2</w:t>
            </w:r>
            <w:r w:rsidR="00F054DF"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624B0C0C" w14:textId="77777777" w:rsidR="00142625" w:rsidRPr="0042750D" w:rsidRDefault="00142625" w:rsidP="00A517B6">
            <w:pPr>
              <w:pStyle w:val="Tabletext"/>
              <w:keepNext/>
              <w:keepLines/>
              <w:jc w:val="center"/>
              <w:rPr>
                <w:b/>
                <w:bCs/>
                <w:sz w:val="24"/>
                <w:szCs w:val="24"/>
              </w:rPr>
            </w:pPr>
            <w:r w:rsidRPr="0042750D">
              <w:rPr>
                <w:b/>
                <w:bCs/>
                <w:sz w:val="24"/>
                <w:szCs w:val="24"/>
              </w:rPr>
              <w:t>Ongoing</w:t>
            </w:r>
          </w:p>
        </w:tc>
        <w:tc>
          <w:tcPr>
            <w:tcW w:w="1142" w:type="dxa"/>
            <w:tcBorders>
              <w:top w:val="single" w:sz="12" w:space="0" w:color="auto"/>
              <w:bottom w:val="single" w:sz="2" w:space="0" w:color="auto"/>
            </w:tcBorders>
            <w:shd w:val="clear" w:color="auto" w:fill="auto"/>
            <w:vAlign w:val="center"/>
          </w:tcPr>
          <w:p w14:paraId="741A25AD" w14:textId="0458F656" w:rsidR="00142625" w:rsidRPr="0042750D" w:rsidRDefault="006E3216" w:rsidP="00A517B6">
            <w:pPr>
              <w:pStyle w:val="Tabletext"/>
              <w:keepNext/>
              <w:keepLines/>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2A244301" w14:textId="77777777" w:rsidR="00142625" w:rsidRPr="0042750D" w:rsidRDefault="00142625" w:rsidP="00A517B6">
            <w:pPr>
              <w:pStyle w:val="Tabletext"/>
              <w:keepNext/>
              <w:keepLines/>
              <w:jc w:val="center"/>
              <w:rPr>
                <w:b/>
                <w:bCs/>
                <w:sz w:val="24"/>
                <w:szCs w:val="24"/>
              </w:rPr>
            </w:pPr>
          </w:p>
        </w:tc>
      </w:tr>
      <w:tr w:rsidR="00142625" w:rsidRPr="0042750D" w14:paraId="57C53E82" w14:textId="77777777" w:rsidTr="000476C9">
        <w:trPr>
          <w:jc w:val="center"/>
        </w:trPr>
        <w:tc>
          <w:tcPr>
            <w:tcW w:w="1190" w:type="dxa"/>
            <w:vMerge/>
            <w:tcBorders>
              <w:bottom w:val="single" w:sz="12" w:space="0" w:color="auto"/>
            </w:tcBorders>
            <w:shd w:val="clear" w:color="auto" w:fill="auto"/>
          </w:tcPr>
          <w:p w14:paraId="313F6B4B" w14:textId="77777777" w:rsidR="00142625" w:rsidRPr="0042750D" w:rsidRDefault="00142625" w:rsidP="00A517B6">
            <w:pPr>
              <w:pStyle w:val="Tabletext"/>
              <w:keepNext/>
              <w:keepLines/>
              <w:rPr>
                <w:sz w:val="24"/>
                <w:szCs w:val="24"/>
              </w:rPr>
            </w:pPr>
          </w:p>
        </w:tc>
        <w:tc>
          <w:tcPr>
            <w:tcW w:w="8742" w:type="dxa"/>
            <w:gridSpan w:val="4"/>
            <w:tcBorders>
              <w:top w:val="single" w:sz="2" w:space="0" w:color="auto"/>
              <w:bottom w:val="single" w:sz="12" w:space="0" w:color="auto"/>
            </w:tcBorders>
            <w:shd w:val="clear" w:color="auto" w:fill="auto"/>
          </w:tcPr>
          <w:p w14:paraId="6903F46F" w14:textId="77C12294" w:rsidR="00142625" w:rsidRPr="0042750D" w:rsidRDefault="006E3216" w:rsidP="006F2431">
            <w:pPr>
              <w:keepNext/>
              <w:keepLines/>
              <w:tabs>
                <w:tab w:val="left" w:pos="720"/>
              </w:tabs>
              <w:snapToGrid w:val="0"/>
              <w:spacing w:before="40" w:after="40"/>
            </w:pPr>
            <w:r w:rsidRPr="0042750D">
              <w:t>TSBDir ensures that.</w:t>
            </w:r>
          </w:p>
        </w:tc>
      </w:tr>
      <w:tr w:rsidR="00142625" w:rsidRPr="0042750D" w14:paraId="4BA6AA85" w14:textId="77777777" w:rsidTr="000476C9">
        <w:trPr>
          <w:jc w:val="center"/>
        </w:trPr>
        <w:tc>
          <w:tcPr>
            <w:tcW w:w="1190" w:type="dxa"/>
            <w:vMerge w:val="restart"/>
            <w:tcBorders>
              <w:top w:val="single" w:sz="12" w:space="0" w:color="auto"/>
            </w:tcBorders>
            <w:shd w:val="clear" w:color="auto" w:fill="auto"/>
          </w:tcPr>
          <w:p w14:paraId="5EFFB20D" w14:textId="1A0D3758" w:rsidR="00142625" w:rsidRPr="0042750D" w:rsidRDefault="00F57094" w:rsidP="000476C9">
            <w:pPr>
              <w:pStyle w:val="Tabletext"/>
              <w:rPr>
                <w:b/>
                <w:bCs/>
                <w:sz w:val="24"/>
                <w:szCs w:val="24"/>
              </w:rPr>
            </w:pPr>
            <w:r w:rsidRPr="0042750D">
              <w:rPr>
                <w:b/>
                <w:sz w:val="24"/>
                <w:szCs w:val="24"/>
              </w:rPr>
              <w:t>213</w:t>
            </w:r>
            <w:r w:rsidR="00142625" w:rsidRPr="0042750D">
              <w:rPr>
                <w:b/>
                <w:bCs/>
                <w:sz w:val="24"/>
                <w:szCs w:val="24"/>
              </w:rPr>
              <w:t>-03</w:t>
            </w:r>
          </w:p>
        </w:tc>
        <w:tc>
          <w:tcPr>
            <w:tcW w:w="4929" w:type="dxa"/>
            <w:tcBorders>
              <w:top w:val="single" w:sz="12" w:space="0" w:color="auto"/>
              <w:bottom w:val="single" w:sz="2" w:space="0" w:color="auto"/>
            </w:tcBorders>
            <w:shd w:val="clear" w:color="auto" w:fill="auto"/>
          </w:tcPr>
          <w:p w14:paraId="664601E0" w14:textId="3F6B9BCA" w:rsidR="00142625" w:rsidRPr="0042750D" w:rsidRDefault="00142625" w:rsidP="000476C9">
            <w:pPr>
              <w:pStyle w:val="Tabletext"/>
              <w:rPr>
                <w:b/>
                <w:bCs/>
                <w:sz w:val="24"/>
                <w:szCs w:val="24"/>
              </w:rPr>
            </w:pPr>
            <w:r w:rsidRPr="0042750D">
              <w:rPr>
                <w:b/>
                <w:bCs/>
                <w:sz w:val="24"/>
                <w:szCs w:val="24"/>
              </w:rPr>
              <w:t>TSBDir to contribute to SecGen’s annual report to the ITU Council on fellowships</w:t>
            </w:r>
            <w:r w:rsidR="00F054DF" w:rsidRPr="0042750D">
              <w:rPr>
                <w:b/>
                <w:bCs/>
                <w:sz w:val="24"/>
                <w:szCs w:val="24"/>
              </w:rPr>
              <w:t xml:space="preserve"> (</w:t>
            </w:r>
            <w:r w:rsidR="00F054DF" w:rsidRPr="0042750D">
              <w:rPr>
                <w:b/>
                <w:bCs/>
                <w:i/>
                <w:sz w:val="24"/>
                <w:szCs w:val="24"/>
              </w:rPr>
              <w:t>instructs</w:t>
            </w:r>
            <w:r w:rsidR="00F054DF"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26C2DF12" w14:textId="515F7AF8" w:rsidR="00142625" w:rsidRPr="0042750D" w:rsidRDefault="00142625" w:rsidP="000476C9">
            <w:pPr>
              <w:pStyle w:val="Tabletext"/>
              <w:jc w:val="center"/>
              <w:rPr>
                <w:b/>
                <w:bCs/>
                <w:sz w:val="24"/>
                <w:szCs w:val="24"/>
              </w:rPr>
            </w:pPr>
            <w:r w:rsidRPr="0042750D">
              <w:rPr>
                <w:b/>
                <w:bCs/>
                <w:sz w:val="24"/>
                <w:szCs w:val="24"/>
              </w:rPr>
              <w:t>Council</w:t>
            </w:r>
          </w:p>
        </w:tc>
        <w:tc>
          <w:tcPr>
            <w:tcW w:w="1142" w:type="dxa"/>
            <w:tcBorders>
              <w:top w:val="single" w:sz="12" w:space="0" w:color="auto"/>
              <w:bottom w:val="single" w:sz="2" w:space="0" w:color="auto"/>
            </w:tcBorders>
            <w:shd w:val="clear" w:color="auto" w:fill="auto"/>
            <w:vAlign w:val="center"/>
          </w:tcPr>
          <w:p w14:paraId="1CF47036" w14:textId="7D7DAC73" w:rsidR="00142625" w:rsidRPr="0042750D" w:rsidRDefault="00B83F7E" w:rsidP="000476C9">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688183B5" w14:textId="77777777" w:rsidR="00142625" w:rsidRPr="0042750D" w:rsidRDefault="00142625" w:rsidP="000476C9">
            <w:pPr>
              <w:pStyle w:val="Tabletext"/>
              <w:jc w:val="center"/>
              <w:rPr>
                <w:b/>
                <w:bCs/>
                <w:sz w:val="24"/>
                <w:szCs w:val="24"/>
              </w:rPr>
            </w:pPr>
          </w:p>
        </w:tc>
      </w:tr>
      <w:tr w:rsidR="00142625" w:rsidRPr="0042750D" w14:paraId="33D134BA" w14:textId="77777777" w:rsidTr="000476C9">
        <w:trPr>
          <w:jc w:val="center"/>
        </w:trPr>
        <w:tc>
          <w:tcPr>
            <w:tcW w:w="1190" w:type="dxa"/>
            <w:vMerge/>
            <w:tcBorders>
              <w:bottom w:val="single" w:sz="12" w:space="0" w:color="auto"/>
            </w:tcBorders>
            <w:shd w:val="clear" w:color="auto" w:fill="auto"/>
          </w:tcPr>
          <w:p w14:paraId="53E87C25" w14:textId="77777777" w:rsidR="00142625" w:rsidRPr="0042750D" w:rsidRDefault="00142625" w:rsidP="000476C9">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18EF6A64" w14:textId="467F4FE4" w:rsidR="00142625" w:rsidRPr="0042750D" w:rsidRDefault="00BC0B7D" w:rsidP="006F2431">
            <w:pPr>
              <w:tabs>
                <w:tab w:val="left" w:pos="720"/>
              </w:tabs>
              <w:snapToGrid w:val="0"/>
              <w:spacing w:before="40" w:after="40"/>
            </w:pPr>
            <w:r w:rsidRPr="0042750D">
              <w:t xml:space="preserve">See </w:t>
            </w:r>
            <w:hyperlink r:id="rId165" w:history="1">
              <w:r w:rsidRPr="0042750D">
                <w:rPr>
                  <w:rStyle w:val="Hyperlink"/>
                </w:rPr>
                <w:t>C19/35</w:t>
              </w:r>
            </w:hyperlink>
            <w:r w:rsidRPr="0042750D">
              <w:t xml:space="preserve"> Annex I, </w:t>
            </w:r>
            <w:hyperlink r:id="rId166" w:history="1">
              <w:r w:rsidRPr="0042750D">
                <w:rPr>
                  <w:rStyle w:val="Hyperlink"/>
                </w:rPr>
                <w:t>C19/INF11</w:t>
              </w:r>
            </w:hyperlink>
            <w:r w:rsidR="00EA316D" w:rsidRPr="0042750D">
              <w:t xml:space="preserve">, </w:t>
            </w:r>
            <w:r w:rsidR="00EA316D" w:rsidRPr="0042750D">
              <w:rPr>
                <w:bCs/>
              </w:rPr>
              <w:t>TDAG-19/</w:t>
            </w:r>
            <w:bookmarkStart w:id="476" w:name="DocNo1"/>
            <w:bookmarkEnd w:id="476"/>
            <w:r w:rsidR="00EA316D" w:rsidRPr="0042750D">
              <w:rPr>
                <w:bCs/>
              </w:rPr>
              <w:t>23</w:t>
            </w:r>
          </w:p>
        </w:tc>
      </w:tr>
      <w:tr w:rsidR="00142625" w:rsidRPr="0042750D" w14:paraId="4D0D15FE" w14:textId="77777777" w:rsidTr="000476C9">
        <w:trPr>
          <w:jc w:val="center"/>
        </w:trPr>
        <w:tc>
          <w:tcPr>
            <w:tcW w:w="1190" w:type="dxa"/>
            <w:vMerge w:val="restart"/>
            <w:tcBorders>
              <w:top w:val="single" w:sz="12" w:space="0" w:color="auto"/>
            </w:tcBorders>
            <w:shd w:val="clear" w:color="auto" w:fill="auto"/>
          </w:tcPr>
          <w:p w14:paraId="24E8650F" w14:textId="0DF861A3" w:rsidR="00142625" w:rsidRPr="0042750D" w:rsidRDefault="00F57094" w:rsidP="000476C9">
            <w:pPr>
              <w:pStyle w:val="Tabletext"/>
              <w:rPr>
                <w:b/>
                <w:bCs/>
                <w:sz w:val="24"/>
                <w:szCs w:val="24"/>
              </w:rPr>
            </w:pPr>
            <w:r w:rsidRPr="0042750D">
              <w:rPr>
                <w:b/>
                <w:sz w:val="24"/>
                <w:szCs w:val="24"/>
              </w:rPr>
              <w:t>213</w:t>
            </w:r>
            <w:r w:rsidR="00142625" w:rsidRPr="0042750D">
              <w:rPr>
                <w:b/>
                <w:bCs/>
                <w:sz w:val="24"/>
                <w:szCs w:val="24"/>
              </w:rPr>
              <w:t>-04</w:t>
            </w:r>
          </w:p>
        </w:tc>
        <w:tc>
          <w:tcPr>
            <w:tcW w:w="4929" w:type="dxa"/>
            <w:tcBorders>
              <w:top w:val="single" w:sz="12" w:space="0" w:color="auto"/>
              <w:bottom w:val="single" w:sz="2" w:space="0" w:color="auto"/>
            </w:tcBorders>
            <w:shd w:val="clear" w:color="auto" w:fill="auto"/>
          </w:tcPr>
          <w:p w14:paraId="145B15AE" w14:textId="1902A192" w:rsidR="00142625" w:rsidRPr="0042750D" w:rsidRDefault="007E1A7F" w:rsidP="007E1A7F">
            <w:pPr>
              <w:pStyle w:val="Tabletext"/>
              <w:rPr>
                <w:b/>
                <w:bCs/>
                <w:sz w:val="24"/>
                <w:szCs w:val="24"/>
              </w:rPr>
            </w:pPr>
            <w:r w:rsidRPr="0042750D">
              <w:rPr>
                <w:b/>
                <w:bCs/>
                <w:sz w:val="24"/>
                <w:szCs w:val="24"/>
              </w:rPr>
              <w:t>TSBDir to take measures that provide accountability of ITU-T with respect to fellowships</w:t>
            </w:r>
            <w:r w:rsidR="00F054DF" w:rsidRPr="0042750D">
              <w:rPr>
                <w:b/>
                <w:bCs/>
                <w:sz w:val="24"/>
                <w:szCs w:val="24"/>
              </w:rPr>
              <w:t xml:space="preserve"> (</w:t>
            </w:r>
            <w:r w:rsidR="00F054DF" w:rsidRPr="0042750D">
              <w:rPr>
                <w:b/>
                <w:bCs/>
                <w:i/>
                <w:sz w:val="24"/>
                <w:szCs w:val="24"/>
              </w:rPr>
              <w:t>resolves 3</w:t>
            </w:r>
            <w:r w:rsidR="00F054DF" w:rsidRPr="0042750D">
              <w:rPr>
                <w:b/>
                <w:bCs/>
                <w:sz w:val="24"/>
                <w:szCs w:val="24"/>
              </w:rPr>
              <w:t>)</w:t>
            </w:r>
            <w:r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055B7062" w14:textId="77777777" w:rsidR="00142625" w:rsidRPr="0042750D" w:rsidRDefault="00142625" w:rsidP="000476C9">
            <w:pPr>
              <w:pStyle w:val="Tabletext"/>
              <w:jc w:val="center"/>
              <w:rPr>
                <w:b/>
                <w:bCs/>
                <w:sz w:val="24"/>
                <w:szCs w:val="24"/>
              </w:rPr>
            </w:pPr>
            <w:r w:rsidRPr="0042750D">
              <w:rPr>
                <w:b/>
                <w:bCs/>
                <w:sz w:val="24"/>
                <w:szCs w:val="24"/>
              </w:rPr>
              <w:t>Ongoing</w:t>
            </w:r>
          </w:p>
        </w:tc>
        <w:tc>
          <w:tcPr>
            <w:tcW w:w="1142" w:type="dxa"/>
            <w:tcBorders>
              <w:top w:val="single" w:sz="12" w:space="0" w:color="auto"/>
              <w:bottom w:val="single" w:sz="2" w:space="0" w:color="auto"/>
            </w:tcBorders>
            <w:shd w:val="clear" w:color="auto" w:fill="auto"/>
            <w:vAlign w:val="center"/>
          </w:tcPr>
          <w:p w14:paraId="1FF3249D" w14:textId="584D7E9C" w:rsidR="00142625" w:rsidRPr="0042750D" w:rsidRDefault="00142625" w:rsidP="000476C9">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4DD059AD" w14:textId="77777777" w:rsidR="00142625" w:rsidRPr="0042750D" w:rsidRDefault="00142625" w:rsidP="000476C9">
            <w:pPr>
              <w:pStyle w:val="Tabletext"/>
              <w:jc w:val="center"/>
              <w:rPr>
                <w:b/>
                <w:bCs/>
                <w:sz w:val="24"/>
                <w:szCs w:val="24"/>
              </w:rPr>
            </w:pPr>
          </w:p>
        </w:tc>
      </w:tr>
      <w:tr w:rsidR="00142625" w:rsidRPr="0042750D" w14:paraId="2C7876A1" w14:textId="77777777" w:rsidTr="000476C9">
        <w:trPr>
          <w:jc w:val="center"/>
        </w:trPr>
        <w:tc>
          <w:tcPr>
            <w:tcW w:w="1190" w:type="dxa"/>
            <w:vMerge/>
            <w:tcBorders>
              <w:bottom w:val="single" w:sz="12" w:space="0" w:color="auto"/>
            </w:tcBorders>
            <w:shd w:val="clear" w:color="auto" w:fill="auto"/>
          </w:tcPr>
          <w:p w14:paraId="0A118A71" w14:textId="77777777" w:rsidR="00142625" w:rsidRPr="0042750D" w:rsidRDefault="00142625" w:rsidP="000476C9">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5DF8CA5F" w14:textId="77777777" w:rsidR="00142625" w:rsidRPr="0042750D" w:rsidRDefault="00142625" w:rsidP="006F2431">
            <w:pPr>
              <w:tabs>
                <w:tab w:val="left" w:pos="720"/>
              </w:tabs>
              <w:snapToGrid w:val="0"/>
              <w:spacing w:before="40" w:after="40"/>
            </w:pPr>
          </w:p>
        </w:tc>
      </w:tr>
    </w:tbl>
    <w:p w14:paraId="21D6298C" w14:textId="77777777" w:rsidR="00F0236A" w:rsidRPr="0042750D" w:rsidRDefault="00DD025B" w:rsidP="00F0236A">
      <w:pPr>
        <w:rPr>
          <w:sz w:val="24"/>
        </w:rPr>
      </w:pPr>
      <w:hyperlink w:anchor="Top" w:history="1">
        <w:r w:rsidR="00F0236A" w:rsidRPr="0042750D">
          <w:rPr>
            <w:rStyle w:val="Hyperlink"/>
            <w:rFonts w:eastAsia="Times New Roman"/>
            <w:sz w:val="24"/>
          </w:rPr>
          <w:t>» Top</w:t>
        </w:r>
      </w:hyperlink>
    </w:p>
    <w:p w14:paraId="30049BA7" w14:textId="04C13B3A" w:rsidR="00F0236A" w:rsidRPr="0042750D" w:rsidRDefault="00FA3845" w:rsidP="00030AB0">
      <w:pPr>
        <w:pStyle w:val="Heading1"/>
        <w:rPr>
          <w:sz w:val="24"/>
          <w:szCs w:val="24"/>
          <w:lang w:val="en-GB"/>
        </w:rPr>
      </w:pPr>
      <w:bookmarkStart w:id="477" w:name="_Toc30749201"/>
      <w:r w:rsidRPr="0042750D">
        <w:rPr>
          <w:sz w:val="24"/>
          <w:szCs w:val="24"/>
          <w:lang w:val="en-GB"/>
        </w:rPr>
        <w:t>DECISION 12 (REV. BUSAN, 2014) – Free online access to ITU publications</w:t>
      </w:r>
      <w:bookmarkEnd w:id="477"/>
    </w:p>
    <w:p w14:paraId="00F83A35" w14:textId="77777777" w:rsidR="00FA3845" w:rsidRPr="0042750D" w:rsidRDefault="00FA3845" w:rsidP="00030AB0">
      <w:pPr>
        <w:pStyle w:val="Call"/>
        <w:keepNext w:val="0"/>
        <w:keepLines w:val="0"/>
        <w:rPr>
          <w:szCs w:val="22"/>
          <w:lang w:val="en-GB"/>
        </w:rPr>
      </w:pPr>
      <w:r w:rsidRPr="0042750D">
        <w:rPr>
          <w:szCs w:val="22"/>
          <w:lang w:val="en-GB"/>
        </w:rPr>
        <w:t>decides</w:t>
      </w:r>
    </w:p>
    <w:p w14:paraId="4DDDBBAD" w14:textId="77777777" w:rsidR="00FA3845" w:rsidRPr="0042750D" w:rsidRDefault="00FA3845" w:rsidP="00030AB0">
      <w:pPr>
        <w:rPr>
          <w:szCs w:val="22"/>
        </w:rPr>
      </w:pPr>
      <w:r w:rsidRPr="0042750D">
        <w:rPr>
          <w:szCs w:val="22"/>
        </w:rPr>
        <w:t>1</w:t>
      </w:r>
      <w:r w:rsidRPr="0042750D">
        <w:rPr>
          <w:szCs w:val="22"/>
        </w:rPr>
        <w:tab/>
        <w:t>to provide free online access for the general public, on a permanent basis, to ITU-R, ITU-T and ITU-D recommendations and reports; ITU-R handbooks on radio-frequency spectrum management</w:t>
      </w:r>
      <w:r w:rsidRPr="0042750D">
        <w:rPr>
          <w:rStyle w:val="FootnoteReference"/>
          <w:sz w:val="22"/>
          <w:szCs w:val="22"/>
        </w:rPr>
        <w:footnoteReference w:customMarkFollows="1" w:id="21"/>
        <w:t>2</w:t>
      </w:r>
      <w:r w:rsidRPr="0042750D">
        <w:rPr>
          <w:szCs w:val="22"/>
        </w:rPr>
        <w:t>; ITU publications concerning the use of telecommunications/ICTs for ensuring disaster preparedness, early warning, rescue, mitigation, relief and response; the International Telecommunication Regulations; the Radio Regulations; the Rules of Procedure; the basic texts of the Union (Constitution, Convention, General Rules of conferences, assemblies and meetings of the Union, decisions, resolutions and recommendations); the final acts of plenipotentiary conferences; the final reports of WTDCs; the ITU Council resolutions and decisions; the final acts of world and regional radiocommunication conferences; and the final acts of world conferences on international telecommunications;</w:t>
      </w:r>
    </w:p>
    <w:p w14:paraId="137D6CF3" w14:textId="5415DE09" w:rsidR="00FA3845" w:rsidRPr="0042750D" w:rsidRDefault="00FA3845" w:rsidP="00FA3845">
      <w:pPr>
        <w:rPr>
          <w:szCs w:val="22"/>
        </w:rPr>
      </w:pPr>
      <w:r w:rsidRPr="0042750D">
        <w:rPr>
          <w:szCs w:val="22"/>
        </w:rPr>
        <w:t>2</w:t>
      </w:r>
      <w:r w:rsidRPr="0042750D">
        <w:rPr>
          <w:szCs w:val="22"/>
        </w:rPr>
        <w:tab/>
        <w:t xml:space="preserve">that paper copies of all ITU publications listed under </w:t>
      </w:r>
      <w:r w:rsidRPr="0042750D">
        <w:rPr>
          <w:i/>
          <w:iCs/>
          <w:szCs w:val="22"/>
        </w:rPr>
        <w:t>decides</w:t>
      </w:r>
      <w:r w:rsidRPr="0042750D">
        <w:rPr>
          <w:szCs w:val="22"/>
        </w:rPr>
        <w:t xml:space="preserve"> 1 above</w:t>
      </w:r>
      <w:r w:rsidRPr="0042750D" w:rsidDel="00AD48CD">
        <w:rPr>
          <w:szCs w:val="22"/>
        </w:rPr>
        <w:t xml:space="preserve"> </w:t>
      </w:r>
      <w:r w:rsidRPr="0042750D">
        <w:rPr>
          <w:szCs w:val="22"/>
        </w:rPr>
        <w:t>will continue to be charged for on the basis of a two-tier pricing policy, whereby Member States, Sector Members and Associates pay a price based on cost recovery, whereas for all others, i.e. non-members, a "market price"</w:t>
      </w:r>
      <w:r w:rsidRPr="0042750D">
        <w:rPr>
          <w:rStyle w:val="FootnoteReference"/>
          <w:sz w:val="22"/>
          <w:szCs w:val="22"/>
        </w:rPr>
        <w:footnoteReference w:customMarkFollows="1" w:id="22"/>
        <w:t>3</w:t>
      </w:r>
      <w:r w:rsidR="00113400" w:rsidRPr="0042750D">
        <w:rPr>
          <w:szCs w:val="22"/>
        </w:rPr>
        <w:t xml:space="preserve"> shall be </w:t>
      </w:r>
      <w:r w:rsidRPr="0042750D">
        <w:rPr>
          <w:szCs w:val="22"/>
        </w:rPr>
        <w:t>set,</w:t>
      </w:r>
    </w:p>
    <w:p w14:paraId="4DC95ED9" w14:textId="77777777" w:rsidR="00FA3845" w:rsidRPr="0042750D" w:rsidRDefault="00FA3845" w:rsidP="00FA3845">
      <w:pPr>
        <w:pStyle w:val="Call"/>
        <w:rPr>
          <w:szCs w:val="22"/>
          <w:lang w:val="en-GB"/>
        </w:rPr>
      </w:pPr>
      <w:r w:rsidRPr="0042750D">
        <w:rPr>
          <w:szCs w:val="22"/>
          <w:lang w:val="en-GB"/>
        </w:rPr>
        <w:t>instructs the Secretary-General</w:t>
      </w:r>
    </w:p>
    <w:p w14:paraId="414889FE" w14:textId="77777777" w:rsidR="00FA3845" w:rsidRPr="0042750D" w:rsidRDefault="00FA3845" w:rsidP="00FA3845">
      <w:pPr>
        <w:rPr>
          <w:szCs w:val="22"/>
        </w:rPr>
      </w:pPr>
      <w:r w:rsidRPr="0042750D">
        <w:rPr>
          <w:szCs w:val="22"/>
        </w:rPr>
        <w:t xml:space="preserve">to prepare a report on an ongoing basis on sales </w:t>
      </w:r>
      <w:r w:rsidRPr="0042750D">
        <w:rPr>
          <w:color w:val="231F20"/>
          <w:szCs w:val="22"/>
        </w:rPr>
        <w:t xml:space="preserve">and free downloads </w:t>
      </w:r>
      <w:r w:rsidRPr="0042750D">
        <w:rPr>
          <w:szCs w:val="22"/>
        </w:rPr>
        <w:t xml:space="preserve">of ITU publications, software and databases, and to present this report </w:t>
      </w:r>
      <w:r w:rsidRPr="0042750D">
        <w:rPr>
          <w:color w:val="231F20"/>
          <w:szCs w:val="22"/>
        </w:rPr>
        <w:t xml:space="preserve">annually </w:t>
      </w:r>
      <w:r w:rsidRPr="0042750D">
        <w:rPr>
          <w:szCs w:val="22"/>
        </w:rPr>
        <w:t>to the Council, detailing the following aspects:</w:t>
      </w:r>
    </w:p>
    <w:p w14:paraId="16E2A2FA" w14:textId="77777777" w:rsidR="00FA3845" w:rsidRPr="0042750D" w:rsidRDefault="00FA3845" w:rsidP="00FA3845">
      <w:pPr>
        <w:pStyle w:val="enumlev10"/>
        <w:rPr>
          <w:szCs w:val="22"/>
        </w:rPr>
      </w:pPr>
      <w:r w:rsidRPr="0042750D">
        <w:rPr>
          <w:szCs w:val="22"/>
        </w:rPr>
        <w:t>–</w:t>
      </w:r>
      <w:r w:rsidRPr="0042750D">
        <w:rPr>
          <w:szCs w:val="22"/>
        </w:rPr>
        <w:tab/>
      </w:r>
      <w:r w:rsidRPr="0042750D">
        <w:rPr>
          <w:color w:val="231F20"/>
          <w:szCs w:val="22"/>
        </w:rPr>
        <w:t>total sales and free downloads per year, covering last five years, beginning in 2009</w:t>
      </w:r>
      <w:r w:rsidRPr="0042750D">
        <w:rPr>
          <w:szCs w:val="22"/>
        </w:rPr>
        <w:t>;</w:t>
      </w:r>
    </w:p>
    <w:p w14:paraId="0F931229" w14:textId="77777777" w:rsidR="00FA3845" w:rsidRPr="0042750D" w:rsidRDefault="00FA3845" w:rsidP="00FA3845">
      <w:pPr>
        <w:pStyle w:val="enumlev10"/>
        <w:rPr>
          <w:szCs w:val="22"/>
        </w:rPr>
      </w:pPr>
      <w:r w:rsidRPr="0042750D">
        <w:rPr>
          <w:szCs w:val="22"/>
        </w:rPr>
        <w:t>–</w:t>
      </w:r>
      <w:r w:rsidRPr="0042750D">
        <w:rPr>
          <w:szCs w:val="22"/>
        </w:rPr>
        <w:tab/>
      </w:r>
      <w:r w:rsidRPr="0042750D">
        <w:rPr>
          <w:color w:val="231F20"/>
          <w:szCs w:val="22"/>
        </w:rPr>
        <w:t>comparison between sales of paper copies and free downloads of electronic copies, per year</w:t>
      </w:r>
      <w:r w:rsidRPr="0042750D">
        <w:rPr>
          <w:szCs w:val="22"/>
        </w:rPr>
        <w:t>;</w:t>
      </w:r>
    </w:p>
    <w:p w14:paraId="3093C7ED" w14:textId="45EBC60F" w:rsidR="00F0236A" w:rsidRPr="0042750D" w:rsidRDefault="00FA3845" w:rsidP="00FA3845">
      <w:pPr>
        <w:pStyle w:val="enumlev10"/>
        <w:spacing w:after="120"/>
        <w:rPr>
          <w:i/>
          <w:iCs/>
          <w:szCs w:val="22"/>
        </w:rPr>
      </w:pPr>
      <w:r w:rsidRPr="0042750D">
        <w:rPr>
          <w:szCs w:val="22"/>
        </w:rPr>
        <w:t>–</w:t>
      </w:r>
      <w:r w:rsidRPr="0042750D">
        <w:rPr>
          <w:szCs w:val="22"/>
        </w:rPr>
        <w:tab/>
      </w:r>
      <w:r w:rsidRPr="0042750D">
        <w:rPr>
          <w:color w:val="231F20"/>
          <w:szCs w:val="22"/>
        </w:rPr>
        <w:t>sales and free downloads by country and by member category</w:t>
      </w:r>
      <w:r w:rsidR="00F0236A" w:rsidRPr="0042750D">
        <w:rPr>
          <w:i/>
          <w:iCs/>
          <w:szCs w:val="22"/>
        </w:rPr>
        <w: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9"/>
        <w:gridCol w:w="1333"/>
        <w:gridCol w:w="1142"/>
        <w:gridCol w:w="1338"/>
      </w:tblGrid>
      <w:tr w:rsidR="00FA3845" w:rsidRPr="0042750D" w14:paraId="2A93BA48" w14:textId="77777777" w:rsidTr="003462B2">
        <w:trPr>
          <w:jc w:val="center"/>
        </w:trPr>
        <w:tc>
          <w:tcPr>
            <w:tcW w:w="1190" w:type="dxa"/>
            <w:tcBorders>
              <w:top w:val="single" w:sz="12" w:space="0" w:color="auto"/>
              <w:bottom w:val="single" w:sz="12" w:space="0" w:color="auto"/>
            </w:tcBorders>
            <w:shd w:val="clear" w:color="auto" w:fill="auto"/>
            <w:vAlign w:val="center"/>
          </w:tcPr>
          <w:p w14:paraId="4A79B5D0" w14:textId="77777777" w:rsidR="00FA3845" w:rsidRPr="0042750D" w:rsidRDefault="00FA3845" w:rsidP="00D50A4E">
            <w:pPr>
              <w:pStyle w:val="Tablehead"/>
              <w:keepNext w:val="0"/>
              <w:rPr>
                <w:sz w:val="24"/>
                <w:szCs w:val="24"/>
              </w:rPr>
            </w:pPr>
            <w:r w:rsidRPr="0042750D">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3A40CFD8" w14:textId="77777777" w:rsidR="00FA3845" w:rsidRPr="0042750D" w:rsidRDefault="00FA3845" w:rsidP="00D50A4E">
            <w:pPr>
              <w:pStyle w:val="Tablehead"/>
              <w:rPr>
                <w:sz w:val="24"/>
                <w:szCs w:val="24"/>
              </w:rPr>
            </w:pPr>
            <w:r w:rsidRPr="0042750D">
              <w:rPr>
                <w:sz w:val="24"/>
                <w:szCs w:val="24"/>
              </w:rPr>
              <w:t>Action</w:t>
            </w:r>
          </w:p>
        </w:tc>
        <w:tc>
          <w:tcPr>
            <w:tcW w:w="1333" w:type="dxa"/>
            <w:tcBorders>
              <w:top w:val="single" w:sz="12" w:space="0" w:color="auto"/>
              <w:bottom w:val="single" w:sz="12" w:space="0" w:color="auto"/>
            </w:tcBorders>
            <w:shd w:val="clear" w:color="auto" w:fill="auto"/>
            <w:vAlign w:val="center"/>
            <w:hideMark/>
          </w:tcPr>
          <w:p w14:paraId="63725ECB" w14:textId="77777777" w:rsidR="00FA3845" w:rsidRPr="0042750D" w:rsidRDefault="00FA3845" w:rsidP="00D50A4E">
            <w:pPr>
              <w:pStyle w:val="Tablehead"/>
              <w:rPr>
                <w:sz w:val="24"/>
                <w:szCs w:val="24"/>
              </w:rPr>
            </w:pPr>
            <w:r w:rsidRPr="0042750D">
              <w:rPr>
                <w:sz w:val="24"/>
                <w:szCs w:val="24"/>
              </w:rPr>
              <w:t>Milestone</w:t>
            </w:r>
          </w:p>
        </w:tc>
        <w:tc>
          <w:tcPr>
            <w:tcW w:w="1142" w:type="dxa"/>
            <w:tcBorders>
              <w:top w:val="single" w:sz="12" w:space="0" w:color="auto"/>
              <w:bottom w:val="single" w:sz="12" w:space="0" w:color="auto"/>
            </w:tcBorders>
            <w:shd w:val="clear" w:color="auto" w:fill="auto"/>
          </w:tcPr>
          <w:p w14:paraId="35AB7CF8" w14:textId="77777777" w:rsidR="00FA3845" w:rsidRPr="0042750D" w:rsidRDefault="00FA3845" w:rsidP="00D50A4E">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EE60D2A" w14:textId="77777777" w:rsidR="00FA3845" w:rsidRPr="0042750D" w:rsidRDefault="00FA3845" w:rsidP="00D50A4E">
            <w:pPr>
              <w:pStyle w:val="Tablehead"/>
              <w:rPr>
                <w:sz w:val="24"/>
                <w:szCs w:val="24"/>
              </w:rPr>
            </w:pPr>
            <w:r w:rsidRPr="0042750D">
              <w:rPr>
                <w:sz w:val="24"/>
                <w:szCs w:val="24"/>
              </w:rPr>
              <w:t>Completed</w:t>
            </w:r>
          </w:p>
        </w:tc>
      </w:tr>
      <w:tr w:rsidR="00FA3845" w:rsidRPr="0042750D" w14:paraId="4D073DDC" w14:textId="77777777" w:rsidTr="003462B2">
        <w:trPr>
          <w:jc w:val="center"/>
        </w:trPr>
        <w:tc>
          <w:tcPr>
            <w:tcW w:w="1190" w:type="dxa"/>
            <w:vMerge w:val="restart"/>
            <w:tcBorders>
              <w:top w:val="single" w:sz="12" w:space="0" w:color="auto"/>
            </w:tcBorders>
            <w:shd w:val="clear" w:color="auto" w:fill="auto"/>
          </w:tcPr>
          <w:p w14:paraId="005E3493" w14:textId="4CEBDE05" w:rsidR="00FA3845" w:rsidRPr="0042750D" w:rsidRDefault="00FA3845" w:rsidP="00FA3845">
            <w:pPr>
              <w:pStyle w:val="Tabletext"/>
              <w:rPr>
                <w:b/>
                <w:bCs/>
                <w:sz w:val="24"/>
                <w:szCs w:val="24"/>
              </w:rPr>
            </w:pPr>
            <w:r w:rsidRPr="0042750D">
              <w:rPr>
                <w:b/>
                <w:sz w:val="24"/>
                <w:szCs w:val="24"/>
              </w:rPr>
              <w:t>DEC12-</w:t>
            </w:r>
            <w:r w:rsidRPr="0042750D">
              <w:rPr>
                <w:b/>
                <w:bCs/>
                <w:sz w:val="24"/>
                <w:szCs w:val="24"/>
              </w:rPr>
              <w:t>01</w:t>
            </w:r>
          </w:p>
        </w:tc>
        <w:tc>
          <w:tcPr>
            <w:tcW w:w="4929" w:type="dxa"/>
            <w:tcBorders>
              <w:top w:val="single" w:sz="12" w:space="0" w:color="auto"/>
              <w:bottom w:val="single" w:sz="2" w:space="0" w:color="auto"/>
            </w:tcBorders>
            <w:shd w:val="clear" w:color="auto" w:fill="auto"/>
          </w:tcPr>
          <w:p w14:paraId="008FE80B" w14:textId="44D22683" w:rsidR="00FA3845" w:rsidRPr="0042750D" w:rsidRDefault="003462B2" w:rsidP="003462B2">
            <w:pPr>
              <w:pStyle w:val="Tabletext"/>
              <w:rPr>
                <w:b/>
                <w:bCs/>
                <w:sz w:val="24"/>
                <w:szCs w:val="24"/>
              </w:rPr>
            </w:pPr>
            <w:r w:rsidRPr="0042750D">
              <w:rPr>
                <w:b/>
                <w:bCs/>
                <w:sz w:val="24"/>
                <w:szCs w:val="24"/>
              </w:rPr>
              <w:t>TSBDir to p</w:t>
            </w:r>
            <w:r w:rsidR="00FA3845" w:rsidRPr="0042750D">
              <w:rPr>
                <w:b/>
                <w:bCs/>
                <w:sz w:val="24"/>
                <w:szCs w:val="24"/>
              </w:rPr>
              <w:t>rovide free online access to</w:t>
            </w:r>
            <w:r w:rsidRPr="0042750D">
              <w:rPr>
                <w:b/>
                <w:bCs/>
                <w:sz w:val="24"/>
                <w:szCs w:val="24"/>
              </w:rPr>
              <w:t xml:space="preserve"> ITU-T</w:t>
            </w:r>
            <w:r w:rsidR="00FA3845" w:rsidRPr="0042750D">
              <w:rPr>
                <w:b/>
                <w:bCs/>
                <w:sz w:val="24"/>
                <w:szCs w:val="24"/>
              </w:rPr>
              <w:t xml:space="preserve"> rec</w:t>
            </w:r>
            <w:r w:rsidRPr="0042750D">
              <w:rPr>
                <w:b/>
                <w:bCs/>
                <w:sz w:val="24"/>
                <w:szCs w:val="24"/>
              </w:rPr>
              <w:t>ommendations and reports</w:t>
            </w:r>
            <w:r w:rsidR="00FA3845" w:rsidRPr="0042750D">
              <w:rPr>
                <w:b/>
                <w:bCs/>
                <w:sz w:val="24"/>
                <w:szCs w:val="24"/>
              </w:rPr>
              <w:t xml:space="preserve">; ITRs; </w:t>
            </w:r>
            <w:r w:rsidRPr="0042750D">
              <w:rPr>
                <w:b/>
                <w:sz w:val="24"/>
                <w:szCs w:val="24"/>
              </w:rPr>
              <w:t>the Rules of Procedure</w:t>
            </w:r>
            <w:r w:rsidR="00FA3845" w:rsidRPr="0042750D">
              <w:rPr>
                <w:b/>
                <w:bCs/>
                <w:sz w:val="24"/>
                <w:szCs w:val="24"/>
              </w:rPr>
              <w:t xml:space="preserve">; </w:t>
            </w:r>
            <w:r w:rsidRPr="0042750D">
              <w:rPr>
                <w:b/>
                <w:sz w:val="24"/>
                <w:szCs w:val="24"/>
              </w:rPr>
              <w:t>the final acts of WTSA; and the final acts of WCIT</w:t>
            </w:r>
            <w:r w:rsidR="00910C73" w:rsidRPr="0042750D">
              <w:rPr>
                <w:b/>
                <w:sz w:val="24"/>
                <w:szCs w:val="24"/>
              </w:rPr>
              <w:t xml:space="preserve"> (</w:t>
            </w:r>
            <w:r w:rsidR="00910C73" w:rsidRPr="0042750D">
              <w:rPr>
                <w:b/>
                <w:i/>
                <w:sz w:val="24"/>
                <w:szCs w:val="24"/>
              </w:rPr>
              <w:t>decides 1</w:t>
            </w:r>
            <w:r w:rsidR="00910C73" w:rsidRPr="0042750D">
              <w:rPr>
                <w:b/>
                <w:sz w:val="24"/>
                <w:szCs w:val="24"/>
              </w:rPr>
              <w:t>)</w:t>
            </w:r>
            <w:r w:rsidR="00FA3845"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2BC5A9DE" w14:textId="77777777" w:rsidR="00FA3845" w:rsidRPr="0042750D" w:rsidRDefault="00FA3845" w:rsidP="00D50A4E">
            <w:pPr>
              <w:pStyle w:val="Tabletext"/>
              <w:jc w:val="center"/>
              <w:rPr>
                <w:b/>
                <w:bCs/>
                <w:sz w:val="24"/>
                <w:szCs w:val="24"/>
              </w:rPr>
            </w:pPr>
            <w:r w:rsidRPr="0042750D">
              <w:rPr>
                <w:b/>
                <w:bCs/>
                <w:sz w:val="24"/>
                <w:szCs w:val="24"/>
              </w:rPr>
              <w:t>Ongoing</w:t>
            </w:r>
          </w:p>
        </w:tc>
        <w:tc>
          <w:tcPr>
            <w:tcW w:w="1142" w:type="dxa"/>
            <w:tcBorders>
              <w:top w:val="single" w:sz="12" w:space="0" w:color="auto"/>
              <w:bottom w:val="single" w:sz="2" w:space="0" w:color="auto"/>
            </w:tcBorders>
            <w:shd w:val="clear" w:color="auto" w:fill="auto"/>
            <w:vAlign w:val="center"/>
          </w:tcPr>
          <w:p w14:paraId="59126225" w14:textId="0D0308E8" w:rsidR="00FA3845" w:rsidRPr="0042750D" w:rsidRDefault="006E44BD"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314C0922" w14:textId="77777777" w:rsidR="00FA3845" w:rsidRPr="0042750D" w:rsidRDefault="00FA3845" w:rsidP="00D50A4E">
            <w:pPr>
              <w:pStyle w:val="Tabletext"/>
              <w:jc w:val="center"/>
              <w:rPr>
                <w:b/>
                <w:bCs/>
                <w:sz w:val="24"/>
                <w:szCs w:val="24"/>
              </w:rPr>
            </w:pPr>
          </w:p>
        </w:tc>
      </w:tr>
      <w:tr w:rsidR="00FA3845" w:rsidRPr="0042750D" w14:paraId="695A799A" w14:textId="77777777" w:rsidTr="003462B2">
        <w:trPr>
          <w:jc w:val="center"/>
        </w:trPr>
        <w:tc>
          <w:tcPr>
            <w:tcW w:w="1190" w:type="dxa"/>
            <w:vMerge/>
            <w:tcBorders>
              <w:bottom w:val="single" w:sz="12" w:space="0" w:color="auto"/>
            </w:tcBorders>
            <w:shd w:val="clear" w:color="auto" w:fill="auto"/>
          </w:tcPr>
          <w:p w14:paraId="29DCF8F7" w14:textId="77777777" w:rsidR="00FA3845" w:rsidRPr="0042750D" w:rsidRDefault="00FA3845"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1D47DF9E" w14:textId="51245E27" w:rsidR="00FA3845" w:rsidRPr="0042750D" w:rsidRDefault="006E44BD" w:rsidP="006F2431">
            <w:pPr>
              <w:tabs>
                <w:tab w:val="left" w:pos="720"/>
              </w:tabs>
              <w:snapToGrid w:val="0"/>
              <w:spacing w:before="40" w:after="40"/>
              <w:rPr>
                <w:szCs w:val="22"/>
              </w:rPr>
            </w:pPr>
            <w:r w:rsidRPr="0042750D">
              <w:rPr>
                <w:bCs/>
                <w:szCs w:val="22"/>
              </w:rPr>
              <w:t xml:space="preserve">ITU-T recommendations and reports; ITRs; WTSA Resolutions; </w:t>
            </w:r>
            <w:r w:rsidRPr="0042750D">
              <w:rPr>
                <w:szCs w:val="22"/>
              </w:rPr>
              <w:t>the final acts of WTSA; and the final acts of WCIT are freely available online on the ITU web pages.</w:t>
            </w:r>
          </w:p>
        </w:tc>
      </w:tr>
    </w:tbl>
    <w:p w14:paraId="384E62B7" w14:textId="77777777" w:rsidR="00254DD0" w:rsidRPr="0042750D" w:rsidRDefault="00DD025B" w:rsidP="00254DD0">
      <w:pPr>
        <w:rPr>
          <w:rStyle w:val="Hyperlink"/>
          <w:rFonts w:eastAsia="Times New Roman"/>
          <w:sz w:val="24"/>
        </w:rPr>
      </w:pPr>
      <w:hyperlink w:anchor="Top" w:history="1">
        <w:r w:rsidR="00254DD0" w:rsidRPr="0042750D">
          <w:rPr>
            <w:rStyle w:val="Hyperlink"/>
            <w:rFonts w:eastAsia="Times New Roman"/>
            <w:sz w:val="24"/>
          </w:rPr>
          <w:t>» Top</w:t>
        </w:r>
      </w:hyperlink>
    </w:p>
    <w:p w14:paraId="5145A3CC" w14:textId="0A596B86" w:rsidR="0066256B" w:rsidRPr="0042750D" w:rsidRDefault="0066256B" w:rsidP="00D50A4E">
      <w:pPr>
        <w:pStyle w:val="Heading1"/>
        <w:rPr>
          <w:sz w:val="24"/>
          <w:szCs w:val="24"/>
          <w:lang w:val="en-GB"/>
        </w:rPr>
      </w:pPr>
      <w:bookmarkStart w:id="478" w:name="ItemOp_02"/>
      <w:bookmarkStart w:id="479" w:name="_Toc30749202"/>
      <w:bookmarkEnd w:id="478"/>
      <w:r w:rsidRPr="0042750D">
        <w:rPr>
          <w:sz w:val="24"/>
          <w:szCs w:val="24"/>
          <w:lang w:val="en-GB"/>
        </w:rPr>
        <w:t>DECISION 14 (BUSAN, 2014) – Use of hyperlinks in ITU documents</w:t>
      </w:r>
      <w:bookmarkEnd w:id="479"/>
    </w:p>
    <w:p w14:paraId="7CD71B5A" w14:textId="77777777" w:rsidR="0066256B" w:rsidRPr="0042750D" w:rsidRDefault="0066256B" w:rsidP="0066256B">
      <w:pPr>
        <w:pStyle w:val="Call"/>
        <w:rPr>
          <w:lang w:val="en-GB"/>
        </w:rPr>
      </w:pPr>
      <w:r w:rsidRPr="0042750D">
        <w:rPr>
          <w:lang w:val="en-GB"/>
        </w:rPr>
        <w:t>decides</w:t>
      </w:r>
    </w:p>
    <w:p w14:paraId="63413A96" w14:textId="77777777" w:rsidR="0066256B" w:rsidRPr="0042750D" w:rsidRDefault="0066256B" w:rsidP="009461FD">
      <w:pPr>
        <w:spacing w:after="120"/>
      </w:pPr>
      <w:r w:rsidRPr="0042750D">
        <w:t>that final documents submitted for approval shall not contain hyperlinks other than, where appropriate, internal hyperlinks to documents or parts of documents that are stable and have already been approved by the competent organ of the Union, and that the inclusion of an internal hyperlink in a document submitted for approval should not result in implicit approval of the content of the hyperlink's target; rather, any approval must be explicit (this procedure is not applicable to study groups).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90"/>
        <w:gridCol w:w="4929"/>
        <w:gridCol w:w="1333"/>
        <w:gridCol w:w="1142"/>
        <w:gridCol w:w="1338"/>
      </w:tblGrid>
      <w:tr w:rsidR="00FC6404" w:rsidRPr="0042750D" w14:paraId="2659DA31" w14:textId="77777777" w:rsidTr="003462B2">
        <w:trPr>
          <w:jc w:val="center"/>
        </w:trPr>
        <w:tc>
          <w:tcPr>
            <w:tcW w:w="1190" w:type="dxa"/>
            <w:tcBorders>
              <w:top w:val="single" w:sz="12" w:space="0" w:color="auto"/>
              <w:bottom w:val="single" w:sz="12" w:space="0" w:color="auto"/>
            </w:tcBorders>
            <w:shd w:val="clear" w:color="auto" w:fill="auto"/>
            <w:vAlign w:val="center"/>
          </w:tcPr>
          <w:p w14:paraId="15CA1ABF" w14:textId="77777777" w:rsidR="00FC6404" w:rsidRPr="0042750D" w:rsidRDefault="00FC6404" w:rsidP="00D50A4E">
            <w:pPr>
              <w:pStyle w:val="Tablehead"/>
              <w:keepNext w:val="0"/>
              <w:rPr>
                <w:sz w:val="24"/>
                <w:szCs w:val="24"/>
              </w:rPr>
            </w:pPr>
            <w:r w:rsidRPr="0042750D">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0570CD68" w14:textId="77777777" w:rsidR="00FC6404" w:rsidRPr="0042750D" w:rsidRDefault="00FC6404" w:rsidP="00D50A4E">
            <w:pPr>
              <w:pStyle w:val="Tablehead"/>
              <w:rPr>
                <w:sz w:val="24"/>
                <w:szCs w:val="24"/>
              </w:rPr>
            </w:pPr>
            <w:r w:rsidRPr="0042750D">
              <w:rPr>
                <w:sz w:val="24"/>
                <w:szCs w:val="24"/>
              </w:rPr>
              <w:t>Action</w:t>
            </w:r>
          </w:p>
        </w:tc>
        <w:tc>
          <w:tcPr>
            <w:tcW w:w="1333" w:type="dxa"/>
            <w:tcBorders>
              <w:top w:val="single" w:sz="12" w:space="0" w:color="auto"/>
              <w:bottom w:val="single" w:sz="12" w:space="0" w:color="auto"/>
            </w:tcBorders>
            <w:shd w:val="clear" w:color="auto" w:fill="auto"/>
            <w:vAlign w:val="center"/>
            <w:hideMark/>
          </w:tcPr>
          <w:p w14:paraId="5384D537" w14:textId="77777777" w:rsidR="00FC6404" w:rsidRPr="0042750D" w:rsidRDefault="00FC6404" w:rsidP="00D50A4E">
            <w:pPr>
              <w:pStyle w:val="Tablehead"/>
              <w:rPr>
                <w:sz w:val="24"/>
                <w:szCs w:val="24"/>
              </w:rPr>
            </w:pPr>
            <w:r w:rsidRPr="0042750D">
              <w:rPr>
                <w:sz w:val="24"/>
                <w:szCs w:val="24"/>
              </w:rPr>
              <w:t>Milestone</w:t>
            </w:r>
          </w:p>
        </w:tc>
        <w:tc>
          <w:tcPr>
            <w:tcW w:w="1142" w:type="dxa"/>
            <w:tcBorders>
              <w:top w:val="single" w:sz="12" w:space="0" w:color="auto"/>
              <w:bottom w:val="single" w:sz="12" w:space="0" w:color="auto"/>
            </w:tcBorders>
            <w:shd w:val="clear" w:color="auto" w:fill="auto"/>
          </w:tcPr>
          <w:p w14:paraId="29F46EEE" w14:textId="77777777" w:rsidR="00FC6404" w:rsidRPr="0042750D" w:rsidRDefault="00FC6404" w:rsidP="00D50A4E">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21507309" w14:textId="77777777" w:rsidR="00FC6404" w:rsidRPr="0042750D" w:rsidRDefault="00FC6404" w:rsidP="00D50A4E">
            <w:pPr>
              <w:pStyle w:val="Tablehead"/>
              <w:rPr>
                <w:sz w:val="24"/>
                <w:szCs w:val="24"/>
              </w:rPr>
            </w:pPr>
            <w:r w:rsidRPr="0042750D">
              <w:rPr>
                <w:sz w:val="24"/>
                <w:szCs w:val="24"/>
              </w:rPr>
              <w:t>Completed</w:t>
            </w:r>
          </w:p>
        </w:tc>
      </w:tr>
      <w:tr w:rsidR="00FC6404" w:rsidRPr="0042750D" w14:paraId="75D7732E" w14:textId="77777777" w:rsidTr="003462B2">
        <w:trPr>
          <w:jc w:val="center"/>
        </w:trPr>
        <w:tc>
          <w:tcPr>
            <w:tcW w:w="1190" w:type="dxa"/>
            <w:vMerge w:val="restart"/>
            <w:tcBorders>
              <w:top w:val="single" w:sz="12" w:space="0" w:color="auto"/>
            </w:tcBorders>
            <w:shd w:val="clear" w:color="auto" w:fill="auto"/>
          </w:tcPr>
          <w:p w14:paraId="60144CEF" w14:textId="25C71CA6" w:rsidR="00FC6404" w:rsidRPr="0042750D" w:rsidRDefault="00FC6404" w:rsidP="00FC6404">
            <w:pPr>
              <w:pStyle w:val="Tabletext"/>
              <w:rPr>
                <w:b/>
                <w:bCs/>
                <w:sz w:val="24"/>
                <w:szCs w:val="24"/>
              </w:rPr>
            </w:pPr>
            <w:r w:rsidRPr="0042750D">
              <w:rPr>
                <w:b/>
                <w:sz w:val="24"/>
                <w:szCs w:val="24"/>
              </w:rPr>
              <w:t>DEC14-</w:t>
            </w:r>
            <w:r w:rsidRPr="0042750D">
              <w:rPr>
                <w:b/>
                <w:bCs/>
                <w:sz w:val="24"/>
                <w:szCs w:val="24"/>
              </w:rPr>
              <w:t>01</w:t>
            </w:r>
          </w:p>
        </w:tc>
        <w:tc>
          <w:tcPr>
            <w:tcW w:w="4929" w:type="dxa"/>
            <w:tcBorders>
              <w:top w:val="single" w:sz="12" w:space="0" w:color="auto"/>
              <w:bottom w:val="single" w:sz="2" w:space="0" w:color="auto"/>
            </w:tcBorders>
            <w:shd w:val="clear" w:color="auto" w:fill="auto"/>
          </w:tcPr>
          <w:p w14:paraId="05D86371" w14:textId="7BC32265" w:rsidR="00FC6404" w:rsidRPr="0042750D" w:rsidRDefault="003462B2" w:rsidP="003462B2">
            <w:pPr>
              <w:pStyle w:val="Tabletext"/>
              <w:rPr>
                <w:b/>
                <w:bCs/>
                <w:sz w:val="24"/>
                <w:szCs w:val="24"/>
              </w:rPr>
            </w:pPr>
            <w:r w:rsidRPr="0042750D">
              <w:rPr>
                <w:b/>
                <w:bCs/>
                <w:sz w:val="24"/>
                <w:szCs w:val="24"/>
              </w:rPr>
              <w:t>ITU-T to ensure that f</w:t>
            </w:r>
            <w:r w:rsidR="00FC6404" w:rsidRPr="0042750D">
              <w:rPr>
                <w:b/>
                <w:bCs/>
                <w:sz w:val="24"/>
                <w:szCs w:val="24"/>
              </w:rPr>
              <w:t>inal docs submitted for approval should only contain hyperlinks to stable, approved documents</w:t>
            </w:r>
            <w:r w:rsidR="00910C73" w:rsidRPr="0042750D">
              <w:rPr>
                <w:b/>
                <w:bCs/>
                <w:sz w:val="24"/>
                <w:szCs w:val="24"/>
              </w:rPr>
              <w:t xml:space="preserve"> (</w:t>
            </w:r>
            <w:r w:rsidR="00910C73" w:rsidRPr="0042750D">
              <w:rPr>
                <w:b/>
                <w:bCs/>
                <w:i/>
                <w:sz w:val="24"/>
                <w:szCs w:val="24"/>
              </w:rPr>
              <w:t>decides</w:t>
            </w:r>
            <w:r w:rsidR="00910C73" w:rsidRPr="0042750D">
              <w:rPr>
                <w:b/>
                <w:bCs/>
                <w:sz w:val="24"/>
                <w:szCs w:val="24"/>
              </w:rPr>
              <w:t>)</w:t>
            </w:r>
            <w:r w:rsidR="00FC6404" w:rsidRPr="0042750D">
              <w:rPr>
                <w:b/>
                <w:bCs/>
                <w:sz w:val="24"/>
                <w:szCs w:val="24"/>
              </w:rPr>
              <w:t>.</w:t>
            </w:r>
          </w:p>
        </w:tc>
        <w:tc>
          <w:tcPr>
            <w:tcW w:w="1333" w:type="dxa"/>
            <w:tcBorders>
              <w:top w:val="single" w:sz="12" w:space="0" w:color="auto"/>
              <w:bottom w:val="single" w:sz="2" w:space="0" w:color="auto"/>
            </w:tcBorders>
            <w:shd w:val="clear" w:color="auto" w:fill="auto"/>
            <w:vAlign w:val="center"/>
          </w:tcPr>
          <w:p w14:paraId="596B87C4" w14:textId="77777777" w:rsidR="00FC6404" w:rsidRPr="0042750D" w:rsidRDefault="00FC6404" w:rsidP="00D50A4E">
            <w:pPr>
              <w:pStyle w:val="Tabletext"/>
              <w:jc w:val="center"/>
              <w:rPr>
                <w:b/>
                <w:bCs/>
                <w:sz w:val="24"/>
                <w:szCs w:val="24"/>
              </w:rPr>
            </w:pPr>
            <w:r w:rsidRPr="0042750D">
              <w:rPr>
                <w:b/>
                <w:bCs/>
                <w:sz w:val="24"/>
                <w:szCs w:val="24"/>
              </w:rPr>
              <w:t>Ongoing</w:t>
            </w:r>
          </w:p>
        </w:tc>
        <w:tc>
          <w:tcPr>
            <w:tcW w:w="1142" w:type="dxa"/>
            <w:tcBorders>
              <w:top w:val="single" w:sz="12" w:space="0" w:color="auto"/>
              <w:bottom w:val="single" w:sz="2" w:space="0" w:color="auto"/>
            </w:tcBorders>
            <w:shd w:val="clear" w:color="auto" w:fill="auto"/>
            <w:vAlign w:val="center"/>
          </w:tcPr>
          <w:p w14:paraId="0D44605E" w14:textId="5BCCC8EC" w:rsidR="00FC6404" w:rsidRPr="0042750D" w:rsidRDefault="000F303C"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1331BAC9" w14:textId="77777777" w:rsidR="00FC6404" w:rsidRPr="0042750D" w:rsidRDefault="00FC6404" w:rsidP="00D50A4E">
            <w:pPr>
              <w:pStyle w:val="Tabletext"/>
              <w:jc w:val="center"/>
              <w:rPr>
                <w:b/>
                <w:bCs/>
                <w:sz w:val="24"/>
                <w:szCs w:val="24"/>
              </w:rPr>
            </w:pPr>
          </w:p>
        </w:tc>
      </w:tr>
      <w:tr w:rsidR="00FC6404" w:rsidRPr="0042750D" w14:paraId="39059191" w14:textId="77777777" w:rsidTr="003462B2">
        <w:trPr>
          <w:jc w:val="center"/>
        </w:trPr>
        <w:tc>
          <w:tcPr>
            <w:tcW w:w="1190" w:type="dxa"/>
            <w:vMerge/>
            <w:tcBorders>
              <w:bottom w:val="single" w:sz="12" w:space="0" w:color="auto"/>
            </w:tcBorders>
            <w:shd w:val="clear" w:color="auto" w:fill="auto"/>
          </w:tcPr>
          <w:p w14:paraId="656A9475" w14:textId="77777777" w:rsidR="00FC6404" w:rsidRPr="0042750D" w:rsidRDefault="00FC6404"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44CE4A4F" w14:textId="20E3727D" w:rsidR="00FC6404" w:rsidRPr="0042750D" w:rsidRDefault="000F303C" w:rsidP="006F2431">
            <w:pPr>
              <w:tabs>
                <w:tab w:val="left" w:pos="720"/>
              </w:tabs>
              <w:snapToGrid w:val="0"/>
              <w:spacing w:before="40" w:after="40"/>
            </w:pPr>
            <w:r w:rsidRPr="0042750D">
              <w:t>ITU-T study groups regula</w:t>
            </w:r>
            <w:r w:rsidR="003F7C87" w:rsidRPr="0042750D">
              <w:t>r</w:t>
            </w:r>
            <w:r w:rsidRPr="0042750D">
              <w:t>ily check and ensure hyperlinks for any documents for approval.</w:t>
            </w:r>
          </w:p>
        </w:tc>
      </w:tr>
    </w:tbl>
    <w:p w14:paraId="0A65FE53" w14:textId="77777777" w:rsidR="00254DD0" w:rsidRPr="0042750D" w:rsidRDefault="00DD025B" w:rsidP="00254DD0">
      <w:pPr>
        <w:rPr>
          <w:rStyle w:val="Hyperlink"/>
          <w:rFonts w:eastAsia="Times New Roman"/>
          <w:sz w:val="24"/>
        </w:rPr>
      </w:pPr>
      <w:hyperlink w:anchor="Top" w:history="1">
        <w:r w:rsidR="00254DD0" w:rsidRPr="0042750D">
          <w:rPr>
            <w:rStyle w:val="Hyperlink"/>
            <w:rFonts w:eastAsia="Times New Roman"/>
            <w:sz w:val="24"/>
          </w:rPr>
          <w:t>» Top</w:t>
        </w:r>
      </w:hyperlink>
    </w:p>
    <w:p w14:paraId="2E0099A4" w14:textId="0262A36B" w:rsidR="00254DD0" w:rsidRPr="0042750D" w:rsidRDefault="00E57158" w:rsidP="00886B07">
      <w:pPr>
        <w:pStyle w:val="Heading1"/>
        <w:keepNext/>
        <w:keepLines/>
        <w:spacing w:after="120"/>
        <w:ind w:left="357" w:hanging="357"/>
        <w:contextualSpacing w:val="0"/>
        <w:rPr>
          <w:sz w:val="24"/>
          <w:szCs w:val="24"/>
          <w:lang w:val="en-GB"/>
        </w:rPr>
      </w:pPr>
      <w:bookmarkStart w:id="480" w:name="_Toc30749203"/>
      <w:r w:rsidRPr="0042750D">
        <w:rPr>
          <w:sz w:val="24"/>
          <w:szCs w:val="24"/>
          <w:lang w:val="en-GB"/>
        </w:rPr>
        <w:t xml:space="preserve">COM5 </w:t>
      </w:r>
      <w:r w:rsidR="00952E16" w:rsidRPr="0042750D">
        <w:rPr>
          <w:sz w:val="24"/>
          <w:szCs w:val="24"/>
          <w:lang w:val="en-GB"/>
        </w:rPr>
        <w:t xml:space="preserve">RECOMMENDATION </w:t>
      </w:r>
      <w:r w:rsidR="006C6B07" w:rsidRPr="0042750D">
        <w:rPr>
          <w:sz w:val="24"/>
          <w:szCs w:val="24"/>
          <w:lang w:val="en-GB"/>
        </w:rPr>
        <w:t>3</w:t>
      </w:r>
      <w:r w:rsidR="00254DD0" w:rsidRPr="0042750D">
        <w:rPr>
          <w:sz w:val="24"/>
          <w:szCs w:val="24"/>
          <w:lang w:val="en-GB"/>
        </w:rPr>
        <w:t xml:space="preserve"> (</w:t>
      </w:r>
      <w:r w:rsidR="009461FD" w:rsidRPr="0042750D">
        <w:rPr>
          <w:sz w:val="24"/>
          <w:szCs w:val="24"/>
          <w:lang w:val="en-GB"/>
        </w:rPr>
        <w:t>DUBAI</w:t>
      </w:r>
      <w:r w:rsidR="00254DD0" w:rsidRPr="0042750D">
        <w:rPr>
          <w:sz w:val="24"/>
          <w:szCs w:val="24"/>
          <w:lang w:val="en-GB"/>
        </w:rPr>
        <w:t>, 201</w:t>
      </w:r>
      <w:r w:rsidR="009461FD" w:rsidRPr="0042750D">
        <w:rPr>
          <w:sz w:val="24"/>
          <w:szCs w:val="24"/>
          <w:lang w:val="en-GB"/>
        </w:rPr>
        <w:t>8</w:t>
      </w:r>
      <w:r w:rsidR="00254DD0" w:rsidRPr="0042750D">
        <w:rPr>
          <w:sz w:val="24"/>
          <w:szCs w:val="24"/>
          <w:lang w:val="en-GB"/>
        </w:rPr>
        <w:t xml:space="preserve">) – </w:t>
      </w:r>
      <w:r w:rsidR="009461FD" w:rsidRPr="0042750D">
        <w:rPr>
          <w:sz w:val="24"/>
          <w:szCs w:val="24"/>
          <w:lang w:val="en-GB"/>
        </w:rPr>
        <w:t>Streamlining</w:t>
      </w:r>
      <w:bookmarkEnd w:id="480"/>
    </w:p>
    <w:p w14:paraId="45BE9B04" w14:textId="77777777" w:rsidR="00E57158" w:rsidRPr="0042750D" w:rsidRDefault="00E57158" w:rsidP="00886B07">
      <w:pPr>
        <w:keepNext/>
        <w:keepLines/>
        <w:jc w:val="both"/>
        <w:rPr>
          <w:szCs w:val="22"/>
        </w:rPr>
      </w:pPr>
      <w:r w:rsidRPr="0042750D">
        <w:rPr>
          <w:szCs w:val="22"/>
          <w:u w:val="single"/>
        </w:rPr>
        <w:t>Recommendation 3</w:t>
      </w:r>
      <w:r w:rsidRPr="0042750D">
        <w:rPr>
          <w:szCs w:val="22"/>
        </w:rPr>
        <w:t>: Committee 5 recommends that the Plenary adopts the following text:</w:t>
      </w:r>
    </w:p>
    <w:p w14:paraId="3C4DD314" w14:textId="18237933" w:rsidR="00E57158" w:rsidRPr="0042750D" w:rsidRDefault="00E57158" w:rsidP="00886B07">
      <w:pPr>
        <w:keepNext/>
        <w:keepLines/>
        <w:rPr>
          <w:szCs w:val="22"/>
        </w:rPr>
      </w:pPr>
      <w:r w:rsidRPr="0042750D">
        <w:rPr>
          <w:szCs w:val="22"/>
        </w:rPr>
        <w:t>As has been discussed in multiple sessions of Council, this Plenipotentiary Conference (PP) acknowledged the need for streamlining of resolutions. The discussions included observations that multiple resolutions in all three Sectors reproduce preambular text that exists in a PP resolution. Repetition of such text among Conferences and Assemblies of the ITU causes inef</w:t>
      </w:r>
      <w:r w:rsidR="00113400" w:rsidRPr="0042750D">
        <w:rPr>
          <w:szCs w:val="22"/>
        </w:rPr>
        <w:t>ficiencies and increased costs.</w:t>
      </w:r>
    </w:p>
    <w:p w14:paraId="10A76BF4" w14:textId="41E81837" w:rsidR="00E57158" w:rsidRPr="0042750D" w:rsidRDefault="00E57158" w:rsidP="00113400">
      <w:pPr>
        <w:rPr>
          <w:szCs w:val="22"/>
        </w:rPr>
      </w:pPr>
      <w:r w:rsidRPr="0042750D">
        <w:rPr>
          <w:szCs w:val="22"/>
        </w:rPr>
        <w:t>PP is aware that some Sector resolutions integrate portions of PP resolutions. Such resolutions should not be considered as repetitiou</w:t>
      </w:r>
      <w:r w:rsidR="00113400" w:rsidRPr="0042750D">
        <w:rPr>
          <w:szCs w:val="22"/>
        </w:rPr>
        <w:t>s.</w:t>
      </w:r>
    </w:p>
    <w:p w14:paraId="01E52046" w14:textId="62ADAFAD" w:rsidR="00E57158" w:rsidRPr="0042750D" w:rsidRDefault="00E57158" w:rsidP="00113400">
      <w:pPr>
        <w:rPr>
          <w:szCs w:val="22"/>
        </w:rPr>
      </w:pPr>
      <w:r w:rsidRPr="0042750D">
        <w:rPr>
          <w:szCs w:val="22"/>
        </w:rPr>
        <w:t xml:space="preserve">PP instructs the secretariat to provide analysis and identify outcomes of PP and Sectoral Assemblies/Conferences, which address similar topics and submit it for consideration to RAG, TSAG, TDAG, Inter-Sector </w:t>
      </w:r>
      <w:r w:rsidR="00113400" w:rsidRPr="0042750D">
        <w:rPr>
          <w:szCs w:val="22"/>
        </w:rPr>
        <w:t>Coordination Team and Council.</w:t>
      </w:r>
    </w:p>
    <w:p w14:paraId="4E13CC7C" w14:textId="76B3D788" w:rsidR="00E57158" w:rsidRPr="0042750D" w:rsidRDefault="00E57158" w:rsidP="00113400">
      <w:pPr>
        <w:rPr>
          <w:szCs w:val="22"/>
        </w:rPr>
      </w:pPr>
      <w:r w:rsidRPr="0042750D">
        <w:rPr>
          <w:szCs w:val="22"/>
        </w:rPr>
        <w:t>Member States and Sector Members are invited to use this material in their preparation to Sector Assembli</w:t>
      </w:r>
      <w:r w:rsidR="00113400" w:rsidRPr="0042750D">
        <w:rPr>
          <w:szCs w:val="22"/>
        </w:rPr>
        <w:t>es/Conferences, as appropriate.</w:t>
      </w:r>
    </w:p>
    <w:p w14:paraId="68988D95" w14:textId="77777777" w:rsidR="00E57158" w:rsidRPr="0042750D" w:rsidRDefault="00E57158" w:rsidP="00113400">
      <w:pPr>
        <w:rPr>
          <w:szCs w:val="22"/>
        </w:rPr>
      </w:pPr>
      <w:r w:rsidRPr="0042750D">
        <w:rPr>
          <w:szCs w:val="22"/>
        </w:rPr>
        <w:t>PP invites Member States, Conferences and Assemblies to support the principle of streamlining the resolutions in order to avoid repetition. Of course, resolutions dealing with subjects that are specific to a single Sector will exist as resolutions for the Sector concerned.</w:t>
      </w:r>
    </w:p>
    <w:p w14:paraId="6410D654" w14:textId="77777777" w:rsidR="00E57158" w:rsidRPr="0042750D" w:rsidRDefault="00E57158" w:rsidP="00E57158">
      <w:pPr>
        <w:rPr>
          <w:lang w:eastAsia="x-none"/>
        </w:rPr>
      </w:pP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30"/>
        <w:gridCol w:w="4524"/>
        <w:gridCol w:w="1311"/>
        <w:gridCol w:w="1129"/>
        <w:gridCol w:w="1338"/>
      </w:tblGrid>
      <w:tr w:rsidR="009461FD" w:rsidRPr="0042750D" w14:paraId="0F2F1A16" w14:textId="77777777" w:rsidTr="006C6B07">
        <w:trPr>
          <w:tblHeader/>
          <w:jc w:val="center"/>
        </w:trPr>
        <w:tc>
          <w:tcPr>
            <w:tcW w:w="1190" w:type="dxa"/>
            <w:tcBorders>
              <w:top w:val="single" w:sz="12" w:space="0" w:color="auto"/>
              <w:bottom w:val="single" w:sz="12" w:space="0" w:color="auto"/>
            </w:tcBorders>
            <w:shd w:val="clear" w:color="auto" w:fill="auto"/>
            <w:vAlign w:val="center"/>
          </w:tcPr>
          <w:p w14:paraId="3CBCC55B" w14:textId="77777777" w:rsidR="009461FD" w:rsidRPr="0042750D" w:rsidRDefault="009461FD" w:rsidP="00D50A4E">
            <w:pPr>
              <w:pStyle w:val="Tablehead"/>
              <w:keepNext w:val="0"/>
              <w:rPr>
                <w:sz w:val="24"/>
                <w:szCs w:val="24"/>
              </w:rPr>
            </w:pPr>
            <w:r w:rsidRPr="0042750D">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30EC0057" w14:textId="77777777" w:rsidR="009461FD" w:rsidRPr="0042750D" w:rsidRDefault="009461FD" w:rsidP="00D50A4E">
            <w:pPr>
              <w:pStyle w:val="Tablehead"/>
              <w:rPr>
                <w:sz w:val="24"/>
                <w:szCs w:val="24"/>
              </w:rPr>
            </w:pPr>
            <w:r w:rsidRPr="0042750D">
              <w:rPr>
                <w:sz w:val="24"/>
                <w:szCs w:val="24"/>
              </w:rPr>
              <w:t>Action</w:t>
            </w:r>
          </w:p>
        </w:tc>
        <w:tc>
          <w:tcPr>
            <w:tcW w:w="1333" w:type="dxa"/>
            <w:tcBorders>
              <w:top w:val="single" w:sz="12" w:space="0" w:color="auto"/>
              <w:bottom w:val="single" w:sz="12" w:space="0" w:color="auto"/>
            </w:tcBorders>
            <w:shd w:val="clear" w:color="auto" w:fill="auto"/>
            <w:vAlign w:val="center"/>
            <w:hideMark/>
          </w:tcPr>
          <w:p w14:paraId="68D5D0A3" w14:textId="77777777" w:rsidR="009461FD" w:rsidRPr="0042750D" w:rsidRDefault="009461FD" w:rsidP="00D50A4E">
            <w:pPr>
              <w:pStyle w:val="Tablehead"/>
              <w:rPr>
                <w:sz w:val="24"/>
                <w:szCs w:val="24"/>
              </w:rPr>
            </w:pPr>
            <w:r w:rsidRPr="0042750D">
              <w:rPr>
                <w:sz w:val="24"/>
                <w:szCs w:val="24"/>
              </w:rPr>
              <w:t>Milestone</w:t>
            </w:r>
          </w:p>
        </w:tc>
        <w:tc>
          <w:tcPr>
            <w:tcW w:w="1142" w:type="dxa"/>
            <w:tcBorders>
              <w:top w:val="single" w:sz="12" w:space="0" w:color="auto"/>
              <w:bottom w:val="single" w:sz="12" w:space="0" w:color="auto"/>
            </w:tcBorders>
            <w:shd w:val="clear" w:color="auto" w:fill="auto"/>
          </w:tcPr>
          <w:p w14:paraId="6DB1DE8B" w14:textId="77777777" w:rsidR="009461FD" w:rsidRPr="0042750D" w:rsidRDefault="009461FD" w:rsidP="00D50A4E">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BB378D3" w14:textId="77777777" w:rsidR="009461FD" w:rsidRPr="0042750D" w:rsidRDefault="009461FD" w:rsidP="00D50A4E">
            <w:pPr>
              <w:pStyle w:val="Tablehead"/>
              <w:rPr>
                <w:sz w:val="24"/>
                <w:szCs w:val="24"/>
              </w:rPr>
            </w:pPr>
            <w:r w:rsidRPr="0042750D">
              <w:rPr>
                <w:sz w:val="24"/>
                <w:szCs w:val="24"/>
              </w:rPr>
              <w:t>Completed</w:t>
            </w:r>
          </w:p>
        </w:tc>
      </w:tr>
      <w:tr w:rsidR="009461FD" w:rsidRPr="0042750D" w14:paraId="68A81852" w14:textId="77777777" w:rsidTr="006C6B07">
        <w:trPr>
          <w:jc w:val="center"/>
        </w:trPr>
        <w:tc>
          <w:tcPr>
            <w:tcW w:w="1190" w:type="dxa"/>
            <w:vMerge w:val="restart"/>
            <w:tcBorders>
              <w:top w:val="single" w:sz="12" w:space="0" w:color="auto"/>
            </w:tcBorders>
            <w:shd w:val="clear" w:color="auto" w:fill="auto"/>
          </w:tcPr>
          <w:p w14:paraId="1D0872E5" w14:textId="315F78AC" w:rsidR="009461FD" w:rsidRPr="0042750D" w:rsidRDefault="006C6B07" w:rsidP="006C6B07">
            <w:pPr>
              <w:pStyle w:val="Tabletext"/>
              <w:rPr>
                <w:b/>
                <w:bCs/>
                <w:sz w:val="24"/>
                <w:szCs w:val="24"/>
              </w:rPr>
            </w:pPr>
            <w:r w:rsidRPr="0042750D">
              <w:rPr>
                <w:b/>
                <w:sz w:val="24"/>
                <w:szCs w:val="24"/>
              </w:rPr>
              <w:t>COM5</w:t>
            </w:r>
            <w:r w:rsidR="009461FD" w:rsidRPr="0042750D">
              <w:rPr>
                <w:b/>
                <w:sz w:val="24"/>
                <w:szCs w:val="24"/>
              </w:rPr>
              <w:t>REC</w:t>
            </w:r>
            <w:r w:rsidRPr="0042750D">
              <w:rPr>
                <w:b/>
                <w:sz w:val="24"/>
                <w:szCs w:val="24"/>
              </w:rPr>
              <w:t>3</w:t>
            </w:r>
            <w:r w:rsidR="009461FD" w:rsidRPr="0042750D">
              <w:rPr>
                <w:b/>
                <w:sz w:val="24"/>
                <w:szCs w:val="24"/>
              </w:rPr>
              <w:t>-</w:t>
            </w:r>
            <w:r w:rsidR="009461FD" w:rsidRPr="0042750D">
              <w:rPr>
                <w:b/>
                <w:bCs/>
                <w:sz w:val="24"/>
                <w:szCs w:val="24"/>
              </w:rPr>
              <w:t>01</w:t>
            </w:r>
          </w:p>
        </w:tc>
        <w:tc>
          <w:tcPr>
            <w:tcW w:w="4929" w:type="dxa"/>
            <w:tcBorders>
              <w:top w:val="single" w:sz="12" w:space="0" w:color="auto"/>
              <w:bottom w:val="single" w:sz="2" w:space="0" w:color="auto"/>
            </w:tcBorders>
            <w:shd w:val="clear" w:color="auto" w:fill="auto"/>
          </w:tcPr>
          <w:p w14:paraId="682C77CE" w14:textId="1F2A019F" w:rsidR="009461FD" w:rsidRPr="0042750D" w:rsidRDefault="009461FD" w:rsidP="009461FD">
            <w:pPr>
              <w:pStyle w:val="Tabletext"/>
              <w:rPr>
                <w:b/>
                <w:bCs/>
                <w:sz w:val="24"/>
                <w:szCs w:val="24"/>
              </w:rPr>
            </w:pPr>
            <w:r w:rsidRPr="0042750D">
              <w:rPr>
                <w:b/>
                <w:bCs/>
                <w:sz w:val="24"/>
                <w:szCs w:val="24"/>
              </w:rPr>
              <w:t>TSB to provide analysis and identify outcomes of PP and Sectoral Assemblies/Conferences, which address similar topics and submit it for consideration to RAG, TSAG, TDAG and Council, and the inter-Sector coordination team.</w:t>
            </w:r>
          </w:p>
        </w:tc>
        <w:tc>
          <w:tcPr>
            <w:tcW w:w="1333" w:type="dxa"/>
            <w:tcBorders>
              <w:top w:val="single" w:sz="12" w:space="0" w:color="auto"/>
              <w:bottom w:val="single" w:sz="2" w:space="0" w:color="auto"/>
            </w:tcBorders>
            <w:shd w:val="clear" w:color="auto" w:fill="auto"/>
            <w:vAlign w:val="center"/>
          </w:tcPr>
          <w:p w14:paraId="0CFD1805" w14:textId="77777777" w:rsidR="009461FD" w:rsidRPr="0042750D" w:rsidRDefault="009461FD" w:rsidP="00D50A4E">
            <w:pPr>
              <w:pStyle w:val="Tabletext"/>
              <w:jc w:val="center"/>
              <w:rPr>
                <w:b/>
                <w:bCs/>
                <w:sz w:val="24"/>
                <w:szCs w:val="24"/>
              </w:rPr>
            </w:pPr>
            <w:r w:rsidRPr="0042750D">
              <w:rPr>
                <w:b/>
                <w:bCs/>
                <w:sz w:val="24"/>
                <w:szCs w:val="24"/>
              </w:rPr>
              <w:t>Ongoing</w:t>
            </w:r>
          </w:p>
        </w:tc>
        <w:tc>
          <w:tcPr>
            <w:tcW w:w="1142" w:type="dxa"/>
            <w:tcBorders>
              <w:top w:val="single" w:sz="12" w:space="0" w:color="auto"/>
              <w:bottom w:val="single" w:sz="2" w:space="0" w:color="auto"/>
            </w:tcBorders>
            <w:shd w:val="clear" w:color="auto" w:fill="auto"/>
            <w:vAlign w:val="center"/>
          </w:tcPr>
          <w:p w14:paraId="648F26CB" w14:textId="5750F7DE" w:rsidR="009461FD" w:rsidRPr="0042750D" w:rsidRDefault="00604ED9"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62D035AD" w14:textId="77777777" w:rsidR="009461FD" w:rsidRPr="0042750D" w:rsidRDefault="009461FD" w:rsidP="00D50A4E">
            <w:pPr>
              <w:pStyle w:val="Tabletext"/>
              <w:jc w:val="center"/>
              <w:rPr>
                <w:b/>
                <w:bCs/>
                <w:sz w:val="24"/>
                <w:szCs w:val="24"/>
              </w:rPr>
            </w:pPr>
          </w:p>
        </w:tc>
      </w:tr>
      <w:tr w:rsidR="009461FD" w:rsidRPr="0042750D" w14:paraId="19B46F0E" w14:textId="77777777" w:rsidTr="006C6B07">
        <w:trPr>
          <w:jc w:val="center"/>
        </w:trPr>
        <w:tc>
          <w:tcPr>
            <w:tcW w:w="1190" w:type="dxa"/>
            <w:vMerge/>
            <w:tcBorders>
              <w:bottom w:val="single" w:sz="12" w:space="0" w:color="auto"/>
            </w:tcBorders>
            <w:shd w:val="clear" w:color="auto" w:fill="auto"/>
          </w:tcPr>
          <w:p w14:paraId="13B9DFE7" w14:textId="77777777" w:rsidR="009461FD" w:rsidRPr="0042750D" w:rsidRDefault="009461FD"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5CCF59CA" w14:textId="248DCB8A" w:rsidR="009461FD" w:rsidRPr="0042750D" w:rsidRDefault="004015F3" w:rsidP="006F2431">
            <w:pPr>
              <w:spacing w:before="40" w:after="40"/>
              <w:rPr>
                <w:rFonts w:asciiTheme="majorBidi" w:hAnsiTheme="majorBidi" w:cstheme="majorBidi"/>
              </w:rPr>
            </w:pPr>
            <w:r w:rsidRPr="0042750D">
              <w:rPr>
                <w:rFonts w:asciiTheme="majorBidi" w:hAnsiTheme="majorBidi" w:cstheme="majorBidi"/>
              </w:rPr>
              <w:t xml:space="preserve">TSAG took note of </w:t>
            </w:r>
            <w:hyperlink r:id="rId167" w:history="1">
              <w:r w:rsidR="00C94123" w:rsidRPr="0042750D">
                <w:rPr>
                  <w:rStyle w:val="Hyperlink"/>
                  <w:rFonts w:asciiTheme="majorBidi" w:hAnsiTheme="majorBidi" w:cstheme="majorBidi"/>
                </w:rPr>
                <w:t>TSAG-</w:t>
              </w:r>
              <w:r w:rsidRPr="0042750D">
                <w:rPr>
                  <w:rStyle w:val="Hyperlink"/>
                </w:rPr>
                <w:t>TD300</w:t>
              </w:r>
            </w:hyperlink>
            <w:r w:rsidRPr="0042750D">
              <w:rPr>
                <w:rFonts w:asciiTheme="majorBidi" w:hAnsiTheme="majorBidi" w:cstheme="majorBidi"/>
              </w:rPr>
              <w:t xml:space="preserve">, which </w:t>
            </w:r>
            <w:r w:rsidRPr="0042750D">
              <w:rPr>
                <w:rFonts w:asciiTheme="majorBidi" w:eastAsia="SimSun" w:hAnsiTheme="majorBidi" w:cstheme="majorBidi"/>
                <w:bCs/>
              </w:rPr>
              <w:t>summarizes the results of the Plenipotentiary Conference (2018, Dubai). TD300 focused on the ITU-T/TSB relevant topics and the changes with respect to Plenipotentiary Conference (2014, Busan).</w:t>
            </w:r>
          </w:p>
        </w:tc>
      </w:tr>
      <w:tr w:rsidR="009461FD" w:rsidRPr="0042750D" w14:paraId="7460038D" w14:textId="77777777" w:rsidTr="006C6B07">
        <w:trPr>
          <w:jc w:val="center"/>
        </w:trPr>
        <w:tc>
          <w:tcPr>
            <w:tcW w:w="1190" w:type="dxa"/>
            <w:vMerge w:val="restart"/>
            <w:tcBorders>
              <w:top w:val="single" w:sz="12" w:space="0" w:color="auto"/>
            </w:tcBorders>
            <w:shd w:val="clear" w:color="auto" w:fill="auto"/>
          </w:tcPr>
          <w:p w14:paraId="07D88831" w14:textId="12AAA2A0" w:rsidR="009461FD" w:rsidRPr="0042750D" w:rsidRDefault="006C6B07" w:rsidP="00774B65">
            <w:pPr>
              <w:pStyle w:val="Tabletext"/>
              <w:keepNext/>
              <w:keepLines/>
              <w:rPr>
                <w:b/>
                <w:bCs/>
                <w:sz w:val="24"/>
                <w:szCs w:val="24"/>
              </w:rPr>
            </w:pPr>
            <w:r w:rsidRPr="0042750D">
              <w:rPr>
                <w:b/>
                <w:sz w:val="24"/>
                <w:szCs w:val="24"/>
              </w:rPr>
              <w:t>COM5REC3</w:t>
            </w:r>
            <w:r w:rsidR="009461FD" w:rsidRPr="0042750D">
              <w:rPr>
                <w:b/>
                <w:sz w:val="24"/>
                <w:szCs w:val="24"/>
              </w:rPr>
              <w:t>-</w:t>
            </w:r>
            <w:r w:rsidR="009461FD" w:rsidRPr="0042750D">
              <w:rPr>
                <w:b/>
                <w:bCs/>
                <w:sz w:val="24"/>
                <w:szCs w:val="24"/>
              </w:rPr>
              <w:t>02</w:t>
            </w:r>
          </w:p>
        </w:tc>
        <w:tc>
          <w:tcPr>
            <w:tcW w:w="4929" w:type="dxa"/>
            <w:tcBorders>
              <w:top w:val="single" w:sz="12" w:space="0" w:color="auto"/>
              <w:bottom w:val="single" w:sz="2" w:space="0" w:color="auto"/>
            </w:tcBorders>
            <w:shd w:val="clear" w:color="auto" w:fill="auto"/>
          </w:tcPr>
          <w:p w14:paraId="66E26E2E" w14:textId="77777777" w:rsidR="009461FD" w:rsidRPr="0042750D" w:rsidRDefault="009461FD" w:rsidP="00774B65">
            <w:pPr>
              <w:pStyle w:val="Tabletext"/>
              <w:keepNext/>
              <w:keepLines/>
              <w:rPr>
                <w:b/>
                <w:bCs/>
                <w:sz w:val="24"/>
                <w:szCs w:val="24"/>
              </w:rPr>
            </w:pPr>
            <w:r w:rsidRPr="0042750D">
              <w:rPr>
                <w:b/>
                <w:bCs/>
                <w:sz w:val="24"/>
                <w:szCs w:val="24"/>
              </w:rPr>
              <w:t>PP invites Member States, Conferences and Assemblies to support the principle of streamlining the resolutions in order to avoid repetition. Of course, resolutions dealing with subjects that are specific to a single Sector will exist as resolutions for the Sector concerned.</w:t>
            </w:r>
          </w:p>
        </w:tc>
        <w:tc>
          <w:tcPr>
            <w:tcW w:w="1333" w:type="dxa"/>
            <w:tcBorders>
              <w:top w:val="single" w:sz="12" w:space="0" w:color="auto"/>
              <w:bottom w:val="single" w:sz="2" w:space="0" w:color="auto"/>
            </w:tcBorders>
            <w:shd w:val="clear" w:color="auto" w:fill="auto"/>
            <w:vAlign w:val="center"/>
          </w:tcPr>
          <w:p w14:paraId="17A9CF9A" w14:textId="77777777" w:rsidR="009461FD" w:rsidRPr="0042750D" w:rsidRDefault="009461FD" w:rsidP="00774B65">
            <w:pPr>
              <w:pStyle w:val="Tabletext"/>
              <w:keepNext/>
              <w:keepLines/>
              <w:jc w:val="center"/>
              <w:rPr>
                <w:b/>
                <w:bCs/>
                <w:sz w:val="24"/>
                <w:szCs w:val="24"/>
              </w:rPr>
            </w:pPr>
            <w:r w:rsidRPr="0042750D">
              <w:rPr>
                <w:b/>
                <w:bCs/>
                <w:sz w:val="24"/>
                <w:szCs w:val="24"/>
              </w:rPr>
              <w:t>Ongoing</w:t>
            </w:r>
          </w:p>
        </w:tc>
        <w:tc>
          <w:tcPr>
            <w:tcW w:w="1142" w:type="dxa"/>
            <w:tcBorders>
              <w:top w:val="single" w:sz="12" w:space="0" w:color="auto"/>
              <w:bottom w:val="single" w:sz="2" w:space="0" w:color="auto"/>
            </w:tcBorders>
            <w:shd w:val="clear" w:color="auto" w:fill="auto"/>
            <w:vAlign w:val="center"/>
          </w:tcPr>
          <w:p w14:paraId="688E0835" w14:textId="4A341536" w:rsidR="009461FD" w:rsidRPr="0042750D" w:rsidRDefault="00235B6E" w:rsidP="00774B65">
            <w:pPr>
              <w:pStyle w:val="Tabletext"/>
              <w:keepNext/>
              <w:keepLines/>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2BDDBB1D" w14:textId="77777777" w:rsidR="009461FD" w:rsidRPr="0042750D" w:rsidRDefault="009461FD" w:rsidP="00774B65">
            <w:pPr>
              <w:pStyle w:val="Tabletext"/>
              <w:keepNext/>
              <w:keepLines/>
              <w:jc w:val="center"/>
              <w:rPr>
                <w:b/>
                <w:bCs/>
                <w:sz w:val="24"/>
                <w:szCs w:val="24"/>
              </w:rPr>
            </w:pPr>
          </w:p>
        </w:tc>
      </w:tr>
      <w:tr w:rsidR="009461FD" w:rsidRPr="0042750D" w14:paraId="179C31C7" w14:textId="77777777" w:rsidTr="006C6B07">
        <w:trPr>
          <w:jc w:val="center"/>
        </w:trPr>
        <w:tc>
          <w:tcPr>
            <w:tcW w:w="1190" w:type="dxa"/>
            <w:vMerge/>
            <w:tcBorders>
              <w:bottom w:val="single" w:sz="12" w:space="0" w:color="auto"/>
            </w:tcBorders>
            <w:shd w:val="clear" w:color="auto" w:fill="auto"/>
          </w:tcPr>
          <w:p w14:paraId="22752505" w14:textId="77777777" w:rsidR="009461FD" w:rsidRPr="0042750D" w:rsidRDefault="009461FD" w:rsidP="00774B65">
            <w:pPr>
              <w:pStyle w:val="Tabletext"/>
              <w:keepNext/>
              <w:keepLines/>
              <w:rPr>
                <w:sz w:val="24"/>
                <w:szCs w:val="24"/>
              </w:rPr>
            </w:pPr>
          </w:p>
        </w:tc>
        <w:tc>
          <w:tcPr>
            <w:tcW w:w="8742" w:type="dxa"/>
            <w:gridSpan w:val="4"/>
            <w:tcBorders>
              <w:top w:val="single" w:sz="2" w:space="0" w:color="auto"/>
              <w:bottom w:val="single" w:sz="12" w:space="0" w:color="auto"/>
            </w:tcBorders>
            <w:shd w:val="clear" w:color="auto" w:fill="auto"/>
          </w:tcPr>
          <w:p w14:paraId="031A00C5" w14:textId="33EA0131" w:rsidR="009461FD" w:rsidRPr="0042750D" w:rsidRDefault="002A58D7" w:rsidP="006F2431">
            <w:pPr>
              <w:keepNext/>
              <w:keepLines/>
              <w:tabs>
                <w:tab w:val="left" w:pos="720"/>
              </w:tabs>
              <w:snapToGrid w:val="0"/>
              <w:spacing w:before="40" w:after="40"/>
            </w:pPr>
            <w:r w:rsidRPr="0042750D">
              <w:t>TSAG RG-ResReview has continued its preparatory work for WSTA-20 and started with indentification of candidate Resolution for streamlining, along with first proposals for streamlined Resolutions.</w:t>
            </w:r>
          </w:p>
        </w:tc>
      </w:tr>
    </w:tbl>
    <w:p w14:paraId="489A7735" w14:textId="12C68494" w:rsidR="00F0236A" w:rsidRPr="0042750D" w:rsidRDefault="00DD025B" w:rsidP="00F0236A">
      <w:pPr>
        <w:rPr>
          <w:rStyle w:val="Hyperlink"/>
          <w:rFonts w:eastAsia="Times New Roman"/>
          <w:sz w:val="24"/>
        </w:rPr>
      </w:pPr>
      <w:hyperlink w:anchor="Top" w:history="1">
        <w:r w:rsidR="00F0236A" w:rsidRPr="0042750D">
          <w:rPr>
            <w:rStyle w:val="Hyperlink"/>
            <w:rFonts w:eastAsia="Times New Roman"/>
            <w:sz w:val="24"/>
          </w:rPr>
          <w:t>» Top</w:t>
        </w:r>
      </w:hyperlink>
    </w:p>
    <w:p w14:paraId="64D8E1C1" w14:textId="0BDB4602" w:rsidR="000E591C" w:rsidRPr="0042750D" w:rsidRDefault="00CC304F" w:rsidP="00113400">
      <w:pPr>
        <w:pStyle w:val="Heading1"/>
        <w:rPr>
          <w:sz w:val="24"/>
          <w:szCs w:val="24"/>
          <w:lang w:val="en-GB"/>
        </w:rPr>
      </w:pPr>
      <w:bookmarkStart w:id="481" w:name="_Toc30749204"/>
      <w:r w:rsidRPr="0042750D">
        <w:rPr>
          <w:sz w:val="24"/>
          <w:szCs w:val="24"/>
          <w:lang w:val="en-GB"/>
        </w:rPr>
        <w:t xml:space="preserve">COM6 </w:t>
      </w:r>
      <w:r w:rsidR="00952E16" w:rsidRPr="0042750D">
        <w:rPr>
          <w:sz w:val="24"/>
          <w:szCs w:val="24"/>
          <w:lang w:val="en-GB"/>
        </w:rPr>
        <w:t xml:space="preserve">RECOMMENDATION </w:t>
      </w:r>
      <w:r w:rsidRPr="0042750D">
        <w:rPr>
          <w:sz w:val="24"/>
          <w:szCs w:val="24"/>
          <w:lang w:val="en-GB"/>
        </w:rPr>
        <w:t>33</w:t>
      </w:r>
      <w:r w:rsidR="000E591C" w:rsidRPr="0042750D">
        <w:rPr>
          <w:sz w:val="24"/>
          <w:szCs w:val="24"/>
          <w:lang w:val="en-GB"/>
        </w:rPr>
        <w:t xml:space="preserve"> (DUBAI, 2018) – Non-discriminatory international standards</w:t>
      </w:r>
      <w:bookmarkEnd w:id="481"/>
    </w:p>
    <w:p w14:paraId="629CF902" w14:textId="76817CF2" w:rsidR="001D3B4B" w:rsidRPr="0042750D" w:rsidRDefault="001D3B4B" w:rsidP="00113400">
      <w:pPr>
        <w:pStyle w:val="Reasons"/>
        <w:rPr>
          <w:rFonts w:ascii="Times New Roman" w:eastAsiaTheme="minorEastAsia" w:hAnsi="Times New Roman"/>
          <w:bCs/>
          <w:sz w:val="22"/>
          <w:szCs w:val="22"/>
          <w:lang w:eastAsia="ja-JP"/>
        </w:rPr>
      </w:pPr>
      <w:r w:rsidRPr="0042750D">
        <w:rPr>
          <w:rFonts w:ascii="Times New Roman" w:eastAsiaTheme="minorEastAsia" w:hAnsi="Times New Roman"/>
          <w:bCs/>
          <w:sz w:val="22"/>
          <w:szCs w:val="22"/>
          <w:lang w:eastAsia="ja-JP"/>
        </w:rPr>
        <w:t>(rec. PP18-C100 clause 33)</w:t>
      </w:r>
    </w:p>
    <w:p w14:paraId="5E885600" w14:textId="2F581EA9" w:rsidR="001D3B4B" w:rsidRPr="0042750D" w:rsidRDefault="001D3B4B" w:rsidP="00113400">
      <w:pPr>
        <w:pStyle w:val="Reasons"/>
        <w:spacing w:after="120"/>
        <w:rPr>
          <w:rFonts w:ascii="Times New Roman" w:eastAsiaTheme="minorEastAsia" w:hAnsi="Times New Roman"/>
          <w:bCs/>
          <w:sz w:val="22"/>
          <w:szCs w:val="22"/>
          <w:lang w:eastAsia="ja-JP"/>
        </w:rPr>
      </w:pPr>
      <w:r w:rsidRPr="0042750D">
        <w:rPr>
          <w:rFonts w:ascii="Times New Roman" w:eastAsiaTheme="minorEastAsia" w:hAnsi="Times New Roman"/>
          <w:bCs/>
          <w:sz w:val="22"/>
          <w:szCs w:val="22"/>
          <w:lang w:eastAsia="ja-JP"/>
        </w:rPr>
        <w:t>33</w:t>
      </w:r>
      <w:r w:rsidRPr="0042750D">
        <w:rPr>
          <w:rFonts w:ascii="Times New Roman" w:eastAsiaTheme="minorEastAsia" w:hAnsi="Times New Roman"/>
          <w:bCs/>
          <w:sz w:val="22"/>
          <w:szCs w:val="22"/>
          <w:lang w:eastAsia="ja-JP"/>
        </w:rPr>
        <w:tab/>
        <w:t>During the revision of Annex 1 to Resolution 71 (ITU Strategic Plan for 2020-2023), several administrations stressed that the term "non-discriminatory" in relation to international standards is ambiguous and could lead to different interpretations, and for those reasons is not agreeable. However, being it the original text from the PP-14, it will not be opposed in the Strategic Plan for the 2020 - 2023 period, however, when discussing the Strategic Plan for the period 2024- 2027, and especially when discussing plans in the T-sector, a wording that describes the situation and creates no ambiguity should be found.</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50"/>
        <w:gridCol w:w="4396"/>
        <w:gridCol w:w="1316"/>
        <w:gridCol w:w="1132"/>
        <w:gridCol w:w="1338"/>
      </w:tblGrid>
      <w:tr w:rsidR="000E591C" w:rsidRPr="0042750D" w14:paraId="122A79FE" w14:textId="77777777" w:rsidTr="003462B2">
        <w:trPr>
          <w:jc w:val="center"/>
        </w:trPr>
        <w:tc>
          <w:tcPr>
            <w:tcW w:w="1190" w:type="dxa"/>
            <w:tcBorders>
              <w:top w:val="single" w:sz="12" w:space="0" w:color="auto"/>
              <w:bottom w:val="single" w:sz="12" w:space="0" w:color="auto"/>
            </w:tcBorders>
            <w:shd w:val="clear" w:color="auto" w:fill="auto"/>
            <w:vAlign w:val="center"/>
          </w:tcPr>
          <w:p w14:paraId="0E393747" w14:textId="77777777" w:rsidR="000E591C" w:rsidRPr="0042750D" w:rsidRDefault="000E591C" w:rsidP="00113400">
            <w:pPr>
              <w:pStyle w:val="Tablehead"/>
              <w:keepLines/>
              <w:rPr>
                <w:sz w:val="24"/>
                <w:szCs w:val="24"/>
              </w:rPr>
            </w:pPr>
            <w:r w:rsidRPr="0042750D">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440A47DB" w14:textId="77777777" w:rsidR="000E591C" w:rsidRPr="0042750D" w:rsidRDefault="000E591C" w:rsidP="00113400">
            <w:pPr>
              <w:pStyle w:val="Tablehead"/>
              <w:keepLines/>
              <w:rPr>
                <w:sz w:val="24"/>
                <w:szCs w:val="24"/>
              </w:rPr>
            </w:pPr>
            <w:r w:rsidRPr="0042750D">
              <w:rPr>
                <w:sz w:val="24"/>
                <w:szCs w:val="24"/>
              </w:rPr>
              <w:t>Action</w:t>
            </w:r>
          </w:p>
        </w:tc>
        <w:tc>
          <w:tcPr>
            <w:tcW w:w="1333" w:type="dxa"/>
            <w:tcBorders>
              <w:top w:val="single" w:sz="12" w:space="0" w:color="auto"/>
              <w:bottom w:val="single" w:sz="12" w:space="0" w:color="auto"/>
            </w:tcBorders>
            <w:shd w:val="clear" w:color="auto" w:fill="auto"/>
            <w:vAlign w:val="center"/>
            <w:hideMark/>
          </w:tcPr>
          <w:p w14:paraId="59737BB7" w14:textId="77777777" w:rsidR="000E591C" w:rsidRPr="0042750D" w:rsidRDefault="000E591C" w:rsidP="00113400">
            <w:pPr>
              <w:pStyle w:val="Tablehead"/>
              <w:keepLines/>
              <w:rPr>
                <w:sz w:val="24"/>
                <w:szCs w:val="24"/>
              </w:rPr>
            </w:pPr>
            <w:r w:rsidRPr="0042750D">
              <w:rPr>
                <w:sz w:val="24"/>
                <w:szCs w:val="24"/>
              </w:rPr>
              <w:t>Milestone</w:t>
            </w:r>
          </w:p>
        </w:tc>
        <w:tc>
          <w:tcPr>
            <w:tcW w:w="1142" w:type="dxa"/>
            <w:tcBorders>
              <w:top w:val="single" w:sz="12" w:space="0" w:color="auto"/>
              <w:bottom w:val="single" w:sz="12" w:space="0" w:color="auto"/>
            </w:tcBorders>
            <w:shd w:val="clear" w:color="auto" w:fill="auto"/>
          </w:tcPr>
          <w:p w14:paraId="3E5E0F8B" w14:textId="77777777" w:rsidR="000E591C" w:rsidRPr="0042750D" w:rsidRDefault="000E591C" w:rsidP="00113400">
            <w:pPr>
              <w:pStyle w:val="Tablehead"/>
              <w:keepLines/>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39872F33" w14:textId="77777777" w:rsidR="000E591C" w:rsidRPr="0042750D" w:rsidRDefault="000E591C" w:rsidP="00113400">
            <w:pPr>
              <w:pStyle w:val="Tablehead"/>
              <w:keepLines/>
              <w:rPr>
                <w:sz w:val="24"/>
                <w:szCs w:val="24"/>
              </w:rPr>
            </w:pPr>
            <w:r w:rsidRPr="0042750D">
              <w:rPr>
                <w:sz w:val="24"/>
                <w:szCs w:val="24"/>
              </w:rPr>
              <w:t>Completed</w:t>
            </w:r>
          </w:p>
        </w:tc>
      </w:tr>
      <w:tr w:rsidR="000E591C" w:rsidRPr="0042750D" w14:paraId="215AD090" w14:textId="77777777" w:rsidTr="003462B2">
        <w:trPr>
          <w:jc w:val="center"/>
        </w:trPr>
        <w:tc>
          <w:tcPr>
            <w:tcW w:w="1190" w:type="dxa"/>
            <w:vMerge w:val="restart"/>
            <w:tcBorders>
              <w:top w:val="single" w:sz="12" w:space="0" w:color="auto"/>
            </w:tcBorders>
            <w:shd w:val="clear" w:color="auto" w:fill="auto"/>
          </w:tcPr>
          <w:p w14:paraId="0296BD2D" w14:textId="3BCACC07" w:rsidR="000E591C" w:rsidRPr="0042750D" w:rsidRDefault="00CC304F" w:rsidP="00113400">
            <w:pPr>
              <w:pStyle w:val="Tabletext"/>
              <w:keepNext/>
              <w:keepLines/>
              <w:rPr>
                <w:b/>
                <w:bCs/>
                <w:sz w:val="24"/>
                <w:szCs w:val="24"/>
              </w:rPr>
            </w:pPr>
            <w:r w:rsidRPr="0042750D">
              <w:rPr>
                <w:b/>
                <w:sz w:val="24"/>
                <w:szCs w:val="24"/>
              </w:rPr>
              <w:t>COM6</w:t>
            </w:r>
            <w:r w:rsidR="000E591C" w:rsidRPr="0042750D">
              <w:rPr>
                <w:b/>
                <w:sz w:val="24"/>
                <w:szCs w:val="24"/>
              </w:rPr>
              <w:t>REC</w:t>
            </w:r>
            <w:r w:rsidRPr="0042750D">
              <w:rPr>
                <w:b/>
                <w:sz w:val="24"/>
                <w:szCs w:val="24"/>
              </w:rPr>
              <w:t>33</w:t>
            </w:r>
            <w:r w:rsidR="000E591C" w:rsidRPr="0042750D">
              <w:rPr>
                <w:b/>
                <w:sz w:val="24"/>
                <w:szCs w:val="24"/>
              </w:rPr>
              <w:t>-</w:t>
            </w:r>
            <w:r w:rsidR="000E591C" w:rsidRPr="0042750D">
              <w:rPr>
                <w:b/>
                <w:bCs/>
                <w:sz w:val="24"/>
                <w:szCs w:val="24"/>
              </w:rPr>
              <w:t>01</w:t>
            </w:r>
          </w:p>
        </w:tc>
        <w:tc>
          <w:tcPr>
            <w:tcW w:w="4929" w:type="dxa"/>
            <w:tcBorders>
              <w:top w:val="single" w:sz="12" w:space="0" w:color="auto"/>
              <w:bottom w:val="single" w:sz="2" w:space="0" w:color="auto"/>
            </w:tcBorders>
            <w:shd w:val="clear" w:color="auto" w:fill="auto"/>
          </w:tcPr>
          <w:p w14:paraId="6BE407CA" w14:textId="6FCB2253" w:rsidR="000E591C" w:rsidRPr="0042750D" w:rsidRDefault="000E591C" w:rsidP="00113400">
            <w:pPr>
              <w:pStyle w:val="Tabletext"/>
              <w:keepNext/>
              <w:keepLines/>
              <w:rPr>
                <w:b/>
                <w:bCs/>
                <w:sz w:val="24"/>
                <w:szCs w:val="24"/>
              </w:rPr>
            </w:pPr>
            <w:r w:rsidRPr="0042750D">
              <w:rPr>
                <w:b/>
                <w:bCs/>
                <w:sz w:val="24"/>
                <w:szCs w:val="24"/>
              </w:rPr>
              <w:t>When discussing the Strategic Plan for the period 2024- 2027, and especially when discussing plans in the T-Sector, a wording that describes the situation and creates no ambiguity should be found.</w:t>
            </w:r>
          </w:p>
        </w:tc>
        <w:tc>
          <w:tcPr>
            <w:tcW w:w="1333" w:type="dxa"/>
            <w:tcBorders>
              <w:top w:val="single" w:sz="12" w:space="0" w:color="auto"/>
              <w:bottom w:val="single" w:sz="2" w:space="0" w:color="auto"/>
            </w:tcBorders>
            <w:shd w:val="clear" w:color="auto" w:fill="auto"/>
            <w:vAlign w:val="center"/>
          </w:tcPr>
          <w:p w14:paraId="260BC32D" w14:textId="77777777" w:rsidR="000E591C" w:rsidRPr="0042750D" w:rsidRDefault="000E591C" w:rsidP="00113400">
            <w:pPr>
              <w:pStyle w:val="Tabletext"/>
              <w:keepNext/>
              <w:keepLines/>
              <w:jc w:val="center"/>
              <w:rPr>
                <w:b/>
                <w:bCs/>
                <w:sz w:val="24"/>
                <w:szCs w:val="24"/>
              </w:rPr>
            </w:pPr>
            <w:r w:rsidRPr="0042750D">
              <w:rPr>
                <w:b/>
                <w:bCs/>
                <w:sz w:val="24"/>
                <w:szCs w:val="24"/>
              </w:rPr>
              <w:t>Ongoing</w:t>
            </w:r>
          </w:p>
        </w:tc>
        <w:tc>
          <w:tcPr>
            <w:tcW w:w="1142" w:type="dxa"/>
            <w:tcBorders>
              <w:top w:val="single" w:sz="12" w:space="0" w:color="auto"/>
              <w:bottom w:val="single" w:sz="2" w:space="0" w:color="auto"/>
            </w:tcBorders>
            <w:shd w:val="clear" w:color="auto" w:fill="auto"/>
            <w:vAlign w:val="center"/>
          </w:tcPr>
          <w:p w14:paraId="2C4B6A65" w14:textId="77777777" w:rsidR="000E591C" w:rsidRPr="0042750D" w:rsidRDefault="000E591C" w:rsidP="00113400">
            <w:pPr>
              <w:pStyle w:val="Tabletext"/>
              <w:keepNext/>
              <w:keepLines/>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643D5E62" w14:textId="77777777" w:rsidR="000E591C" w:rsidRPr="0042750D" w:rsidRDefault="000E591C" w:rsidP="00113400">
            <w:pPr>
              <w:pStyle w:val="Tabletext"/>
              <w:keepNext/>
              <w:keepLines/>
              <w:jc w:val="center"/>
              <w:rPr>
                <w:b/>
                <w:bCs/>
                <w:sz w:val="24"/>
                <w:szCs w:val="24"/>
              </w:rPr>
            </w:pPr>
          </w:p>
        </w:tc>
      </w:tr>
      <w:tr w:rsidR="000E591C" w:rsidRPr="0042750D" w14:paraId="6DE86A6D" w14:textId="77777777" w:rsidTr="003462B2">
        <w:trPr>
          <w:jc w:val="center"/>
        </w:trPr>
        <w:tc>
          <w:tcPr>
            <w:tcW w:w="1190" w:type="dxa"/>
            <w:vMerge/>
            <w:tcBorders>
              <w:bottom w:val="single" w:sz="12" w:space="0" w:color="auto"/>
            </w:tcBorders>
            <w:shd w:val="clear" w:color="auto" w:fill="auto"/>
          </w:tcPr>
          <w:p w14:paraId="33FFDA90" w14:textId="77777777" w:rsidR="000E591C" w:rsidRPr="0042750D" w:rsidRDefault="000E591C" w:rsidP="00113400">
            <w:pPr>
              <w:pStyle w:val="Tabletext"/>
              <w:keepNext/>
              <w:keepLines/>
              <w:rPr>
                <w:sz w:val="24"/>
                <w:szCs w:val="24"/>
              </w:rPr>
            </w:pPr>
          </w:p>
        </w:tc>
        <w:tc>
          <w:tcPr>
            <w:tcW w:w="8742" w:type="dxa"/>
            <w:gridSpan w:val="4"/>
            <w:tcBorders>
              <w:top w:val="single" w:sz="2" w:space="0" w:color="auto"/>
              <w:bottom w:val="single" w:sz="12" w:space="0" w:color="auto"/>
            </w:tcBorders>
            <w:shd w:val="clear" w:color="auto" w:fill="auto"/>
          </w:tcPr>
          <w:p w14:paraId="79708D44" w14:textId="77777777" w:rsidR="000E591C" w:rsidRPr="0042750D" w:rsidRDefault="000E591C" w:rsidP="006F2431">
            <w:pPr>
              <w:keepNext/>
              <w:keepLines/>
              <w:tabs>
                <w:tab w:val="left" w:pos="720"/>
              </w:tabs>
              <w:snapToGrid w:val="0"/>
              <w:spacing w:before="40" w:after="40"/>
            </w:pPr>
          </w:p>
        </w:tc>
      </w:tr>
    </w:tbl>
    <w:p w14:paraId="1937BB7C" w14:textId="77777777" w:rsidR="000E591C" w:rsidRPr="0042750D" w:rsidRDefault="00DD025B" w:rsidP="000E591C">
      <w:pPr>
        <w:rPr>
          <w:rStyle w:val="Hyperlink"/>
          <w:rFonts w:eastAsia="Times New Roman"/>
          <w:sz w:val="24"/>
        </w:rPr>
      </w:pPr>
      <w:hyperlink w:anchor="Top" w:history="1">
        <w:r w:rsidR="000E591C" w:rsidRPr="0042750D">
          <w:rPr>
            <w:rStyle w:val="Hyperlink"/>
            <w:rFonts w:eastAsia="Times New Roman"/>
            <w:sz w:val="24"/>
          </w:rPr>
          <w:t>» Top</w:t>
        </w:r>
      </w:hyperlink>
    </w:p>
    <w:p w14:paraId="7AD77E28" w14:textId="59059BD7" w:rsidR="000E591C" w:rsidRPr="0042750D" w:rsidRDefault="00BC4750" w:rsidP="00515FDC">
      <w:pPr>
        <w:pStyle w:val="Heading1"/>
        <w:keepNext/>
        <w:keepLines/>
        <w:rPr>
          <w:sz w:val="24"/>
          <w:szCs w:val="24"/>
          <w:lang w:val="en-GB"/>
        </w:rPr>
      </w:pPr>
      <w:bookmarkStart w:id="482" w:name="_Toc30749205"/>
      <w:r w:rsidRPr="0042750D">
        <w:rPr>
          <w:sz w:val="24"/>
          <w:szCs w:val="24"/>
          <w:lang w:val="en-GB"/>
        </w:rPr>
        <w:t xml:space="preserve">COM5 </w:t>
      </w:r>
      <w:r w:rsidR="00952E16" w:rsidRPr="0042750D">
        <w:rPr>
          <w:sz w:val="24"/>
          <w:szCs w:val="24"/>
          <w:lang w:val="en-GB"/>
        </w:rPr>
        <w:t xml:space="preserve">RECOMMENDATION </w:t>
      </w:r>
      <w:r w:rsidRPr="0042750D">
        <w:rPr>
          <w:sz w:val="24"/>
          <w:szCs w:val="24"/>
          <w:lang w:val="en-GB"/>
        </w:rPr>
        <w:t>8</w:t>
      </w:r>
      <w:r w:rsidR="000E591C" w:rsidRPr="0042750D">
        <w:rPr>
          <w:sz w:val="24"/>
          <w:szCs w:val="24"/>
          <w:lang w:val="en-GB"/>
        </w:rPr>
        <w:t xml:space="preserve"> (DUBAI, 2018) – Regional Groups</w:t>
      </w:r>
      <w:bookmarkEnd w:id="482"/>
    </w:p>
    <w:p w14:paraId="380FBD64" w14:textId="0B579AEC" w:rsidR="000E591C" w:rsidRPr="0042750D" w:rsidRDefault="000E591C" w:rsidP="00515FDC">
      <w:pPr>
        <w:keepNext/>
        <w:keepLines/>
        <w:spacing w:after="120"/>
        <w:rPr>
          <w:szCs w:val="22"/>
          <w:lang w:eastAsia="x-none"/>
        </w:rPr>
      </w:pPr>
      <w:r w:rsidRPr="0042750D">
        <w:rPr>
          <w:bCs/>
          <w:szCs w:val="22"/>
        </w:rPr>
        <w:t>WTSA to review, in the context of Article 3 of the ITU Constitution, and revise, as appropriate, WTSA Resolution 1, WTSA Resolution 2, WTSA Resolution 22 and WTSA Resolution 54 to clarify the criteria for creation, participation and termination of regional groups of Study Groups, and the role of TSAG in this regard.</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30"/>
        <w:gridCol w:w="4512"/>
        <w:gridCol w:w="1319"/>
        <w:gridCol w:w="1133"/>
        <w:gridCol w:w="1338"/>
      </w:tblGrid>
      <w:tr w:rsidR="000E591C" w:rsidRPr="0042750D" w14:paraId="2556B260" w14:textId="77777777" w:rsidTr="003462B2">
        <w:trPr>
          <w:jc w:val="center"/>
        </w:trPr>
        <w:tc>
          <w:tcPr>
            <w:tcW w:w="1190" w:type="dxa"/>
            <w:tcBorders>
              <w:top w:val="single" w:sz="12" w:space="0" w:color="auto"/>
              <w:bottom w:val="single" w:sz="12" w:space="0" w:color="auto"/>
            </w:tcBorders>
            <w:shd w:val="clear" w:color="auto" w:fill="auto"/>
            <w:vAlign w:val="center"/>
          </w:tcPr>
          <w:p w14:paraId="4EE17EB8" w14:textId="77777777" w:rsidR="000E591C" w:rsidRPr="0042750D" w:rsidRDefault="000E591C" w:rsidP="00DE4C9C">
            <w:pPr>
              <w:pStyle w:val="Tablehead"/>
              <w:keepNext w:val="0"/>
              <w:rPr>
                <w:sz w:val="24"/>
                <w:szCs w:val="24"/>
              </w:rPr>
            </w:pPr>
            <w:r w:rsidRPr="0042750D">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3BC72712" w14:textId="77777777" w:rsidR="000E591C" w:rsidRPr="0042750D" w:rsidRDefault="000E591C" w:rsidP="00D50A4E">
            <w:pPr>
              <w:pStyle w:val="Tablehead"/>
              <w:rPr>
                <w:sz w:val="24"/>
                <w:szCs w:val="24"/>
              </w:rPr>
            </w:pPr>
            <w:r w:rsidRPr="0042750D">
              <w:rPr>
                <w:sz w:val="24"/>
                <w:szCs w:val="24"/>
              </w:rPr>
              <w:t>Action</w:t>
            </w:r>
          </w:p>
        </w:tc>
        <w:tc>
          <w:tcPr>
            <w:tcW w:w="1333" w:type="dxa"/>
            <w:tcBorders>
              <w:top w:val="single" w:sz="12" w:space="0" w:color="auto"/>
              <w:bottom w:val="single" w:sz="12" w:space="0" w:color="auto"/>
            </w:tcBorders>
            <w:shd w:val="clear" w:color="auto" w:fill="auto"/>
            <w:vAlign w:val="center"/>
            <w:hideMark/>
          </w:tcPr>
          <w:p w14:paraId="6232A94A" w14:textId="77777777" w:rsidR="000E591C" w:rsidRPr="0042750D" w:rsidRDefault="000E591C" w:rsidP="00D50A4E">
            <w:pPr>
              <w:pStyle w:val="Tablehead"/>
              <w:rPr>
                <w:sz w:val="24"/>
                <w:szCs w:val="24"/>
              </w:rPr>
            </w:pPr>
            <w:r w:rsidRPr="0042750D">
              <w:rPr>
                <w:sz w:val="24"/>
                <w:szCs w:val="24"/>
              </w:rPr>
              <w:t>Milestone</w:t>
            </w:r>
          </w:p>
        </w:tc>
        <w:tc>
          <w:tcPr>
            <w:tcW w:w="1142" w:type="dxa"/>
            <w:tcBorders>
              <w:top w:val="single" w:sz="12" w:space="0" w:color="auto"/>
              <w:bottom w:val="single" w:sz="12" w:space="0" w:color="auto"/>
            </w:tcBorders>
            <w:shd w:val="clear" w:color="auto" w:fill="auto"/>
          </w:tcPr>
          <w:p w14:paraId="4C956E39" w14:textId="77777777" w:rsidR="000E591C" w:rsidRPr="0042750D" w:rsidRDefault="000E591C" w:rsidP="00D50A4E">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1BB26198" w14:textId="77777777" w:rsidR="000E591C" w:rsidRPr="0042750D" w:rsidRDefault="000E591C" w:rsidP="00D50A4E">
            <w:pPr>
              <w:pStyle w:val="Tablehead"/>
              <w:rPr>
                <w:sz w:val="24"/>
                <w:szCs w:val="24"/>
              </w:rPr>
            </w:pPr>
            <w:r w:rsidRPr="0042750D">
              <w:rPr>
                <w:sz w:val="24"/>
                <w:szCs w:val="24"/>
              </w:rPr>
              <w:t>Completed</w:t>
            </w:r>
          </w:p>
        </w:tc>
      </w:tr>
      <w:tr w:rsidR="000E591C" w:rsidRPr="0042750D" w14:paraId="6B444DA9" w14:textId="77777777" w:rsidTr="003462B2">
        <w:trPr>
          <w:jc w:val="center"/>
        </w:trPr>
        <w:tc>
          <w:tcPr>
            <w:tcW w:w="1190" w:type="dxa"/>
            <w:vMerge w:val="restart"/>
            <w:tcBorders>
              <w:top w:val="single" w:sz="12" w:space="0" w:color="auto"/>
            </w:tcBorders>
            <w:shd w:val="clear" w:color="auto" w:fill="auto"/>
          </w:tcPr>
          <w:p w14:paraId="0A05E286" w14:textId="7B0BC0A0" w:rsidR="000E591C" w:rsidRPr="0042750D" w:rsidRDefault="00411DBE" w:rsidP="00411DBE">
            <w:pPr>
              <w:pStyle w:val="Tabletext"/>
              <w:rPr>
                <w:b/>
                <w:bCs/>
                <w:sz w:val="24"/>
                <w:szCs w:val="24"/>
              </w:rPr>
            </w:pPr>
            <w:r w:rsidRPr="0042750D">
              <w:rPr>
                <w:b/>
                <w:sz w:val="24"/>
                <w:szCs w:val="24"/>
              </w:rPr>
              <w:t>COM5REC8</w:t>
            </w:r>
            <w:r w:rsidR="000E591C" w:rsidRPr="0042750D">
              <w:rPr>
                <w:b/>
                <w:sz w:val="24"/>
                <w:szCs w:val="24"/>
              </w:rPr>
              <w:t>-</w:t>
            </w:r>
            <w:r w:rsidR="000E591C" w:rsidRPr="0042750D">
              <w:rPr>
                <w:b/>
                <w:bCs/>
                <w:sz w:val="24"/>
                <w:szCs w:val="24"/>
              </w:rPr>
              <w:t>01</w:t>
            </w:r>
          </w:p>
        </w:tc>
        <w:tc>
          <w:tcPr>
            <w:tcW w:w="4929" w:type="dxa"/>
            <w:tcBorders>
              <w:top w:val="single" w:sz="12" w:space="0" w:color="auto"/>
              <w:bottom w:val="single" w:sz="2" w:space="0" w:color="auto"/>
            </w:tcBorders>
            <w:shd w:val="clear" w:color="auto" w:fill="auto"/>
          </w:tcPr>
          <w:p w14:paraId="1ECFD366" w14:textId="1B843BF6" w:rsidR="000E591C" w:rsidRPr="0042750D" w:rsidRDefault="000E591C" w:rsidP="00D50A4E">
            <w:pPr>
              <w:pStyle w:val="Tabletext"/>
              <w:rPr>
                <w:b/>
                <w:bCs/>
                <w:sz w:val="24"/>
                <w:szCs w:val="24"/>
              </w:rPr>
            </w:pPr>
            <w:r w:rsidRPr="0042750D">
              <w:rPr>
                <w:b/>
                <w:bCs/>
                <w:sz w:val="24"/>
                <w:szCs w:val="24"/>
              </w:rPr>
              <w:t>WTSA to review, in the context of Article 3 of the ITU Constitution, and revise, as appropriate, WTSA Resolution 1, WTSA Resolution 2, WTSA Resolution 22 and WTSA Resolution 54 to clarify the criteria for creation, participation and termination of regional groups of Study Groups, and the role of TSAG in this regard.</w:t>
            </w:r>
          </w:p>
        </w:tc>
        <w:tc>
          <w:tcPr>
            <w:tcW w:w="1333" w:type="dxa"/>
            <w:tcBorders>
              <w:top w:val="single" w:sz="12" w:space="0" w:color="auto"/>
              <w:bottom w:val="single" w:sz="2" w:space="0" w:color="auto"/>
            </w:tcBorders>
            <w:shd w:val="clear" w:color="auto" w:fill="auto"/>
            <w:vAlign w:val="center"/>
          </w:tcPr>
          <w:p w14:paraId="25EDA3AF" w14:textId="009C49EE" w:rsidR="000E591C" w:rsidRPr="0042750D" w:rsidRDefault="000E591C" w:rsidP="00D50A4E">
            <w:pPr>
              <w:pStyle w:val="Tabletext"/>
              <w:jc w:val="center"/>
              <w:rPr>
                <w:b/>
                <w:bCs/>
                <w:sz w:val="24"/>
                <w:szCs w:val="24"/>
              </w:rPr>
            </w:pPr>
            <w:r w:rsidRPr="0042750D">
              <w:rPr>
                <w:b/>
                <w:bCs/>
                <w:sz w:val="24"/>
                <w:szCs w:val="24"/>
              </w:rPr>
              <w:t>WTSA-20</w:t>
            </w:r>
          </w:p>
        </w:tc>
        <w:tc>
          <w:tcPr>
            <w:tcW w:w="1142" w:type="dxa"/>
            <w:tcBorders>
              <w:top w:val="single" w:sz="12" w:space="0" w:color="auto"/>
              <w:bottom w:val="single" w:sz="2" w:space="0" w:color="auto"/>
            </w:tcBorders>
            <w:shd w:val="clear" w:color="auto" w:fill="auto"/>
            <w:vAlign w:val="center"/>
          </w:tcPr>
          <w:p w14:paraId="28AD29D2" w14:textId="2E8CB60A" w:rsidR="000E591C" w:rsidRPr="0042750D" w:rsidRDefault="00D30F2F" w:rsidP="00D50A4E">
            <w:pPr>
              <w:pStyle w:val="Tabletext"/>
              <w:jc w:val="center"/>
              <w:rPr>
                <w:b/>
                <w:bCs/>
                <w:sz w:val="24"/>
                <w:szCs w:val="24"/>
              </w:rPr>
            </w:pPr>
            <w:r w:rsidRPr="0042750D">
              <w:rPr>
                <w:b/>
                <w:bCs/>
                <w:sz w:val="24"/>
                <w:szCs w:val="24"/>
              </w:rPr>
              <w:t>√</w:t>
            </w:r>
          </w:p>
        </w:tc>
        <w:tc>
          <w:tcPr>
            <w:tcW w:w="1338" w:type="dxa"/>
            <w:tcBorders>
              <w:top w:val="single" w:sz="12" w:space="0" w:color="auto"/>
              <w:bottom w:val="single" w:sz="2" w:space="0" w:color="auto"/>
            </w:tcBorders>
            <w:shd w:val="clear" w:color="auto" w:fill="auto"/>
            <w:vAlign w:val="center"/>
          </w:tcPr>
          <w:p w14:paraId="162A2E70" w14:textId="77777777" w:rsidR="000E591C" w:rsidRPr="0042750D" w:rsidRDefault="000E591C" w:rsidP="00D50A4E">
            <w:pPr>
              <w:pStyle w:val="Tabletext"/>
              <w:jc w:val="center"/>
              <w:rPr>
                <w:b/>
                <w:bCs/>
                <w:sz w:val="24"/>
                <w:szCs w:val="24"/>
              </w:rPr>
            </w:pPr>
          </w:p>
        </w:tc>
      </w:tr>
      <w:tr w:rsidR="000E591C" w:rsidRPr="0042750D" w14:paraId="40BAE0B5" w14:textId="77777777" w:rsidTr="007231CA">
        <w:trPr>
          <w:jc w:val="center"/>
        </w:trPr>
        <w:tc>
          <w:tcPr>
            <w:tcW w:w="1190" w:type="dxa"/>
            <w:vMerge/>
            <w:tcBorders>
              <w:bottom w:val="single" w:sz="12" w:space="0" w:color="auto"/>
            </w:tcBorders>
            <w:shd w:val="clear" w:color="auto" w:fill="auto"/>
          </w:tcPr>
          <w:p w14:paraId="36643778" w14:textId="77777777" w:rsidR="000E591C" w:rsidRPr="0042750D" w:rsidRDefault="000E591C"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3DB0BFCD" w14:textId="138044B4" w:rsidR="000E591C" w:rsidRPr="0042750D" w:rsidRDefault="00D30F2F" w:rsidP="006F2431">
            <w:pPr>
              <w:tabs>
                <w:tab w:val="left" w:pos="720"/>
              </w:tabs>
              <w:snapToGrid w:val="0"/>
              <w:spacing w:before="40" w:after="40"/>
            </w:pPr>
            <w:r w:rsidRPr="0042750D">
              <w:t>TSAG created TSAG RG-CPTRG as a means to assist WTSA-20 in this recommendation.</w:t>
            </w:r>
          </w:p>
        </w:tc>
      </w:tr>
    </w:tbl>
    <w:p w14:paraId="5C4B534C" w14:textId="77777777" w:rsidR="000E591C" w:rsidRPr="0042750D" w:rsidRDefault="00DD025B" w:rsidP="000E591C">
      <w:pPr>
        <w:rPr>
          <w:rStyle w:val="Hyperlink"/>
          <w:rFonts w:eastAsia="Times New Roman"/>
          <w:sz w:val="24"/>
        </w:rPr>
      </w:pPr>
      <w:hyperlink w:anchor="Top" w:history="1">
        <w:r w:rsidR="000E591C" w:rsidRPr="0042750D">
          <w:rPr>
            <w:rStyle w:val="Hyperlink"/>
            <w:rFonts w:eastAsia="Times New Roman"/>
            <w:sz w:val="24"/>
          </w:rPr>
          <w:t>» Top</w:t>
        </w:r>
      </w:hyperlink>
    </w:p>
    <w:p w14:paraId="1422DBE5" w14:textId="41B8BCEF" w:rsidR="000E591C" w:rsidRPr="0042750D" w:rsidRDefault="00C528CE" w:rsidP="00032551">
      <w:pPr>
        <w:pStyle w:val="Heading1"/>
        <w:keepNext/>
        <w:keepLines/>
        <w:rPr>
          <w:sz w:val="24"/>
          <w:szCs w:val="24"/>
          <w:lang w:val="en-GB"/>
        </w:rPr>
      </w:pPr>
      <w:bookmarkStart w:id="483" w:name="_Toc30749206"/>
      <w:r w:rsidRPr="0042750D">
        <w:rPr>
          <w:sz w:val="24"/>
          <w:szCs w:val="24"/>
          <w:lang w:val="en-GB"/>
        </w:rPr>
        <w:t>PP18 decision</w:t>
      </w:r>
      <w:r w:rsidR="00952E16" w:rsidRPr="0042750D">
        <w:rPr>
          <w:sz w:val="24"/>
          <w:szCs w:val="24"/>
          <w:lang w:val="en-GB"/>
        </w:rPr>
        <w:t xml:space="preserve"> </w:t>
      </w:r>
      <w:r w:rsidR="00E06B58" w:rsidRPr="0042750D">
        <w:rPr>
          <w:sz w:val="24"/>
          <w:szCs w:val="24"/>
          <w:lang w:val="en-GB"/>
        </w:rPr>
        <w:t xml:space="preserve">PP18dec2.13 </w:t>
      </w:r>
      <w:r w:rsidR="000E591C" w:rsidRPr="0042750D">
        <w:rPr>
          <w:sz w:val="24"/>
          <w:szCs w:val="24"/>
          <w:lang w:val="en-GB"/>
        </w:rPr>
        <w:t>(DUBAI, 2018) – MoUs with substantial financial and/or strategic implications</w:t>
      </w:r>
      <w:bookmarkEnd w:id="483"/>
    </w:p>
    <w:p w14:paraId="6DA2E909" w14:textId="3C0C3CF8" w:rsidR="00C528CE" w:rsidRPr="0042750D" w:rsidRDefault="00C528CE" w:rsidP="00032551">
      <w:pPr>
        <w:keepNext/>
        <w:keepLines/>
        <w:spacing w:after="120"/>
        <w:rPr>
          <w:lang w:eastAsia="x-none"/>
        </w:rPr>
      </w:pPr>
      <w:r w:rsidRPr="0042750D">
        <w:rPr>
          <w:lang w:eastAsia="x-none"/>
        </w:rPr>
        <w:t>(ref. PP18 C-173 section 2.13)</w:t>
      </w:r>
    </w:p>
    <w:p w14:paraId="0BD11D71" w14:textId="77777777" w:rsidR="00DC601A" w:rsidRPr="0042750D" w:rsidRDefault="00DC601A" w:rsidP="00032551">
      <w:pPr>
        <w:keepNext/>
        <w:keepLines/>
        <w:snapToGrid w:val="0"/>
        <w:spacing w:after="120"/>
      </w:pPr>
      <w:r w:rsidRPr="0042750D">
        <w:t xml:space="preserve">“This Plenipotentiary Conference (Dubai, 2018) believes that </w:t>
      </w:r>
      <w:r w:rsidRPr="0042750D">
        <w:rPr>
          <w:rFonts w:cs="Calibri"/>
        </w:rPr>
        <w:t>MoUs in which ITU is a participant that have, in the view of the Secretary-General, substantial financial and/or strategic implications should only be entered into subject to Council’s prior approval.</w:t>
      </w:r>
    </w:p>
    <w:p w14:paraId="70631E90" w14:textId="77777777" w:rsidR="00DC601A" w:rsidRPr="0042750D" w:rsidRDefault="00DC601A" w:rsidP="00DC601A">
      <w:pPr>
        <w:snapToGrid w:val="0"/>
        <w:spacing w:after="120"/>
        <w:rPr>
          <w:rFonts w:cs="Calibri"/>
        </w:rPr>
      </w:pPr>
      <w:r w:rsidRPr="0042750D">
        <w:t xml:space="preserve">Therefore, the Secretary-General shall submit to the ordinary session of the Council for prior approval the MoUs that </w:t>
      </w:r>
      <w:r w:rsidRPr="0042750D">
        <w:rPr>
          <w:rFonts w:cs="Calibri"/>
        </w:rPr>
        <w:t>have substantial financial and/or strategic implications.</w:t>
      </w:r>
    </w:p>
    <w:p w14:paraId="25986217" w14:textId="77777777" w:rsidR="00DC601A" w:rsidRPr="0042750D" w:rsidRDefault="00DC601A" w:rsidP="00DC601A">
      <w:pPr>
        <w:snapToGrid w:val="0"/>
        <w:spacing w:after="120"/>
      </w:pPr>
      <w:r w:rsidRPr="0042750D">
        <w:rPr>
          <w:rFonts w:cs="Calibri"/>
        </w:rPr>
        <w:t>Furthermore, a report</w:t>
      </w:r>
      <w:r w:rsidRPr="0042750D">
        <w:t xml:space="preserve"> on the other MoUs entered into by ITU during the relevant period will continue to be submitted.</w:t>
      </w:r>
    </w:p>
    <w:p w14:paraId="61F7D5DC" w14:textId="77777777" w:rsidR="00DC601A" w:rsidRPr="0042750D" w:rsidRDefault="00DC601A" w:rsidP="00DC601A">
      <w:pPr>
        <w:snapToGrid w:val="0"/>
        <w:spacing w:after="120"/>
      </w:pPr>
      <w:r w:rsidRPr="0042750D">
        <w:t>The Council when considering ITU’s participation in MoUs that have substantial financial and/or strategic implications shall apply the following principles:</w:t>
      </w:r>
    </w:p>
    <w:p w14:paraId="7BD43A07" w14:textId="77777777" w:rsidR="00DC601A" w:rsidRPr="0042750D" w:rsidRDefault="00DC601A" w:rsidP="00DC601A">
      <w:pPr>
        <w:snapToGrid w:val="0"/>
        <w:spacing w:after="120"/>
        <w:rPr>
          <w:iCs/>
        </w:rPr>
      </w:pPr>
      <w:r w:rsidRPr="0042750D">
        <w:rPr>
          <w:iCs/>
        </w:rPr>
        <w:t>i)</w:t>
      </w:r>
      <w:r w:rsidRPr="0042750D">
        <w:rPr>
          <w:iCs/>
        </w:rPr>
        <w:tab/>
        <w:t>that any involvement of the Secretary-General in this capacity should contribute to and be within the purposes of the Union as set forth in Article 1 of the Constitution, and within the strategic and financial plans of the Union;</w:t>
      </w:r>
    </w:p>
    <w:p w14:paraId="17C307F8" w14:textId="77777777" w:rsidR="00DC601A" w:rsidRPr="0042750D" w:rsidRDefault="00DC601A" w:rsidP="00DC601A">
      <w:pPr>
        <w:snapToGrid w:val="0"/>
        <w:spacing w:after="120"/>
      </w:pPr>
      <w:r w:rsidRPr="0042750D">
        <w:rPr>
          <w:iCs/>
        </w:rPr>
        <w:t>ii)</w:t>
      </w:r>
      <w:r w:rsidRPr="0042750D">
        <w:tab/>
        <w:t>that Member States and Sector Members will be kept informed of the activities of ITU when</w:t>
      </w:r>
      <w:r w:rsidRPr="0042750D">
        <w:rPr>
          <w:rFonts w:cs="Calibri"/>
        </w:rPr>
        <w:t xml:space="preserve"> it participates in MoUs that have substantial financial and/or strategic implications</w:t>
      </w:r>
      <w:r w:rsidRPr="0042750D">
        <w:t>;</w:t>
      </w:r>
    </w:p>
    <w:p w14:paraId="30157E73" w14:textId="77777777" w:rsidR="00DC601A" w:rsidRPr="0042750D" w:rsidRDefault="00DC601A" w:rsidP="00DC601A">
      <w:pPr>
        <w:snapToGrid w:val="0"/>
        <w:spacing w:after="120"/>
      </w:pPr>
      <w:r w:rsidRPr="0042750D">
        <w:rPr>
          <w:iCs/>
        </w:rPr>
        <w:t>iii)</w:t>
      </w:r>
      <w:r w:rsidRPr="0042750D">
        <w:tab/>
        <w:t>that the sovereignty and rights of ITU Member States are fully respected and preserved;</w:t>
      </w:r>
    </w:p>
    <w:p w14:paraId="185A9CE3" w14:textId="53D94CD9" w:rsidR="000E591C" w:rsidRPr="0042750D" w:rsidRDefault="00DC601A" w:rsidP="00DC601A">
      <w:pPr>
        <w:snapToGrid w:val="0"/>
        <w:spacing w:after="120"/>
      </w:pPr>
      <w:r w:rsidRPr="0042750D">
        <w:t>The activity above shall be covered within the Council’s report to the Plenipotentiary Conference on the implementation of the Strategic Plan and the activities of the Union.”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96"/>
        <w:gridCol w:w="4544"/>
        <w:gridCol w:w="1320"/>
        <w:gridCol w:w="1134"/>
        <w:gridCol w:w="1338"/>
      </w:tblGrid>
      <w:tr w:rsidR="000E591C" w:rsidRPr="0042750D" w14:paraId="4375B705" w14:textId="77777777" w:rsidTr="003462B2">
        <w:trPr>
          <w:jc w:val="center"/>
        </w:trPr>
        <w:tc>
          <w:tcPr>
            <w:tcW w:w="1190" w:type="dxa"/>
            <w:tcBorders>
              <w:top w:val="single" w:sz="12" w:space="0" w:color="auto"/>
              <w:bottom w:val="single" w:sz="12" w:space="0" w:color="auto"/>
            </w:tcBorders>
            <w:shd w:val="clear" w:color="auto" w:fill="auto"/>
            <w:vAlign w:val="center"/>
          </w:tcPr>
          <w:p w14:paraId="674168E2" w14:textId="77777777" w:rsidR="000E591C" w:rsidRPr="0042750D" w:rsidRDefault="000E591C" w:rsidP="00515FDC">
            <w:pPr>
              <w:pStyle w:val="Tablehead"/>
              <w:keepNext w:val="0"/>
              <w:pageBreakBefore/>
              <w:rPr>
                <w:sz w:val="24"/>
                <w:szCs w:val="24"/>
              </w:rPr>
            </w:pPr>
            <w:r w:rsidRPr="0042750D">
              <w:rPr>
                <w:sz w:val="24"/>
                <w:szCs w:val="24"/>
              </w:rPr>
              <w:t>Action Item</w:t>
            </w:r>
          </w:p>
        </w:tc>
        <w:tc>
          <w:tcPr>
            <w:tcW w:w="4929" w:type="dxa"/>
            <w:tcBorders>
              <w:top w:val="single" w:sz="12" w:space="0" w:color="auto"/>
              <w:bottom w:val="single" w:sz="12" w:space="0" w:color="auto"/>
            </w:tcBorders>
            <w:shd w:val="clear" w:color="auto" w:fill="auto"/>
            <w:vAlign w:val="center"/>
            <w:hideMark/>
          </w:tcPr>
          <w:p w14:paraId="53619DB0" w14:textId="77777777" w:rsidR="000E591C" w:rsidRPr="0042750D" w:rsidRDefault="000E591C" w:rsidP="00D50A4E">
            <w:pPr>
              <w:pStyle w:val="Tablehead"/>
              <w:rPr>
                <w:sz w:val="24"/>
                <w:szCs w:val="24"/>
              </w:rPr>
            </w:pPr>
            <w:r w:rsidRPr="0042750D">
              <w:rPr>
                <w:sz w:val="24"/>
                <w:szCs w:val="24"/>
              </w:rPr>
              <w:t>Action</w:t>
            </w:r>
          </w:p>
        </w:tc>
        <w:tc>
          <w:tcPr>
            <w:tcW w:w="1333" w:type="dxa"/>
            <w:tcBorders>
              <w:top w:val="single" w:sz="12" w:space="0" w:color="auto"/>
              <w:bottom w:val="single" w:sz="12" w:space="0" w:color="auto"/>
            </w:tcBorders>
            <w:shd w:val="clear" w:color="auto" w:fill="auto"/>
            <w:vAlign w:val="center"/>
            <w:hideMark/>
          </w:tcPr>
          <w:p w14:paraId="62EB3EE1" w14:textId="77777777" w:rsidR="000E591C" w:rsidRPr="0042750D" w:rsidRDefault="000E591C" w:rsidP="00D50A4E">
            <w:pPr>
              <w:pStyle w:val="Tablehead"/>
              <w:rPr>
                <w:sz w:val="24"/>
                <w:szCs w:val="24"/>
              </w:rPr>
            </w:pPr>
            <w:r w:rsidRPr="0042750D">
              <w:rPr>
                <w:sz w:val="24"/>
                <w:szCs w:val="24"/>
              </w:rPr>
              <w:t>Milestone</w:t>
            </w:r>
          </w:p>
        </w:tc>
        <w:tc>
          <w:tcPr>
            <w:tcW w:w="1142" w:type="dxa"/>
            <w:tcBorders>
              <w:top w:val="single" w:sz="12" w:space="0" w:color="auto"/>
              <w:bottom w:val="single" w:sz="12" w:space="0" w:color="auto"/>
            </w:tcBorders>
            <w:shd w:val="clear" w:color="auto" w:fill="auto"/>
          </w:tcPr>
          <w:p w14:paraId="75D824B0" w14:textId="77777777" w:rsidR="000E591C" w:rsidRPr="0042750D" w:rsidRDefault="000E591C" w:rsidP="00D50A4E">
            <w:pPr>
              <w:pStyle w:val="Tablehead"/>
              <w:rPr>
                <w:sz w:val="24"/>
                <w:szCs w:val="24"/>
              </w:rPr>
            </w:pPr>
            <w:r w:rsidRPr="0042750D">
              <w:rPr>
                <w:sz w:val="24"/>
                <w:szCs w:val="24"/>
              </w:rPr>
              <w:t>Periodic goals met</w:t>
            </w:r>
          </w:p>
        </w:tc>
        <w:tc>
          <w:tcPr>
            <w:tcW w:w="1338" w:type="dxa"/>
            <w:tcBorders>
              <w:top w:val="single" w:sz="12" w:space="0" w:color="auto"/>
              <w:bottom w:val="single" w:sz="12" w:space="0" w:color="auto"/>
            </w:tcBorders>
            <w:shd w:val="clear" w:color="auto" w:fill="auto"/>
            <w:vAlign w:val="center"/>
          </w:tcPr>
          <w:p w14:paraId="000463CF" w14:textId="77777777" w:rsidR="000E591C" w:rsidRPr="0042750D" w:rsidRDefault="000E591C" w:rsidP="00D50A4E">
            <w:pPr>
              <w:pStyle w:val="Tablehead"/>
              <w:rPr>
                <w:sz w:val="24"/>
                <w:szCs w:val="24"/>
              </w:rPr>
            </w:pPr>
            <w:r w:rsidRPr="0042750D">
              <w:rPr>
                <w:sz w:val="24"/>
                <w:szCs w:val="24"/>
              </w:rPr>
              <w:t>Completed</w:t>
            </w:r>
          </w:p>
        </w:tc>
      </w:tr>
      <w:tr w:rsidR="000E591C" w:rsidRPr="0042750D" w14:paraId="6A1BF28A" w14:textId="77777777" w:rsidTr="003462B2">
        <w:trPr>
          <w:jc w:val="center"/>
        </w:trPr>
        <w:tc>
          <w:tcPr>
            <w:tcW w:w="1190" w:type="dxa"/>
            <w:vMerge w:val="restart"/>
            <w:tcBorders>
              <w:top w:val="single" w:sz="12" w:space="0" w:color="auto"/>
            </w:tcBorders>
            <w:shd w:val="clear" w:color="auto" w:fill="auto"/>
          </w:tcPr>
          <w:p w14:paraId="15FB04DA" w14:textId="257B4CB8" w:rsidR="000E591C" w:rsidRPr="0042750D" w:rsidRDefault="00E06B58" w:rsidP="00E06B58">
            <w:pPr>
              <w:pStyle w:val="Tabletext"/>
              <w:rPr>
                <w:b/>
                <w:bCs/>
                <w:sz w:val="24"/>
                <w:szCs w:val="24"/>
              </w:rPr>
            </w:pPr>
            <w:r w:rsidRPr="0042750D">
              <w:rPr>
                <w:b/>
                <w:sz w:val="24"/>
                <w:szCs w:val="24"/>
              </w:rPr>
              <w:t>PP18dec2.13</w:t>
            </w:r>
            <w:r w:rsidR="000E591C" w:rsidRPr="0042750D">
              <w:rPr>
                <w:b/>
                <w:sz w:val="24"/>
                <w:szCs w:val="24"/>
              </w:rPr>
              <w:t>-</w:t>
            </w:r>
            <w:r w:rsidR="000E591C" w:rsidRPr="0042750D">
              <w:rPr>
                <w:b/>
                <w:bCs/>
                <w:sz w:val="24"/>
                <w:szCs w:val="24"/>
              </w:rPr>
              <w:t>01</w:t>
            </w:r>
          </w:p>
        </w:tc>
        <w:tc>
          <w:tcPr>
            <w:tcW w:w="4929" w:type="dxa"/>
            <w:tcBorders>
              <w:top w:val="single" w:sz="12" w:space="0" w:color="auto"/>
              <w:bottom w:val="single" w:sz="2" w:space="0" w:color="auto"/>
            </w:tcBorders>
            <w:shd w:val="clear" w:color="auto" w:fill="auto"/>
          </w:tcPr>
          <w:p w14:paraId="59F5CBDA" w14:textId="55418B51" w:rsidR="000E591C" w:rsidRPr="0042750D" w:rsidRDefault="000E591C" w:rsidP="00D50A4E">
            <w:pPr>
              <w:pStyle w:val="Tabletext"/>
              <w:rPr>
                <w:b/>
                <w:bCs/>
                <w:sz w:val="24"/>
                <w:szCs w:val="24"/>
              </w:rPr>
            </w:pPr>
            <w:r w:rsidRPr="0042750D">
              <w:rPr>
                <w:b/>
                <w:sz w:val="24"/>
                <w:szCs w:val="24"/>
                <w:lang w:eastAsia="x-none"/>
              </w:rPr>
              <w:t>TSBDir shall submit to the ordinary session of the Council for prior approval the MoUs that have substantial financial and/or strategic implications.</w:t>
            </w:r>
          </w:p>
        </w:tc>
        <w:tc>
          <w:tcPr>
            <w:tcW w:w="1333" w:type="dxa"/>
            <w:tcBorders>
              <w:top w:val="single" w:sz="12" w:space="0" w:color="auto"/>
              <w:bottom w:val="single" w:sz="2" w:space="0" w:color="auto"/>
            </w:tcBorders>
            <w:shd w:val="clear" w:color="auto" w:fill="auto"/>
            <w:vAlign w:val="center"/>
          </w:tcPr>
          <w:p w14:paraId="459A4DED" w14:textId="6942733A" w:rsidR="000E591C" w:rsidRPr="0042750D" w:rsidRDefault="000E591C" w:rsidP="00D50A4E">
            <w:pPr>
              <w:pStyle w:val="Tabletext"/>
              <w:jc w:val="center"/>
              <w:rPr>
                <w:b/>
                <w:bCs/>
                <w:sz w:val="24"/>
                <w:szCs w:val="24"/>
              </w:rPr>
            </w:pPr>
            <w:r w:rsidRPr="0042750D">
              <w:rPr>
                <w:b/>
                <w:bCs/>
                <w:sz w:val="24"/>
                <w:szCs w:val="24"/>
              </w:rPr>
              <w:t>Council</w:t>
            </w:r>
          </w:p>
        </w:tc>
        <w:tc>
          <w:tcPr>
            <w:tcW w:w="1142" w:type="dxa"/>
            <w:tcBorders>
              <w:top w:val="single" w:sz="12" w:space="0" w:color="auto"/>
              <w:bottom w:val="single" w:sz="2" w:space="0" w:color="auto"/>
            </w:tcBorders>
            <w:shd w:val="clear" w:color="auto" w:fill="auto"/>
            <w:vAlign w:val="center"/>
          </w:tcPr>
          <w:p w14:paraId="4BAC4DDF" w14:textId="77777777" w:rsidR="000E591C" w:rsidRPr="0042750D" w:rsidRDefault="000E591C" w:rsidP="00D50A4E">
            <w:pPr>
              <w:pStyle w:val="Tabletext"/>
              <w:jc w:val="center"/>
              <w:rPr>
                <w:b/>
                <w:bCs/>
                <w:sz w:val="24"/>
                <w:szCs w:val="24"/>
              </w:rPr>
            </w:pPr>
          </w:p>
        </w:tc>
        <w:tc>
          <w:tcPr>
            <w:tcW w:w="1338" w:type="dxa"/>
            <w:tcBorders>
              <w:top w:val="single" w:sz="12" w:space="0" w:color="auto"/>
              <w:bottom w:val="single" w:sz="2" w:space="0" w:color="auto"/>
            </w:tcBorders>
            <w:shd w:val="clear" w:color="auto" w:fill="auto"/>
            <w:vAlign w:val="center"/>
          </w:tcPr>
          <w:p w14:paraId="2C343682" w14:textId="77777777" w:rsidR="000E591C" w:rsidRPr="0042750D" w:rsidRDefault="000E591C" w:rsidP="00D50A4E">
            <w:pPr>
              <w:pStyle w:val="Tabletext"/>
              <w:jc w:val="center"/>
              <w:rPr>
                <w:b/>
                <w:bCs/>
                <w:sz w:val="24"/>
                <w:szCs w:val="24"/>
              </w:rPr>
            </w:pPr>
          </w:p>
        </w:tc>
      </w:tr>
      <w:tr w:rsidR="000E591C" w:rsidRPr="0042750D" w14:paraId="4A8B1183" w14:textId="77777777" w:rsidTr="003462B2">
        <w:trPr>
          <w:jc w:val="center"/>
        </w:trPr>
        <w:tc>
          <w:tcPr>
            <w:tcW w:w="1190" w:type="dxa"/>
            <w:vMerge/>
            <w:tcBorders>
              <w:bottom w:val="single" w:sz="12" w:space="0" w:color="auto"/>
            </w:tcBorders>
            <w:shd w:val="clear" w:color="auto" w:fill="auto"/>
          </w:tcPr>
          <w:p w14:paraId="4D3485C1" w14:textId="77777777" w:rsidR="000E591C" w:rsidRPr="0042750D" w:rsidRDefault="000E591C" w:rsidP="00D50A4E">
            <w:pPr>
              <w:pStyle w:val="Tabletext"/>
              <w:rPr>
                <w:sz w:val="24"/>
                <w:szCs w:val="24"/>
              </w:rPr>
            </w:pPr>
          </w:p>
        </w:tc>
        <w:tc>
          <w:tcPr>
            <w:tcW w:w="8742" w:type="dxa"/>
            <w:gridSpan w:val="4"/>
            <w:tcBorders>
              <w:top w:val="single" w:sz="2" w:space="0" w:color="auto"/>
              <w:bottom w:val="single" w:sz="12" w:space="0" w:color="auto"/>
            </w:tcBorders>
            <w:shd w:val="clear" w:color="auto" w:fill="auto"/>
          </w:tcPr>
          <w:p w14:paraId="72FC0CFC" w14:textId="77777777" w:rsidR="000E591C" w:rsidRPr="0042750D" w:rsidRDefault="000E591C" w:rsidP="006F2431">
            <w:pPr>
              <w:tabs>
                <w:tab w:val="left" w:pos="720"/>
              </w:tabs>
              <w:snapToGrid w:val="0"/>
              <w:spacing w:before="40" w:after="40"/>
            </w:pPr>
          </w:p>
        </w:tc>
      </w:tr>
    </w:tbl>
    <w:p w14:paraId="542BB311" w14:textId="77777777" w:rsidR="000E591C" w:rsidRPr="0042750D" w:rsidRDefault="00DD025B" w:rsidP="000E591C">
      <w:pPr>
        <w:rPr>
          <w:rStyle w:val="Hyperlink"/>
          <w:rFonts w:eastAsia="Times New Roman"/>
          <w:sz w:val="24"/>
        </w:rPr>
      </w:pPr>
      <w:hyperlink w:anchor="Top" w:history="1">
        <w:r w:rsidR="000E591C" w:rsidRPr="0042750D">
          <w:rPr>
            <w:rStyle w:val="Hyperlink"/>
            <w:rFonts w:eastAsia="Times New Roman"/>
            <w:sz w:val="24"/>
          </w:rPr>
          <w:t>» Top</w:t>
        </w:r>
      </w:hyperlink>
    </w:p>
    <w:p w14:paraId="68DBFFF2" w14:textId="77777777" w:rsidR="00F0236A" w:rsidRPr="0042750D" w:rsidRDefault="00F0236A" w:rsidP="00F0236A">
      <w:pPr>
        <w:spacing w:before="0"/>
        <w:jc w:val="center"/>
      </w:pPr>
      <w:r w:rsidRPr="0042750D">
        <w:t>___________</w:t>
      </w:r>
    </w:p>
    <w:sectPr w:rsidR="00F0236A" w:rsidRPr="0042750D" w:rsidSect="00056ABB">
      <w:headerReference w:type="default" r:id="rId168"/>
      <w:footerReference w:type="default" r:id="rId169"/>
      <w:headerReference w:type="first" r:id="rId170"/>
      <w:footerReference w:type="first" r:id="rId171"/>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0C012" w14:textId="77777777" w:rsidR="005A429E" w:rsidRDefault="005A429E" w:rsidP="00ED7621">
      <w:r>
        <w:separator/>
      </w:r>
    </w:p>
    <w:p w14:paraId="0CA54A22" w14:textId="77777777" w:rsidR="005A429E" w:rsidRDefault="005A429E"/>
  </w:endnote>
  <w:endnote w:type="continuationSeparator" w:id="0">
    <w:p w14:paraId="421FB950" w14:textId="77777777" w:rsidR="005A429E" w:rsidRDefault="005A429E" w:rsidP="00ED7621">
      <w:r>
        <w:continuationSeparator/>
      </w:r>
    </w:p>
    <w:p w14:paraId="56151B69" w14:textId="77777777" w:rsidR="005A429E" w:rsidRDefault="005A429E"/>
  </w:endnote>
  <w:endnote w:type="continuationNotice" w:id="1">
    <w:p w14:paraId="056D0F9E" w14:textId="77777777" w:rsidR="005A429E" w:rsidRDefault="005A429E"/>
    <w:p w14:paraId="43FCC916" w14:textId="77777777" w:rsidR="005A429E" w:rsidRDefault="005A4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4E7A" w14:textId="77777777" w:rsidR="005A429E" w:rsidRPr="003F7CA2" w:rsidRDefault="005A429E" w:rsidP="003F7C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5641822"/>
      <w:docPartObj>
        <w:docPartGallery w:val="Page Numbers (Bottom of Page)"/>
        <w:docPartUnique/>
      </w:docPartObj>
    </w:sdtPr>
    <w:sdtEndPr>
      <w:rPr>
        <w:noProof/>
      </w:rPr>
    </w:sdtEndPr>
    <w:sdtContent>
      <w:p w14:paraId="67BFE73A" w14:textId="77777777" w:rsidR="005A429E" w:rsidRDefault="005A429E">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7BFE73B" w14:textId="77777777" w:rsidR="005A429E" w:rsidRPr="00294B7F" w:rsidRDefault="005A429E" w:rsidP="00294B7F">
    <w:pPr>
      <w:spacing w:before="0"/>
      <w:rPr>
        <w:sz w:val="18"/>
      </w:rPr>
    </w:pPr>
  </w:p>
  <w:p w14:paraId="76A11AE6" w14:textId="77777777" w:rsidR="005A429E" w:rsidRDefault="005A429E"/>
  <w:p w14:paraId="3D42BFFD" w14:textId="77777777" w:rsidR="005A429E" w:rsidRDefault="005A429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C9019" w14:textId="77777777" w:rsidR="005A429E" w:rsidRDefault="005A429E" w:rsidP="00ED7621">
      <w:r>
        <w:separator/>
      </w:r>
    </w:p>
    <w:p w14:paraId="05B0EBC6" w14:textId="77777777" w:rsidR="005A429E" w:rsidRDefault="005A429E"/>
  </w:footnote>
  <w:footnote w:type="continuationSeparator" w:id="0">
    <w:p w14:paraId="2C396204" w14:textId="77777777" w:rsidR="005A429E" w:rsidRDefault="005A429E" w:rsidP="00ED7621">
      <w:r>
        <w:continuationSeparator/>
      </w:r>
    </w:p>
    <w:p w14:paraId="30720FFE" w14:textId="77777777" w:rsidR="005A429E" w:rsidRDefault="005A429E"/>
  </w:footnote>
  <w:footnote w:type="continuationNotice" w:id="1">
    <w:p w14:paraId="770D3FD2" w14:textId="77777777" w:rsidR="005A429E" w:rsidRDefault="005A429E"/>
    <w:p w14:paraId="52565D5D" w14:textId="77777777" w:rsidR="005A429E" w:rsidRDefault="005A429E"/>
  </w:footnote>
  <w:footnote w:id="2">
    <w:p w14:paraId="4F070F23" w14:textId="77777777" w:rsidR="005A429E" w:rsidRPr="00B6238B" w:rsidRDefault="005A429E" w:rsidP="007A2CF1">
      <w:pPr>
        <w:pStyle w:val="FootnoteText"/>
      </w:pPr>
      <w:r>
        <w:rPr>
          <w:rStyle w:val="FootnoteReference"/>
        </w:rPr>
        <w:t>2</w:t>
      </w:r>
      <w:r>
        <w:t xml:space="preserve"> </w:t>
      </w:r>
      <w:r>
        <w:tab/>
        <w:t>These include the least developed countries, small island developing states, landlocked developing countries and countries with economies in transition.</w:t>
      </w:r>
    </w:p>
  </w:footnote>
  <w:footnote w:id="3">
    <w:p w14:paraId="472875D4" w14:textId="77777777" w:rsidR="005A429E" w:rsidRDefault="005A429E" w:rsidP="00CE15EF">
      <w:pPr>
        <w:pStyle w:val="FootnoteText"/>
      </w:pPr>
      <w:r>
        <w:rPr>
          <w:rStyle w:val="FootnoteReference"/>
        </w:rPr>
        <w:t>1</w:t>
      </w:r>
      <w:r w:rsidRPr="00153DCF">
        <w:t xml:space="preserve"> </w:t>
      </w:r>
      <w:r>
        <w:tab/>
        <w:t xml:space="preserve">The </w:t>
      </w:r>
      <w:r w:rsidRPr="00E64F08">
        <w:t>term</w:t>
      </w:r>
      <w:r>
        <w:t xml:space="preserve"> "market price" is defined as the price determined by the Sales and Market</w:t>
      </w:r>
      <w:r w:rsidRPr="00153DCF">
        <w:t>ing Division</w:t>
      </w:r>
      <w:r>
        <w:t>, which is established to maximize revenues without being so high as to discourage sales.</w:t>
      </w:r>
    </w:p>
  </w:footnote>
  <w:footnote w:id="4">
    <w:p w14:paraId="5C70D170" w14:textId="77777777" w:rsidR="005A429E" w:rsidRPr="00977D33" w:rsidRDefault="005A429E" w:rsidP="00A32DAB">
      <w:pPr>
        <w:pStyle w:val="FootnoteText"/>
        <w:rPr>
          <w:lang w:val="en-US"/>
        </w:rPr>
      </w:pPr>
      <w:r>
        <w:rPr>
          <w:rStyle w:val="FootnoteReference"/>
        </w:rPr>
        <w:t>5</w:t>
      </w:r>
      <w:r>
        <w:t xml:space="preserve"> </w:t>
      </w:r>
      <w:r>
        <w:tab/>
      </w:r>
      <w:r w:rsidRPr="00D56116">
        <w:rPr>
          <w:lang w:val="en-US"/>
        </w:rPr>
        <w:t>These include the least developed countries, small island developing states, landlocked developing countries and countries with economies in transition.</w:t>
      </w:r>
    </w:p>
  </w:footnote>
  <w:footnote w:id="5">
    <w:p w14:paraId="0CAE7EA4" w14:textId="77777777" w:rsidR="005A429E" w:rsidRPr="00D9393B" w:rsidRDefault="005A429E" w:rsidP="009665F4">
      <w:pPr>
        <w:pStyle w:val="FootnoteText"/>
        <w:rPr>
          <w:lang w:val="en-US"/>
        </w:rPr>
      </w:pPr>
      <w:r w:rsidRPr="008577EC">
        <w:rPr>
          <w:rStyle w:val="FootnoteReference"/>
        </w:rPr>
        <w:t>1</w:t>
      </w:r>
      <w:r w:rsidRPr="00D9393B">
        <w:rPr>
          <w:lang w:val="en-US"/>
        </w:rPr>
        <w:t xml:space="preserve"> </w:t>
      </w:r>
      <w:r>
        <w:rPr>
          <w:lang w:val="en-US"/>
        </w:rPr>
        <w:tab/>
      </w:r>
      <w:r w:rsidRPr="00D9393B">
        <w:rPr>
          <w:lang w:val="en-US"/>
        </w:rPr>
        <w:t>Apart from world conferences on international telecommunications.</w:t>
      </w:r>
    </w:p>
  </w:footnote>
  <w:footnote w:id="6">
    <w:p w14:paraId="27670FC5" w14:textId="77777777" w:rsidR="005A429E" w:rsidRPr="00493644" w:rsidRDefault="005A429E" w:rsidP="00406EA9">
      <w:pPr>
        <w:pStyle w:val="FootnoteText"/>
        <w:rPr>
          <w:lang w:val="en-US"/>
        </w:rPr>
      </w:pPr>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7">
    <w:p w14:paraId="4D7E83DD" w14:textId="77777777" w:rsidR="005A429E" w:rsidRPr="00787ADC" w:rsidRDefault="005A429E" w:rsidP="00135C2F">
      <w:pPr>
        <w:pStyle w:val="FootnoteText"/>
        <w:rPr>
          <w:szCs w:val="24"/>
        </w:rPr>
      </w:pPr>
      <w:r>
        <w:rPr>
          <w:rStyle w:val="FootnoteReference"/>
        </w:rPr>
        <w:t>2</w:t>
      </w:r>
      <w:r>
        <w:t xml:space="preserve"> </w:t>
      </w:r>
      <w:r>
        <w:tab/>
      </w:r>
      <w:r w:rsidRPr="00787ADC">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r>
        <w:rPr>
          <w:szCs w:val="24"/>
        </w:rPr>
        <w:t>.</w:t>
      </w:r>
    </w:p>
  </w:footnote>
  <w:footnote w:id="8">
    <w:p w14:paraId="0A533282" w14:textId="77777777" w:rsidR="005A429E" w:rsidRPr="00787ADC" w:rsidRDefault="005A429E" w:rsidP="00DA2B5C">
      <w:pPr>
        <w:pStyle w:val="FootnoteText"/>
        <w:rPr>
          <w:szCs w:val="24"/>
          <w:lang w:val="en-US"/>
        </w:rPr>
      </w:pPr>
      <w:r>
        <w:rPr>
          <w:rStyle w:val="FootnoteReference"/>
        </w:rPr>
        <w:t>1</w:t>
      </w:r>
      <w:r>
        <w:t xml:space="preserve"> </w:t>
      </w:r>
      <w:r>
        <w:rPr>
          <w:lang w:val="en-US"/>
        </w:rPr>
        <w:tab/>
      </w:r>
      <w:r w:rsidRPr="00787ADC">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9">
    <w:p w14:paraId="34C56E48" w14:textId="77777777" w:rsidR="005A429E" w:rsidRPr="003A2513" w:rsidRDefault="005A429E" w:rsidP="00DA2B5C">
      <w:pPr>
        <w:pStyle w:val="FootnoteText"/>
        <w:rPr>
          <w:lang w:val="en-US"/>
        </w:rPr>
      </w:pPr>
      <w:r w:rsidRPr="00BE5AE3">
        <w:rPr>
          <w:rStyle w:val="FootnoteReference"/>
        </w:rPr>
        <w:t>2</w:t>
      </w:r>
      <w:r w:rsidRPr="00BE5AE3">
        <w:t xml:space="preserve"> </w:t>
      </w:r>
      <w:r w:rsidRPr="00BE5AE3">
        <w:tab/>
      </w:r>
      <w:r w:rsidRPr="00BE5AE3">
        <w:rPr>
          <w:lang w:val="en-US"/>
        </w:rPr>
        <w:t>These include the least developed countries, small island developing states, landlocked developing countries and countries with economies in transition</w:t>
      </w:r>
      <w:r>
        <w:rPr>
          <w:lang w:val="en-US"/>
        </w:rPr>
        <w:t>.</w:t>
      </w:r>
    </w:p>
  </w:footnote>
  <w:footnote w:id="10">
    <w:p w14:paraId="24BD0387" w14:textId="77777777" w:rsidR="005A429E" w:rsidRDefault="005A429E" w:rsidP="00CE5556">
      <w:pPr>
        <w:pStyle w:val="FootnoteText"/>
      </w:pPr>
      <w:r>
        <w:rPr>
          <w:rStyle w:val="FootnoteReference"/>
        </w:rPr>
        <w:t>2</w:t>
      </w:r>
      <w:r>
        <w:tab/>
      </w:r>
      <w:r w:rsidRPr="00770891">
        <w:t>See</w:t>
      </w:r>
      <w:r>
        <w:t xml:space="preserve"> the work of the ITU</w:t>
      </w:r>
      <w:r>
        <w:noBreakHyphen/>
        <w:t>T Study Group 13</w:t>
      </w:r>
      <w:r w:rsidRPr="00E914ED">
        <w:t xml:space="preserve"> </w:t>
      </w:r>
      <w:r>
        <w:t>Focus Group on future networks.</w:t>
      </w:r>
    </w:p>
  </w:footnote>
  <w:footnote w:id="11">
    <w:p w14:paraId="219D271F" w14:textId="77777777" w:rsidR="005A429E" w:rsidRPr="00C40B83" w:rsidRDefault="005A429E" w:rsidP="00065DBF">
      <w:pPr>
        <w:pStyle w:val="FootnoteText"/>
      </w:pPr>
      <w:r>
        <w:rPr>
          <w:rStyle w:val="FootnoteReference"/>
        </w:rPr>
        <w:t>1</w:t>
      </w:r>
      <w:r>
        <w:tab/>
      </w:r>
      <w:r>
        <w:rPr>
          <w:lang w:val="en-US"/>
        </w:rPr>
        <w:t>These include the least developed countries, small island developing states, landlocked developing countries and countries with economies in transition.</w:t>
      </w:r>
    </w:p>
  </w:footnote>
  <w:footnote w:id="12">
    <w:p w14:paraId="1928A0E4" w14:textId="77777777" w:rsidR="005A429E" w:rsidRPr="00390086" w:rsidRDefault="005A429E" w:rsidP="00710308">
      <w:pPr>
        <w:pStyle w:val="FootnoteText"/>
      </w:pPr>
      <w:r>
        <w:rPr>
          <w:rStyle w:val="FootnoteReference"/>
        </w:rPr>
        <w:t>2</w:t>
      </w:r>
      <w:r>
        <w:t xml:space="preserve"> </w:t>
      </w:r>
      <w:r>
        <w:tab/>
        <w:t>These include the least developed countries, small island developing states, landlocked developing countries and countries with economies in transition.</w:t>
      </w:r>
    </w:p>
  </w:footnote>
  <w:footnote w:id="13">
    <w:p w14:paraId="74946219" w14:textId="77777777" w:rsidR="005A429E" w:rsidRPr="00977D33" w:rsidRDefault="005A429E" w:rsidP="005015A2">
      <w:pPr>
        <w:pStyle w:val="FootnoteText"/>
        <w:rPr>
          <w:lang w:val="en-US"/>
        </w:rPr>
      </w:pPr>
      <w:r>
        <w:rPr>
          <w:rStyle w:val="FootnoteReference"/>
        </w:rPr>
        <w:t>1</w:t>
      </w:r>
      <w:r>
        <w:t xml:space="preserve"> </w:t>
      </w:r>
      <w:r>
        <w:tab/>
      </w:r>
      <w:r w:rsidRPr="00641438">
        <w:t>These include the least developed countries, small island developing states, landlocked developing countries and countries with economies in transition</w:t>
      </w:r>
      <w:r>
        <w:t>.</w:t>
      </w:r>
    </w:p>
  </w:footnote>
  <w:footnote w:id="14">
    <w:p w14:paraId="69C5C089" w14:textId="77777777" w:rsidR="005A429E" w:rsidRPr="00856A3D" w:rsidRDefault="005A429E" w:rsidP="00DF3BB5">
      <w:pPr>
        <w:pStyle w:val="FootnoteText"/>
      </w:pPr>
      <w:r>
        <w:rPr>
          <w:rStyle w:val="FootnoteReference"/>
        </w:rPr>
        <w:t>2</w:t>
      </w:r>
      <w:r>
        <w:t xml:space="preserve"> </w:t>
      </w:r>
      <w:r>
        <w:tab/>
        <w:t>I</w:t>
      </w:r>
      <w:r w:rsidRPr="00151DF8">
        <w:t xml:space="preserve">ncluding, </w:t>
      </w:r>
      <w:r>
        <w:t>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5">
    <w:p w14:paraId="39CBBACD" w14:textId="75F25729" w:rsidR="005A429E" w:rsidRPr="00730E4C" w:rsidRDefault="005A429E" w:rsidP="00AA7649">
      <w:pPr>
        <w:pStyle w:val="FootnoteText"/>
        <w:ind w:left="142" w:hanging="142"/>
        <w:rPr>
          <w:i/>
          <w:iCs/>
          <w:szCs w:val="24"/>
        </w:rPr>
      </w:pPr>
      <w:r>
        <w:rPr>
          <w:rStyle w:val="FootnoteReference"/>
        </w:rPr>
        <w:t>1</w:t>
      </w:r>
      <w:r w:rsidRPr="00880996">
        <w:rPr>
          <w:sz w:val="22"/>
          <w:szCs w:val="22"/>
        </w:rPr>
        <w:t xml:space="preserve"> </w:t>
      </w:r>
      <w:r w:rsidRPr="005F7DE6">
        <w:rPr>
          <w:szCs w:val="24"/>
        </w:rPr>
        <w:t xml:space="preserve">Recommendation ITU-T X.1205, </w:t>
      </w:r>
      <w:r>
        <w:rPr>
          <w:szCs w:val="24"/>
        </w:rPr>
        <w:t>"</w:t>
      </w:r>
      <w:r w:rsidRPr="00454B30">
        <w:rPr>
          <w:i/>
          <w:iCs/>
          <w:szCs w:val="24"/>
        </w:rPr>
        <w:t>Cybersecurity: Cybersecurity is the collection of tools, policies, security concepts, security safeguards, guidelines, risk management approaches, actions, training, best practices, assurance and technologies that can be used to protect the cyber environment and organization and user</w:t>
      </w:r>
      <w:r>
        <w:rPr>
          <w:i/>
          <w:iCs/>
          <w:szCs w:val="24"/>
        </w:rPr>
        <w:t>’</w:t>
      </w:r>
      <w:r w:rsidRPr="00454B30">
        <w:rPr>
          <w:i/>
          <w:iCs/>
          <w:szCs w:val="24"/>
        </w:rPr>
        <w:t>s assets. Organization and user</w:t>
      </w:r>
      <w:r>
        <w:rPr>
          <w:i/>
          <w:iCs/>
          <w:szCs w:val="24"/>
        </w:rPr>
        <w:t>’</w:t>
      </w:r>
      <w:r w:rsidRPr="00454B30">
        <w:rPr>
          <w:i/>
          <w:iCs/>
          <w:szCs w:val="24"/>
        </w:rPr>
        <w:t>s assets include connected computing devices, personnel, infrastructure, applications, services, telecommunications systems, and the totality of transmitted and/or stored informa</w:t>
      </w:r>
      <w:r>
        <w:rPr>
          <w:i/>
          <w:iCs/>
          <w:szCs w:val="24"/>
        </w:rPr>
        <w:t xml:space="preserve">tion in the cyber environment. </w:t>
      </w:r>
      <w:r w:rsidRPr="00454B30">
        <w:rPr>
          <w:i/>
          <w:iCs/>
          <w:szCs w:val="24"/>
        </w:rPr>
        <w:t>Cybersecurity strives to ensure the attainment and maintenance of the security properties of the organization and user</w:t>
      </w:r>
      <w:r>
        <w:rPr>
          <w:i/>
          <w:iCs/>
          <w:szCs w:val="24"/>
        </w:rPr>
        <w:t>’</w:t>
      </w:r>
      <w:r w:rsidRPr="00454B30">
        <w:rPr>
          <w:i/>
          <w:iCs/>
          <w:szCs w:val="24"/>
        </w:rPr>
        <w:t>s assets against relevant security risks in the cyber environment. The general security objectives comprise the following:</w:t>
      </w:r>
    </w:p>
    <w:p w14:paraId="57CA262F" w14:textId="77777777" w:rsidR="005A429E" w:rsidRPr="00730E4C" w:rsidRDefault="005A429E" w:rsidP="00AA7649">
      <w:pPr>
        <w:pStyle w:val="FootnoteText"/>
        <w:ind w:left="142" w:hanging="142"/>
        <w:rPr>
          <w:i/>
          <w:iCs/>
          <w:szCs w:val="24"/>
        </w:rPr>
      </w:pPr>
      <w:r>
        <w:rPr>
          <w:i/>
          <w:iCs/>
          <w:szCs w:val="24"/>
        </w:rPr>
        <w:tab/>
        <w:t>•</w:t>
      </w:r>
      <w:r>
        <w:rPr>
          <w:i/>
          <w:iCs/>
          <w:szCs w:val="24"/>
        </w:rPr>
        <w:tab/>
      </w:r>
      <w:r w:rsidRPr="00454B30">
        <w:rPr>
          <w:i/>
          <w:iCs/>
          <w:szCs w:val="24"/>
        </w:rPr>
        <w:t>Availability</w:t>
      </w:r>
    </w:p>
    <w:p w14:paraId="0127BF81" w14:textId="77777777" w:rsidR="005A429E" w:rsidRPr="00730E4C" w:rsidRDefault="005A429E" w:rsidP="00AA7649">
      <w:pPr>
        <w:pStyle w:val="FootnoteText"/>
        <w:ind w:left="142" w:hanging="142"/>
        <w:rPr>
          <w:i/>
          <w:iCs/>
          <w:szCs w:val="24"/>
        </w:rPr>
      </w:pPr>
      <w:r>
        <w:rPr>
          <w:i/>
          <w:iCs/>
          <w:szCs w:val="24"/>
        </w:rPr>
        <w:tab/>
        <w:t>•</w:t>
      </w:r>
      <w:r>
        <w:rPr>
          <w:i/>
          <w:iCs/>
          <w:szCs w:val="24"/>
        </w:rPr>
        <w:tab/>
      </w:r>
      <w:r w:rsidRPr="00454B30">
        <w:rPr>
          <w:i/>
          <w:iCs/>
          <w:szCs w:val="24"/>
        </w:rPr>
        <w:t>Integrity, which may include authenticity and non-repudiation</w:t>
      </w:r>
    </w:p>
    <w:p w14:paraId="6CEA76F3" w14:textId="77777777" w:rsidR="005A429E" w:rsidRDefault="005A429E" w:rsidP="00AA7649">
      <w:pPr>
        <w:pStyle w:val="FootnoteText"/>
        <w:ind w:left="142" w:hanging="142"/>
      </w:pPr>
      <w:r>
        <w:rPr>
          <w:i/>
          <w:iCs/>
          <w:szCs w:val="24"/>
        </w:rPr>
        <w:tab/>
        <w:t>•</w:t>
      </w:r>
      <w:r>
        <w:rPr>
          <w:i/>
          <w:iCs/>
          <w:szCs w:val="24"/>
        </w:rPr>
        <w:tab/>
      </w:r>
      <w:r w:rsidRPr="00454B30">
        <w:rPr>
          <w:i/>
          <w:iCs/>
          <w:szCs w:val="24"/>
        </w:rPr>
        <w:t>Confidentiality</w:t>
      </w:r>
      <w:r>
        <w:rPr>
          <w:szCs w:val="24"/>
        </w:rPr>
        <w:t>"</w:t>
      </w:r>
    </w:p>
  </w:footnote>
  <w:footnote w:id="16">
    <w:p w14:paraId="71F3440B" w14:textId="77777777" w:rsidR="005A429E" w:rsidRPr="000B601E" w:rsidRDefault="005A429E" w:rsidP="00C312F7">
      <w:pPr>
        <w:pStyle w:val="FootnoteText"/>
        <w:rPr>
          <w:lang w:val="en-US"/>
        </w:rPr>
      </w:pPr>
      <w:r>
        <w:rPr>
          <w:rStyle w:val="FootnoteReference"/>
        </w:rPr>
        <w:t>2</w:t>
      </w:r>
      <w:r>
        <w:t xml:space="preserve"> </w:t>
      </w:r>
      <w:r>
        <w:tab/>
        <w:t>T</w:t>
      </w:r>
      <w:r>
        <w:rPr>
          <w:lang w:val="en-US"/>
        </w:rPr>
        <w:t>o be formalized by the relevant regional meetings.</w:t>
      </w:r>
    </w:p>
  </w:footnote>
  <w:footnote w:id="17">
    <w:p w14:paraId="4ACAE4CE" w14:textId="77777777" w:rsidR="005A429E" w:rsidRPr="00390086" w:rsidRDefault="005A429E" w:rsidP="00E74D69">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18">
    <w:p w14:paraId="19FEA60A" w14:textId="77777777" w:rsidR="005A429E" w:rsidRPr="00390086" w:rsidRDefault="005A429E" w:rsidP="00A9745F">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19">
    <w:p w14:paraId="1B476FA5" w14:textId="77777777" w:rsidR="005A429E" w:rsidRPr="0030511E" w:rsidRDefault="005A429E" w:rsidP="0047150A">
      <w:pPr>
        <w:pStyle w:val="FootnoteText"/>
        <w:rPr>
          <w:lang w:val="en-US"/>
        </w:rPr>
      </w:pPr>
      <w:r>
        <w:rPr>
          <w:rStyle w:val="FootnoteReference"/>
        </w:rPr>
        <w:t>1</w:t>
      </w:r>
      <w:r>
        <w:t xml:space="preserve"> </w:t>
      </w:r>
      <w:r>
        <w:rPr>
          <w:lang w:val="en-US"/>
        </w:rPr>
        <w:tab/>
      </w:r>
      <w:r>
        <w:t xml:space="preserve">These include </w:t>
      </w:r>
      <w:r w:rsidRPr="00E845D4">
        <w:t>the</w:t>
      </w:r>
      <w:r>
        <w:t xml:space="preserve"> least developed countries, small island developing states, landlocked developing countries and countries with economies in transition.</w:t>
      </w:r>
    </w:p>
  </w:footnote>
  <w:footnote w:id="20">
    <w:p w14:paraId="5675AEA3" w14:textId="77777777" w:rsidR="005A429E" w:rsidRPr="0016033A" w:rsidRDefault="005A429E" w:rsidP="00AD22EF">
      <w:pPr>
        <w:pStyle w:val="FootnoteText"/>
      </w:pPr>
      <w:r w:rsidRPr="0016033A">
        <w:rPr>
          <w:rStyle w:val="FootnoteReference"/>
        </w:rPr>
        <w:t>4</w:t>
      </w:r>
      <w:r w:rsidRPr="0016033A">
        <w:tab/>
      </w:r>
      <w:r w:rsidRPr="0016033A">
        <w:rPr>
          <w:rStyle w:val="7"/>
          <w:rFonts w:eastAsiaTheme="minorHAnsi"/>
          <w:sz w:val="24"/>
        </w:rPr>
        <w:t>Taking into account Resolution 1386 of the Council 2017.</w:t>
      </w:r>
    </w:p>
  </w:footnote>
  <w:footnote w:id="21">
    <w:p w14:paraId="7C058E51" w14:textId="77777777" w:rsidR="005A429E" w:rsidRPr="00A95408" w:rsidRDefault="005A429E" w:rsidP="00FA3845">
      <w:pPr>
        <w:pStyle w:val="FootnoteText"/>
        <w:rPr>
          <w:lang w:val="en-US"/>
        </w:rPr>
      </w:pPr>
      <w:r>
        <w:rPr>
          <w:rStyle w:val="FootnoteReference"/>
        </w:rPr>
        <w:t>2</w:t>
      </w:r>
      <w:r>
        <w:t xml:space="preserve"> </w:t>
      </w:r>
      <w:r>
        <w:rPr>
          <w:lang w:val="en-US"/>
        </w:rPr>
        <w:tab/>
      </w:r>
      <w:r w:rsidRPr="00A95408">
        <w:t>These include the ITU-R Handbooks on National Spectrum Management, Computer Aided Techniques for Spectrum Management, and Spectrum Monitoring.</w:t>
      </w:r>
    </w:p>
  </w:footnote>
  <w:footnote w:id="22">
    <w:p w14:paraId="7C31A698" w14:textId="77777777" w:rsidR="005A429E" w:rsidRPr="00A95408" w:rsidRDefault="005A429E" w:rsidP="00FA3845">
      <w:pPr>
        <w:pStyle w:val="FootnoteText"/>
        <w:rPr>
          <w:lang w:val="en-US"/>
        </w:rPr>
      </w:pPr>
      <w:r>
        <w:rPr>
          <w:rStyle w:val="FootnoteReference"/>
        </w:rPr>
        <w:t>3</w:t>
      </w:r>
      <w:r>
        <w:t xml:space="preserve"> </w:t>
      </w:r>
      <w:r>
        <w:tab/>
      </w:r>
      <w:r w:rsidRPr="00A95408">
        <w:t xml:space="preserve">The term </w:t>
      </w:r>
      <w:r>
        <w:t>"</w:t>
      </w:r>
      <w:r w:rsidRPr="00A95408">
        <w:t>market price</w:t>
      </w:r>
      <w:r>
        <w:t>"</w:t>
      </w:r>
      <w:r w:rsidRPr="00A95408">
        <w:t xml:space="preserve"> is defined as the price determined by the Sales and Marketing Division, which is established to maximize revenues without being so high as to discourage sales.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170CE" w14:textId="090E4D7F" w:rsidR="005A429E" w:rsidRPr="00380F32" w:rsidRDefault="005A429E" w:rsidP="00793658">
    <w:pPr>
      <w:pStyle w:val="Header"/>
      <w:jc w:val="center"/>
      <w:rPr>
        <w:sz w:val="18"/>
      </w:rPr>
    </w:pPr>
    <w:r w:rsidRPr="00380F32">
      <w:rPr>
        <w:sz w:val="18"/>
      </w:rPr>
      <w:t xml:space="preserve">- </w:t>
    </w:r>
    <w:r w:rsidRPr="00380F32">
      <w:rPr>
        <w:sz w:val="18"/>
      </w:rPr>
      <w:fldChar w:fldCharType="begin"/>
    </w:r>
    <w:r w:rsidRPr="00380F32">
      <w:rPr>
        <w:sz w:val="18"/>
      </w:rPr>
      <w:instrText xml:space="preserve"> PAGE  \* MERGEFORMAT </w:instrText>
    </w:r>
    <w:r w:rsidRPr="00380F32">
      <w:rPr>
        <w:sz w:val="18"/>
      </w:rPr>
      <w:fldChar w:fldCharType="separate"/>
    </w:r>
    <w:r w:rsidR="00DD025B">
      <w:rPr>
        <w:noProof/>
        <w:sz w:val="18"/>
      </w:rPr>
      <w:t>2</w:t>
    </w:r>
    <w:r w:rsidRPr="00380F32">
      <w:rPr>
        <w:sz w:val="18"/>
      </w:rPr>
      <w:fldChar w:fldCharType="end"/>
    </w:r>
    <w:r w:rsidRPr="00380F32">
      <w:rPr>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A6C42" w14:textId="6D40EBE3" w:rsidR="005A429E" w:rsidRDefault="005A429E"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sidR="00DD025B">
      <w:rPr>
        <w:rFonts w:eastAsia="Times New Roman"/>
        <w:noProof/>
        <w:sz w:val="18"/>
        <w:szCs w:val="20"/>
        <w:lang w:eastAsia="en-US"/>
      </w:rPr>
      <w:t>129</w:t>
    </w:r>
    <w:r w:rsidRPr="0013634D">
      <w:rPr>
        <w:rFonts w:eastAsia="Times New Roman"/>
        <w:sz w:val="18"/>
        <w:szCs w:val="20"/>
        <w:lang w:eastAsia="en-US"/>
      </w:rPr>
      <w:fldChar w:fldCharType="end"/>
    </w:r>
  </w:p>
  <w:p w14:paraId="20019889" w14:textId="0DD598C7" w:rsidR="005A429E" w:rsidRPr="0013634D" w:rsidRDefault="005A429E"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816B" w14:textId="77777777" w:rsidR="005A429E" w:rsidRPr="0013634D" w:rsidRDefault="005A429E"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Pr>
        <w:rFonts w:eastAsia="Times New Roman"/>
        <w:noProof/>
        <w:sz w:val="18"/>
        <w:szCs w:val="20"/>
        <w:lang w:eastAsia="en-US"/>
      </w:rPr>
      <w:t>1</w:t>
    </w:r>
    <w:r w:rsidRPr="0013634D">
      <w:rPr>
        <w:rFonts w:eastAsia="Times New Roman"/>
        <w:sz w:val="18"/>
        <w:szCs w:val="20"/>
        <w:lang w:eastAsia="en-US"/>
      </w:rPr>
      <w:fldChar w:fldCharType="end"/>
    </w:r>
  </w:p>
  <w:p w14:paraId="005AAAF6" w14:textId="315D3E9D" w:rsidR="005A429E" w:rsidRPr="0013634D" w:rsidRDefault="005A429E"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5A429E" w:rsidRDefault="005A429E">
    <w:pPr>
      <w:pStyle w:val="Header"/>
    </w:pPr>
  </w:p>
  <w:p w14:paraId="4BE0CCC3" w14:textId="77777777" w:rsidR="005A429E" w:rsidRDefault="005A429E"/>
  <w:p w14:paraId="2FD6B29A" w14:textId="77777777" w:rsidR="005A429E" w:rsidRDefault="005A429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152FB"/>
    <w:multiLevelType w:val="hybridMultilevel"/>
    <w:tmpl w:val="367A78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C413C30"/>
    <w:multiLevelType w:val="hybridMultilevel"/>
    <w:tmpl w:val="5AFE5A3C"/>
    <w:lvl w:ilvl="0" w:tplc="0896B516">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3" w15:restartNumberingAfterBreak="0">
    <w:nsid w:val="1A957957"/>
    <w:multiLevelType w:val="hybridMultilevel"/>
    <w:tmpl w:val="8B4E9D3C"/>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 w15:restartNumberingAfterBreak="0">
    <w:nsid w:val="1C255CCD"/>
    <w:multiLevelType w:val="hybridMultilevel"/>
    <w:tmpl w:val="C51C44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FBF0A6E"/>
    <w:multiLevelType w:val="multilevel"/>
    <w:tmpl w:val="A0A2FC5C"/>
    <w:lvl w:ilvl="0">
      <w:start w:val="1"/>
      <w:numFmt w:val="bullet"/>
      <w:lvlText w:val="–"/>
      <w:lvlJc w:val="left"/>
      <w:pPr>
        <w:ind w:left="1083" w:hanging="360"/>
      </w:pPr>
      <w:rPr>
        <w:rFonts w:ascii="Times New Roman" w:hAnsi="Times New Roman" w:cs="Times New Roman" w:hint="default"/>
        <w:color w:val="auto"/>
      </w:rPr>
    </w:lvl>
    <w:lvl w:ilvl="1">
      <w:start w:val="1"/>
      <w:numFmt w:val="bullet"/>
      <w:lvlText w:val="o"/>
      <w:lvlJc w:val="left"/>
      <w:pPr>
        <w:ind w:left="1803" w:hanging="360"/>
      </w:pPr>
      <w:rPr>
        <w:rFonts w:ascii="Courier New" w:hAnsi="Courier New" w:cs="Courier New" w:hint="default"/>
      </w:rPr>
    </w:lvl>
    <w:lvl w:ilvl="2">
      <w:start w:val="1"/>
      <w:numFmt w:val="bullet"/>
      <w:lvlText w:val="o"/>
      <w:lvlJc w:val="left"/>
      <w:pPr>
        <w:ind w:left="2523" w:hanging="360"/>
      </w:pPr>
      <w:rPr>
        <w:rFonts w:ascii="Courier New" w:hAnsi="Courier New" w:cs="Courier New" w:hint="default"/>
      </w:rPr>
    </w:lvl>
    <w:lvl w:ilvl="3">
      <w:start w:val="1"/>
      <w:numFmt w:val="bullet"/>
      <w:lvlText w:val=""/>
      <w:lvlJc w:val="left"/>
      <w:pPr>
        <w:ind w:left="3243" w:hanging="360"/>
      </w:pPr>
      <w:rPr>
        <w:rFonts w:ascii="Symbol" w:hAnsi="Symbol" w:hint="default"/>
      </w:rPr>
    </w:lvl>
    <w:lvl w:ilvl="4">
      <w:start w:val="1"/>
      <w:numFmt w:val="bullet"/>
      <w:lvlText w:val="o"/>
      <w:lvlJc w:val="left"/>
      <w:pPr>
        <w:ind w:left="3963" w:hanging="360"/>
      </w:pPr>
      <w:rPr>
        <w:rFonts w:ascii="Courier New" w:hAnsi="Courier New" w:cs="Courier New" w:hint="default"/>
      </w:rPr>
    </w:lvl>
    <w:lvl w:ilvl="5">
      <w:start w:val="1"/>
      <w:numFmt w:val="bullet"/>
      <w:lvlText w:val=""/>
      <w:lvlJc w:val="left"/>
      <w:pPr>
        <w:ind w:left="4683" w:hanging="360"/>
      </w:pPr>
      <w:rPr>
        <w:rFonts w:ascii="Wingdings" w:hAnsi="Wingdings" w:hint="default"/>
      </w:rPr>
    </w:lvl>
    <w:lvl w:ilvl="6">
      <w:start w:val="1"/>
      <w:numFmt w:val="bullet"/>
      <w:lvlText w:val=""/>
      <w:lvlJc w:val="left"/>
      <w:pPr>
        <w:ind w:left="5403" w:hanging="360"/>
      </w:pPr>
      <w:rPr>
        <w:rFonts w:ascii="Symbol" w:hAnsi="Symbol" w:hint="default"/>
      </w:rPr>
    </w:lvl>
    <w:lvl w:ilvl="7">
      <w:start w:val="1"/>
      <w:numFmt w:val="bullet"/>
      <w:lvlText w:val="o"/>
      <w:lvlJc w:val="left"/>
      <w:pPr>
        <w:ind w:left="6123" w:hanging="360"/>
      </w:pPr>
      <w:rPr>
        <w:rFonts w:ascii="Courier New" w:hAnsi="Courier New" w:cs="Courier New" w:hint="default"/>
      </w:rPr>
    </w:lvl>
    <w:lvl w:ilvl="8">
      <w:start w:val="1"/>
      <w:numFmt w:val="bullet"/>
      <w:lvlText w:val=""/>
      <w:lvlJc w:val="left"/>
      <w:pPr>
        <w:ind w:left="6843" w:hanging="360"/>
      </w:pPr>
      <w:rPr>
        <w:rFonts w:ascii="Wingdings" w:hAnsi="Wingdings" w:hint="default"/>
      </w:rPr>
    </w:lvl>
  </w:abstractNum>
  <w:abstractNum w:abstractNumId="6"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7" w15:restartNumberingAfterBreak="0">
    <w:nsid w:val="31D57F9D"/>
    <w:multiLevelType w:val="hybridMultilevel"/>
    <w:tmpl w:val="E88C0952"/>
    <w:lvl w:ilvl="0" w:tplc="0896B516">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E65907"/>
    <w:multiLevelType w:val="hybridMultilevel"/>
    <w:tmpl w:val="9F642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767515"/>
    <w:multiLevelType w:val="hybridMultilevel"/>
    <w:tmpl w:val="222EA462"/>
    <w:lvl w:ilvl="0" w:tplc="CB0AB3D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1C57FE"/>
    <w:multiLevelType w:val="hybridMultilevel"/>
    <w:tmpl w:val="E77E87AC"/>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1" w15:restartNumberingAfterBreak="0">
    <w:nsid w:val="4BB770D7"/>
    <w:multiLevelType w:val="hybridMultilevel"/>
    <w:tmpl w:val="8884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DE2C6B"/>
    <w:multiLevelType w:val="hybridMultilevel"/>
    <w:tmpl w:val="46360F78"/>
    <w:lvl w:ilvl="0" w:tplc="0896B51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5408CD"/>
    <w:multiLevelType w:val="hybridMultilevel"/>
    <w:tmpl w:val="C8E220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9D76894"/>
    <w:multiLevelType w:val="hybridMultilevel"/>
    <w:tmpl w:val="92B0060E"/>
    <w:lvl w:ilvl="0" w:tplc="04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C20B69"/>
    <w:multiLevelType w:val="hybridMultilevel"/>
    <w:tmpl w:val="A8E62794"/>
    <w:lvl w:ilvl="0" w:tplc="08090001">
      <w:start w:val="1"/>
      <w:numFmt w:val="bullet"/>
      <w:lvlText w:val=""/>
      <w:lvlJc w:val="left"/>
      <w:pPr>
        <w:ind w:left="360" w:hanging="360"/>
      </w:pPr>
      <w:rPr>
        <w:rFonts w:ascii="Symbol" w:hAnsi="Symbol" w:hint="default"/>
      </w:rPr>
    </w:lvl>
    <w:lvl w:ilvl="1" w:tplc="B9E894FC">
      <w:numFmt w:val="bullet"/>
      <w:lvlText w:val="•"/>
      <w:lvlJc w:val="left"/>
      <w:pPr>
        <w:ind w:left="1290" w:hanging="570"/>
      </w:pPr>
      <w:rPr>
        <w:rFonts w:ascii="Times New Roman" w:eastAsia="Arial Unicode MS"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4100A34"/>
    <w:multiLevelType w:val="hybridMultilevel"/>
    <w:tmpl w:val="D25E12E0"/>
    <w:lvl w:ilvl="0" w:tplc="08090001">
      <w:start w:val="1"/>
      <w:numFmt w:val="bullet"/>
      <w:lvlText w:val=""/>
      <w:lvlJc w:val="left"/>
      <w:pPr>
        <w:ind w:left="720" w:hanging="360"/>
      </w:pPr>
      <w:rPr>
        <w:rFonts w:ascii="Symbol" w:hAnsi="Symbol" w:hint="default"/>
      </w:rPr>
    </w:lvl>
    <w:lvl w:ilvl="1" w:tplc="947AA47C">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C30175"/>
    <w:multiLevelType w:val="hybridMultilevel"/>
    <w:tmpl w:val="136672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E912AD"/>
    <w:multiLevelType w:val="hybridMultilevel"/>
    <w:tmpl w:val="57561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F84890"/>
    <w:multiLevelType w:val="hybridMultilevel"/>
    <w:tmpl w:val="0B262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startOverride w:val="1"/>
    </w:lvlOverride>
  </w:num>
  <w:num w:numId="3">
    <w:abstractNumId w:val="20"/>
  </w:num>
  <w:num w:numId="4">
    <w:abstractNumId w:val="6"/>
  </w:num>
  <w:num w:numId="5">
    <w:abstractNumId w:val="15"/>
  </w:num>
  <w:num w:numId="6">
    <w:abstractNumId w:val="4"/>
  </w:num>
  <w:num w:numId="7">
    <w:abstractNumId w:val="13"/>
  </w:num>
  <w:num w:numId="8">
    <w:abstractNumId w:val="8"/>
  </w:num>
  <w:num w:numId="9">
    <w:abstractNumId w:val="12"/>
  </w:num>
  <w:num w:numId="10">
    <w:abstractNumId w:val="7"/>
  </w:num>
  <w:num w:numId="11">
    <w:abstractNumId w:val="1"/>
  </w:num>
  <w:num w:numId="12">
    <w:abstractNumId w:val="9"/>
  </w:num>
  <w:num w:numId="13">
    <w:abstractNumId w:val="5"/>
  </w:num>
  <w:num w:numId="14">
    <w:abstractNumId w:val="0"/>
  </w:num>
  <w:num w:numId="15">
    <w:abstractNumId w:val="10"/>
  </w:num>
  <w:num w:numId="16">
    <w:abstractNumId w:val="14"/>
  </w:num>
  <w:num w:numId="17">
    <w:abstractNumId w:val="3"/>
  </w:num>
  <w:num w:numId="18">
    <w:abstractNumId w:val="11"/>
  </w:num>
  <w:num w:numId="19">
    <w:abstractNumId w:val="18"/>
  </w:num>
  <w:num w:numId="20">
    <w:abstractNumId w:val="17"/>
  </w:num>
  <w:num w:numId="21">
    <w:abstractNumId w:val="16"/>
  </w:num>
  <w:num w:numId="2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FR" w:vendorID="64" w:dllVersion="131078" w:nlCheck="1" w:checkStyle="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rawingGridHorizontalSpacing w:val="120"/>
  <w:displayHorizontalDrawingGridEvery w:val="2"/>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2DB"/>
    <w:rsid w:val="0000074A"/>
    <w:rsid w:val="00000AF1"/>
    <w:rsid w:val="00000D5A"/>
    <w:rsid w:val="00001152"/>
    <w:rsid w:val="000012DA"/>
    <w:rsid w:val="00001306"/>
    <w:rsid w:val="0000143E"/>
    <w:rsid w:val="000015F7"/>
    <w:rsid w:val="0000160D"/>
    <w:rsid w:val="000018B6"/>
    <w:rsid w:val="00001DD8"/>
    <w:rsid w:val="0000272D"/>
    <w:rsid w:val="00003134"/>
    <w:rsid w:val="0000356D"/>
    <w:rsid w:val="00003C2C"/>
    <w:rsid w:val="00004347"/>
    <w:rsid w:val="00004508"/>
    <w:rsid w:val="0000456B"/>
    <w:rsid w:val="00004679"/>
    <w:rsid w:val="0000479C"/>
    <w:rsid w:val="00004F77"/>
    <w:rsid w:val="00005338"/>
    <w:rsid w:val="00005792"/>
    <w:rsid w:val="00005C73"/>
    <w:rsid w:val="00006242"/>
    <w:rsid w:val="00006A90"/>
    <w:rsid w:val="00006AC4"/>
    <w:rsid w:val="00006D4E"/>
    <w:rsid w:val="00006F6B"/>
    <w:rsid w:val="00007048"/>
    <w:rsid w:val="00007542"/>
    <w:rsid w:val="00007AFA"/>
    <w:rsid w:val="00010201"/>
    <w:rsid w:val="00010225"/>
    <w:rsid w:val="0001068B"/>
    <w:rsid w:val="000108D1"/>
    <w:rsid w:val="00010A7A"/>
    <w:rsid w:val="0001100F"/>
    <w:rsid w:val="0001106E"/>
    <w:rsid w:val="000110D1"/>
    <w:rsid w:val="0001214E"/>
    <w:rsid w:val="00012653"/>
    <w:rsid w:val="00012C1B"/>
    <w:rsid w:val="00013056"/>
    <w:rsid w:val="0001306D"/>
    <w:rsid w:val="000135C9"/>
    <w:rsid w:val="000135D1"/>
    <w:rsid w:val="000137B6"/>
    <w:rsid w:val="0001418E"/>
    <w:rsid w:val="00014232"/>
    <w:rsid w:val="0001438B"/>
    <w:rsid w:val="0001457B"/>
    <w:rsid w:val="000148CD"/>
    <w:rsid w:val="00014B17"/>
    <w:rsid w:val="00014C0E"/>
    <w:rsid w:val="00014C34"/>
    <w:rsid w:val="000153CE"/>
    <w:rsid w:val="00015E52"/>
    <w:rsid w:val="0001699C"/>
    <w:rsid w:val="000169D6"/>
    <w:rsid w:val="00016A39"/>
    <w:rsid w:val="000173AD"/>
    <w:rsid w:val="000179F8"/>
    <w:rsid w:val="00017B4C"/>
    <w:rsid w:val="000200B6"/>
    <w:rsid w:val="00020395"/>
    <w:rsid w:val="00020C5A"/>
    <w:rsid w:val="00020F2E"/>
    <w:rsid w:val="000212C5"/>
    <w:rsid w:val="00021473"/>
    <w:rsid w:val="00021D18"/>
    <w:rsid w:val="00022012"/>
    <w:rsid w:val="0002253D"/>
    <w:rsid w:val="000232B5"/>
    <w:rsid w:val="0002395D"/>
    <w:rsid w:val="000239D9"/>
    <w:rsid w:val="00023C3A"/>
    <w:rsid w:val="00023DFF"/>
    <w:rsid w:val="0002409C"/>
    <w:rsid w:val="000243B3"/>
    <w:rsid w:val="00024A4C"/>
    <w:rsid w:val="00024C5E"/>
    <w:rsid w:val="00024C6F"/>
    <w:rsid w:val="00024DB2"/>
    <w:rsid w:val="00025682"/>
    <w:rsid w:val="00025EC9"/>
    <w:rsid w:val="000261E8"/>
    <w:rsid w:val="00026745"/>
    <w:rsid w:val="000269A3"/>
    <w:rsid w:val="00026F2D"/>
    <w:rsid w:val="000274BD"/>
    <w:rsid w:val="00027663"/>
    <w:rsid w:val="0002766B"/>
    <w:rsid w:val="000277DB"/>
    <w:rsid w:val="00027CFA"/>
    <w:rsid w:val="00027F2D"/>
    <w:rsid w:val="00030608"/>
    <w:rsid w:val="00030AB0"/>
    <w:rsid w:val="00030D96"/>
    <w:rsid w:val="000310D7"/>
    <w:rsid w:val="0003116D"/>
    <w:rsid w:val="00031AA3"/>
    <w:rsid w:val="00031EA3"/>
    <w:rsid w:val="0003249D"/>
    <w:rsid w:val="00032551"/>
    <w:rsid w:val="00032552"/>
    <w:rsid w:val="00032631"/>
    <w:rsid w:val="000326C0"/>
    <w:rsid w:val="00032A00"/>
    <w:rsid w:val="00032BB9"/>
    <w:rsid w:val="000338F9"/>
    <w:rsid w:val="000339FC"/>
    <w:rsid w:val="00033C7F"/>
    <w:rsid w:val="00033C92"/>
    <w:rsid w:val="00033E50"/>
    <w:rsid w:val="00033FFD"/>
    <w:rsid w:val="000351DB"/>
    <w:rsid w:val="00035B77"/>
    <w:rsid w:val="00035FD8"/>
    <w:rsid w:val="00036181"/>
    <w:rsid w:val="0003624A"/>
    <w:rsid w:val="0003634F"/>
    <w:rsid w:val="000368E8"/>
    <w:rsid w:val="0003692B"/>
    <w:rsid w:val="00037110"/>
    <w:rsid w:val="0003716E"/>
    <w:rsid w:val="000371DA"/>
    <w:rsid w:val="000378A5"/>
    <w:rsid w:val="00037AA6"/>
    <w:rsid w:val="00037DA9"/>
    <w:rsid w:val="0004060E"/>
    <w:rsid w:val="000407C9"/>
    <w:rsid w:val="00040C9E"/>
    <w:rsid w:val="00040D2A"/>
    <w:rsid w:val="00040F56"/>
    <w:rsid w:val="00041B97"/>
    <w:rsid w:val="000422DC"/>
    <w:rsid w:val="0004236C"/>
    <w:rsid w:val="00042597"/>
    <w:rsid w:val="000427D3"/>
    <w:rsid w:val="00042B85"/>
    <w:rsid w:val="00042BE0"/>
    <w:rsid w:val="00043514"/>
    <w:rsid w:val="00043C5A"/>
    <w:rsid w:val="0004463E"/>
    <w:rsid w:val="000446AA"/>
    <w:rsid w:val="00044D69"/>
    <w:rsid w:val="00045A78"/>
    <w:rsid w:val="00045DD8"/>
    <w:rsid w:val="00045E56"/>
    <w:rsid w:val="00045EFF"/>
    <w:rsid w:val="00045FB4"/>
    <w:rsid w:val="000466D8"/>
    <w:rsid w:val="00046AF6"/>
    <w:rsid w:val="00046CA0"/>
    <w:rsid w:val="00046CED"/>
    <w:rsid w:val="0004727D"/>
    <w:rsid w:val="00047367"/>
    <w:rsid w:val="00047398"/>
    <w:rsid w:val="00047567"/>
    <w:rsid w:val="000476C9"/>
    <w:rsid w:val="00047CCC"/>
    <w:rsid w:val="00050095"/>
    <w:rsid w:val="00050AB8"/>
    <w:rsid w:val="00050B32"/>
    <w:rsid w:val="00050D63"/>
    <w:rsid w:val="000526C6"/>
    <w:rsid w:val="00052934"/>
    <w:rsid w:val="00052C51"/>
    <w:rsid w:val="00052EBF"/>
    <w:rsid w:val="000530A2"/>
    <w:rsid w:val="0005380E"/>
    <w:rsid w:val="00053D21"/>
    <w:rsid w:val="00055111"/>
    <w:rsid w:val="000564CD"/>
    <w:rsid w:val="00056ABB"/>
    <w:rsid w:val="00056DD3"/>
    <w:rsid w:val="00057009"/>
    <w:rsid w:val="0005712A"/>
    <w:rsid w:val="0005765C"/>
    <w:rsid w:val="00057CB9"/>
    <w:rsid w:val="000601B3"/>
    <w:rsid w:val="00060480"/>
    <w:rsid w:val="00060C5E"/>
    <w:rsid w:val="00060F98"/>
    <w:rsid w:val="00061288"/>
    <w:rsid w:val="000613B8"/>
    <w:rsid w:val="00061DDC"/>
    <w:rsid w:val="0006366E"/>
    <w:rsid w:val="00063D10"/>
    <w:rsid w:val="00063DB0"/>
    <w:rsid w:val="00064C63"/>
    <w:rsid w:val="000653BF"/>
    <w:rsid w:val="00065DBE"/>
    <w:rsid w:val="00065DBF"/>
    <w:rsid w:val="00065EF0"/>
    <w:rsid w:val="000661CE"/>
    <w:rsid w:val="000669B9"/>
    <w:rsid w:val="00066DC5"/>
    <w:rsid w:val="00066FE2"/>
    <w:rsid w:val="000674CF"/>
    <w:rsid w:val="000676A4"/>
    <w:rsid w:val="000676B1"/>
    <w:rsid w:val="000677F2"/>
    <w:rsid w:val="00067EF7"/>
    <w:rsid w:val="000703EB"/>
    <w:rsid w:val="00070B6D"/>
    <w:rsid w:val="00071954"/>
    <w:rsid w:val="00071AF7"/>
    <w:rsid w:val="00071BDA"/>
    <w:rsid w:val="0007270F"/>
    <w:rsid w:val="00072AA6"/>
    <w:rsid w:val="00072AD4"/>
    <w:rsid w:val="000737E5"/>
    <w:rsid w:val="000739B4"/>
    <w:rsid w:val="00073A61"/>
    <w:rsid w:val="00073E08"/>
    <w:rsid w:val="000744A9"/>
    <w:rsid w:val="00074797"/>
    <w:rsid w:val="00074A7A"/>
    <w:rsid w:val="00074CAA"/>
    <w:rsid w:val="00074D3F"/>
    <w:rsid w:val="00075168"/>
    <w:rsid w:val="00075240"/>
    <w:rsid w:val="000753DE"/>
    <w:rsid w:val="00075B8B"/>
    <w:rsid w:val="00075E1F"/>
    <w:rsid w:val="00075FFD"/>
    <w:rsid w:val="0007618D"/>
    <w:rsid w:val="000766CC"/>
    <w:rsid w:val="0007698B"/>
    <w:rsid w:val="000771FA"/>
    <w:rsid w:val="00077319"/>
    <w:rsid w:val="00077568"/>
    <w:rsid w:val="00077591"/>
    <w:rsid w:val="00077B3C"/>
    <w:rsid w:val="00077B7F"/>
    <w:rsid w:val="00077E23"/>
    <w:rsid w:val="00077F12"/>
    <w:rsid w:val="000800B9"/>
    <w:rsid w:val="000801A1"/>
    <w:rsid w:val="00080297"/>
    <w:rsid w:val="000802CF"/>
    <w:rsid w:val="00080405"/>
    <w:rsid w:val="000807FE"/>
    <w:rsid w:val="00080D7D"/>
    <w:rsid w:val="000810AE"/>
    <w:rsid w:val="00081243"/>
    <w:rsid w:val="0008129D"/>
    <w:rsid w:val="000817C8"/>
    <w:rsid w:val="00082225"/>
    <w:rsid w:val="0008229F"/>
    <w:rsid w:val="00082600"/>
    <w:rsid w:val="000827E8"/>
    <w:rsid w:val="0008309C"/>
    <w:rsid w:val="000834BF"/>
    <w:rsid w:val="00083AF5"/>
    <w:rsid w:val="00084567"/>
    <w:rsid w:val="00084A32"/>
    <w:rsid w:val="00084AA8"/>
    <w:rsid w:val="00084ED2"/>
    <w:rsid w:val="00085738"/>
    <w:rsid w:val="00085F7E"/>
    <w:rsid w:val="0008664A"/>
    <w:rsid w:val="00086742"/>
    <w:rsid w:val="00086CBA"/>
    <w:rsid w:val="00086DE6"/>
    <w:rsid w:val="00086EDC"/>
    <w:rsid w:val="00087048"/>
    <w:rsid w:val="000872BA"/>
    <w:rsid w:val="0008736D"/>
    <w:rsid w:val="000906F8"/>
    <w:rsid w:val="00090EA9"/>
    <w:rsid w:val="00091191"/>
    <w:rsid w:val="0009155A"/>
    <w:rsid w:val="0009193F"/>
    <w:rsid w:val="00091AC9"/>
    <w:rsid w:val="00091DB0"/>
    <w:rsid w:val="00091DF4"/>
    <w:rsid w:val="00091E61"/>
    <w:rsid w:val="00091F09"/>
    <w:rsid w:val="0009208A"/>
    <w:rsid w:val="00092294"/>
    <w:rsid w:val="0009302D"/>
    <w:rsid w:val="000933B2"/>
    <w:rsid w:val="0009384F"/>
    <w:rsid w:val="00093C20"/>
    <w:rsid w:val="00093C45"/>
    <w:rsid w:val="000940F0"/>
    <w:rsid w:val="0009441E"/>
    <w:rsid w:val="0009558B"/>
    <w:rsid w:val="00095B90"/>
    <w:rsid w:val="00096076"/>
    <w:rsid w:val="000964EA"/>
    <w:rsid w:val="000970B5"/>
    <w:rsid w:val="000A0048"/>
    <w:rsid w:val="000A037D"/>
    <w:rsid w:val="000A086D"/>
    <w:rsid w:val="000A0CA6"/>
    <w:rsid w:val="000A0CEA"/>
    <w:rsid w:val="000A0D3D"/>
    <w:rsid w:val="000A14AE"/>
    <w:rsid w:val="000A1A13"/>
    <w:rsid w:val="000A1A18"/>
    <w:rsid w:val="000A1C9F"/>
    <w:rsid w:val="000A1F3E"/>
    <w:rsid w:val="000A1F64"/>
    <w:rsid w:val="000A23C6"/>
    <w:rsid w:val="000A283D"/>
    <w:rsid w:val="000A307B"/>
    <w:rsid w:val="000A3185"/>
    <w:rsid w:val="000A3D57"/>
    <w:rsid w:val="000A4073"/>
    <w:rsid w:val="000A4215"/>
    <w:rsid w:val="000A461C"/>
    <w:rsid w:val="000A4ADB"/>
    <w:rsid w:val="000A58B0"/>
    <w:rsid w:val="000A5E10"/>
    <w:rsid w:val="000A6181"/>
    <w:rsid w:val="000A62A1"/>
    <w:rsid w:val="000A6988"/>
    <w:rsid w:val="000A6FD3"/>
    <w:rsid w:val="000A721A"/>
    <w:rsid w:val="000A7A9B"/>
    <w:rsid w:val="000B018A"/>
    <w:rsid w:val="000B0231"/>
    <w:rsid w:val="000B0D08"/>
    <w:rsid w:val="000B1225"/>
    <w:rsid w:val="000B1344"/>
    <w:rsid w:val="000B1786"/>
    <w:rsid w:val="000B2649"/>
    <w:rsid w:val="000B26E4"/>
    <w:rsid w:val="000B27C1"/>
    <w:rsid w:val="000B2C24"/>
    <w:rsid w:val="000B3B38"/>
    <w:rsid w:val="000B3DA2"/>
    <w:rsid w:val="000B3F8B"/>
    <w:rsid w:val="000B4012"/>
    <w:rsid w:val="000B40B3"/>
    <w:rsid w:val="000B4610"/>
    <w:rsid w:val="000B4B7F"/>
    <w:rsid w:val="000B57F7"/>
    <w:rsid w:val="000B5939"/>
    <w:rsid w:val="000B63A5"/>
    <w:rsid w:val="000B65E5"/>
    <w:rsid w:val="000B66C9"/>
    <w:rsid w:val="000B68EE"/>
    <w:rsid w:val="000B69E6"/>
    <w:rsid w:val="000B6F89"/>
    <w:rsid w:val="000C00DB"/>
    <w:rsid w:val="000C0332"/>
    <w:rsid w:val="000C0767"/>
    <w:rsid w:val="000C0A47"/>
    <w:rsid w:val="000C0BEC"/>
    <w:rsid w:val="000C1161"/>
    <w:rsid w:val="000C1616"/>
    <w:rsid w:val="000C18F9"/>
    <w:rsid w:val="000C1DD6"/>
    <w:rsid w:val="000C1DDE"/>
    <w:rsid w:val="000C22CE"/>
    <w:rsid w:val="000C23AF"/>
    <w:rsid w:val="000C2B87"/>
    <w:rsid w:val="000C2C86"/>
    <w:rsid w:val="000C2E93"/>
    <w:rsid w:val="000C387D"/>
    <w:rsid w:val="000C3B41"/>
    <w:rsid w:val="000C3EA4"/>
    <w:rsid w:val="000C4014"/>
    <w:rsid w:val="000C45B5"/>
    <w:rsid w:val="000C47B3"/>
    <w:rsid w:val="000C47E1"/>
    <w:rsid w:val="000C4F08"/>
    <w:rsid w:val="000C51FA"/>
    <w:rsid w:val="000C5345"/>
    <w:rsid w:val="000C5473"/>
    <w:rsid w:val="000C5664"/>
    <w:rsid w:val="000C66F2"/>
    <w:rsid w:val="000C684F"/>
    <w:rsid w:val="000C68B6"/>
    <w:rsid w:val="000C6C5C"/>
    <w:rsid w:val="000C6D62"/>
    <w:rsid w:val="000C789F"/>
    <w:rsid w:val="000C7C70"/>
    <w:rsid w:val="000C7C91"/>
    <w:rsid w:val="000D06D7"/>
    <w:rsid w:val="000D08C1"/>
    <w:rsid w:val="000D0CC4"/>
    <w:rsid w:val="000D0E2F"/>
    <w:rsid w:val="000D0F0E"/>
    <w:rsid w:val="000D1302"/>
    <w:rsid w:val="000D1BCD"/>
    <w:rsid w:val="000D1C8B"/>
    <w:rsid w:val="000D21C1"/>
    <w:rsid w:val="000D21F3"/>
    <w:rsid w:val="000D22C6"/>
    <w:rsid w:val="000D2678"/>
    <w:rsid w:val="000D2C77"/>
    <w:rsid w:val="000D3DE8"/>
    <w:rsid w:val="000D4067"/>
    <w:rsid w:val="000D40AE"/>
    <w:rsid w:val="000D4132"/>
    <w:rsid w:val="000D46A6"/>
    <w:rsid w:val="000D508F"/>
    <w:rsid w:val="000D5149"/>
    <w:rsid w:val="000D5389"/>
    <w:rsid w:val="000D54E1"/>
    <w:rsid w:val="000D55CF"/>
    <w:rsid w:val="000D5723"/>
    <w:rsid w:val="000D57BF"/>
    <w:rsid w:val="000D63FE"/>
    <w:rsid w:val="000D6B4C"/>
    <w:rsid w:val="000D6D68"/>
    <w:rsid w:val="000D7868"/>
    <w:rsid w:val="000D7A8D"/>
    <w:rsid w:val="000D7D5E"/>
    <w:rsid w:val="000E0A13"/>
    <w:rsid w:val="000E0FA3"/>
    <w:rsid w:val="000E14AD"/>
    <w:rsid w:val="000E14C5"/>
    <w:rsid w:val="000E1716"/>
    <w:rsid w:val="000E1C12"/>
    <w:rsid w:val="000E1F31"/>
    <w:rsid w:val="000E22BD"/>
    <w:rsid w:val="000E4FB1"/>
    <w:rsid w:val="000E52DB"/>
    <w:rsid w:val="000E53BA"/>
    <w:rsid w:val="000E53DB"/>
    <w:rsid w:val="000E5659"/>
    <w:rsid w:val="000E591C"/>
    <w:rsid w:val="000E5CCB"/>
    <w:rsid w:val="000E60B8"/>
    <w:rsid w:val="000E6536"/>
    <w:rsid w:val="000E6B33"/>
    <w:rsid w:val="000E6DCA"/>
    <w:rsid w:val="000E7343"/>
    <w:rsid w:val="000E7B50"/>
    <w:rsid w:val="000E7D84"/>
    <w:rsid w:val="000F022D"/>
    <w:rsid w:val="000F0598"/>
    <w:rsid w:val="000F05ED"/>
    <w:rsid w:val="000F0C47"/>
    <w:rsid w:val="000F120C"/>
    <w:rsid w:val="000F142D"/>
    <w:rsid w:val="000F16ED"/>
    <w:rsid w:val="000F1B91"/>
    <w:rsid w:val="000F1E89"/>
    <w:rsid w:val="000F211E"/>
    <w:rsid w:val="000F2303"/>
    <w:rsid w:val="000F2D69"/>
    <w:rsid w:val="000F2EA9"/>
    <w:rsid w:val="000F2EFF"/>
    <w:rsid w:val="000F303C"/>
    <w:rsid w:val="000F3856"/>
    <w:rsid w:val="000F4A98"/>
    <w:rsid w:val="000F512D"/>
    <w:rsid w:val="000F56B2"/>
    <w:rsid w:val="000F571D"/>
    <w:rsid w:val="000F5E3A"/>
    <w:rsid w:val="000F6CB6"/>
    <w:rsid w:val="000F6DCC"/>
    <w:rsid w:val="000F714C"/>
    <w:rsid w:val="000F7D0A"/>
    <w:rsid w:val="00100402"/>
    <w:rsid w:val="0010057A"/>
    <w:rsid w:val="001006F5"/>
    <w:rsid w:val="00100B03"/>
    <w:rsid w:val="00100B4C"/>
    <w:rsid w:val="00100BFA"/>
    <w:rsid w:val="00100FD8"/>
    <w:rsid w:val="00101559"/>
    <w:rsid w:val="00101BC9"/>
    <w:rsid w:val="00101E54"/>
    <w:rsid w:val="0010202A"/>
    <w:rsid w:val="0010208F"/>
    <w:rsid w:val="00103280"/>
    <w:rsid w:val="00103483"/>
    <w:rsid w:val="0010351F"/>
    <w:rsid w:val="001035B8"/>
    <w:rsid w:val="00104094"/>
    <w:rsid w:val="0010471D"/>
    <w:rsid w:val="00104784"/>
    <w:rsid w:val="00104A69"/>
    <w:rsid w:val="00104A81"/>
    <w:rsid w:val="00104B60"/>
    <w:rsid w:val="00104E87"/>
    <w:rsid w:val="0010580B"/>
    <w:rsid w:val="00105906"/>
    <w:rsid w:val="001063C0"/>
    <w:rsid w:val="001063F9"/>
    <w:rsid w:val="00106CBA"/>
    <w:rsid w:val="00106D60"/>
    <w:rsid w:val="00106F69"/>
    <w:rsid w:val="00107041"/>
    <w:rsid w:val="0010736E"/>
    <w:rsid w:val="00107811"/>
    <w:rsid w:val="00107961"/>
    <w:rsid w:val="00107F83"/>
    <w:rsid w:val="00110DED"/>
    <w:rsid w:val="0011155E"/>
    <w:rsid w:val="00111653"/>
    <w:rsid w:val="001120D8"/>
    <w:rsid w:val="001122F6"/>
    <w:rsid w:val="00112C75"/>
    <w:rsid w:val="00112CB8"/>
    <w:rsid w:val="00113400"/>
    <w:rsid w:val="001135A9"/>
    <w:rsid w:val="00113814"/>
    <w:rsid w:val="00113AE0"/>
    <w:rsid w:val="00113C56"/>
    <w:rsid w:val="00113D16"/>
    <w:rsid w:val="001140B1"/>
    <w:rsid w:val="00114848"/>
    <w:rsid w:val="00115005"/>
    <w:rsid w:val="00115C8F"/>
    <w:rsid w:val="00115E39"/>
    <w:rsid w:val="00116274"/>
    <w:rsid w:val="0011641C"/>
    <w:rsid w:val="00116C31"/>
    <w:rsid w:val="00116C34"/>
    <w:rsid w:val="00116CD5"/>
    <w:rsid w:val="00116DB2"/>
    <w:rsid w:val="00117794"/>
    <w:rsid w:val="001177A1"/>
    <w:rsid w:val="00117AC3"/>
    <w:rsid w:val="00120240"/>
    <w:rsid w:val="001203A7"/>
    <w:rsid w:val="001207AE"/>
    <w:rsid w:val="00120F23"/>
    <w:rsid w:val="001210FF"/>
    <w:rsid w:val="00121491"/>
    <w:rsid w:val="00121532"/>
    <w:rsid w:val="00121595"/>
    <w:rsid w:val="00121C1F"/>
    <w:rsid w:val="00121D88"/>
    <w:rsid w:val="00122505"/>
    <w:rsid w:val="001225F6"/>
    <w:rsid w:val="0012295C"/>
    <w:rsid w:val="001235FE"/>
    <w:rsid w:val="0012364D"/>
    <w:rsid w:val="00123906"/>
    <w:rsid w:val="00123CA4"/>
    <w:rsid w:val="00123DD7"/>
    <w:rsid w:val="00123EFD"/>
    <w:rsid w:val="0012427C"/>
    <w:rsid w:val="0012457E"/>
    <w:rsid w:val="00124C1F"/>
    <w:rsid w:val="00125348"/>
    <w:rsid w:val="001256A9"/>
    <w:rsid w:val="00125FB2"/>
    <w:rsid w:val="001264D4"/>
    <w:rsid w:val="001265AF"/>
    <w:rsid w:val="001267EB"/>
    <w:rsid w:val="00126864"/>
    <w:rsid w:val="00126D72"/>
    <w:rsid w:val="0012719C"/>
    <w:rsid w:val="0012726D"/>
    <w:rsid w:val="001272F4"/>
    <w:rsid w:val="00127A70"/>
    <w:rsid w:val="00127B61"/>
    <w:rsid w:val="00127CCF"/>
    <w:rsid w:val="00127E60"/>
    <w:rsid w:val="00130722"/>
    <w:rsid w:val="00130A66"/>
    <w:rsid w:val="001313B6"/>
    <w:rsid w:val="0013140F"/>
    <w:rsid w:val="001314A5"/>
    <w:rsid w:val="00131B87"/>
    <w:rsid w:val="00131E24"/>
    <w:rsid w:val="00131ECD"/>
    <w:rsid w:val="00132CA1"/>
    <w:rsid w:val="00132D3C"/>
    <w:rsid w:val="00132F12"/>
    <w:rsid w:val="001330FD"/>
    <w:rsid w:val="00133661"/>
    <w:rsid w:val="001338AC"/>
    <w:rsid w:val="00133A42"/>
    <w:rsid w:val="00133BDE"/>
    <w:rsid w:val="001345DB"/>
    <w:rsid w:val="00134605"/>
    <w:rsid w:val="001346B0"/>
    <w:rsid w:val="00135BCE"/>
    <w:rsid w:val="00135C2F"/>
    <w:rsid w:val="00135D81"/>
    <w:rsid w:val="0013630B"/>
    <w:rsid w:val="0013634D"/>
    <w:rsid w:val="001365C8"/>
    <w:rsid w:val="0013674E"/>
    <w:rsid w:val="00137ECC"/>
    <w:rsid w:val="001403DE"/>
    <w:rsid w:val="001404B6"/>
    <w:rsid w:val="00140998"/>
    <w:rsid w:val="00140CC7"/>
    <w:rsid w:val="001411EC"/>
    <w:rsid w:val="00141A7E"/>
    <w:rsid w:val="00141BF1"/>
    <w:rsid w:val="001422A2"/>
    <w:rsid w:val="00142625"/>
    <w:rsid w:val="001429FA"/>
    <w:rsid w:val="00142DDD"/>
    <w:rsid w:val="00143185"/>
    <w:rsid w:val="00143895"/>
    <w:rsid w:val="00143EF1"/>
    <w:rsid w:val="00144445"/>
    <w:rsid w:val="001448A7"/>
    <w:rsid w:val="001448AB"/>
    <w:rsid w:val="00144E33"/>
    <w:rsid w:val="00145ACC"/>
    <w:rsid w:val="00146BA0"/>
    <w:rsid w:val="00146DB9"/>
    <w:rsid w:val="00147096"/>
    <w:rsid w:val="00147822"/>
    <w:rsid w:val="00147B2B"/>
    <w:rsid w:val="00150285"/>
    <w:rsid w:val="001503B4"/>
    <w:rsid w:val="001515F8"/>
    <w:rsid w:val="00151A69"/>
    <w:rsid w:val="00151DD6"/>
    <w:rsid w:val="00151F6C"/>
    <w:rsid w:val="0015215E"/>
    <w:rsid w:val="0015249D"/>
    <w:rsid w:val="001524A9"/>
    <w:rsid w:val="001527DB"/>
    <w:rsid w:val="00153105"/>
    <w:rsid w:val="00153261"/>
    <w:rsid w:val="00153401"/>
    <w:rsid w:val="001536CB"/>
    <w:rsid w:val="00153872"/>
    <w:rsid w:val="00153A95"/>
    <w:rsid w:val="00153C63"/>
    <w:rsid w:val="00153D82"/>
    <w:rsid w:val="0015522F"/>
    <w:rsid w:val="001557C5"/>
    <w:rsid w:val="00155D35"/>
    <w:rsid w:val="00155DA7"/>
    <w:rsid w:val="00155E45"/>
    <w:rsid w:val="0015600D"/>
    <w:rsid w:val="00156015"/>
    <w:rsid w:val="00156191"/>
    <w:rsid w:val="0015692F"/>
    <w:rsid w:val="001569EB"/>
    <w:rsid w:val="0015704B"/>
    <w:rsid w:val="00157C7C"/>
    <w:rsid w:val="00157CA1"/>
    <w:rsid w:val="001600E7"/>
    <w:rsid w:val="001602A2"/>
    <w:rsid w:val="00160320"/>
    <w:rsid w:val="001611EB"/>
    <w:rsid w:val="001612B0"/>
    <w:rsid w:val="00161B6B"/>
    <w:rsid w:val="001626F2"/>
    <w:rsid w:val="00163019"/>
    <w:rsid w:val="0016311E"/>
    <w:rsid w:val="00163152"/>
    <w:rsid w:val="001636EB"/>
    <w:rsid w:val="001637BE"/>
    <w:rsid w:val="00163998"/>
    <w:rsid w:val="001639AC"/>
    <w:rsid w:val="00163C9A"/>
    <w:rsid w:val="00163F1F"/>
    <w:rsid w:val="0016429A"/>
    <w:rsid w:val="00164B80"/>
    <w:rsid w:val="00164F6B"/>
    <w:rsid w:val="00164F72"/>
    <w:rsid w:val="001653C3"/>
    <w:rsid w:val="0016543E"/>
    <w:rsid w:val="001655CE"/>
    <w:rsid w:val="001663C3"/>
    <w:rsid w:val="001665B2"/>
    <w:rsid w:val="00166703"/>
    <w:rsid w:val="00166877"/>
    <w:rsid w:val="00166F62"/>
    <w:rsid w:val="00167019"/>
    <w:rsid w:val="00170998"/>
    <w:rsid w:val="00170EDF"/>
    <w:rsid w:val="00170EF9"/>
    <w:rsid w:val="00171172"/>
    <w:rsid w:val="00171308"/>
    <w:rsid w:val="0017186B"/>
    <w:rsid w:val="001719E5"/>
    <w:rsid w:val="00171D9A"/>
    <w:rsid w:val="00172475"/>
    <w:rsid w:val="0017263B"/>
    <w:rsid w:val="001731B5"/>
    <w:rsid w:val="00173515"/>
    <w:rsid w:val="0017390C"/>
    <w:rsid w:val="00173A29"/>
    <w:rsid w:val="00174316"/>
    <w:rsid w:val="00174502"/>
    <w:rsid w:val="00174C86"/>
    <w:rsid w:val="00174F07"/>
    <w:rsid w:val="00174F87"/>
    <w:rsid w:val="001752B9"/>
    <w:rsid w:val="0017542B"/>
    <w:rsid w:val="001756CC"/>
    <w:rsid w:val="00175E06"/>
    <w:rsid w:val="00176384"/>
    <w:rsid w:val="001763BD"/>
    <w:rsid w:val="00176582"/>
    <w:rsid w:val="0017676D"/>
    <w:rsid w:val="00176A8F"/>
    <w:rsid w:val="00177B46"/>
    <w:rsid w:val="00177BB4"/>
    <w:rsid w:val="00177F24"/>
    <w:rsid w:val="00180085"/>
    <w:rsid w:val="00180825"/>
    <w:rsid w:val="00180F73"/>
    <w:rsid w:val="0018112C"/>
    <w:rsid w:val="00181303"/>
    <w:rsid w:val="00181CB9"/>
    <w:rsid w:val="00182053"/>
    <w:rsid w:val="00182979"/>
    <w:rsid w:val="001837A3"/>
    <w:rsid w:val="00183910"/>
    <w:rsid w:val="00184BC1"/>
    <w:rsid w:val="00184C8F"/>
    <w:rsid w:val="001859E0"/>
    <w:rsid w:val="00185EAB"/>
    <w:rsid w:val="0018606D"/>
    <w:rsid w:val="00186112"/>
    <w:rsid w:val="00186E5B"/>
    <w:rsid w:val="00187275"/>
    <w:rsid w:val="00187882"/>
    <w:rsid w:val="001904CA"/>
    <w:rsid w:val="001904FD"/>
    <w:rsid w:val="00190931"/>
    <w:rsid w:val="00190B82"/>
    <w:rsid w:val="00190D79"/>
    <w:rsid w:val="00190FAB"/>
    <w:rsid w:val="00191857"/>
    <w:rsid w:val="001922EA"/>
    <w:rsid w:val="001923FC"/>
    <w:rsid w:val="00192C08"/>
    <w:rsid w:val="00192D18"/>
    <w:rsid w:val="00192DF8"/>
    <w:rsid w:val="0019356D"/>
    <w:rsid w:val="0019364C"/>
    <w:rsid w:val="0019431A"/>
    <w:rsid w:val="001951DD"/>
    <w:rsid w:val="00195E8D"/>
    <w:rsid w:val="00196798"/>
    <w:rsid w:val="001969B3"/>
    <w:rsid w:val="00196F39"/>
    <w:rsid w:val="00197136"/>
    <w:rsid w:val="00197312"/>
    <w:rsid w:val="00197333"/>
    <w:rsid w:val="00197653"/>
    <w:rsid w:val="001978FF"/>
    <w:rsid w:val="00197DB9"/>
    <w:rsid w:val="00197DD3"/>
    <w:rsid w:val="001A091C"/>
    <w:rsid w:val="001A0A34"/>
    <w:rsid w:val="001A0EDF"/>
    <w:rsid w:val="001A0F18"/>
    <w:rsid w:val="001A0FD7"/>
    <w:rsid w:val="001A10F6"/>
    <w:rsid w:val="001A13A4"/>
    <w:rsid w:val="001A1646"/>
    <w:rsid w:val="001A1F2A"/>
    <w:rsid w:val="001A2274"/>
    <w:rsid w:val="001A244B"/>
    <w:rsid w:val="001A307C"/>
    <w:rsid w:val="001A3461"/>
    <w:rsid w:val="001A378C"/>
    <w:rsid w:val="001A5357"/>
    <w:rsid w:val="001A550F"/>
    <w:rsid w:val="001A5519"/>
    <w:rsid w:val="001A5FCD"/>
    <w:rsid w:val="001A6126"/>
    <w:rsid w:val="001A6371"/>
    <w:rsid w:val="001A6449"/>
    <w:rsid w:val="001A6888"/>
    <w:rsid w:val="001A6904"/>
    <w:rsid w:val="001A7029"/>
    <w:rsid w:val="001A7111"/>
    <w:rsid w:val="001A77F8"/>
    <w:rsid w:val="001A7839"/>
    <w:rsid w:val="001A7F53"/>
    <w:rsid w:val="001A7F88"/>
    <w:rsid w:val="001B0232"/>
    <w:rsid w:val="001B09EA"/>
    <w:rsid w:val="001B10E4"/>
    <w:rsid w:val="001B1261"/>
    <w:rsid w:val="001B1304"/>
    <w:rsid w:val="001B137B"/>
    <w:rsid w:val="001B17B9"/>
    <w:rsid w:val="001B1864"/>
    <w:rsid w:val="001B2238"/>
    <w:rsid w:val="001B228D"/>
    <w:rsid w:val="001B2514"/>
    <w:rsid w:val="001B2D1C"/>
    <w:rsid w:val="001B2D4B"/>
    <w:rsid w:val="001B3684"/>
    <w:rsid w:val="001B3F7C"/>
    <w:rsid w:val="001B4408"/>
    <w:rsid w:val="001B4510"/>
    <w:rsid w:val="001B45F8"/>
    <w:rsid w:val="001B4796"/>
    <w:rsid w:val="001B49DC"/>
    <w:rsid w:val="001B4B44"/>
    <w:rsid w:val="001B4E3C"/>
    <w:rsid w:val="001B53A6"/>
    <w:rsid w:val="001B5A7B"/>
    <w:rsid w:val="001B6989"/>
    <w:rsid w:val="001B6AF6"/>
    <w:rsid w:val="001B6C5D"/>
    <w:rsid w:val="001B71E3"/>
    <w:rsid w:val="001B776E"/>
    <w:rsid w:val="001B7992"/>
    <w:rsid w:val="001B7DCD"/>
    <w:rsid w:val="001C0219"/>
    <w:rsid w:val="001C033A"/>
    <w:rsid w:val="001C06C3"/>
    <w:rsid w:val="001C0CB2"/>
    <w:rsid w:val="001C1130"/>
    <w:rsid w:val="001C15C0"/>
    <w:rsid w:val="001C16DA"/>
    <w:rsid w:val="001C1D27"/>
    <w:rsid w:val="001C1E66"/>
    <w:rsid w:val="001C1EBC"/>
    <w:rsid w:val="001C2139"/>
    <w:rsid w:val="001C251C"/>
    <w:rsid w:val="001C25B3"/>
    <w:rsid w:val="001C3DB2"/>
    <w:rsid w:val="001C3E41"/>
    <w:rsid w:val="001C47C8"/>
    <w:rsid w:val="001C481E"/>
    <w:rsid w:val="001C4986"/>
    <w:rsid w:val="001C4A97"/>
    <w:rsid w:val="001C4C3A"/>
    <w:rsid w:val="001C4FA8"/>
    <w:rsid w:val="001C50D1"/>
    <w:rsid w:val="001C595A"/>
    <w:rsid w:val="001C5ADF"/>
    <w:rsid w:val="001C69A3"/>
    <w:rsid w:val="001C6E64"/>
    <w:rsid w:val="001C7137"/>
    <w:rsid w:val="001C72C5"/>
    <w:rsid w:val="001C764D"/>
    <w:rsid w:val="001C7A82"/>
    <w:rsid w:val="001C7D8B"/>
    <w:rsid w:val="001D00FE"/>
    <w:rsid w:val="001D0430"/>
    <w:rsid w:val="001D063A"/>
    <w:rsid w:val="001D0717"/>
    <w:rsid w:val="001D089C"/>
    <w:rsid w:val="001D0BE1"/>
    <w:rsid w:val="001D1077"/>
    <w:rsid w:val="001D1592"/>
    <w:rsid w:val="001D16DE"/>
    <w:rsid w:val="001D1E7A"/>
    <w:rsid w:val="001D278B"/>
    <w:rsid w:val="001D3201"/>
    <w:rsid w:val="001D32E2"/>
    <w:rsid w:val="001D362A"/>
    <w:rsid w:val="001D362E"/>
    <w:rsid w:val="001D3779"/>
    <w:rsid w:val="001D3B4B"/>
    <w:rsid w:val="001D3E36"/>
    <w:rsid w:val="001D42EF"/>
    <w:rsid w:val="001D46B4"/>
    <w:rsid w:val="001D491C"/>
    <w:rsid w:val="001D56D1"/>
    <w:rsid w:val="001D5F62"/>
    <w:rsid w:val="001D5FFF"/>
    <w:rsid w:val="001D6783"/>
    <w:rsid w:val="001D69CD"/>
    <w:rsid w:val="001D74CE"/>
    <w:rsid w:val="001D7F17"/>
    <w:rsid w:val="001E0071"/>
    <w:rsid w:val="001E015E"/>
    <w:rsid w:val="001E017D"/>
    <w:rsid w:val="001E01DC"/>
    <w:rsid w:val="001E06CD"/>
    <w:rsid w:val="001E0C2F"/>
    <w:rsid w:val="001E0C35"/>
    <w:rsid w:val="001E1238"/>
    <w:rsid w:val="001E158B"/>
    <w:rsid w:val="001E15D0"/>
    <w:rsid w:val="001E228D"/>
    <w:rsid w:val="001E24E4"/>
    <w:rsid w:val="001E26ED"/>
    <w:rsid w:val="001E31FB"/>
    <w:rsid w:val="001E35B2"/>
    <w:rsid w:val="001E39BC"/>
    <w:rsid w:val="001E46CE"/>
    <w:rsid w:val="001E493C"/>
    <w:rsid w:val="001E4A5C"/>
    <w:rsid w:val="001E4F36"/>
    <w:rsid w:val="001E54D9"/>
    <w:rsid w:val="001E6071"/>
    <w:rsid w:val="001E75EC"/>
    <w:rsid w:val="001E7909"/>
    <w:rsid w:val="001F037E"/>
    <w:rsid w:val="001F0E2C"/>
    <w:rsid w:val="001F103E"/>
    <w:rsid w:val="001F105A"/>
    <w:rsid w:val="001F12FA"/>
    <w:rsid w:val="001F1A3A"/>
    <w:rsid w:val="001F1B63"/>
    <w:rsid w:val="001F1D31"/>
    <w:rsid w:val="001F1F4C"/>
    <w:rsid w:val="001F252E"/>
    <w:rsid w:val="001F2B54"/>
    <w:rsid w:val="001F2D12"/>
    <w:rsid w:val="001F2E16"/>
    <w:rsid w:val="001F3200"/>
    <w:rsid w:val="001F3330"/>
    <w:rsid w:val="001F36BD"/>
    <w:rsid w:val="001F398E"/>
    <w:rsid w:val="001F3D49"/>
    <w:rsid w:val="001F41C0"/>
    <w:rsid w:val="001F45F5"/>
    <w:rsid w:val="001F477D"/>
    <w:rsid w:val="001F4C65"/>
    <w:rsid w:val="001F4D8C"/>
    <w:rsid w:val="001F5029"/>
    <w:rsid w:val="001F5905"/>
    <w:rsid w:val="001F5F46"/>
    <w:rsid w:val="001F6491"/>
    <w:rsid w:val="001F66CC"/>
    <w:rsid w:val="001F6F5A"/>
    <w:rsid w:val="001F70D4"/>
    <w:rsid w:val="001F715B"/>
    <w:rsid w:val="001F793F"/>
    <w:rsid w:val="001F7AED"/>
    <w:rsid w:val="001F7DAA"/>
    <w:rsid w:val="001F7EC6"/>
    <w:rsid w:val="002000B0"/>
    <w:rsid w:val="002009FF"/>
    <w:rsid w:val="0020176B"/>
    <w:rsid w:val="002024C8"/>
    <w:rsid w:val="0020261E"/>
    <w:rsid w:val="00202F08"/>
    <w:rsid w:val="002033A3"/>
    <w:rsid w:val="00203563"/>
    <w:rsid w:val="002038BF"/>
    <w:rsid w:val="00203C4E"/>
    <w:rsid w:val="002048A7"/>
    <w:rsid w:val="00204A10"/>
    <w:rsid w:val="00204C6F"/>
    <w:rsid w:val="00204CB3"/>
    <w:rsid w:val="00204E8D"/>
    <w:rsid w:val="002050D4"/>
    <w:rsid w:val="00205B69"/>
    <w:rsid w:val="00205FB3"/>
    <w:rsid w:val="00206224"/>
    <w:rsid w:val="00206313"/>
    <w:rsid w:val="002070AE"/>
    <w:rsid w:val="002072CD"/>
    <w:rsid w:val="00207654"/>
    <w:rsid w:val="00207A5D"/>
    <w:rsid w:val="00207AA1"/>
    <w:rsid w:val="00207BF5"/>
    <w:rsid w:val="00210019"/>
    <w:rsid w:val="00210387"/>
    <w:rsid w:val="00210714"/>
    <w:rsid w:val="00210786"/>
    <w:rsid w:val="00210C45"/>
    <w:rsid w:val="0021136B"/>
    <w:rsid w:val="0021146F"/>
    <w:rsid w:val="002114DB"/>
    <w:rsid w:val="002118B1"/>
    <w:rsid w:val="00211D4A"/>
    <w:rsid w:val="00212059"/>
    <w:rsid w:val="002124EB"/>
    <w:rsid w:val="00212509"/>
    <w:rsid w:val="0021275E"/>
    <w:rsid w:val="00212B51"/>
    <w:rsid w:val="00212C46"/>
    <w:rsid w:val="00212ED1"/>
    <w:rsid w:val="0021321F"/>
    <w:rsid w:val="00213225"/>
    <w:rsid w:val="00213795"/>
    <w:rsid w:val="00213C27"/>
    <w:rsid w:val="00213D05"/>
    <w:rsid w:val="002147AD"/>
    <w:rsid w:val="00214F3A"/>
    <w:rsid w:val="002153FB"/>
    <w:rsid w:val="0021563C"/>
    <w:rsid w:val="0021578C"/>
    <w:rsid w:val="002157BC"/>
    <w:rsid w:val="0021589D"/>
    <w:rsid w:val="00215A61"/>
    <w:rsid w:val="00215C9E"/>
    <w:rsid w:val="00217B86"/>
    <w:rsid w:val="00217DD0"/>
    <w:rsid w:val="002200C4"/>
    <w:rsid w:val="00220397"/>
    <w:rsid w:val="0022056D"/>
    <w:rsid w:val="00220685"/>
    <w:rsid w:val="002209C4"/>
    <w:rsid w:val="00220C6A"/>
    <w:rsid w:val="00221100"/>
    <w:rsid w:val="002216C2"/>
    <w:rsid w:val="002218D0"/>
    <w:rsid w:val="00221A1B"/>
    <w:rsid w:val="00222492"/>
    <w:rsid w:val="002225D6"/>
    <w:rsid w:val="00222725"/>
    <w:rsid w:val="00222A3C"/>
    <w:rsid w:val="0022312F"/>
    <w:rsid w:val="002235E4"/>
    <w:rsid w:val="002237D7"/>
    <w:rsid w:val="00223966"/>
    <w:rsid w:val="00224029"/>
    <w:rsid w:val="002240BA"/>
    <w:rsid w:val="00224348"/>
    <w:rsid w:val="0022486E"/>
    <w:rsid w:val="00225676"/>
    <w:rsid w:val="002256F5"/>
    <w:rsid w:val="0022588B"/>
    <w:rsid w:val="00225B17"/>
    <w:rsid w:val="00225C85"/>
    <w:rsid w:val="00226637"/>
    <w:rsid w:val="00226BFA"/>
    <w:rsid w:val="00227058"/>
    <w:rsid w:val="00227301"/>
    <w:rsid w:val="00227395"/>
    <w:rsid w:val="002274A4"/>
    <w:rsid w:val="00227ABD"/>
    <w:rsid w:val="00227DD3"/>
    <w:rsid w:val="00227E09"/>
    <w:rsid w:val="00230CE4"/>
    <w:rsid w:val="00231345"/>
    <w:rsid w:val="00231C92"/>
    <w:rsid w:val="00231F52"/>
    <w:rsid w:val="002320CC"/>
    <w:rsid w:val="00232448"/>
    <w:rsid w:val="002327A5"/>
    <w:rsid w:val="00232A81"/>
    <w:rsid w:val="00232CDB"/>
    <w:rsid w:val="00232D92"/>
    <w:rsid w:val="00232F47"/>
    <w:rsid w:val="002336DE"/>
    <w:rsid w:val="00233CAE"/>
    <w:rsid w:val="00233D00"/>
    <w:rsid w:val="002342FA"/>
    <w:rsid w:val="00234522"/>
    <w:rsid w:val="00234AB6"/>
    <w:rsid w:val="00234BE0"/>
    <w:rsid w:val="00234CE1"/>
    <w:rsid w:val="00235976"/>
    <w:rsid w:val="00235B6E"/>
    <w:rsid w:val="002362E5"/>
    <w:rsid w:val="00236591"/>
    <w:rsid w:val="0023663B"/>
    <w:rsid w:val="0023696D"/>
    <w:rsid w:val="00236A45"/>
    <w:rsid w:val="00236B51"/>
    <w:rsid w:val="00236D5F"/>
    <w:rsid w:val="0023726A"/>
    <w:rsid w:val="0023747C"/>
    <w:rsid w:val="002376D3"/>
    <w:rsid w:val="002377FD"/>
    <w:rsid w:val="002378C3"/>
    <w:rsid w:val="00237AA1"/>
    <w:rsid w:val="00237DC6"/>
    <w:rsid w:val="00237FE3"/>
    <w:rsid w:val="00240876"/>
    <w:rsid w:val="0024101C"/>
    <w:rsid w:val="00241056"/>
    <w:rsid w:val="002419FA"/>
    <w:rsid w:val="002427A3"/>
    <w:rsid w:val="0024280A"/>
    <w:rsid w:val="002428F2"/>
    <w:rsid w:val="002428FF"/>
    <w:rsid w:val="002435F7"/>
    <w:rsid w:val="00243672"/>
    <w:rsid w:val="00243D66"/>
    <w:rsid w:val="00243EB7"/>
    <w:rsid w:val="0024422F"/>
    <w:rsid w:val="002445DB"/>
    <w:rsid w:val="00244894"/>
    <w:rsid w:val="00244940"/>
    <w:rsid w:val="00244BCC"/>
    <w:rsid w:val="00244CED"/>
    <w:rsid w:val="00244F94"/>
    <w:rsid w:val="00245124"/>
    <w:rsid w:val="0024558F"/>
    <w:rsid w:val="00245987"/>
    <w:rsid w:val="00245BD8"/>
    <w:rsid w:val="00246625"/>
    <w:rsid w:val="00246B77"/>
    <w:rsid w:val="002470C9"/>
    <w:rsid w:val="00247DE3"/>
    <w:rsid w:val="0025062E"/>
    <w:rsid w:val="00250837"/>
    <w:rsid w:val="0025125B"/>
    <w:rsid w:val="00251860"/>
    <w:rsid w:val="0025256D"/>
    <w:rsid w:val="00252D25"/>
    <w:rsid w:val="002531E0"/>
    <w:rsid w:val="00253275"/>
    <w:rsid w:val="002539C7"/>
    <w:rsid w:val="002543F7"/>
    <w:rsid w:val="0025493E"/>
    <w:rsid w:val="002549EA"/>
    <w:rsid w:val="00254DD0"/>
    <w:rsid w:val="00255266"/>
    <w:rsid w:val="00255572"/>
    <w:rsid w:val="002564A8"/>
    <w:rsid w:val="00256A41"/>
    <w:rsid w:val="00256B36"/>
    <w:rsid w:val="0025720F"/>
    <w:rsid w:val="00257FB5"/>
    <w:rsid w:val="00260C91"/>
    <w:rsid w:val="00260D3B"/>
    <w:rsid w:val="00260D46"/>
    <w:rsid w:val="00260F2C"/>
    <w:rsid w:val="00260F9E"/>
    <w:rsid w:val="0026108E"/>
    <w:rsid w:val="00261D8D"/>
    <w:rsid w:val="00262601"/>
    <w:rsid w:val="00263335"/>
    <w:rsid w:val="0026349A"/>
    <w:rsid w:val="002636A5"/>
    <w:rsid w:val="00263956"/>
    <w:rsid w:val="00263A62"/>
    <w:rsid w:val="00263B61"/>
    <w:rsid w:val="00264866"/>
    <w:rsid w:val="00264C54"/>
    <w:rsid w:val="00265A02"/>
    <w:rsid w:val="00266319"/>
    <w:rsid w:val="00266BBB"/>
    <w:rsid w:val="00266BD0"/>
    <w:rsid w:val="0026737C"/>
    <w:rsid w:val="00267652"/>
    <w:rsid w:val="0026769C"/>
    <w:rsid w:val="00267BA4"/>
    <w:rsid w:val="002709B7"/>
    <w:rsid w:val="00270AD8"/>
    <w:rsid w:val="00271696"/>
    <w:rsid w:val="0027185F"/>
    <w:rsid w:val="00272246"/>
    <w:rsid w:val="002733AD"/>
    <w:rsid w:val="00273508"/>
    <w:rsid w:val="00273D3D"/>
    <w:rsid w:val="00273F5A"/>
    <w:rsid w:val="002748A1"/>
    <w:rsid w:val="002749AA"/>
    <w:rsid w:val="00274B48"/>
    <w:rsid w:val="00275D27"/>
    <w:rsid w:val="00275FFA"/>
    <w:rsid w:val="00276C16"/>
    <w:rsid w:val="002770EE"/>
    <w:rsid w:val="00277367"/>
    <w:rsid w:val="002774BE"/>
    <w:rsid w:val="00277B98"/>
    <w:rsid w:val="00280157"/>
    <w:rsid w:val="002807E8"/>
    <w:rsid w:val="002808CC"/>
    <w:rsid w:val="00280CC3"/>
    <w:rsid w:val="00281081"/>
    <w:rsid w:val="0028123B"/>
    <w:rsid w:val="00281339"/>
    <w:rsid w:val="0028134B"/>
    <w:rsid w:val="002815BB"/>
    <w:rsid w:val="0028180B"/>
    <w:rsid w:val="00281A0A"/>
    <w:rsid w:val="00281B67"/>
    <w:rsid w:val="00281C25"/>
    <w:rsid w:val="00281F91"/>
    <w:rsid w:val="00282014"/>
    <w:rsid w:val="0028295E"/>
    <w:rsid w:val="002831CE"/>
    <w:rsid w:val="002831F9"/>
    <w:rsid w:val="00283541"/>
    <w:rsid w:val="00283638"/>
    <w:rsid w:val="002837DD"/>
    <w:rsid w:val="0028384B"/>
    <w:rsid w:val="002839B5"/>
    <w:rsid w:val="002839F2"/>
    <w:rsid w:val="00284CCE"/>
    <w:rsid w:val="0028525C"/>
    <w:rsid w:val="0028595C"/>
    <w:rsid w:val="002859E2"/>
    <w:rsid w:val="00285CF2"/>
    <w:rsid w:val="00285F69"/>
    <w:rsid w:val="0028622A"/>
    <w:rsid w:val="002864DA"/>
    <w:rsid w:val="00286DAE"/>
    <w:rsid w:val="002877C6"/>
    <w:rsid w:val="0028789E"/>
    <w:rsid w:val="00287928"/>
    <w:rsid w:val="00287AC0"/>
    <w:rsid w:val="00287C2B"/>
    <w:rsid w:val="00287DE4"/>
    <w:rsid w:val="002900F2"/>
    <w:rsid w:val="002902BB"/>
    <w:rsid w:val="0029089E"/>
    <w:rsid w:val="00290E95"/>
    <w:rsid w:val="0029126D"/>
    <w:rsid w:val="00291565"/>
    <w:rsid w:val="002916E5"/>
    <w:rsid w:val="002920C9"/>
    <w:rsid w:val="00292306"/>
    <w:rsid w:val="00292709"/>
    <w:rsid w:val="002928F3"/>
    <w:rsid w:val="00292A07"/>
    <w:rsid w:val="002937D3"/>
    <w:rsid w:val="0029389E"/>
    <w:rsid w:val="00293E5F"/>
    <w:rsid w:val="002944FC"/>
    <w:rsid w:val="00294B7F"/>
    <w:rsid w:val="00295835"/>
    <w:rsid w:val="002958AF"/>
    <w:rsid w:val="0029590D"/>
    <w:rsid w:val="002968C0"/>
    <w:rsid w:val="002977B7"/>
    <w:rsid w:val="00297BF4"/>
    <w:rsid w:val="00297F79"/>
    <w:rsid w:val="002A0B26"/>
    <w:rsid w:val="002A0EDC"/>
    <w:rsid w:val="002A1394"/>
    <w:rsid w:val="002A165E"/>
    <w:rsid w:val="002A18E5"/>
    <w:rsid w:val="002A1CA3"/>
    <w:rsid w:val="002A2530"/>
    <w:rsid w:val="002A2616"/>
    <w:rsid w:val="002A2A33"/>
    <w:rsid w:val="002A2CC0"/>
    <w:rsid w:val="002A368F"/>
    <w:rsid w:val="002A36F5"/>
    <w:rsid w:val="002A3D51"/>
    <w:rsid w:val="002A409A"/>
    <w:rsid w:val="002A40EC"/>
    <w:rsid w:val="002A41CF"/>
    <w:rsid w:val="002A48CA"/>
    <w:rsid w:val="002A5327"/>
    <w:rsid w:val="002A58CF"/>
    <w:rsid w:val="002A58D7"/>
    <w:rsid w:val="002A59B1"/>
    <w:rsid w:val="002A5D9A"/>
    <w:rsid w:val="002A634F"/>
    <w:rsid w:val="002A65D8"/>
    <w:rsid w:val="002A66A9"/>
    <w:rsid w:val="002A66CB"/>
    <w:rsid w:val="002A69D5"/>
    <w:rsid w:val="002A72B5"/>
    <w:rsid w:val="002A7353"/>
    <w:rsid w:val="002A7498"/>
    <w:rsid w:val="002A7DC6"/>
    <w:rsid w:val="002A7E7F"/>
    <w:rsid w:val="002A7F95"/>
    <w:rsid w:val="002B00B5"/>
    <w:rsid w:val="002B0CBC"/>
    <w:rsid w:val="002B10D4"/>
    <w:rsid w:val="002B10EF"/>
    <w:rsid w:val="002B12D2"/>
    <w:rsid w:val="002B16DF"/>
    <w:rsid w:val="002B1A09"/>
    <w:rsid w:val="002B2363"/>
    <w:rsid w:val="002B25AE"/>
    <w:rsid w:val="002B399D"/>
    <w:rsid w:val="002B400C"/>
    <w:rsid w:val="002B40A0"/>
    <w:rsid w:val="002B433F"/>
    <w:rsid w:val="002B4D09"/>
    <w:rsid w:val="002B5412"/>
    <w:rsid w:val="002B5982"/>
    <w:rsid w:val="002B5A60"/>
    <w:rsid w:val="002B6086"/>
    <w:rsid w:val="002B643E"/>
    <w:rsid w:val="002B64D6"/>
    <w:rsid w:val="002B6DBD"/>
    <w:rsid w:val="002B751A"/>
    <w:rsid w:val="002B77BF"/>
    <w:rsid w:val="002B7959"/>
    <w:rsid w:val="002B7DB8"/>
    <w:rsid w:val="002C026A"/>
    <w:rsid w:val="002C09C0"/>
    <w:rsid w:val="002C0AE1"/>
    <w:rsid w:val="002C0DFE"/>
    <w:rsid w:val="002C0F47"/>
    <w:rsid w:val="002C1298"/>
    <w:rsid w:val="002C1977"/>
    <w:rsid w:val="002C1B5C"/>
    <w:rsid w:val="002C206E"/>
    <w:rsid w:val="002C21D7"/>
    <w:rsid w:val="002C237F"/>
    <w:rsid w:val="002C2A1F"/>
    <w:rsid w:val="002C2CDF"/>
    <w:rsid w:val="002C34DA"/>
    <w:rsid w:val="002C40BF"/>
    <w:rsid w:val="002C41F9"/>
    <w:rsid w:val="002C4A3A"/>
    <w:rsid w:val="002C4B5E"/>
    <w:rsid w:val="002C54D4"/>
    <w:rsid w:val="002C55AC"/>
    <w:rsid w:val="002C576E"/>
    <w:rsid w:val="002C6733"/>
    <w:rsid w:val="002C6FAA"/>
    <w:rsid w:val="002C78EA"/>
    <w:rsid w:val="002C7D3A"/>
    <w:rsid w:val="002C7DD7"/>
    <w:rsid w:val="002D0793"/>
    <w:rsid w:val="002D098B"/>
    <w:rsid w:val="002D0E23"/>
    <w:rsid w:val="002D0FEC"/>
    <w:rsid w:val="002D123F"/>
    <w:rsid w:val="002D12A2"/>
    <w:rsid w:val="002D19A0"/>
    <w:rsid w:val="002D1BA6"/>
    <w:rsid w:val="002D1F1F"/>
    <w:rsid w:val="002D259D"/>
    <w:rsid w:val="002D2BD6"/>
    <w:rsid w:val="002D2DB5"/>
    <w:rsid w:val="002D450F"/>
    <w:rsid w:val="002D45D5"/>
    <w:rsid w:val="002D4BA6"/>
    <w:rsid w:val="002D4BCD"/>
    <w:rsid w:val="002D4BEF"/>
    <w:rsid w:val="002D4D90"/>
    <w:rsid w:val="002D4DBC"/>
    <w:rsid w:val="002D5350"/>
    <w:rsid w:val="002D5C7D"/>
    <w:rsid w:val="002D65B9"/>
    <w:rsid w:val="002D6BE2"/>
    <w:rsid w:val="002D7505"/>
    <w:rsid w:val="002D763C"/>
    <w:rsid w:val="002D77BC"/>
    <w:rsid w:val="002D7AB4"/>
    <w:rsid w:val="002D7F5C"/>
    <w:rsid w:val="002E05D5"/>
    <w:rsid w:val="002E0733"/>
    <w:rsid w:val="002E0B5B"/>
    <w:rsid w:val="002E0BE5"/>
    <w:rsid w:val="002E0C2E"/>
    <w:rsid w:val="002E0E36"/>
    <w:rsid w:val="002E15E7"/>
    <w:rsid w:val="002E16CF"/>
    <w:rsid w:val="002E1984"/>
    <w:rsid w:val="002E20CB"/>
    <w:rsid w:val="002E2192"/>
    <w:rsid w:val="002E249B"/>
    <w:rsid w:val="002E2CD1"/>
    <w:rsid w:val="002E3258"/>
    <w:rsid w:val="002E3337"/>
    <w:rsid w:val="002E3874"/>
    <w:rsid w:val="002E399A"/>
    <w:rsid w:val="002E4010"/>
    <w:rsid w:val="002E437C"/>
    <w:rsid w:val="002E46D6"/>
    <w:rsid w:val="002E4716"/>
    <w:rsid w:val="002E51D5"/>
    <w:rsid w:val="002E5267"/>
    <w:rsid w:val="002E52EC"/>
    <w:rsid w:val="002E55AA"/>
    <w:rsid w:val="002E57C1"/>
    <w:rsid w:val="002E57F6"/>
    <w:rsid w:val="002E5D4D"/>
    <w:rsid w:val="002E610E"/>
    <w:rsid w:val="002E630C"/>
    <w:rsid w:val="002E6388"/>
    <w:rsid w:val="002E66E4"/>
    <w:rsid w:val="002E691E"/>
    <w:rsid w:val="002E6DA9"/>
    <w:rsid w:val="002E6DBA"/>
    <w:rsid w:val="002E6EFF"/>
    <w:rsid w:val="002E6F01"/>
    <w:rsid w:val="002E6F23"/>
    <w:rsid w:val="002E721C"/>
    <w:rsid w:val="002E79FB"/>
    <w:rsid w:val="002E7CEB"/>
    <w:rsid w:val="002F0095"/>
    <w:rsid w:val="002F0130"/>
    <w:rsid w:val="002F0252"/>
    <w:rsid w:val="002F04E8"/>
    <w:rsid w:val="002F126C"/>
    <w:rsid w:val="002F1EB3"/>
    <w:rsid w:val="002F1F59"/>
    <w:rsid w:val="002F20BE"/>
    <w:rsid w:val="002F22FF"/>
    <w:rsid w:val="002F2DA3"/>
    <w:rsid w:val="002F3020"/>
    <w:rsid w:val="002F30C8"/>
    <w:rsid w:val="002F3F67"/>
    <w:rsid w:val="002F44ED"/>
    <w:rsid w:val="002F46C3"/>
    <w:rsid w:val="002F4EC6"/>
    <w:rsid w:val="002F514E"/>
    <w:rsid w:val="002F589D"/>
    <w:rsid w:val="002F6417"/>
    <w:rsid w:val="002F6700"/>
    <w:rsid w:val="002F6957"/>
    <w:rsid w:val="002F6D6D"/>
    <w:rsid w:val="002F6E91"/>
    <w:rsid w:val="002F7061"/>
    <w:rsid w:val="002F734C"/>
    <w:rsid w:val="002F74FA"/>
    <w:rsid w:val="002F785C"/>
    <w:rsid w:val="003003CC"/>
    <w:rsid w:val="003008A6"/>
    <w:rsid w:val="00300AC0"/>
    <w:rsid w:val="00300D60"/>
    <w:rsid w:val="00301EDF"/>
    <w:rsid w:val="00302004"/>
    <w:rsid w:val="00302254"/>
    <w:rsid w:val="0030241C"/>
    <w:rsid w:val="003024B2"/>
    <w:rsid w:val="00302501"/>
    <w:rsid w:val="00302920"/>
    <w:rsid w:val="00302971"/>
    <w:rsid w:val="00302B32"/>
    <w:rsid w:val="00302DE2"/>
    <w:rsid w:val="003033E9"/>
    <w:rsid w:val="00303509"/>
    <w:rsid w:val="00303613"/>
    <w:rsid w:val="0030376F"/>
    <w:rsid w:val="003039C8"/>
    <w:rsid w:val="00303E96"/>
    <w:rsid w:val="00303F3A"/>
    <w:rsid w:val="003049C1"/>
    <w:rsid w:val="00304BBE"/>
    <w:rsid w:val="00305170"/>
    <w:rsid w:val="003054C8"/>
    <w:rsid w:val="003058E7"/>
    <w:rsid w:val="003058F5"/>
    <w:rsid w:val="00306103"/>
    <w:rsid w:val="00306DFA"/>
    <w:rsid w:val="003076BC"/>
    <w:rsid w:val="00310168"/>
    <w:rsid w:val="0031033F"/>
    <w:rsid w:val="0031093B"/>
    <w:rsid w:val="00310E30"/>
    <w:rsid w:val="00310FE5"/>
    <w:rsid w:val="00311172"/>
    <w:rsid w:val="0031126F"/>
    <w:rsid w:val="003117C6"/>
    <w:rsid w:val="00311AC1"/>
    <w:rsid w:val="00312197"/>
    <w:rsid w:val="003129EA"/>
    <w:rsid w:val="00312BCA"/>
    <w:rsid w:val="00312BFC"/>
    <w:rsid w:val="00313593"/>
    <w:rsid w:val="00313F0C"/>
    <w:rsid w:val="00313FEA"/>
    <w:rsid w:val="0031450C"/>
    <w:rsid w:val="00314915"/>
    <w:rsid w:val="003149A8"/>
    <w:rsid w:val="003157BD"/>
    <w:rsid w:val="00315975"/>
    <w:rsid w:val="00315D6D"/>
    <w:rsid w:val="00315F9B"/>
    <w:rsid w:val="003164D9"/>
    <w:rsid w:val="003167DC"/>
    <w:rsid w:val="0031714E"/>
    <w:rsid w:val="003173D9"/>
    <w:rsid w:val="003174C8"/>
    <w:rsid w:val="003176E1"/>
    <w:rsid w:val="00317720"/>
    <w:rsid w:val="00317D10"/>
    <w:rsid w:val="00317E04"/>
    <w:rsid w:val="00317EEB"/>
    <w:rsid w:val="0032023D"/>
    <w:rsid w:val="0032033F"/>
    <w:rsid w:val="003204C6"/>
    <w:rsid w:val="00320E21"/>
    <w:rsid w:val="00320F28"/>
    <w:rsid w:val="00320FF0"/>
    <w:rsid w:val="003216AD"/>
    <w:rsid w:val="00321B9C"/>
    <w:rsid w:val="00321C2D"/>
    <w:rsid w:val="0032203E"/>
    <w:rsid w:val="003226CE"/>
    <w:rsid w:val="00323142"/>
    <w:rsid w:val="003238BB"/>
    <w:rsid w:val="00323AC9"/>
    <w:rsid w:val="00323B4B"/>
    <w:rsid w:val="003246CC"/>
    <w:rsid w:val="0032498B"/>
    <w:rsid w:val="00324BC2"/>
    <w:rsid w:val="00324E43"/>
    <w:rsid w:val="00325610"/>
    <w:rsid w:val="00325724"/>
    <w:rsid w:val="0032574D"/>
    <w:rsid w:val="00325983"/>
    <w:rsid w:val="00325C54"/>
    <w:rsid w:val="00325D29"/>
    <w:rsid w:val="003266CD"/>
    <w:rsid w:val="00326AF9"/>
    <w:rsid w:val="0032723C"/>
    <w:rsid w:val="00327842"/>
    <w:rsid w:val="00327F42"/>
    <w:rsid w:val="003306ED"/>
    <w:rsid w:val="00330FFA"/>
    <w:rsid w:val="003312D9"/>
    <w:rsid w:val="003312DE"/>
    <w:rsid w:val="003320D0"/>
    <w:rsid w:val="003322FE"/>
    <w:rsid w:val="00332610"/>
    <w:rsid w:val="0033295F"/>
    <w:rsid w:val="0033296B"/>
    <w:rsid w:val="00332C87"/>
    <w:rsid w:val="00332CAE"/>
    <w:rsid w:val="00332DFE"/>
    <w:rsid w:val="003331D6"/>
    <w:rsid w:val="0033334A"/>
    <w:rsid w:val="0033367E"/>
    <w:rsid w:val="0033377B"/>
    <w:rsid w:val="00333F4A"/>
    <w:rsid w:val="00333FB5"/>
    <w:rsid w:val="003344CF"/>
    <w:rsid w:val="00334820"/>
    <w:rsid w:val="00334D55"/>
    <w:rsid w:val="00335BB5"/>
    <w:rsid w:val="00335F2F"/>
    <w:rsid w:val="003360A5"/>
    <w:rsid w:val="0033667B"/>
    <w:rsid w:val="00336BBD"/>
    <w:rsid w:val="0033745A"/>
    <w:rsid w:val="00337591"/>
    <w:rsid w:val="003379E5"/>
    <w:rsid w:val="003403D5"/>
    <w:rsid w:val="003412F3"/>
    <w:rsid w:val="0034151A"/>
    <w:rsid w:val="00341535"/>
    <w:rsid w:val="003423E8"/>
    <w:rsid w:val="00342F26"/>
    <w:rsid w:val="00343A1E"/>
    <w:rsid w:val="00343F59"/>
    <w:rsid w:val="00344584"/>
    <w:rsid w:val="00344BF7"/>
    <w:rsid w:val="0034526F"/>
    <w:rsid w:val="0034591E"/>
    <w:rsid w:val="003459E6"/>
    <w:rsid w:val="00345B80"/>
    <w:rsid w:val="00345EC2"/>
    <w:rsid w:val="003462B2"/>
    <w:rsid w:val="0034647A"/>
    <w:rsid w:val="003465C7"/>
    <w:rsid w:val="0034673B"/>
    <w:rsid w:val="00347775"/>
    <w:rsid w:val="0034782A"/>
    <w:rsid w:val="003500F0"/>
    <w:rsid w:val="00350161"/>
    <w:rsid w:val="003503A4"/>
    <w:rsid w:val="00350A8E"/>
    <w:rsid w:val="00350AAA"/>
    <w:rsid w:val="00350F1C"/>
    <w:rsid w:val="003511F8"/>
    <w:rsid w:val="00352195"/>
    <w:rsid w:val="003522EB"/>
    <w:rsid w:val="0035262D"/>
    <w:rsid w:val="00352B4D"/>
    <w:rsid w:val="00352E2A"/>
    <w:rsid w:val="00353148"/>
    <w:rsid w:val="003532D9"/>
    <w:rsid w:val="0035384F"/>
    <w:rsid w:val="00353C20"/>
    <w:rsid w:val="00354BB3"/>
    <w:rsid w:val="0035502E"/>
    <w:rsid w:val="0035523A"/>
    <w:rsid w:val="0035541A"/>
    <w:rsid w:val="003561E5"/>
    <w:rsid w:val="00356292"/>
    <w:rsid w:val="0035651A"/>
    <w:rsid w:val="003565B6"/>
    <w:rsid w:val="0035687F"/>
    <w:rsid w:val="00357440"/>
    <w:rsid w:val="0035764B"/>
    <w:rsid w:val="00357A77"/>
    <w:rsid w:val="00357FBD"/>
    <w:rsid w:val="00360023"/>
    <w:rsid w:val="00360111"/>
    <w:rsid w:val="003602B5"/>
    <w:rsid w:val="00360305"/>
    <w:rsid w:val="0036046A"/>
    <w:rsid w:val="00360C3A"/>
    <w:rsid w:val="00360D38"/>
    <w:rsid w:val="00362398"/>
    <w:rsid w:val="0036250D"/>
    <w:rsid w:val="0036260C"/>
    <w:rsid w:val="00362720"/>
    <w:rsid w:val="00362C86"/>
    <w:rsid w:val="003631C2"/>
    <w:rsid w:val="00363432"/>
    <w:rsid w:val="00363524"/>
    <w:rsid w:val="00363857"/>
    <w:rsid w:val="00363D24"/>
    <w:rsid w:val="00363E92"/>
    <w:rsid w:val="003640B1"/>
    <w:rsid w:val="00364269"/>
    <w:rsid w:val="0036487C"/>
    <w:rsid w:val="00364F43"/>
    <w:rsid w:val="003650FA"/>
    <w:rsid w:val="0036568D"/>
    <w:rsid w:val="00365804"/>
    <w:rsid w:val="00365AC5"/>
    <w:rsid w:val="00365DB4"/>
    <w:rsid w:val="00365E57"/>
    <w:rsid w:val="0036619A"/>
    <w:rsid w:val="0036623C"/>
    <w:rsid w:val="00366A6E"/>
    <w:rsid w:val="00367870"/>
    <w:rsid w:val="00367A69"/>
    <w:rsid w:val="00367B98"/>
    <w:rsid w:val="003708D5"/>
    <w:rsid w:val="003716A1"/>
    <w:rsid w:val="003719AA"/>
    <w:rsid w:val="00371CAA"/>
    <w:rsid w:val="00371D53"/>
    <w:rsid w:val="00372242"/>
    <w:rsid w:val="00372360"/>
    <w:rsid w:val="00372859"/>
    <w:rsid w:val="00372DC9"/>
    <w:rsid w:val="00373474"/>
    <w:rsid w:val="00373877"/>
    <w:rsid w:val="00373972"/>
    <w:rsid w:val="00374308"/>
    <w:rsid w:val="00374725"/>
    <w:rsid w:val="003751BF"/>
    <w:rsid w:val="00375AA6"/>
    <w:rsid w:val="00375CFA"/>
    <w:rsid w:val="00376204"/>
    <w:rsid w:val="00376803"/>
    <w:rsid w:val="00377199"/>
    <w:rsid w:val="00377377"/>
    <w:rsid w:val="00377391"/>
    <w:rsid w:val="0037759C"/>
    <w:rsid w:val="003800DE"/>
    <w:rsid w:val="003802C5"/>
    <w:rsid w:val="00380503"/>
    <w:rsid w:val="00380E2F"/>
    <w:rsid w:val="00380EF6"/>
    <w:rsid w:val="00381080"/>
    <w:rsid w:val="00381673"/>
    <w:rsid w:val="0038196B"/>
    <w:rsid w:val="00381C0B"/>
    <w:rsid w:val="00382602"/>
    <w:rsid w:val="00382914"/>
    <w:rsid w:val="00383066"/>
    <w:rsid w:val="00383207"/>
    <w:rsid w:val="00383704"/>
    <w:rsid w:val="00383B85"/>
    <w:rsid w:val="0038453D"/>
    <w:rsid w:val="00384832"/>
    <w:rsid w:val="003852A2"/>
    <w:rsid w:val="00385A0D"/>
    <w:rsid w:val="00385B24"/>
    <w:rsid w:val="00386222"/>
    <w:rsid w:val="00386392"/>
    <w:rsid w:val="00386799"/>
    <w:rsid w:val="00386AE9"/>
    <w:rsid w:val="00386B09"/>
    <w:rsid w:val="00386DE1"/>
    <w:rsid w:val="00386E18"/>
    <w:rsid w:val="0038734F"/>
    <w:rsid w:val="003876CD"/>
    <w:rsid w:val="003877F2"/>
    <w:rsid w:val="00387A16"/>
    <w:rsid w:val="00387E0B"/>
    <w:rsid w:val="003900C2"/>
    <w:rsid w:val="003902C9"/>
    <w:rsid w:val="00390573"/>
    <w:rsid w:val="003905FC"/>
    <w:rsid w:val="00390B57"/>
    <w:rsid w:val="00391007"/>
    <w:rsid w:val="00391352"/>
    <w:rsid w:val="00391392"/>
    <w:rsid w:val="00391BA7"/>
    <w:rsid w:val="00391D3C"/>
    <w:rsid w:val="003920BD"/>
    <w:rsid w:val="003927D0"/>
    <w:rsid w:val="00392B6E"/>
    <w:rsid w:val="00392BB1"/>
    <w:rsid w:val="00393887"/>
    <w:rsid w:val="00393895"/>
    <w:rsid w:val="0039389D"/>
    <w:rsid w:val="0039405A"/>
    <w:rsid w:val="00394155"/>
    <w:rsid w:val="00394269"/>
    <w:rsid w:val="003945F1"/>
    <w:rsid w:val="003946FE"/>
    <w:rsid w:val="00394801"/>
    <w:rsid w:val="003948AE"/>
    <w:rsid w:val="00394C2C"/>
    <w:rsid w:val="00395204"/>
    <w:rsid w:val="003953D9"/>
    <w:rsid w:val="0039542C"/>
    <w:rsid w:val="003955AA"/>
    <w:rsid w:val="00395C70"/>
    <w:rsid w:val="00395D96"/>
    <w:rsid w:val="00395FA1"/>
    <w:rsid w:val="00395FEA"/>
    <w:rsid w:val="00396323"/>
    <w:rsid w:val="00396550"/>
    <w:rsid w:val="00396732"/>
    <w:rsid w:val="00396EC9"/>
    <w:rsid w:val="00397586"/>
    <w:rsid w:val="00397672"/>
    <w:rsid w:val="0039779A"/>
    <w:rsid w:val="003978D7"/>
    <w:rsid w:val="003A00A0"/>
    <w:rsid w:val="003A0358"/>
    <w:rsid w:val="003A1C11"/>
    <w:rsid w:val="003A261E"/>
    <w:rsid w:val="003A27C6"/>
    <w:rsid w:val="003A27C8"/>
    <w:rsid w:val="003A2AA3"/>
    <w:rsid w:val="003A2C3F"/>
    <w:rsid w:val="003A32FD"/>
    <w:rsid w:val="003A3814"/>
    <w:rsid w:val="003A38E7"/>
    <w:rsid w:val="003A3A80"/>
    <w:rsid w:val="003A4941"/>
    <w:rsid w:val="003A49CC"/>
    <w:rsid w:val="003A5249"/>
    <w:rsid w:val="003A534E"/>
    <w:rsid w:val="003A5775"/>
    <w:rsid w:val="003A58DD"/>
    <w:rsid w:val="003A5B70"/>
    <w:rsid w:val="003A5CAF"/>
    <w:rsid w:val="003A5FEF"/>
    <w:rsid w:val="003A6B6F"/>
    <w:rsid w:val="003A6F7C"/>
    <w:rsid w:val="003A6FA3"/>
    <w:rsid w:val="003B0479"/>
    <w:rsid w:val="003B048E"/>
    <w:rsid w:val="003B08F5"/>
    <w:rsid w:val="003B0A5A"/>
    <w:rsid w:val="003B1250"/>
    <w:rsid w:val="003B1786"/>
    <w:rsid w:val="003B1E4B"/>
    <w:rsid w:val="003B223D"/>
    <w:rsid w:val="003B3049"/>
    <w:rsid w:val="003B3474"/>
    <w:rsid w:val="003B39CC"/>
    <w:rsid w:val="003B3CB3"/>
    <w:rsid w:val="003B4B0D"/>
    <w:rsid w:val="003B5543"/>
    <w:rsid w:val="003B650D"/>
    <w:rsid w:val="003B673E"/>
    <w:rsid w:val="003B6C2C"/>
    <w:rsid w:val="003B6C54"/>
    <w:rsid w:val="003B7181"/>
    <w:rsid w:val="003B73DE"/>
    <w:rsid w:val="003B7427"/>
    <w:rsid w:val="003B742B"/>
    <w:rsid w:val="003C06AA"/>
    <w:rsid w:val="003C0767"/>
    <w:rsid w:val="003C0A1B"/>
    <w:rsid w:val="003C0A5E"/>
    <w:rsid w:val="003C0E5E"/>
    <w:rsid w:val="003C164D"/>
    <w:rsid w:val="003C2252"/>
    <w:rsid w:val="003C22F3"/>
    <w:rsid w:val="003C2330"/>
    <w:rsid w:val="003C240C"/>
    <w:rsid w:val="003C280D"/>
    <w:rsid w:val="003C2A1A"/>
    <w:rsid w:val="003C2E63"/>
    <w:rsid w:val="003C3420"/>
    <w:rsid w:val="003C361D"/>
    <w:rsid w:val="003C3777"/>
    <w:rsid w:val="003C3839"/>
    <w:rsid w:val="003C4463"/>
    <w:rsid w:val="003C45A9"/>
    <w:rsid w:val="003C4A09"/>
    <w:rsid w:val="003C58EA"/>
    <w:rsid w:val="003C59A1"/>
    <w:rsid w:val="003C59C4"/>
    <w:rsid w:val="003C6087"/>
    <w:rsid w:val="003C6484"/>
    <w:rsid w:val="003C69E2"/>
    <w:rsid w:val="003C6E6E"/>
    <w:rsid w:val="003C7025"/>
    <w:rsid w:val="003C70E7"/>
    <w:rsid w:val="003C75BA"/>
    <w:rsid w:val="003C7BE6"/>
    <w:rsid w:val="003C7D8F"/>
    <w:rsid w:val="003C7E25"/>
    <w:rsid w:val="003D0B32"/>
    <w:rsid w:val="003D0CF1"/>
    <w:rsid w:val="003D0F7C"/>
    <w:rsid w:val="003D107E"/>
    <w:rsid w:val="003D10FE"/>
    <w:rsid w:val="003D18CA"/>
    <w:rsid w:val="003D1B1D"/>
    <w:rsid w:val="003D1E83"/>
    <w:rsid w:val="003D1E9E"/>
    <w:rsid w:val="003D2058"/>
    <w:rsid w:val="003D21E8"/>
    <w:rsid w:val="003D2860"/>
    <w:rsid w:val="003D2A5B"/>
    <w:rsid w:val="003D30B6"/>
    <w:rsid w:val="003D3C95"/>
    <w:rsid w:val="003D3F1B"/>
    <w:rsid w:val="003D3F32"/>
    <w:rsid w:val="003D41BD"/>
    <w:rsid w:val="003D434F"/>
    <w:rsid w:val="003D4666"/>
    <w:rsid w:val="003D48A8"/>
    <w:rsid w:val="003D5B6D"/>
    <w:rsid w:val="003D6605"/>
    <w:rsid w:val="003D710D"/>
    <w:rsid w:val="003E010D"/>
    <w:rsid w:val="003E067C"/>
    <w:rsid w:val="003E0ADE"/>
    <w:rsid w:val="003E0BB8"/>
    <w:rsid w:val="003E0F6E"/>
    <w:rsid w:val="003E100B"/>
    <w:rsid w:val="003E195D"/>
    <w:rsid w:val="003E1C4E"/>
    <w:rsid w:val="003E2A74"/>
    <w:rsid w:val="003E2EFC"/>
    <w:rsid w:val="003E2F0D"/>
    <w:rsid w:val="003E3227"/>
    <w:rsid w:val="003E386D"/>
    <w:rsid w:val="003E39C6"/>
    <w:rsid w:val="003E3AE6"/>
    <w:rsid w:val="003E3B2C"/>
    <w:rsid w:val="003E3C31"/>
    <w:rsid w:val="003E3E71"/>
    <w:rsid w:val="003E3F80"/>
    <w:rsid w:val="003E4214"/>
    <w:rsid w:val="003E43C3"/>
    <w:rsid w:val="003E4484"/>
    <w:rsid w:val="003E4677"/>
    <w:rsid w:val="003E487F"/>
    <w:rsid w:val="003E492F"/>
    <w:rsid w:val="003E4B04"/>
    <w:rsid w:val="003E4CE4"/>
    <w:rsid w:val="003E517F"/>
    <w:rsid w:val="003E5685"/>
    <w:rsid w:val="003E5965"/>
    <w:rsid w:val="003E5F4F"/>
    <w:rsid w:val="003E5FE7"/>
    <w:rsid w:val="003E6497"/>
    <w:rsid w:val="003E668D"/>
    <w:rsid w:val="003E677F"/>
    <w:rsid w:val="003E7AD8"/>
    <w:rsid w:val="003F0119"/>
    <w:rsid w:val="003F0686"/>
    <w:rsid w:val="003F137B"/>
    <w:rsid w:val="003F138C"/>
    <w:rsid w:val="003F19DD"/>
    <w:rsid w:val="003F1A73"/>
    <w:rsid w:val="003F1AA7"/>
    <w:rsid w:val="003F1CFF"/>
    <w:rsid w:val="003F20E3"/>
    <w:rsid w:val="003F241C"/>
    <w:rsid w:val="003F25FA"/>
    <w:rsid w:val="003F2871"/>
    <w:rsid w:val="003F28C1"/>
    <w:rsid w:val="003F39D0"/>
    <w:rsid w:val="003F3EAB"/>
    <w:rsid w:val="003F4739"/>
    <w:rsid w:val="003F5149"/>
    <w:rsid w:val="003F5E6B"/>
    <w:rsid w:val="003F6A04"/>
    <w:rsid w:val="003F6F58"/>
    <w:rsid w:val="003F7063"/>
    <w:rsid w:val="003F7363"/>
    <w:rsid w:val="003F790C"/>
    <w:rsid w:val="003F7C87"/>
    <w:rsid w:val="003F7CA2"/>
    <w:rsid w:val="0040093E"/>
    <w:rsid w:val="00400C65"/>
    <w:rsid w:val="004010D8"/>
    <w:rsid w:val="004012E0"/>
    <w:rsid w:val="004015F3"/>
    <w:rsid w:val="00401703"/>
    <w:rsid w:val="004019C1"/>
    <w:rsid w:val="0040226A"/>
    <w:rsid w:val="00402682"/>
    <w:rsid w:val="00402B09"/>
    <w:rsid w:val="0040307F"/>
    <w:rsid w:val="00403138"/>
    <w:rsid w:val="00403EC4"/>
    <w:rsid w:val="0040411F"/>
    <w:rsid w:val="0040420B"/>
    <w:rsid w:val="00404795"/>
    <w:rsid w:val="004047D0"/>
    <w:rsid w:val="004048E4"/>
    <w:rsid w:val="00405090"/>
    <w:rsid w:val="00405765"/>
    <w:rsid w:val="00405C9F"/>
    <w:rsid w:val="0040629D"/>
    <w:rsid w:val="00406B88"/>
    <w:rsid w:val="00406DD7"/>
    <w:rsid w:val="00406DDC"/>
    <w:rsid w:val="00406EA9"/>
    <w:rsid w:val="00406F3F"/>
    <w:rsid w:val="00407213"/>
    <w:rsid w:val="0040786A"/>
    <w:rsid w:val="00407E00"/>
    <w:rsid w:val="00407ECF"/>
    <w:rsid w:val="00410B6E"/>
    <w:rsid w:val="004112C8"/>
    <w:rsid w:val="0041135C"/>
    <w:rsid w:val="00411893"/>
    <w:rsid w:val="00411B5F"/>
    <w:rsid w:val="00411DBE"/>
    <w:rsid w:val="00411F63"/>
    <w:rsid w:val="004120B5"/>
    <w:rsid w:val="00412325"/>
    <w:rsid w:val="0041281A"/>
    <w:rsid w:val="00412986"/>
    <w:rsid w:val="00412D4F"/>
    <w:rsid w:val="00412F29"/>
    <w:rsid w:val="00412FDA"/>
    <w:rsid w:val="004130D5"/>
    <w:rsid w:val="004132E2"/>
    <w:rsid w:val="00414125"/>
    <w:rsid w:val="004142C6"/>
    <w:rsid w:val="004146B3"/>
    <w:rsid w:val="00414975"/>
    <w:rsid w:val="00414B44"/>
    <w:rsid w:val="0041527C"/>
    <w:rsid w:val="00415514"/>
    <w:rsid w:val="004155D3"/>
    <w:rsid w:val="0041564C"/>
    <w:rsid w:val="00416B1A"/>
    <w:rsid w:val="00416C28"/>
    <w:rsid w:val="00416EFF"/>
    <w:rsid w:val="004172DA"/>
    <w:rsid w:val="00417E81"/>
    <w:rsid w:val="004202BB"/>
    <w:rsid w:val="00420A18"/>
    <w:rsid w:val="00420F2C"/>
    <w:rsid w:val="00420F2F"/>
    <w:rsid w:val="0042149B"/>
    <w:rsid w:val="00421779"/>
    <w:rsid w:val="0042215F"/>
    <w:rsid w:val="004224F7"/>
    <w:rsid w:val="004225A4"/>
    <w:rsid w:val="0042298B"/>
    <w:rsid w:val="004229D9"/>
    <w:rsid w:val="004233EA"/>
    <w:rsid w:val="00423A93"/>
    <w:rsid w:val="00423F43"/>
    <w:rsid w:val="00424276"/>
    <w:rsid w:val="00424503"/>
    <w:rsid w:val="00424BBC"/>
    <w:rsid w:val="00424CB0"/>
    <w:rsid w:val="00425EF2"/>
    <w:rsid w:val="0042647E"/>
    <w:rsid w:val="00426636"/>
    <w:rsid w:val="00426B9A"/>
    <w:rsid w:val="00426F83"/>
    <w:rsid w:val="00427044"/>
    <w:rsid w:val="004270ED"/>
    <w:rsid w:val="004271FE"/>
    <w:rsid w:val="00427342"/>
    <w:rsid w:val="0042750D"/>
    <w:rsid w:val="0043018A"/>
    <w:rsid w:val="00430207"/>
    <w:rsid w:val="00430310"/>
    <w:rsid w:val="00430AA0"/>
    <w:rsid w:val="00430D0A"/>
    <w:rsid w:val="00430F29"/>
    <w:rsid w:val="00430FDC"/>
    <w:rsid w:val="00430FE9"/>
    <w:rsid w:val="00431300"/>
    <w:rsid w:val="0043135F"/>
    <w:rsid w:val="0043158C"/>
    <w:rsid w:val="0043166B"/>
    <w:rsid w:val="00431CC7"/>
    <w:rsid w:val="00431D2F"/>
    <w:rsid w:val="00431FDF"/>
    <w:rsid w:val="004322C1"/>
    <w:rsid w:val="004325E9"/>
    <w:rsid w:val="00432B49"/>
    <w:rsid w:val="00432DF3"/>
    <w:rsid w:val="004337BF"/>
    <w:rsid w:val="00433F21"/>
    <w:rsid w:val="0043429D"/>
    <w:rsid w:val="004345F3"/>
    <w:rsid w:val="00434E90"/>
    <w:rsid w:val="00435243"/>
    <w:rsid w:val="0043567B"/>
    <w:rsid w:val="004356F0"/>
    <w:rsid w:val="00435B4A"/>
    <w:rsid w:val="00435B74"/>
    <w:rsid w:val="00436BD9"/>
    <w:rsid w:val="0043709B"/>
    <w:rsid w:val="004378B7"/>
    <w:rsid w:val="0044072F"/>
    <w:rsid w:val="00440F62"/>
    <w:rsid w:val="004416D7"/>
    <w:rsid w:val="00441AE4"/>
    <w:rsid w:val="00441AF1"/>
    <w:rsid w:val="004427BF"/>
    <w:rsid w:val="0044285F"/>
    <w:rsid w:val="00442AB5"/>
    <w:rsid w:val="00442CC5"/>
    <w:rsid w:val="00442DF8"/>
    <w:rsid w:val="00443786"/>
    <w:rsid w:val="004438C2"/>
    <w:rsid w:val="00443DE5"/>
    <w:rsid w:val="00443EA2"/>
    <w:rsid w:val="004443EB"/>
    <w:rsid w:val="00444803"/>
    <w:rsid w:val="00444C1D"/>
    <w:rsid w:val="00444F95"/>
    <w:rsid w:val="0044538E"/>
    <w:rsid w:val="00445934"/>
    <w:rsid w:val="00445976"/>
    <w:rsid w:val="00446924"/>
    <w:rsid w:val="004469AC"/>
    <w:rsid w:val="00446F28"/>
    <w:rsid w:val="0044701B"/>
    <w:rsid w:val="0044703C"/>
    <w:rsid w:val="00447F8A"/>
    <w:rsid w:val="0045049C"/>
    <w:rsid w:val="00450522"/>
    <w:rsid w:val="00450B2F"/>
    <w:rsid w:val="00450C28"/>
    <w:rsid w:val="0045138C"/>
    <w:rsid w:val="004514CC"/>
    <w:rsid w:val="00451511"/>
    <w:rsid w:val="00451605"/>
    <w:rsid w:val="004518A4"/>
    <w:rsid w:val="00452ABB"/>
    <w:rsid w:val="00452E28"/>
    <w:rsid w:val="0045312A"/>
    <w:rsid w:val="004532FB"/>
    <w:rsid w:val="004533FF"/>
    <w:rsid w:val="0045349C"/>
    <w:rsid w:val="0045364E"/>
    <w:rsid w:val="00454A11"/>
    <w:rsid w:val="00454EB8"/>
    <w:rsid w:val="00454F7E"/>
    <w:rsid w:val="00455155"/>
    <w:rsid w:val="0045518A"/>
    <w:rsid w:val="00455344"/>
    <w:rsid w:val="00455348"/>
    <w:rsid w:val="004557BB"/>
    <w:rsid w:val="00455C38"/>
    <w:rsid w:val="004560C2"/>
    <w:rsid w:val="004566A8"/>
    <w:rsid w:val="0045671D"/>
    <w:rsid w:val="00456CCC"/>
    <w:rsid w:val="00457574"/>
    <w:rsid w:val="00460D4E"/>
    <w:rsid w:val="00460EC5"/>
    <w:rsid w:val="004612D5"/>
    <w:rsid w:val="00461557"/>
    <w:rsid w:val="0046159B"/>
    <w:rsid w:val="00462150"/>
    <w:rsid w:val="004621C4"/>
    <w:rsid w:val="00462383"/>
    <w:rsid w:val="004623CE"/>
    <w:rsid w:val="0046249A"/>
    <w:rsid w:val="004625A4"/>
    <w:rsid w:val="00462CB4"/>
    <w:rsid w:val="00462E04"/>
    <w:rsid w:val="00463266"/>
    <w:rsid w:val="004633ED"/>
    <w:rsid w:val="00463441"/>
    <w:rsid w:val="00463FA5"/>
    <w:rsid w:val="0046488F"/>
    <w:rsid w:val="00464DE8"/>
    <w:rsid w:val="00465263"/>
    <w:rsid w:val="004659E6"/>
    <w:rsid w:val="004659F5"/>
    <w:rsid w:val="00465BE2"/>
    <w:rsid w:val="00465E0C"/>
    <w:rsid w:val="00465F6B"/>
    <w:rsid w:val="00466519"/>
    <w:rsid w:val="00466E97"/>
    <w:rsid w:val="00467139"/>
    <w:rsid w:val="0046743F"/>
    <w:rsid w:val="00467504"/>
    <w:rsid w:val="004676C6"/>
    <w:rsid w:val="004676D4"/>
    <w:rsid w:val="0046783C"/>
    <w:rsid w:val="00470FF1"/>
    <w:rsid w:val="004711A6"/>
    <w:rsid w:val="0047150A"/>
    <w:rsid w:val="0047154B"/>
    <w:rsid w:val="00471C90"/>
    <w:rsid w:val="00472165"/>
    <w:rsid w:val="004727CB"/>
    <w:rsid w:val="00472936"/>
    <w:rsid w:val="00472A9E"/>
    <w:rsid w:val="00472B02"/>
    <w:rsid w:val="00472B9A"/>
    <w:rsid w:val="00473572"/>
    <w:rsid w:val="00473C33"/>
    <w:rsid w:val="00473CE8"/>
    <w:rsid w:val="00473EAB"/>
    <w:rsid w:val="004740FE"/>
    <w:rsid w:val="0047425A"/>
    <w:rsid w:val="004742CF"/>
    <w:rsid w:val="00474A4F"/>
    <w:rsid w:val="004755A7"/>
    <w:rsid w:val="00475E94"/>
    <w:rsid w:val="004762A5"/>
    <w:rsid w:val="00476386"/>
    <w:rsid w:val="00476B4F"/>
    <w:rsid w:val="00476C19"/>
    <w:rsid w:val="004772C1"/>
    <w:rsid w:val="0047734F"/>
    <w:rsid w:val="004778C7"/>
    <w:rsid w:val="00477EC5"/>
    <w:rsid w:val="004809E0"/>
    <w:rsid w:val="004813F6"/>
    <w:rsid w:val="0048144B"/>
    <w:rsid w:val="0048177F"/>
    <w:rsid w:val="004817BC"/>
    <w:rsid w:val="004817DE"/>
    <w:rsid w:val="00481A2A"/>
    <w:rsid w:val="00481E7D"/>
    <w:rsid w:val="004826FD"/>
    <w:rsid w:val="0048293B"/>
    <w:rsid w:val="00482E5F"/>
    <w:rsid w:val="00482F21"/>
    <w:rsid w:val="004830B5"/>
    <w:rsid w:val="0048338A"/>
    <w:rsid w:val="00483DA2"/>
    <w:rsid w:val="00483F7E"/>
    <w:rsid w:val="00484580"/>
    <w:rsid w:val="00484C54"/>
    <w:rsid w:val="00484ECD"/>
    <w:rsid w:val="00485136"/>
    <w:rsid w:val="0048532D"/>
    <w:rsid w:val="00485404"/>
    <w:rsid w:val="004854DD"/>
    <w:rsid w:val="00485781"/>
    <w:rsid w:val="004860A0"/>
    <w:rsid w:val="00486150"/>
    <w:rsid w:val="0048632F"/>
    <w:rsid w:val="00486FD7"/>
    <w:rsid w:val="00487806"/>
    <w:rsid w:val="00487A37"/>
    <w:rsid w:val="00487AD6"/>
    <w:rsid w:val="00487B8D"/>
    <w:rsid w:val="00487F5D"/>
    <w:rsid w:val="004902FD"/>
    <w:rsid w:val="00490931"/>
    <w:rsid w:val="00490B7D"/>
    <w:rsid w:val="0049164B"/>
    <w:rsid w:val="00491E11"/>
    <w:rsid w:val="0049214E"/>
    <w:rsid w:val="00492D8C"/>
    <w:rsid w:val="00492DD8"/>
    <w:rsid w:val="00492E86"/>
    <w:rsid w:val="004938A1"/>
    <w:rsid w:val="004939FD"/>
    <w:rsid w:val="00493BDE"/>
    <w:rsid w:val="00493C2C"/>
    <w:rsid w:val="004940E5"/>
    <w:rsid w:val="00494555"/>
    <w:rsid w:val="004947EA"/>
    <w:rsid w:val="0049493E"/>
    <w:rsid w:val="00494CF8"/>
    <w:rsid w:val="00494E4B"/>
    <w:rsid w:val="00495373"/>
    <w:rsid w:val="0049597D"/>
    <w:rsid w:val="00495ABD"/>
    <w:rsid w:val="004965D7"/>
    <w:rsid w:val="00496610"/>
    <w:rsid w:val="00496757"/>
    <w:rsid w:val="004969E7"/>
    <w:rsid w:val="00496ABA"/>
    <w:rsid w:val="00496F3D"/>
    <w:rsid w:val="004970D3"/>
    <w:rsid w:val="0049756C"/>
    <w:rsid w:val="004975AD"/>
    <w:rsid w:val="00497779"/>
    <w:rsid w:val="004A0AE3"/>
    <w:rsid w:val="004A0FF6"/>
    <w:rsid w:val="004A10AE"/>
    <w:rsid w:val="004A1194"/>
    <w:rsid w:val="004A11A3"/>
    <w:rsid w:val="004A13FD"/>
    <w:rsid w:val="004A1F30"/>
    <w:rsid w:val="004A250F"/>
    <w:rsid w:val="004A2672"/>
    <w:rsid w:val="004A29B3"/>
    <w:rsid w:val="004A2AA2"/>
    <w:rsid w:val="004A2C85"/>
    <w:rsid w:val="004A2EEB"/>
    <w:rsid w:val="004A3799"/>
    <w:rsid w:val="004A3A78"/>
    <w:rsid w:val="004A478E"/>
    <w:rsid w:val="004A50F5"/>
    <w:rsid w:val="004A53BD"/>
    <w:rsid w:val="004A5AF9"/>
    <w:rsid w:val="004A5C6F"/>
    <w:rsid w:val="004A5FA1"/>
    <w:rsid w:val="004A6186"/>
    <w:rsid w:val="004A6354"/>
    <w:rsid w:val="004A64E4"/>
    <w:rsid w:val="004A68A0"/>
    <w:rsid w:val="004A6D0A"/>
    <w:rsid w:val="004A6D36"/>
    <w:rsid w:val="004A6EDE"/>
    <w:rsid w:val="004A6F38"/>
    <w:rsid w:val="004A72BD"/>
    <w:rsid w:val="004A7403"/>
    <w:rsid w:val="004A7B6A"/>
    <w:rsid w:val="004A7CCF"/>
    <w:rsid w:val="004A7EE5"/>
    <w:rsid w:val="004A7FB2"/>
    <w:rsid w:val="004B10DF"/>
    <w:rsid w:val="004B119D"/>
    <w:rsid w:val="004B11E8"/>
    <w:rsid w:val="004B1464"/>
    <w:rsid w:val="004B148A"/>
    <w:rsid w:val="004B19BA"/>
    <w:rsid w:val="004B1D88"/>
    <w:rsid w:val="004B1FFF"/>
    <w:rsid w:val="004B20BF"/>
    <w:rsid w:val="004B2752"/>
    <w:rsid w:val="004B2B6C"/>
    <w:rsid w:val="004B3052"/>
    <w:rsid w:val="004B3545"/>
    <w:rsid w:val="004B4241"/>
    <w:rsid w:val="004B42FF"/>
    <w:rsid w:val="004B45DB"/>
    <w:rsid w:val="004B46AF"/>
    <w:rsid w:val="004B4C4E"/>
    <w:rsid w:val="004B4F49"/>
    <w:rsid w:val="004B518D"/>
    <w:rsid w:val="004B533E"/>
    <w:rsid w:val="004B5341"/>
    <w:rsid w:val="004B5544"/>
    <w:rsid w:val="004B5C3E"/>
    <w:rsid w:val="004B6331"/>
    <w:rsid w:val="004B65B0"/>
    <w:rsid w:val="004B699B"/>
    <w:rsid w:val="004B6DFC"/>
    <w:rsid w:val="004B6E4C"/>
    <w:rsid w:val="004B70F6"/>
    <w:rsid w:val="004B752D"/>
    <w:rsid w:val="004B753D"/>
    <w:rsid w:val="004B75C8"/>
    <w:rsid w:val="004B7A24"/>
    <w:rsid w:val="004B7D13"/>
    <w:rsid w:val="004B7D7F"/>
    <w:rsid w:val="004C02E6"/>
    <w:rsid w:val="004C0529"/>
    <w:rsid w:val="004C2318"/>
    <w:rsid w:val="004C25ED"/>
    <w:rsid w:val="004C26C5"/>
    <w:rsid w:val="004C29B3"/>
    <w:rsid w:val="004C2CFF"/>
    <w:rsid w:val="004C2EE6"/>
    <w:rsid w:val="004C34CE"/>
    <w:rsid w:val="004C4360"/>
    <w:rsid w:val="004C44EC"/>
    <w:rsid w:val="004C465C"/>
    <w:rsid w:val="004C484A"/>
    <w:rsid w:val="004C4BBC"/>
    <w:rsid w:val="004C4C3C"/>
    <w:rsid w:val="004C4EA6"/>
    <w:rsid w:val="004C5D62"/>
    <w:rsid w:val="004C5E19"/>
    <w:rsid w:val="004C62C6"/>
    <w:rsid w:val="004C6BB1"/>
    <w:rsid w:val="004C6D7E"/>
    <w:rsid w:val="004C71BA"/>
    <w:rsid w:val="004C7524"/>
    <w:rsid w:val="004C7659"/>
    <w:rsid w:val="004C7C51"/>
    <w:rsid w:val="004D029C"/>
    <w:rsid w:val="004D03C1"/>
    <w:rsid w:val="004D12C9"/>
    <w:rsid w:val="004D13FC"/>
    <w:rsid w:val="004D1AA1"/>
    <w:rsid w:val="004D1B31"/>
    <w:rsid w:val="004D2E42"/>
    <w:rsid w:val="004D3321"/>
    <w:rsid w:val="004D3926"/>
    <w:rsid w:val="004D455E"/>
    <w:rsid w:val="004D4A33"/>
    <w:rsid w:val="004D4C04"/>
    <w:rsid w:val="004D505F"/>
    <w:rsid w:val="004D5363"/>
    <w:rsid w:val="004D5EFC"/>
    <w:rsid w:val="004D621A"/>
    <w:rsid w:val="004D70DE"/>
    <w:rsid w:val="004D7101"/>
    <w:rsid w:val="004D72CB"/>
    <w:rsid w:val="004D775A"/>
    <w:rsid w:val="004D78BD"/>
    <w:rsid w:val="004D7A8A"/>
    <w:rsid w:val="004E01D1"/>
    <w:rsid w:val="004E020C"/>
    <w:rsid w:val="004E058D"/>
    <w:rsid w:val="004E0B9F"/>
    <w:rsid w:val="004E14C9"/>
    <w:rsid w:val="004E19C2"/>
    <w:rsid w:val="004E2353"/>
    <w:rsid w:val="004E2E5E"/>
    <w:rsid w:val="004E38BC"/>
    <w:rsid w:val="004E3D49"/>
    <w:rsid w:val="004E3F95"/>
    <w:rsid w:val="004E4927"/>
    <w:rsid w:val="004E57CE"/>
    <w:rsid w:val="004E5C88"/>
    <w:rsid w:val="004E5DDF"/>
    <w:rsid w:val="004E62D2"/>
    <w:rsid w:val="004E655B"/>
    <w:rsid w:val="004E6E3A"/>
    <w:rsid w:val="004E75F7"/>
    <w:rsid w:val="004E786E"/>
    <w:rsid w:val="004E7884"/>
    <w:rsid w:val="004E7E17"/>
    <w:rsid w:val="004E7F17"/>
    <w:rsid w:val="004F009F"/>
    <w:rsid w:val="004F039B"/>
    <w:rsid w:val="004F0E81"/>
    <w:rsid w:val="004F1EE5"/>
    <w:rsid w:val="004F1F85"/>
    <w:rsid w:val="004F26C5"/>
    <w:rsid w:val="004F298B"/>
    <w:rsid w:val="004F2A90"/>
    <w:rsid w:val="004F2C58"/>
    <w:rsid w:val="004F3218"/>
    <w:rsid w:val="004F35C2"/>
    <w:rsid w:val="004F3A44"/>
    <w:rsid w:val="004F3D0A"/>
    <w:rsid w:val="004F415D"/>
    <w:rsid w:val="004F434A"/>
    <w:rsid w:val="004F47C9"/>
    <w:rsid w:val="004F486C"/>
    <w:rsid w:val="004F4D6F"/>
    <w:rsid w:val="004F4EA8"/>
    <w:rsid w:val="004F540B"/>
    <w:rsid w:val="004F56D9"/>
    <w:rsid w:val="004F6110"/>
    <w:rsid w:val="004F64C6"/>
    <w:rsid w:val="004F656A"/>
    <w:rsid w:val="004F6CD9"/>
    <w:rsid w:val="004F6D92"/>
    <w:rsid w:val="004F7260"/>
    <w:rsid w:val="004F76A2"/>
    <w:rsid w:val="004F783E"/>
    <w:rsid w:val="004F79E5"/>
    <w:rsid w:val="004F7C4B"/>
    <w:rsid w:val="005007C0"/>
    <w:rsid w:val="00500814"/>
    <w:rsid w:val="005013CE"/>
    <w:rsid w:val="005015A2"/>
    <w:rsid w:val="0050204A"/>
    <w:rsid w:val="00502301"/>
    <w:rsid w:val="005023E9"/>
    <w:rsid w:val="005024F3"/>
    <w:rsid w:val="00502526"/>
    <w:rsid w:val="00502D6E"/>
    <w:rsid w:val="005032F5"/>
    <w:rsid w:val="00503398"/>
    <w:rsid w:val="005036D2"/>
    <w:rsid w:val="00503982"/>
    <w:rsid w:val="00503C3B"/>
    <w:rsid w:val="0050413A"/>
    <w:rsid w:val="00504D09"/>
    <w:rsid w:val="005056FD"/>
    <w:rsid w:val="00505D83"/>
    <w:rsid w:val="00505E2C"/>
    <w:rsid w:val="00506AA6"/>
    <w:rsid w:val="00506B39"/>
    <w:rsid w:val="00507958"/>
    <w:rsid w:val="00507B36"/>
    <w:rsid w:val="005100F9"/>
    <w:rsid w:val="005101F8"/>
    <w:rsid w:val="005103C4"/>
    <w:rsid w:val="0051050B"/>
    <w:rsid w:val="00510553"/>
    <w:rsid w:val="005109F1"/>
    <w:rsid w:val="00510C99"/>
    <w:rsid w:val="00510D2C"/>
    <w:rsid w:val="00510E5D"/>
    <w:rsid w:val="00511201"/>
    <w:rsid w:val="00511553"/>
    <w:rsid w:val="00511898"/>
    <w:rsid w:val="00511E5B"/>
    <w:rsid w:val="00512721"/>
    <w:rsid w:val="00512858"/>
    <w:rsid w:val="00512E14"/>
    <w:rsid w:val="00512EBD"/>
    <w:rsid w:val="00513052"/>
    <w:rsid w:val="00513881"/>
    <w:rsid w:val="005139CB"/>
    <w:rsid w:val="00513CA7"/>
    <w:rsid w:val="00513DA1"/>
    <w:rsid w:val="00513FAB"/>
    <w:rsid w:val="0051475A"/>
    <w:rsid w:val="00514812"/>
    <w:rsid w:val="00515444"/>
    <w:rsid w:val="0051575C"/>
    <w:rsid w:val="005159C9"/>
    <w:rsid w:val="00515FDC"/>
    <w:rsid w:val="00516BFB"/>
    <w:rsid w:val="005170FA"/>
    <w:rsid w:val="005175E9"/>
    <w:rsid w:val="00517769"/>
    <w:rsid w:val="0051793B"/>
    <w:rsid w:val="005179FB"/>
    <w:rsid w:val="00517D8D"/>
    <w:rsid w:val="00517D9A"/>
    <w:rsid w:val="0052009D"/>
    <w:rsid w:val="0052030E"/>
    <w:rsid w:val="00520440"/>
    <w:rsid w:val="005204BE"/>
    <w:rsid w:val="00520965"/>
    <w:rsid w:val="00520A5F"/>
    <w:rsid w:val="00521168"/>
    <w:rsid w:val="005215F7"/>
    <w:rsid w:val="00521710"/>
    <w:rsid w:val="005217A0"/>
    <w:rsid w:val="005217C9"/>
    <w:rsid w:val="00521EC6"/>
    <w:rsid w:val="0052215C"/>
    <w:rsid w:val="005221BC"/>
    <w:rsid w:val="00522230"/>
    <w:rsid w:val="0052225C"/>
    <w:rsid w:val="005226AC"/>
    <w:rsid w:val="00523771"/>
    <w:rsid w:val="0052383F"/>
    <w:rsid w:val="00523AB6"/>
    <w:rsid w:val="00523CC7"/>
    <w:rsid w:val="00524123"/>
    <w:rsid w:val="005246AA"/>
    <w:rsid w:val="00524C78"/>
    <w:rsid w:val="00524CC9"/>
    <w:rsid w:val="00525285"/>
    <w:rsid w:val="00525A7A"/>
    <w:rsid w:val="00526F92"/>
    <w:rsid w:val="0052715D"/>
    <w:rsid w:val="00527A20"/>
    <w:rsid w:val="00527F3F"/>
    <w:rsid w:val="00527F4A"/>
    <w:rsid w:val="0053044F"/>
    <w:rsid w:val="00530EE2"/>
    <w:rsid w:val="005319F7"/>
    <w:rsid w:val="00531CEF"/>
    <w:rsid w:val="005321C5"/>
    <w:rsid w:val="00532914"/>
    <w:rsid w:val="00532C48"/>
    <w:rsid w:val="00533125"/>
    <w:rsid w:val="0053335D"/>
    <w:rsid w:val="005335EB"/>
    <w:rsid w:val="0053367A"/>
    <w:rsid w:val="00533BDF"/>
    <w:rsid w:val="0053403D"/>
    <w:rsid w:val="00534071"/>
    <w:rsid w:val="00534213"/>
    <w:rsid w:val="005343F1"/>
    <w:rsid w:val="0053440D"/>
    <w:rsid w:val="0053507C"/>
    <w:rsid w:val="0053527C"/>
    <w:rsid w:val="00535449"/>
    <w:rsid w:val="00535742"/>
    <w:rsid w:val="005357C5"/>
    <w:rsid w:val="00535F09"/>
    <w:rsid w:val="0053676F"/>
    <w:rsid w:val="00536A4A"/>
    <w:rsid w:val="00536A76"/>
    <w:rsid w:val="00536B7E"/>
    <w:rsid w:val="005406AD"/>
    <w:rsid w:val="00540738"/>
    <w:rsid w:val="00541469"/>
    <w:rsid w:val="00541AC5"/>
    <w:rsid w:val="00541C68"/>
    <w:rsid w:val="00541E58"/>
    <w:rsid w:val="00541EC6"/>
    <w:rsid w:val="00541ED7"/>
    <w:rsid w:val="0054229F"/>
    <w:rsid w:val="00542382"/>
    <w:rsid w:val="0054275F"/>
    <w:rsid w:val="00542DF4"/>
    <w:rsid w:val="005430D9"/>
    <w:rsid w:val="005432B4"/>
    <w:rsid w:val="00544179"/>
    <w:rsid w:val="00544297"/>
    <w:rsid w:val="00544BE6"/>
    <w:rsid w:val="0054513E"/>
    <w:rsid w:val="005457A6"/>
    <w:rsid w:val="00545F4A"/>
    <w:rsid w:val="0054630F"/>
    <w:rsid w:val="00546758"/>
    <w:rsid w:val="00546B03"/>
    <w:rsid w:val="00547131"/>
    <w:rsid w:val="0054714D"/>
    <w:rsid w:val="005474FD"/>
    <w:rsid w:val="0055004D"/>
    <w:rsid w:val="00550209"/>
    <w:rsid w:val="0055061F"/>
    <w:rsid w:val="00551299"/>
    <w:rsid w:val="00551469"/>
    <w:rsid w:val="005517F3"/>
    <w:rsid w:val="00551AF4"/>
    <w:rsid w:val="00551C9D"/>
    <w:rsid w:val="00551E33"/>
    <w:rsid w:val="00552760"/>
    <w:rsid w:val="00552F97"/>
    <w:rsid w:val="00553578"/>
    <w:rsid w:val="0055448B"/>
    <w:rsid w:val="0055478B"/>
    <w:rsid w:val="00554B1A"/>
    <w:rsid w:val="00554CFE"/>
    <w:rsid w:val="00555125"/>
    <w:rsid w:val="0055560A"/>
    <w:rsid w:val="005559C3"/>
    <w:rsid w:val="00555E73"/>
    <w:rsid w:val="0055646E"/>
    <w:rsid w:val="00556AF5"/>
    <w:rsid w:val="00556C9E"/>
    <w:rsid w:val="00556FCE"/>
    <w:rsid w:val="00557083"/>
    <w:rsid w:val="00557449"/>
    <w:rsid w:val="005579F8"/>
    <w:rsid w:val="00557D7C"/>
    <w:rsid w:val="0056027C"/>
    <w:rsid w:val="005602EF"/>
    <w:rsid w:val="005604CE"/>
    <w:rsid w:val="00560963"/>
    <w:rsid w:val="00560A43"/>
    <w:rsid w:val="005610A7"/>
    <w:rsid w:val="0056112C"/>
    <w:rsid w:val="00561289"/>
    <w:rsid w:val="005619DC"/>
    <w:rsid w:val="00561AED"/>
    <w:rsid w:val="00561C06"/>
    <w:rsid w:val="005620FB"/>
    <w:rsid w:val="00562C70"/>
    <w:rsid w:val="00562ED4"/>
    <w:rsid w:val="005638A8"/>
    <w:rsid w:val="005639A8"/>
    <w:rsid w:val="00563DE6"/>
    <w:rsid w:val="00564492"/>
    <w:rsid w:val="00564CC0"/>
    <w:rsid w:val="00564D4C"/>
    <w:rsid w:val="00564D77"/>
    <w:rsid w:val="00565EB6"/>
    <w:rsid w:val="00566DE1"/>
    <w:rsid w:val="00567973"/>
    <w:rsid w:val="00567E46"/>
    <w:rsid w:val="00570BF5"/>
    <w:rsid w:val="00570D2A"/>
    <w:rsid w:val="00570DA5"/>
    <w:rsid w:val="00571DCD"/>
    <w:rsid w:val="005722BA"/>
    <w:rsid w:val="00572334"/>
    <w:rsid w:val="00572E63"/>
    <w:rsid w:val="005735AC"/>
    <w:rsid w:val="005735DC"/>
    <w:rsid w:val="0057369D"/>
    <w:rsid w:val="00573704"/>
    <w:rsid w:val="00573773"/>
    <w:rsid w:val="00573D7B"/>
    <w:rsid w:val="00574262"/>
    <w:rsid w:val="0057456E"/>
    <w:rsid w:val="00574FEF"/>
    <w:rsid w:val="00575349"/>
    <w:rsid w:val="00575372"/>
    <w:rsid w:val="00575526"/>
    <w:rsid w:val="0057558A"/>
    <w:rsid w:val="0057564C"/>
    <w:rsid w:val="00575D50"/>
    <w:rsid w:val="00575E63"/>
    <w:rsid w:val="00575EAF"/>
    <w:rsid w:val="005768B4"/>
    <w:rsid w:val="005776C2"/>
    <w:rsid w:val="00577E43"/>
    <w:rsid w:val="00580A6C"/>
    <w:rsid w:val="00580B49"/>
    <w:rsid w:val="0058154E"/>
    <w:rsid w:val="00581846"/>
    <w:rsid w:val="0058224A"/>
    <w:rsid w:val="0058335D"/>
    <w:rsid w:val="005835E9"/>
    <w:rsid w:val="00583891"/>
    <w:rsid w:val="00583E05"/>
    <w:rsid w:val="00583F96"/>
    <w:rsid w:val="00584D27"/>
    <w:rsid w:val="005850A1"/>
    <w:rsid w:val="0058526A"/>
    <w:rsid w:val="00585448"/>
    <w:rsid w:val="005858B5"/>
    <w:rsid w:val="00585F9E"/>
    <w:rsid w:val="00586A34"/>
    <w:rsid w:val="00586CA5"/>
    <w:rsid w:val="00586ED0"/>
    <w:rsid w:val="00586F5C"/>
    <w:rsid w:val="00586F97"/>
    <w:rsid w:val="005870C2"/>
    <w:rsid w:val="005872B6"/>
    <w:rsid w:val="00587608"/>
    <w:rsid w:val="0058767F"/>
    <w:rsid w:val="00587740"/>
    <w:rsid w:val="00587B8D"/>
    <w:rsid w:val="00587CB3"/>
    <w:rsid w:val="00587DF8"/>
    <w:rsid w:val="00587FAB"/>
    <w:rsid w:val="005903AE"/>
    <w:rsid w:val="005911FD"/>
    <w:rsid w:val="0059131B"/>
    <w:rsid w:val="00591B08"/>
    <w:rsid w:val="00591D57"/>
    <w:rsid w:val="00592725"/>
    <w:rsid w:val="005937B8"/>
    <w:rsid w:val="00593856"/>
    <w:rsid w:val="0059412F"/>
    <w:rsid w:val="0059476F"/>
    <w:rsid w:val="0059493C"/>
    <w:rsid w:val="00594A43"/>
    <w:rsid w:val="00594D14"/>
    <w:rsid w:val="00594D3E"/>
    <w:rsid w:val="00595505"/>
    <w:rsid w:val="00595925"/>
    <w:rsid w:val="00595E54"/>
    <w:rsid w:val="005961BE"/>
    <w:rsid w:val="0059661B"/>
    <w:rsid w:val="00596740"/>
    <w:rsid w:val="005967A7"/>
    <w:rsid w:val="00596972"/>
    <w:rsid w:val="00596BF8"/>
    <w:rsid w:val="00596F4D"/>
    <w:rsid w:val="00597054"/>
    <w:rsid w:val="0059706E"/>
    <w:rsid w:val="005977D2"/>
    <w:rsid w:val="00597A34"/>
    <w:rsid w:val="00597F2B"/>
    <w:rsid w:val="005A0E60"/>
    <w:rsid w:val="005A1093"/>
    <w:rsid w:val="005A1CD8"/>
    <w:rsid w:val="005A1E8E"/>
    <w:rsid w:val="005A21DC"/>
    <w:rsid w:val="005A225A"/>
    <w:rsid w:val="005A23DC"/>
    <w:rsid w:val="005A2B50"/>
    <w:rsid w:val="005A3393"/>
    <w:rsid w:val="005A3660"/>
    <w:rsid w:val="005A3842"/>
    <w:rsid w:val="005A3C60"/>
    <w:rsid w:val="005A429E"/>
    <w:rsid w:val="005A432A"/>
    <w:rsid w:val="005A435D"/>
    <w:rsid w:val="005A45EA"/>
    <w:rsid w:val="005A5035"/>
    <w:rsid w:val="005A545A"/>
    <w:rsid w:val="005A5BDB"/>
    <w:rsid w:val="005A5CC7"/>
    <w:rsid w:val="005A6042"/>
    <w:rsid w:val="005A6A45"/>
    <w:rsid w:val="005A6B02"/>
    <w:rsid w:val="005A6DA4"/>
    <w:rsid w:val="005A7743"/>
    <w:rsid w:val="005A7C0C"/>
    <w:rsid w:val="005A7F8B"/>
    <w:rsid w:val="005B0221"/>
    <w:rsid w:val="005B022D"/>
    <w:rsid w:val="005B02E4"/>
    <w:rsid w:val="005B0997"/>
    <w:rsid w:val="005B0E69"/>
    <w:rsid w:val="005B0EFF"/>
    <w:rsid w:val="005B1601"/>
    <w:rsid w:val="005B1A20"/>
    <w:rsid w:val="005B1CBF"/>
    <w:rsid w:val="005B2753"/>
    <w:rsid w:val="005B2B0A"/>
    <w:rsid w:val="005B35E2"/>
    <w:rsid w:val="005B3E36"/>
    <w:rsid w:val="005B3E3B"/>
    <w:rsid w:val="005B420F"/>
    <w:rsid w:val="005B4760"/>
    <w:rsid w:val="005B4FE7"/>
    <w:rsid w:val="005B50BC"/>
    <w:rsid w:val="005B5D15"/>
    <w:rsid w:val="005B61EC"/>
    <w:rsid w:val="005B6572"/>
    <w:rsid w:val="005B669C"/>
    <w:rsid w:val="005B68B3"/>
    <w:rsid w:val="005B77EA"/>
    <w:rsid w:val="005B7AD7"/>
    <w:rsid w:val="005C03F9"/>
    <w:rsid w:val="005C0924"/>
    <w:rsid w:val="005C0B27"/>
    <w:rsid w:val="005C0EA4"/>
    <w:rsid w:val="005C205B"/>
    <w:rsid w:val="005C2147"/>
    <w:rsid w:val="005C2248"/>
    <w:rsid w:val="005C26AA"/>
    <w:rsid w:val="005C2D1E"/>
    <w:rsid w:val="005C2D77"/>
    <w:rsid w:val="005C2F39"/>
    <w:rsid w:val="005C333B"/>
    <w:rsid w:val="005C4079"/>
    <w:rsid w:val="005C4211"/>
    <w:rsid w:val="005C4407"/>
    <w:rsid w:val="005C4577"/>
    <w:rsid w:val="005C4B54"/>
    <w:rsid w:val="005C4F36"/>
    <w:rsid w:val="005C599C"/>
    <w:rsid w:val="005C5D19"/>
    <w:rsid w:val="005C603A"/>
    <w:rsid w:val="005C60F7"/>
    <w:rsid w:val="005C630A"/>
    <w:rsid w:val="005C6499"/>
    <w:rsid w:val="005C6B9F"/>
    <w:rsid w:val="005C7177"/>
    <w:rsid w:val="005C720D"/>
    <w:rsid w:val="005C7521"/>
    <w:rsid w:val="005C7B3D"/>
    <w:rsid w:val="005C7E79"/>
    <w:rsid w:val="005D0A90"/>
    <w:rsid w:val="005D0B62"/>
    <w:rsid w:val="005D0B99"/>
    <w:rsid w:val="005D0FD3"/>
    <w:rsid w:val="005D14EB"/>
    <w:rsid w:val="005D1840"/>
    <w:rsid w:val="005D18B7"/>
    <w:rsid w:val="005D2409"/>
    <w:rsid w:val="005D24C5"/>
    <w:rsid w:val="005D2B56"/>
    <w:rsid w:val="005D2D59"/>
    <w:rsid w:val="005D30EF"/>
    <w:rsid w:val="005D3254"/>
    <w:rsid w:val="005D3299"/>
    <w:rsid w:val="005D3315"/>
    <w:rsid w:val="005D3494"/>
    <w:rsid w:val="005D3609"/>
    <w:rsid w:val="005D417E"/>
    <w:rsid w:val="005D49E8"/>
    <w:rsid w:val="005D504C"/>
    <w:rsid w:val="005D50AE"/>
    <w:rsid w:val="005D555A"/>
    <w:rsid w:val="005D5D9C"/>
    <w:rsid w:val="005D6035"/>
    <w:rsid w:val="005D61FF"/>
    <w:rsid w:val="005D6523"/>
    <w:rsid w:val="005D6589"/>
    <w:rsid w:val="005D68B3"/>
    <w:rsid w:val="005D717B"/>
    <w:rsid w:val="005D7694"/>
    <w:rsid w:val="005E0042"/>
    <w:rsid w:val="005E0191"/>
    <w:rsid w:val="005E078A"/>
    <w:rsid w:val="005E089F"/>
    <w:rsid w:val="005E0A0C"/>
    <w:rsid w:val="005E0AB9"/>
    <w:rsid w:val="005E0B71"/>
    <w:rsid w:val="005E0E67"/>
    <w:rsid w:val="005E1566"/>
    <w:rsid w:val="005E15C4"/>
    <w:rsid w:val="005E15C9"/>
    <w:rsid w:val="005E1ADD"/>
    <w:rsid w:val="005E1DC0"/>
    <w:rsid w:val="005E1E04"/>
    <w:rsid w:val="005E2265"/>
    <w:rsid w:val="005E22C6"/>
    <w:rsid w:val="005E2393"/>
    <w:rsid w:val="005E25EA"/>
    <w:rsid w:val="005E2EAB"/>
    <w:rsid w:val="005E34BD"/>
    <w:rsid w:val="005E3880"/>
    <w:rsid w:val="005E3F51"/>
    <w:rsid w:val="005E5392"/>
    <w:rsid w:val="005E58BD"/>
    <w:rsid w:val="005E5CB8"/>
    <w:rsid w:val="005E657B"/>
    <w:rsid w:val="005E6745"/>
    <w:rsid w:val="005E6ABB"/>
    <w:rsid w:val="005E6CAB"/>
    <w:rsid w:val="005E7111"/>
    <w:rsid w:val="005E72A6"/>
    <w:rsid w:val="005E78C3"/>
    <w:rsid w:val="005F0161"/>
    <w:rsid w:val="005F01C8"/>
    <w:rsid w:val="005F0412"/>
    <w:rsid w:val="005F0D8A"/>
    <w:rsid w:val="005F12FC"/>
    <w:rsid w:val="005F1544"/>
    <w:rsid w:val="005F18B5"/>
    <w:rsid w:val="005F1BAC"/>
    <w:rsid w:val="005F1F68"/>
    <w:rsid w:val="005F2060"/>
    <w:rsid w:val="005F2527"/>
    <w:rsid w:val="005F288F"/>
    <w:rsid w:val="005F2C7E"/>
    <w:rsid w:val="005F2CA5"/>
    <w:rsid w:val="005F3575"/>
    <w:rsid w:val="005F36EB"/>
    <w:rsid w:val="005F3D05"/>
    <w:rsid w:val="005F3F89"/>
    <w:rsid w:val="005F446D"/>
    <w:rsid w:val="005F44D6"/>
    <w:rsid w:val="005F45C7"/>
    <w:rsid w:val="005F4B42"/>
    <w:rsid w:val="005F54BC"/>
    <w:rsid w:val="005F5C9C"/>
    <w:rsid w:val="005F5DBD"/>
    <w:rsid w:val="005F5F29"/>
    <w:rsid w:val="005F6130"/>
    <w:rsid w:val="005F626E"/>
    <w:rsid w:val="005F683C"/>
    <w:rsid w:val="005F70B7"/>
    <w:rsid w:val="005F72BF"/>
    <w:rsid w:val="005F75DC"/>
    <w:rsid w:val="005F77AE"/>
    <w:rsid w:val="005F796A"/>
    <w:rsid w:val="00600085"/>
    <w:rsid w:val="0060040E"/>
    <w:rsid w:val="00601071"/>
    <w:rsid w:val="006011E1"/>
    <w:rsid w:val="006011E7"/>
    <w:rsid w:val="0060127E"/>
    <w:rsid w:val="00601595"/>
    <w:rsid w:val="00601641"/>
    <w:rsid w:val="00601918"/>
    <w:rsid w:val="006023B8"/>
    <w:rsid w:val="00602514"/>
    <w:rsid w:val="006036C6"/>
    <w:rsid w:val="006037A7"/>
    <w:rsid w:val="00603B0D"/>
    <w:rsid w:val="00603C37"/>
    <w:rsid w:val="00604268"/>
    <w:rsid w:val="00604ED9"/>
    <w:rsid w:val="00605164"/>
    <w:rsid w:val="00605196"/>
    <w:rsid w:val="006052C3"/>
    <w:rsid w:val="0060535A"/>
    <w:rsid w:val="006061BF"/>
    <w:rsid w:val="00606A2C"/>
    <w:rsid w:val="006072D1"/>
    <w:rsid w:val="006075FF"/>
    <w:rsid w:val="00607831"/>
    <w:rsid w:val="006107C0"/>
    <w:rsid w:val="00610A7F"/>
    <w:rsid w:val="00610BCD"/>
    <w:rsid w:val="0061101F"/>
    <w:rsid w:val="00612019"/>
    <w:rsid w:val="0061226B"/>
    <w:rsid w:val="006127C1"/>
    <w:rsid w:val="00612A00"/>
    <w:rsid w:val="00613150"/>
    <w:rsid w:val="006131C2"/>
    <w:rsid w:val="00613DC6"/>
    <w:rsid w:val="006141F6"/>
    <w:rsid w:val="006143F9"/>
    <w:rsid w:val="00614574"/>
    <w:rsid w:val="0061463E"/>
    <w:rsid w:val="006148E6"/>
    <w:rsid w:val="00614993"/>
    <w:rsid w:val="00614A29"/>
    <w:rsid w:val="00614A3C"/>
    <w:rsid w:val="00614CAE"/>
    <w:rsid w:val="00614D3F"/>
    <w:rsid w:val="00614EE1"/>
    <w:rsid w:val="00615087"/>
    <w:rsid w:val="006152C9"/>
    <w:rsid w:val="006161BC"/>
    <w:rsid w:val="006162E1"/>
    <w:rsid w:val="006164C9"/>
    <w:rsid w:val="006168C3"/>
    <w:rsid w:val="00616904"/>
    <w:rsid w:val="006170AA"/>
    <w:rsid w:val="0061741F"/>
    <w:rsid w:val="006177DE"/>
    <w:rsid w:val="00617E4C"/>
    <w:rsid w:val="00617FAE"/>
    <w:rsid w:val="006200BA"/>
    <w:rsid w:val="00620174"/>
    <w:rsid w:val="006205EA"/>
    <w:rsid w:val="006207B2"/>
    <w:rsid w:val="00620F75"/>
    <w:rsid w:val="0062178B"/>
    <w:rsid w:val="00621D46"/>
    <w:rsid w:val="00621DBF"/>
    <w:rsid w:val="006220F8"/>
    <w:rsid w:val="00622499"/>
    <w:rsid w:val="00622507"/>
    <w:rsid w:val="006226BD"/>
    <w:rsid w:val="0062287B"/>
    <w:rsid w:val="00622A92"/>
    <w:rsid w:val="00622B8F"/>
    <w:rsid w:val="00622EAF"/>
    <w:rsid w:val="00623141"/>
    <w:rsid w:val="00623160"/>
    <w:rsid w:val="00623251"/>
    <w:rsid w:val="00624096"/>
    <w:rsid w:val="0062462C"/>
    <w:rsid w:val="006246F6"/>
    <w:rsid w:val="00624F44"/>
    <w:rsid w:val="006251EC"/>
    <w:rsid w:val="0062524E"/>
    <w:rsid w:val="0062680D"/>
    <w:rsid w:val="00626906"/>
    <w:rsid w:val="00626AC9"/>
    <w:rsid w:val="0062787D"/>
    <w:rsid w:val="00627C43"/>
    <w:rsid w:val="006302B9"/>
    <w:rsid w:val="006306A7"/>
    <w:rsid w:val="00630825"/>
    <w:rsid w:val="00630BA7"/>
    <w:rsid w:val="006312A7"/>
    <w:rsid w:val="00631A82"/>
    <w:rsid w:val="00631ADA"/>
    <w:rsid w:val="00631C43"/>
    <w:rsid w:val="00631E7B"/>
    <w:rsid w:val="00631F81"/>
    <w:rsid w:val="00632744"/>
    <w:rsid w:val="006336BE"/>
    <w:rsid w:val="0063435B"/>
    <w:rsid w:val="00634428"/>
    <w:rsid w:val="00634C8A"/>
    <w:rsid w:val="00634E83"/>
    <w:rsid w:val="0063509B"/>
    <w:rsid w:val="006351C1"/>
    <w:rsid w:val="006353A7"/>
    <w:rsid w:val="006357C1"/>
    <w:rsid w:val="0063605E"/>
    <w:rsid w:val="00636093"/>
    <w:rsid w:val="00636258"/>
    <w:rsid w:val="006368D2"/>
    <w:rsid w:val="00636ADC"/>
    <w:rsid w:val="00637391"/>
    <w:rsid w:val="0063766B"/>
    <w:rsid w:val="00637949"/>
    <w:rsid w:val="00637FB0"/>
    <w:rsid w:val="0064062A"/>
    <w:rsid w:val="0064087E"/>
    <w:rsid w:val="00640A19"/>
    <w:rsid w:val="00640FA3"/>
    <w:rsid w:val="006415F8"/>
    <w:rsid w:val="00641771"/>
    <w:rsid w:val="00641B76"/>
    <w:rsid w:val="00642279"/>
    <w:rsid w:val="00642500"/>
    <w:rsid w:val="0064542C"/>
    <w:rsid w:val="00645802"/>
    <w:rsid w:val="00645F62"/>
    <w:rsid w:val="0064668C"/>
    <w:rsid w:val="006467D2"/>
    <w:rsid w:val="00646960"/>
    <w:rsid w:val="00646BAE"/>
    <w:rsid w:val="00646C5D"/>
    <w:rsid w:val="00646DE3"/>
    <w:rsid w:val="00646FBE"/>
    <w:rsid w:val="00646FC2"/>
    <w:rsid w:val="00646FD5"/>
    <w:rsid w:val="00647276"/>
    <w:rsid w:val="006476DD"/>
    <w:rsid w:val="00647913"/>
    <w:rsid w:val="00647A1E"/>
    <w:rsid w:val="00650162"/>
    <w:rsid w:val="00651600"/>
    <w:rsid w:val="0065164D"/>
    <w:rsid w:val="00651683"/>
    <w:rsid w:val="006517EE"/>
    <w:rsid w:val="0065184B"/>
    <w:rsid w:val="00651A9D"/>
    <w:rsid w:val="00652119"/>
    <w:rsid w:val="00652412"/>
    <w:rsid w:val="0065246C"/>
    <w:rsid w:val="00652503"/>
    <w:rsid w:val="00652515"/>
    <w:rsid w:val="0065275B"/>
    <w:rsid w:val="006528F4"/>
    <w:rsid w:val="00652F6C"/>
    <w:rsid w:val="00653169"/>
    <w:rsid w:val="006534A4"/>
    <w:rsid w:val="0065396B"/>
    <w:rsid w:val="00653A67"/>
    <w:rsid w:val="00653B01"/>
    <w:rsid w:val="00654576"/>
    <w:rsid w:val="006549A6"/>
    <w:rsid w:val="00654EFB"/>
    <w:rsid w:val="006552E9"/>
    <w:rsid w:val="006559C2"/>
    <w:rsid w:val="00655FC9"/>
    <w:rsid w:val="00655FCA"/>
    <w:rsid w:val="00656401"/>
    <w:rsid w:val="00656D06"/>
    <w:rsid w:val="00656D71"/>
    <w:rsid w:val="00656DDC"/>
    <w:rsid w:val="00656F94"/>
    <w:rsid w:val="00657291"/>
    <w:rsid w:val="0065792C"/>
    <w:rsid w:val="00657C15"/>
    <w:rsid w:val="006600FD"/>
    <w:rsid w:val="006605FB"/>
    <w:rsid w:val="00660C03"/>
    <w:rsid w:val="0066105E"/>
    <w:rsid w:val="0066114C"/>
    <w:rsid w:val="006615E3"/>
    <w:rsid w:val="00661D10"/>
    <w:rsid w:val="00661D40"/>
    <w:rsid w:val="00662446"/>
    <w:rsid w:val="00662544"/>
    <w:rsid w:val="00662553"/>
    <w:rsid w:val="0066256B"/>
    <w:rsid w:val="00662890"/>
    <w:rsid w:val="0066293B"/>
    <w:rsid w:val="00662C5F"/>
    <w:rsid w:val="006633BA"/>
    <w:rsid w:val="006633EE"/>
    <w:rsid w:val="0066344C"/>
    <w:rsid w:val="00663986"/>
    <w:rsid w:val="006642AC"/>
    <w:rsid w:val="00664638"/>
    <w:rsid w:val="0066465F"/>
    <w:rsid w:val="0066491E"/>
    <w:rsid w:val="00664973"/>
    <w:rsid w:val="006649C4"/>
    <w:rsid w:val="00664ED2"/>
    <w:rsid w:val="00665693"/>
    <w:rsid w:val="006658E8"/>
    <w:rsid w:val="00665EBC"/>
    <w:rsid w:val="00666073"/>
    <w:rsid w:val="0066607D"/>
    <w:rsid w:val="00667552"/>
    <w:rsid w:val="006677CE"/>
    <w:rsid w:val="006677D8"/>
    <w:rsid w:val="00667D01"/>
    <w:rsid w:val="006707DA"/>
    <w:rsid w:val="00670939"/>
    <w:rsid w:val="006709CE"/>
    <w:rsid w:val="00670E56"/>
    <w:rsid w:val="00670E97"/>
    <w:rsid w:val="006710D1"/>
    <w:rsid w:val="006711D5"/>
    <w:rsid w:val="006713D3"/>
    <w:rsid w:val="00671725"/>
    <w:rsid w:val="00671E5F"/>
    <w:rsid w:val="0067231D"/>
    <w:rsid w:val="00672466"/>
    <w:rsid w:val="006724D4"/>
    <w:rsid w:val="006727A2"/>
    <w:rsid w:val="00672DF6"/>
    <w:rsid w:val="00672E35"/>
    <w:rsid w:val="006732C7"/>
    <w:rsid w:val="006734D1"/>
    <w:rsid w:val="00674FE3"/>
    <w:rsid w:val="006751BC"/>
    <w:rsid w:val="0067556E"/>
    <w:rsid w:val="006758F7"/>
    <w:rsid w:val="0067596D"/>
    <w:rsid w:val="00675BD4"/>
    <w:rsid w:val="00675BD8"/>
    <w:rsid w:val="00675E95"/>
    <w:rsid w:val="00675E98"/>
    <w:rsid w:val="00676092"/>
    <w:rsid w:val="006761C2"/>
    <w:rsid w:val="006765C3"/>
    <w:rsid w:val="006769EE"/>
    <w:rsid w:val="00676B9B"/>
    <w:rsid w:val="006773BC"/>
    <w:rsid w:val="00677B92"/>
    <w:rsid w:val="00677D0D"/>
    <w:rsid w:val="00680407"/>
    <w:rsid w:val="00680645"/>
    <w:rsid w:val="0068112C"/>
    <w:rsid w:val="006815BA"/>
    <w:rsid w:val="00681CF9"/>
    <w:rsid w:val="00682186"/>
    <w:rsid w:val="00682681"/>
    <w:rsid w:val="00682B74"/>
    <w:rsid w:val="00682CA2"/>
    <w:rsid w:val="00682CFB"/>
    <w:rsid w:val="00682FD4"/>
    <w:rsid w:val="006833E5"/>
    <w:rsid w:val="006835C7"/>
    <w:rsid w:val="00683AAC"/>
    <w:rsid w:val="00683CFA"/>
    <w:rsid w:val="00683EB4"/>
    <w:rsid w:val="0068418B"/>
    <w:rsid w:val="00684781"/>
    <w:rsid w:val="00684874"/>
    <w:rsid w:val="00684DF2"/>
    <w:rsid w:val="00685373"/>
    <w:rsid w:val="00685EC8"/>
    <w:rsid w:val="00686137"/>
    <w:rsid w:val="00686D03"/>
    <w:rsid w:val="00687AF6"/>
    <w:rsid w:val="00687DBA"/>
    <w:rsid w:val="00687F07"/>
    <w:rsid w:val="006902CC"/>
    <w:rsid w:val="0069037C"/>
    <w:rsid w:val="00691115"/>
    <w:rsid w:val="0069118A"/>
    <w:rsid w:val="006918E4"/>
    <w:rsid w:val="00691920"/>
    <w:rsid w:val="00691A35"/>
    <w:rsid w:val="0069289A"/>
    <w:rsid w:val="0069292F"/>
    <w:rsid w:val="00692F30"/>
    <w:rsid w:val="00693726"/>
    <w:rsid w:val="00693EDC"/>
    <w:rsid w:val="0069426A"/>
    <w:rsid w:val="00694A7F"/>
    <w:rsid w:val="00694C51"/>
    <w:rsid w:val="006957C0"/>
    <w:rsid w:val="006959A6"/>
    <w:rsid w:val="00696024"/>
    <w:rsid w:val="0069609A"/>
    <w:rsid w:val="006960C3"/>
    <w:rsid w:val="0069614B"/>
    <w:rsid w:val="00696630"/>
    <w:rsid w:val="00696DF0"/>
    <w:rsid w:val="006971D5"/>
    <w:rsid w:val="00697384"/>
    <w:rsid w:val="006977A8"/>
    <w:rsid w:val="006A081B"/>
    <w:rsid w:val="006A0D22"/>
    <w:rsid w:val="006A1098"/>
    <w:rsid w:val="006A122E"/>
    <w:rsid w:val="006A1493"/>
    <w:rsid w:val="006A151A"/>
    <w:rsid w:val="006A1FC8"/>
    <w:rsid w:val="006A2051"/>
    <w:rsid w:val="006A247E"/>
    <w:rsid w:val="006A2D27"/>
    <w:rsid w:val="006A2D52"/>
    <w:rsid w:val="006A2ECF"/>
    <w:rsid w:val="006A31A9"/>
    <w:rsid w:val="006A357C"/>
    <w:rsid w:val="006A3BA4"/>
    <w:rsid w:val="006A3BED"/>
    <w:rsid w:val="006A4013"/>
    <w:rsid w:val="006A4664"/>
    <w:rsid w:val="006A4681"/>
    <w:rsid w:val="006A49E7"/>
    <w:rsid w:val="006A4A9B"/>
    <w:rsid w:val="006A4B8F"/>
    <w:rsid w:val="006A4C2C"/>
    <w:rsid w:val="006A4D8A"/>
    <w:rsid w:val="006A5042"/>
    <w:rsid w:val="006A56C2"/>
    <w:rsid w:val="006A5743"/>
    <w:rsid w:val="006A5C05"/>
    <w:rsid w:val="006A5CD3"/>
    <w:rsid w:val="006A5CDB"/>
    <w:rsid w:val="006A5DD4"/>
    <w:rsid w:val="006A5F38"/>
    <w:rsid w:val="006A60CF"/>
    <w:rsid w:val="006A6205"/>
    <w:rsid w:val="006A6479"/>
    <w:rsid w:val="006A64F0"/>
    <w:rsid w:val="006A68F3"/>
    <w:rsid w:val="006A6A75"/>
    <w:rsid w:val="006A6BA4"/>
    <w:rsid w:val="006A6D3F"/>
    <w:rsid w:val="006A75E5"/>
    <w:rsid w:val="006A79D0"/>
    <w:rsid w:val="006A7A00"/>
    <w:rsid w:val="006A7B49"/>
    <w:rsid w:val="006A7C4E"/>
    <w:rsid w:val="006B0472"/>
    <w:rsid w:val="006B0A3D"/>
    <w:rsid w:val="006B0A86"/>
    <w:rsid w:val="006B0C60"/>
    <w:rsid w:val="006B0EEC"/>
    <w:rsid w:val="006B194C"/>
    <w:rsid w:val="006B1D5A"/>
    <w:rsid w:val="006B2190"/>
    <w:rsid w:val="006B23E8"/>
    <w:rsid w:val="006B29C0"/>
    <w:rsid w:val="006B2B35"/>
    <w:rsid w:val="006B2F87"/>
    <w:rsid w:val="006B309F"/>
    <w:rsid w:val="006B3116"/>
    <w:rsid w:val="006B3C18"/>
    <w:rsid w:val="006B4222"/>
    <w:rsid w:val="006B4B4B"/>
    <w:rsid w:val="006B4C58"/>
    <w:rsid w:val="006B57D0"/>
    <w:rsid w:val="006B5FBF"/>
    <w:rsid w:val="006B60F1"/>
    <w:rsid w:val="006B6157"/>
    <w:rsid w:val="006B6A1A"/>
    <w:rsid w:val="006B6B58"/>
    <w:rsid w:val="006B76AA"/>
    <w:rsid w:val="006B7985"/>
    <w:rsid w:val="006C02D9"/>
    <w:rsid w:val="006C03C1"/>
    <w:rsid w:val="006C05C8"/>
    <w:rsid w:val="006C05D3"/>
    <w:rsid w:val="006C0D69"/>
    <w:rsid w:val="006C1278"/>
    <w:rsid w:val="006C16BF"/>
    <w:rsid w:val="006C209C"/>
    <w:rsid w:val="006C23A1"/>
    <w:rsid w:val="006C25A7"/>
    <w:rsid w:val="006C2C95"/>
    <w:rsid w:val="006C330E"/>
    <w:rsid w:val="006C33C4"/>
    <w:rsid w:val="006C35F9"/>
    <w:rsid w:val="006C38F7"/>
    <w:rsid w:val="006C3BC4"/>
    <w:rsid w:val="006C3F4A"/>
    <w:rsid w:val="006C479A"/>
    <w:rsid w:val="006C48EB"/>
    <w:rsid w:val="006C4A2F"/>
    <w:rsid w:val="006C5122"/>
    <w:rsid w:val="006C5C6F"/>
    <w:rsid w:val="006C5EB5"/>
    <w:rsid w:val="006C664A"/>
    <w:rsid w:val="006C664E"/>
    <w:rsid w:val="006C6B07"/>
    <w:rsid w:val="006C7934"/>
    <w:rsid w:val="006C7CFA"/>
    <w:rsid w:val="006C7DCC"/>
    <w:rsid w:val="006C7F29"/>
    <w:rsid w:val="006D00BC"/>
    <w:rsid w:val="006D04CB"/>
    <w:rsid w:val="006D0839"/>
    <w:rsid w:val="006D08D9"/>
    <w:rsid w:val="006D0CDE"/>
    <w:rsid w:val="006D0D5E"/>
    <w:rsid w:val="006D134D"/>
    <w:rsid w:val="006D14F2"/>
    <w:rsid w:val="006D1D95"/>
    <w:rsid w:val="006D1F3F"/>
    <w:rsid w:val="006D1FD4"/>
    <w:rsid w:val="006D239E"/>
    <w:rsid w:val="006D2BCD"/>
    <w:rsid w:val="006D2BE8"/>
    <w:rsid w:val="006D2E02"/>
    <w:rsid w:val="006D2E79"/>
    <w:rsid w:val="006D32FA"/>
    <w:rsid w:val="006D35C4"/>
    <w:rsid w:val="006D35FA"/>
    <w:rsid w:val="006D37AB"/>
    <w:rsid w:val="006D3F7D"/>
    <w:rsid w:val="006D3FF5"/>
    <w:rsid w:val="006D4716"/>
    <w:rsid w:val="006D49FE"/>
    <w:rsid w:val="006D52C6"/>
    <w:rsid w:val="006D5784"/>
    <w:rsid w:val="006D5878"/>
    <w:rsid w:val="006D5B93"/>
    <w:rsid w:val="006D5E8A"/>
    <w:rsid w:val="006D64E2"/>
    <w:rsid w:val="006D7E18"/>
    <w:rsid w:val="006E004D"/>
    <w:rsid w:val="006E061F"/>
    <w:rsid w:val="006E0D63"/>
    <w:rsid w:val="006E1BAE"/>
    <w:rsid w:val="006E1D98"/>
    <w:rsid w:val="006E2326"/>
    <w:rsid w:val="006E235A"/>
    <w:rsid w:val="006E23D0"/>
    <w:rsid w:val="006E2783"/>
    <w:rsid w:val="006E2BF7"/>
    <w:rsid w:val="006E2E16"/>
    <w:rsid w:val="006E309D"/>
    <w:rsid w:val="006E3216"/>
    <w:rsid w:val="006E322A"/>
    <w:rsid w:val="006E3683"/>
    <w:rsid w:val="006E3684"/>
    <w:rsid w:val="006E3DAE"/>
    <w:rsid w:val="006E3E27"/>
    <w:rsid w:val="006E3E88"/>
    <w:rsid w:val="006E44BD"/>
    <w:rsid w:val="006E45C8"/>
    <w:rsid w:val="006E4AB5"/>
    <w:rsid w:val="006E56F5"/>
    <w:rsid w:val="006E58B4"/>
    <w:rsid w:val="006E67C4"/>
    <w:rsid w:val="006E682C"/>
    <w:rsid w:val="006E6AD8"/>
    <w:rsid w:val="006E7532"/>
    <w:rsid w:val="006F069D"/>
    <w:rsid w:val="006F073C"/>
    <w:rsid w:val="006F1A5C"/>
    <w:rsid w:val="006F2431"/>
    <w:rsid w:val="006F24C0"/>
    <w:rsid w:val="006F2A5C"/>
    <w:rsid w:val="006F360B"/>
    <w:rsid w:val="006F3869"/>
    <w:rsid w:val="006F3D43"/>
    <w:rsid w:val="006F448B"/>
    <w:rsid w:val="006F45D6"/>
    <w:rsid w:val="006F46F8"/>
    <w:rsid w:val="006F4A31"/>
    <w:rsid w:val="006F5C92"/>
    <w:rsid w:val="006F5D25"/>
    <w:rsid w:val="006F5D83"/>
    <w:rsid w:val="006F63C7"/>
    <w:rsid w:val="006F661D"/>
    <w:rsid w:val="006F679D"/>
    <w:rsid w:val="006F6ED6"/>
    <w:rsid w:val="006F76A5"/>
    <w:rsid w:val="006F7726"/>
    <w:rsid w:val="006F7F9D"/>
    <w:rsid w:val="00700159"/>
    <w:rsid w:val="00700470"/>
    <w:rsid w:val="007007C9"/>
    <w:rsid w:val="00702080"/>
    <w:rsid w:val="00702B32"/>
    <w:rsid w:val="00702D68"/>
    <w:rsid w:val="00702F6E"/>
    <w:rsid w:val="00703522"/>
    <w:rsid w:val="0070390C"/>
    <w:rsid w:val="00703E3A"/>
    <w:rsid w:val="00704AD6"/>
    <w:rsid w:val="0070515D"/>
    <w:rsid w:val="007052CA"/>
    <w:rsid w:val="00705DEE"/>
    <w:rsid w:val="007064E3"/>
    <w:rsid w:val="00706626"/>
    <w:rsid w:val="0070676E"/>
    <w:rsid w:val="007069D5"/>
    <w:rsid w:val="00706DA5"/>
    <w:rsid w:val="007070BE"/>
    <w:rsid w:val="0070713E"/>
    <w:rsid w:val="00707369"/>
    <w:rsid w:val="007074D2"/>
    <w:rsid w:val="0070756A"/>
    <w:rsid w:val="0070772E"/>
    <w:rsid w:val="00707B2D"/>
    <w:rsid w:val="00710070"/>
    <w:rsid w:val="00710308"/>
    <w:rsid w:val="007104DA"/>
    <w:rsid w:val="00710647"/>
    <w:rsid w:val="007106CA"/>
    <w:rsid w:val="00711136"/>
    <w:rsid w:val="00711285"/>
    <w:rsid w:val="0071164D"/>
    <w:rsid w:val="00711661"/>
    <w:rsid w:val="0071184D"/>
    <w:rsid w:val="0071199D"/>
    <w:rsid w:val="00711B94"/>
    <w:rsid w:val="007129D7"/>
    <w:rsid w:val="007131C2"/>
    <w:rsid w:val="00713712"/>
    <w:rsid w:val="007138AE"/>
    <w:rsid w:val="00713A79"/>
    <w:rsid w:val="00713C4B"/>
    <w:rsid w:val="007141B9"/>
    <w:rsid w:val="0071462E"/>
    <w:rsid w:val="00714941"/>
    <w:rsid w:val="00714AD7"/>
    <w:rsid w:val="00714BCC"/>
    <w:rsid w:val="0071510C"/>
    <w:rsid w:val="00715448"/>
    <w:rsid w:val="00715AC0"/>
    <w:rsid w:val="00715B91"/>
    <w:rsid w:val="00715C08"/>
    <w:rsid w:val="00716177"/>
    <w:rsid w:val="0071671A"/>
    <w:rsid w:val="00716BF2"/>
    <w:rsid w:val="00716DA5"/>
    <w:rsid w:val="00717750"/>
    <w:rsid w:val="007203EC"/>
    <w:rsid w:val="00720725"/>
    <w:rsid w:val="0072091E"/>
    <w:rsid w:val="00720C11"/>
    <w:rsid w:val="00720CB2"/>
    <w:rsid w:val="00720EC0"/>
    <w:rsid w:val="00720F84"/>
    <w:rsid w:val="007226C5"/>
    <w:rsid w:val="00722F17"/>
    <w:rsid w:val="007231CA"/>
    <w:rsid w:val="0072343B"/>
    <w:rsid w:val="00723A10"/>
    <w:rsid w:val="00723BC7"/>
    <w:rsid w:val="00723EE4"/>
    <w:rsid w:val="00724154"/>
    <w:rsid w:val="00724AFA"/>
    <w:rsid w:val="00724E27"/>
    <w:rsid w:val="00724F1D"/>
    <w:rsid w:val="00724F6F"/>
    <w:rsid w:val="007259D4"/>
    <w:rsid w:val="0072634F"/>
    <w:rsid w:val="00726BC9"/>
    <w:rsid w:val="0072781E"/>
    <w:rsid w:val="0072782F"/>
    <w:rsid w:val="00727DD5"/>
    <w:rsid w:val="00730212"/>
    <w:rsid w:val="007305C5"/>
    <w:rsid w:val="00730896"/>
    <w:rsid w:val="0073089D"/>
    <w:rsid w:val="00730A51"/>
    <w:rsid w:val="00730AED"/>
    <w:rsid w:val="00730B0E"/>
    <w:rsid w:val="007312EA"/>
    <w:rsid w:val="00731DBF"/>
    <w:rsid w:val="00732229"/>
    <w:rsid w:val="007330B7"/>
    <w:rsid w:val="0073381C"/>
    <w:rsid w:val="00733949"/>
    <w:rsid w:val="00733C50"/>
    <w:rsid w:val="00733FE6"/>
    <w:rsid w:val="007341A7"/>
    <w:rsid w:val="00734835"/>
    <w:rsid w:val="00735367"/>
    <w:rsid w:val="0073546F"/>
    <w:rsid w:val="0073593D"/>
    <w:rsid w:val="0073607C"/>
    <w:rsid w:val="0073611E"/>
    <w:rsid w:val="007370CB"/>
    <w:rsid w:val="00737558"/>
    <w:rsid w:val="00737DEF"/>
    <w:rsid w:val="00737FA0"/>
    <w:rsid w:val="007402BC"/>
    <w:rsid w:val="00740A99"/>
    <w:rsid w:val="00740C8F"/>
    <w:rsid w:val="00740FDD"/>
    <w:rsid w:val="00742584"/>
    <w:rsid w:val="00742CD2"/>
    <w:rsid w:val="0074302C"/>
    <w:rsid w:val="007430F1"/>
    <w:rsid w:val="00743619"/>
    <w:rsid w:val="00743867"/>
    <w:rsid w:val="007439F8"/>
    <w:rsid w:val="00743B93"/>
    <w:rsid w:val="0074419F"/>
    <w:rsid w:val="00744294"/>
    <w:rsid w:val="00744EC0"/>
    <w:rsid w:val="00744F06"/>
    <w:rsid w:val="00744F8F"/>
    <w:rsid w:val="00745420"/>
    <w:rsid w:val="00745793"/>
    <w:rsid w:val="00745E3C"/>
    <w:rsid w:val="007460D6"/>
    <w:rsid w:val="00746693"/>
    <w:rsid w:val="00746734"/>
    <w:rsid w:val="00746BE7"/>
    <w:rsid w:val="00747099"/>
    <w:rsid w:val="007472C6"/>
    <w:rsid w:val="007474DD"/>
    <w:rsid w:val="00747E58"/>
    <w:rsid w:val="00747F62"/>
    <w:rsid w:val="00750125"/>
    <w:rsid w:val="007502F0"/>
    <w:rsid w:val="007510CD"/>
    <w:rsid w:val="0075161B"/>
    <w:rsid w:val="00751645"/>
    <w:rsid w:val="00751B26"/>
    <w:rsid w:val="00751BE5"/>
    <w:rsid w:val="00751E76"/>
    <w:rsid w:val="007531F8"/>
    <w:rsid w:val="007532EE"/>
    <w:rsid w:val="00753903"/>
    <w:rsid w:val="00753E2C"/>
    <w:rsid w:val="00753E8B"/>
    <w:rsid w:val="007545C6"/>
    <w:rsid w:val="007548D1"/>
    <w:rsid w:val="00754F02"/>
    <w:rsid w:val="00755416"/>
    <w:rsid w:val="00755774"/>
    <w:rsid w:val="007560BB"/>
    <w:rsid w:val="00756711"/>
    <w:rsid w:val="0075676C"/>
    <w:rsid w:val="00756EE0"/>
    <w:rsid w:val="0075712D"/>
    <w:rsid w:val="00757764"/>
    <w:rsid w:val="00757C22"/>
    <w:rsid w:val="00757C30"/>
    <w:rsid w:val="00757E25"/>
    <w:rsid w:val="00757E54"/>
    <w:rsid w:val="007603C5"/>
    <w:rsid w:val="007605B3"/>
    <w:rsid w:val="0076116F"/>
    <w:rsid w:val="00761498"/>
    <w:rsid w:val="00761553"/>
    <w:rsid w:val="00761926"/>
    <w:rsid w:val="00761F34"/>
    <w:rsid w:val="00762227"/>
    <w:rsid w:val="00762772"/>
    <w:rsid w:val="00763732"/>
    <w:rsid w:val="00763C5E"/>
    <w:rsid w:val="007642D2"/>
    <w:rsid w:val="00764D98"/>
    <w:rsid w:val="007651CF"/>
    <w:rsid w:val="0076525B"/>
    <w:rsid w:val="00765ABD"/>
    <w:rsid w:val="00765DAB"/>
    <w:rsid w:val="00766974"/>
    <w:rsid w:val="00766E50"/>
    <w:rsid w:val="00767707"/>
    <w:rsid w:val="00767719"/>
    <w:rsid w:val="00767793"/>
    <w:rsid w:val="00767D78"/>
    <w:rsid w:val="00770133"/>
    <w:rsid w:val="0077022E"/>
    <w:rsid w:val="007706AA"/>
    <w:rsid w:val="0077109A"/>
    <w:rsid w:val="00771567"/>
    <w:rsid w:val="007715BF"/>
    <w:rsid w:val="007719C3"/>
    <w:rsid w:val="00771E5A"/>
    <w:rsid w:val="007726FA"/>
    <w:rsid w:val="00772719"/>
    <w:rsid w:val="0077272A"/>
    <w:rsid w:val="00772A36"/>
    <w:rsid w:val="007737FC"/>
    <w:rsid w:val="00773BD1"/>
    <w:rsid w:val="0077414C"/>
    <w:rsid w:val="0077486E"/>
    <w:rsid w:val="00774915"/>
    <w:rsid w:val="00774B65"/>
    <w:rsid w:val="00774C28"/>
    <w:rsid w:val="00774FA8"/>
    <w:rsid w:val="00775713"/>
    <w:rsid w:val="00775B4B"/>
    <w:rsid w:val="00775C06"/>
    <w:rsid w:val="00775E24"/>
    <w:rsid w:val="0077618A"/>
    <w:rsid w:val="00776890"/>
    <w:rsid w:val="00776973"/>
    <w:rsid w:val="00776AC1"/>
    <w:rsid w:val="00776C11"/>
    <w:rsid w:val="00777409"/>
    <w:rsid w:val="007775FC"/>
    <w:rsid w:val="00777BE0"/>
    <w:rsid w:val="0078036A"/>
    <w:rsid w:val="00780394"/>
    <w:rsid w:val="0078059C"/>
    <w:rsid w:val="00780BF0"/>
    <w:rsid w:val="00780D5F"/>
    <w:rsid w:val="007814B8"/>
    <w:rsid w:val="00781E5E"/>
    <w:rsid w:val="00782171"/>
    <w:rsid w:val="00782231"/>
    <w:rsid w:val="00782692"/>
    <w:rsid w:val="007826E3"/>
    <w:rsid w:val="00782DF8"/>
    <w:rsid w:val="0078303A"/>
    <w:rsid w:val="0078314F"/>
    <w:rsid w:val="0078358A"/>
    <w:rsid w:val="00783B71"/>
    <w:rsid w:val="0078409A"/>
    <w:rsid w:val="00784988"/>
    <w:rsid w:val="0078502D"/>
    <w:rsid w:val="00785391"/>
    <w:rsid w:val="007853F3"/>
    <w:rsid w:val="007857DC"/>
    <w:rsid w:val="00785A61"/>
    <w:rsid w:val="00785CCC"/>
    <w:rsid w:val="00785E1B"/>
    <w:rsid w:val="00785ED4"/>
    <w:rsid w:val="007863F3"/>
    <w:rsid w:val="0078670A"/>
    <w:rsid w:val="0078679E"/>
    <w:rsid w:val="00786A00"/>
    <w:rsid w:val="00787203"/>
    <w:rsid w:val="00790F15"/>
    <w:rsid w:val="00790F95"/>
    <w:rsid w:val="00790FEB"/>
    <w:rsid w:val="00791120"/>
    <w:rsid w:val="0079143F"/>
    <w:rsid w:val="007919F0"/>
    <w:rsid w:val="00792934"/>
    <w:rsid w:val="00792A8F"/>
    <w:rsid w:val="00792F7E"/>
    <w:rsid w:val="00793658"/>
    <w:rsid w:val="007938E8"/>
    <w:rsid w:val="00793E19"/>
    <w:rsid w:val="00794129"/>
    <w:rsid w:val="007941CE"/>
    <w:rsid w:val="00794406"/>
    <w:rsid w:val="0079453E"/>
    <w:rsid w:val="00794866"/>
    <w:rsid w:val="00795219"/>
    <w:rsid w:val="00795CEC"/>
    <w:rsid w:val="007961D1"/>
    <w:rsid w:val="00796534"/>
    <w:rsid w:val="007969C7"/>
    <w:rsid w:val="007A0922"/>
    <w:rsid w:val="007A0D5A"/>
    <w:rsid w:val="007A0EC1"/>
    <w:rsid w:val="007A1473"/>
    <w:rsid w:val="007A1651"/>
    <w:rsid w:val="007A1A55"/>
    <w:rsid w:val="007A1BA0"/>
    <w:rsid w:val="007A1CC5"/>
    <w:rsid w:val="007A223F"/>
    <w:rsid w:val="007A28D3"/>
    <w:rsid w:val="007A2CF1"/>
    <w:rsid w:val="007A3086"/>
    <w:rsid w:val="007A4631"/>
    <w:rsid w:val="007A47A1"/>
    <w:rsid w:val="007A6A41"/>
    <w:rsid w:val="007A6E8D"/>
    <w:rsid w:val="007A73A5"/>
    <w:rsid w:val="007A7766"/>
    <w:rsid w:val="007A78E8"/>
    <w:rsid w:val="007A79D7"/>
    <w:rsid w:val="007B0308"/>
    <w:rsid w:val="007B0381"/>
    <w:rsid w:val="007B0645"/>
    <w:rsid w:val="007B12D9"/>
    <w:rsid w:val="007B1B25"/>
    <w:rsid w:val="007B1D3E"/>
    <w:rsid w:val="007B1D58"/>
    <w:rsid w:val="007B2617"/>
    <w:rsid w:val="007B2CBB"/>
    <w:rsid w:val="007B2D4B"/>
    <w:rsid w:val="007B527D"/>
    <w:rsid w:val="007B5F44"/>
    <w:rsid w:val="007B6245"/>
    <w:rsid w:val="007B63A4"/>
    <w:rsid w:val="007B6540"/>
    <w:rsid w:val="007B688C"/>
    <w:rsid w:val="007B7175"/>
    <w:rsid w:val="007B72D1"/>
    <w:rsid w:val="007B7494"/>
    <w:rsid w:val="007B7564"/>
    <w:rsid w:val="007B78A9"/>
    <w:rsid w:val="007B7AA1"/>
    <w:rsid w:val="007C0226"/>
    <w:rsid w:val="007C032E"/>
    <w:rsid w:val="007C0708"/>
    <w:rsid w:val="007C0BDA"/>
    <w:rsid w:val="007C1223"/>
    <w:rsid w:val="007C143C"/>
    <w:rsid w:val="007C1863"/>
    <w:rsid w:val="007C194C"/>
    <w:rsid w:val="007C1D9C"/>
    <w:rsid w:val="007C1DFB"/>
    <w:rsid w:val="007C1F3C"/>
    <w:rsid w:val="007C2129"/>
    <w:rsid w:val="007C26AB"/>
    <w:rsid w:val="007C2900"/>
    <w:rsid w:val="007C3186"/>
    <w:rsid w:val="007C3727"/>
    <w:rsid w:val="007C38CF"/>
    <w:rsid w:val="007C3A3D"/>
    <w:rsid w:val="007C461A"/>
    <w:rsid w:val="007C4D83"/>
    <w:rsid w:val="007C4E63"/>
    <w:rsid w:val="007C4EA6"/>
    <w:rsid w:val="007C528B"/>
    <w:rsid w:val="007C54FD"/>
    <w:rsid w:val="007C5A09"/>
    <w:rsid w:val="007C601D"/>
    <w:rsid w:val="007C619C"/>
    <w:rsid w:val="007C683D"/>
    <w:rsid w:val="007C70DD"/>
    <w:rsid w:val="007C73F9"/>
    <w:rsid w:val="007C7611"/>
    <w:rsid w:val="007D00C8"/>
    <w:rsid w:val="007D023B"/>
    <w:rsid w:val="007D0651"/>
    <w:rsid w:val="007D096D"/>
    <w:rsid w:val="007D0CA1"/>
    <w:rsid w:val="007D1192"/>
    <w:rsid w:val="007D12E6"/>
    <w:rsid w:val="007D154D"/>
    <w:rsid w:val="007D163C"/>
    <w:rsid w:val="007D1749"/>
    <w:rsid w:val="007D17F6"/>
    <w:rsid w:val="007D1BB7"/>
    <w:rsid w:val="007D1BCF"/>
    <w:rsid w:val="007D2361"/>
    <w:rsid w:val="007D23B9"/>
    <w:rsid w:val="007D2DEB"/>
    <w:rsid w:val="007D318A"/>
    <w:rsid w:val="007D3320"/>
    <w:rsid w:val="007D370B"/>
    <w:rsid w:val="007D3B92"/>
    <w:rsid w:val="007D3D72"/>
    <w:rsid w:val="007D3FDC"/>
    <w:rsid w:val="007D5EB8"/>
    <w:rsid w:val="007D6551"/>
    <w:rsid w:val="007D67FF"/>
    <w:rsid w:val="007D6AFC"/>
    <w:rsid w:val="007D70C1"/>
    <w:rsid w:val="007D7697"/>
    <w:rsid w:val="007E076B"/>
    <w:rsid w:val="007E0DD8"/>
    <w:rsid w:val="007E0FFA"/>
    <w:rsid w:val="007E1427"/>
    <w:rsid w:val="007E17C1"/>
    <w:rsid w:val="007E1A7F"/>
    <w:rsid w:val="007E1E5F"/>
    <w:rsid w:val="007E28F0"/>
    <w:rsid w:val="007E2AB0"/>
    <w:rsid w:val="007E2B0B"/>
    <w:rsid w:val="007E2FC2"/>
    <w:rsid w:val="007E325F"/>
    <w:rsid w:val="007E336B"/>
    <w:rsid w:val="007E35B4"/>
    <w:rsid w:val="007E3621"/>
    <w:rsid w:val="007E3719"/>
    <w:rsid w:val="007E3CE5"/>
    <w:rsid w:val="007E3DBA"/>
    <w:rsid w:val="007E444B"/>
    <w:rsid w:val="007E4A5B"/>
    <w:rsid w:val="007E538C"/>
    <w:rsid w:val="007E5480"/>
    <w:rsid w:val="007E5949"/>
    <w:rsid w:val="007E5AE1"/>
    <w:rsid w:val="007E5D8E"/>
    <w:rsid w:val="007E60C0"/>
    <w:rsid w:val="007E67D3"/>
    <w:rsid w:val="007E6BA4"/>
    <w:rsid w:val="007E7230"/>
    <w:rsid w:val="007E7260"/>
    <w:rsid w:val="007F0C42"/>
    <w:rsid w:val="007F12C2"/>
    <w:rsid w:val="007F1BF6"/>
    <w:rsid w:val="007F2BC1"/>
    <w:rsid w:val="007F2D5D"/>
    <w:rsid w:val="007F355A"/>
    <w:rsid w:val="007F3ABA"/>
    <w:rsid w:val="007F3B6C"/>
    <w:rsid w:val="007F3E0E"/>
    <w:rsid w:val="007F3E95"/>
    <w:rsid w:val="007F40CD"/>
    <w:rsid w:val="007F4584"/>
    <w:rsid w:val="007F47D5"/>
    <w:rsid w:val="007F4A1A"/>
    <w:rsid w:val="007F4EC5"/>
    <w:rsid w:val="007F5F26"/>
    <w:rsid w:val="007F5F44"/>
    <w:rsid w:val="007F6958"/>
    <w:rsid w:val="007F6B54"/>
    <w:rsid w:val="007F73E1"/>
    <w:rsid w:val="007F7747"/>
    <w:rsid w:val="007F7829"/>
    <w:rsid w:val="007F7847"/>
    <w:rsid w:val="007F7AA8"/>
    <w:rsid w:val="007F7C67"/>
    <w:rsid w:val="007F7DF0"/>
    <w:rsid w:val="007F7FB9"/>
    <w:rsid w:val="00800010"/>
    <w:rsid w:val="008002D4"/>
    <w:rsid w:val="0080047E"/>
    <w:rsid w:val="00800D27"/>
    <w:rsid w:val="00800F93"/>
    <w:rsid w:val="00801921"/>
    <w:rsid w:val="00801A14"/>
    <w:rsid w:val="00801B6E"/>
    <w:rsid w:val="00802568"/>
    <w:rsid w:val="0080276B"/>
    <w:rsid w:val="00802DD1"/>
    <w:rsid w:val="00802DEF"/>
    <w:rsid w:val="008036C9"/>
    <w:rsid w:val="008037B0"/>
    <w:rsid w:val="00803AE5"/>
    <w:rsid w:val="00803D3F"/>
    <w:rsid w:val="00804516"/>
    <w:rsid w:val="00804AF9"/>
    <w:rsid w:val="00805872"/>
    <w:rsid w:val="008060CB"/>
    <w:rsid w:val="0080629D"/>
    <w:rsid w:val="00806383"/>
    <w:rsid w:val="008067E0"/>
    <w:rsid w:val="00806AEF"/>
    <w:rsid w:val="00806BD8"/>
    <w:rsid w:val="00807526"/>
    <w:rsid w:val="00810301"/>
    <w:rsid w:val="00810CE0"/>
    <w:rsid w:val="00810E67"/>
    <w:rsid w:val="00810F00"/>
    <w:rsid w:val="00810F46"/>
    <w:rsid w:val="0081133B"/>
    <w:rsid w:val="0081139E"/>
    <w:rsid w:val="00811853"/>
    <w:rsid w:val="00811EB5"/>
    <w:rsid w:val="00811EEF"/>
    <w:rsid w:val="00812482"/>
    <w:rsid w:val="00812575"/>
    <w:rsid w:val="008125A9"/>
    <w:rsid w:val="00812627"/>
    <w:rsid w:val="008128E2"/>
    <w:rsid w:val="00812E7E"/>
    <w:rsid w:val="00812FEA"/>
    <w:rsid w:val="00813056"/>
    <w:rsid w:val="0081369D"/>
    <w:rsid w:val="00813978"/>
    <w:rsid w:val="00813B62"/>
    <w:rsid w:val="00813E77"/>
    <w:rsid w:val="00813F7D"/>
    <w:rsid w:val="00814EA4"/>
    <w:rsid w:val="00815612"/>
    <w:rsid w:val="00815A37"/>
    <w:rsid w:val="00815F9E"/>
    <w:rsid w:val="008160DB"/>
    <w:rsid w:val="00816581"/>
    <w:rsid w:val="00816993"/>
    <w:rsid w:val="00816EFE"/>
    <w:rsid w:val="00816F43"/>
    <w:rsid w:val="00817256"/>
    <w:rsid w:val="00817618"/>
    <w:rsid w:val="00817B2C"/>
    <w:rsid w:val="008201EC"/>
    <w:rsid w:val="0082040B"/>
    <w:rsid w:val="008210C6"/>
    <w:rsid w:val="0082126D"/>
    <w:rsid w:val="0082163B"/>
    <w:rsid w:val="0082164A"/>
    <w:rsid w:val="00821720"/>
    <w:rsid w:val="0082172F"/>
    <w:rsid w:val="00821816"/>
    <w:rsid w:val="00821890"/>
    <w:rsid w:val="00821985"/>
    <w:rsid w:val="00821BB2"/>
    <w:rsid w:val="008220F7"/>
    <w:rsid w:val="00822BE5"/>
    <w:rsid w:val="00822EB5"/>
    <w:rsid w:val="00823650"/>
    <w:rsid w:val="008238DF"/>
    <w:rsid w:val="00823929"/>
    <w:rsid w:val="00823F2A"/>
    <w:rsid w:val="00824077"/>
    <w:rsid w:val="008248FE"/>
    <w:rsid w:val="00824F57"/>
    <w:rsid w:val="00825119"/>
    <w:rsid w:val="00825298"/>
    <w:rsid w:val="00825A1C"/>
    <w:rsid w:val="00825D75"/>
    <w:rsid w:val="00826A0C"/>
    <w:rsid w:val="00827372"/>
    <w:rsid w:val="00827CDB"/>
    <w:rsid w:val="008304C7"/>
    <w:rsid w:val="00830923"/>
    <w:rsid w:val="008313C0"/>
    <w:rsid w:val="008314C4"/>
    <w:rsid w:val="00831844"/>
    <w:rsid w:val="00831893"/>
    <w:rsid w:val="00832AF5"/>
    <w:rsid w:val="008333E0"/>
    <w:rsid w:val="00833758"/>
    <w:rsid w:val="00833885"/>
    <w:rsid w:val="008339FE"/>
    <w:rsid w:val="00833A6F"/>
    <w:rsid w:val="008342C6"/>
    <w:rsid w:val="0083442F"/>
    <w:rsid w:val="00834D06"/>
    <w:rsid w:val="00835855"/>
    <w:rsid w:val="0083613A"/>
    <w:rsid w:val="0083669F"/>
    <w:rsid w:val="008367AB"/>
    <w:rsid w:val="008368DD"/>
    <w:rsid w:val="00836C20"/>
    <w:rsid w:val="008371C1"/>
    <w:rsid w:val="0083793C"/>
    <w:rsid w:val="00837E38"/>
    <w:rsid w:val="00840273"/>
    <w:rsid w:val="008402FB"/>
    <w:rsid w:val="00841036"/>
    <w:rsid w:val="00842CE7"/>
    <w:rsid w:val="00842FD0"/>
    <w:rsid w:val="0084324E"/>
    <w:rsid w:val="0084357D"/>
    <w:rsid w:val="008437C9"/>
    <w:rsid w:val="0084380B"/>
    <w:rsid w:val="00843DBE"/>
    <w:rsid w:val="00843FD2"/>
    <w:rsid w:val="008445B1"/>
    <w:rsid w:val="00844E71"/>
    <w:rsid w:val="00845384"/>
    <w:rsid w:val="00845A5F"/>
    <w:rsid w:val="00845DDC"/>
    <w:rsid w:val="00845F4F"/>
    <w:rsid w:val="00846368"/>
    <w:rsid w:val="00846D5B"/>
    <w:rsid w:val="00847061"/>
    <w:rsid w:val="008471CB"/>
    <w:rsid w:val="008471D0"/>
    <w:rsid w:val="00847ED8"/>
    <w:rsid w:val="00850B78"/>
    <w:rsid w:val="0085130A"/>
    <w:rsid w:val="0085152F"/>
    <w:rsid w:val="00851E12"/>
    <w:rsid w:val="00851EC8"/>
    <w:rsid w:val="00851FD1"/>
    <w:rsid w:val="0085215F"/>
    <w:rsid w:val="008521D5"/>
    <w:rsid w:val="008528D7"/>
    <w:rsid w:val="00852EBC"/>
    <w:rsid w:val="00853298"/>
    <w:rsid w:val="00853ACD"/>
    <w:rsid w:val="0085410C"/>
    <w:rsid w:val="008544B5"/>
    <w:rsid w:val="008544D7"/>
    <w:rsid w:val="00854893"/>
    <w:rsid w:val="00854BBA"/>
    <w:rsid w:val="00854EAE"/>
    <w:rsid w:val="00855396"/>
    <w:rsid w:val="00855A10"/>
    <w:rsid w:val="00855C8B"/>
    <w:rsid w:val="00855DF6"/>
    <w:rsid w:val="00856F3D"/>
    <w:rsid w:val="00856F50"/>
    <w:rsid w:val="00856FD6"/>
    <w:rsid w:val="008574C9"/>
    <w:rsid w:val="00857500"/>
    <w:rsid w:val="0085771B"/>
    <w:rsid w:val="00857A3A"/>
    <w:rsid w:val="008601AC"/>
    <w:rsid w:val="00860248"/>
    <w:rsid w:val="00860615"/>
    <w:rsid w:val="0086088B"/>
    <w:rsid w:val="00860AE4"/>
    <w:rsid w:val="00860AEB"/>
    <w:rsid w:val="00860E65"/>
    <w:rsid w:val="00860EB0"/>
    <w:rsid w:val="00861026"/>
    <w:rsid w:val="008610C9"/>
    <w:rsid w:val="0086130C"/>
    <w:rsid w:val="008613C5"/>
    <w:rsid w:val="00861644"/>
    <w:rsid w:val="00861D95"/>
    <w:rsid w:val="00861DF2"/>
    <w:rsid w:val="00861F8C"/>
    <w:rsid w:val="008624BB"/>
    <w:rsid w:val="00863971"/>
    <w:rsid w:val="00863AA4"/>
    <w:rsid w:val="0086404B"/>
    <w:rsid w:val="00864285"/>
    <w:rsid w:val="00865228"/>
    <w:rsid w:val="0086537A"/>
    <w:rsid w:val="0086577C"/>
    <w:rsid w:val="00865AAB"/>
    <w:rsid w:val="00865F06"/>
    <w:rsid w:val="00866F9A"/>
    <w:rsid w:val="00866FC5"/>
    <w:rsid w:val="00867A86"/>
    <w:rsid w:val="008717C5"/>
    <w:rsid w:val="00871C50"/>
    <w:rsid w:val="00871DB7"/>
    <w:rsid w:val="00871F2D"/>
    <w:rsid w:val="00872850"/>
    <w:rsid w:val="008728AA"/>
    <w:rsid w:val="00872D78"/>
    <w:rsid w:val="00872E82"/>
    <w:rsid w:val="008733BD"/>
    <w:rsid w:val="00873916"/>
    <w:rsid w:val="00873B1B"/>
    <w:rsid w:val="00873C7F"/>
    <w:rsid w:val="00873CB8"/>
    <w:rsid w:val="00873E02"/>
    <w:rsid w:val="008743C2"/>
    <w:rsid w:val="0087446B"/>
    <w:rsid w:val="00874593"/>
    <w:rsid w:val="00875291"/>
    <w:rsid w:val="00875522"/>
    <w:rsid w:val="00875636"/>
    <w:rsid w:val="00875F95"/>
    <w:rsid w:val="00876192"/>
    <w:rsid w:val="00876427"/>
    <w:rsid w:val="0087648A"/>
    <w:rsid w:val="00877009"/>
    <w:rsid w:val="008771D4"/>
    <w:rsid w:val="00877436"/>
    <w:rsid w:val="00877A32"/>
    <w:rsid w:val="008800A0"/>
    <w:rsid w:val="008808AB"/>
    <w:rsid w:val="00880D79"/>
    <w:rsid w:val="0088128E"/>
    <w:rsid w:val="0088136E"/>
    <w:rsid w:val="008813C1"/>
    <w:rsid w:val="008817DB"/>
    <w:rsid w:val="00881999"/>
    <w:rsid w:val="00881E16"/>
    <w:rsid w:val="0088209D"/>
    <w:rsid w:val="008823C7"/>
    <w:rsid w:val="0088258C"/>
    <w:rsid w:val="00882762"/>
    <w:rsid w:val="00882D44"/>
    <w:rsid w:val="00882DDB"/>
    <w:rsid w:val="00882FF0"/>
    <w:rsid w:val="008835FE"/>
    <w:rsid w:val="00883ED2"/>
    <w:rsid w:val="00884554"/>
    <w:rsid w:val="00884881"/>
    <w:rsid w:val="00884D04"/>
    <w:rsid w:val="00884E85"/>
    <w:rsid w:val="00884FF0"/>
    <w:rsid w:val="00885342"/>
    <w:rsid w:val="0088568E"/>
    <w:rsid w:val="00885826"/>
    <w:rsid w:val="00885867"/>
    <w:rsid w:val="00885A82"/>
    <w:rsid w:val="00885BD9"/>
    <w:rsid w:val="00886B07"/>
    <w:rsid w:val="00886E07"/>
    <w:rsid w:val="00887F39"/>
    <w:rsid w:val="00890103"/>
    <w:rsid w:val="0089012A"/>
    <w:rsid w:val="008906C1"/>
    <w:rsid w:val="0089136D"/>
    <w:rsid w:val="00891691"/>
    <w:rsid w:val="008917B7"/>
    <w:rsid w:val="008919AB"/>
    <w:rsid w:val="00891C1F"/>
    <w:rsid w:val="00892195"/>
    <w:rsid w:val="00892DCD"/>
    <w:rsid w:val="00893175"/>
    <w:rsid w:val="008936B2"/>
    <w:rsid w:val="00893B17"/>
    <w:rsid w:val="00893C8C"/>
    <w:rsid w:val="00894202"/>
    <w:rsid w:val="00894815"/>
    <w:rsid w:val="008955F4"/>
    <w:rsid w:val="00895601"/>
    <w:rsid w:val="00895677"/>
    <w:rsid w:val="00895B2E"/>
    <w:rsid w:val="00895D94"/>
    <w:rsid w:val="00895F46"/>
    <w:rsid w:val="0089652A"/>
    <w:rsid w:val="00896C6B"/>
    <w:rsid w:val="00896D96"/>
    <w:rsid w:val="00897D26"/>
    <w:rsid w:val="00897DB3"/>
    <w:rsid w:val="00897E57"/>
    <w:rsid w:val="008A0C77"/>
    <w:rsid w:val="008A126A"/>
    <w:rsid w:val="008A16CB"/>
    <w:rsid w:val="008A19C3"/>
    <w:rsid w:val="008A1EA6"/>
    <w:rsid w:val="008A251F"/>
    <w:rsid w:val="008A2DB7"/>
    <w:rsid w:val="008A2FE9"/>
    <w:rsid w:val="008A3B54"/>
    <w:rsid w:val="008A4A54"/>
    <w:rsid w:val="008A5124"/>
    <w:rsid w:val="008A513D"/>
    <w:rsid w:val="008A5249"/>
    <w:rsid w:val="008A5617"/>
    <w:rsid w:val="008A56CE"/>
    <w:rsid w:val="008A5A3B"/>
    <w:rsid w:val="008A76C7"/>
    <w:rsid w:val="008B0C5A"/>
    <w:rsid w:val="008B0FB2"/>
    <w:rsid w:val="008B18A3"/>
    <w:rsid w:val="008B1BCF"/>
    <w:rsid w:val="008B2885"/>
    <w:rsid w:val="008B3024"/>
    <w:rsid w:val="008B4030"/>
    <w:rsid w:val="008B43EC"/>
    <w:rsid w:val="008B44B2"/>
    <w:rsid w:val="008B45F9"/>
    <w:rsid w:val="008B46FD"/>
    <w:rsid w:val="008B4785"/>
    <w:rsid w:val="008B4B5F"/>
    <w:rsid w:val="008B4EB9"/>
    <w:rsid w:val="008B59F5"/>
    <w:rsid w:val="008B6913"/>
    <w:rsid w:val="008B6C63"/>
    <w:rsid w:val="008B76C8"/>
    <w:rsid w:val="008B7D9F"/>
    <w:rsid w:val="008B7DC3"/>
    <w:rsid w:val="008C034A"/>
    <w:rsid w:val="008C065B"/>
    <w:rsid w:val="008C0BA5"/>
    <w:rsid w:val="008C164B"/>
    <w:rsid w:val="008C1B35"/>
    <w:rsid w:val="008C1BDA"/>
    <w:rsid w:val="008C1C29"/>
    <w:rsid w:val="008C1D01"/>
    <w:rsid w:val="008C1D8C"/>
    <w:rsid w:val="008C29C9"/>
    <w:rsid w:val="008C2B50"/>
    <w:rsid w:val="008C2D0F"/>
    <w:rsid w:val="008C339D"/>
    <w:rsid w:val="008C35A8"/>
    <w:rsid w:val="008C39CF"/>
    <w:rsid w:val="008C3D42"/>
    <w:rsid w:val="008C424B"/>
    <w:rsid w:val="008C46A2"/>
    <w:rsid w:val="008C494A"/>
    <w:rsid w:val="008C5851"/>
    <w:rsid w:val="008C59B0"/>
    <w:rsid w:val="008C6294"/>
    <w:rsid w:val="008C6816"/>
    <w:rsid w:val="008C69D5"/>
    <w:rsid w:val="008C6BC0"/>
    <w:rsid w:val="008C75AC"/>
    <w:rsid w:val="008C771B"/>
    <w:rsid w:val="008C7727"/>
    <w:rsid w:val="008C78C9"/>
    <w:rsid w:val="008C7A96"/>
    <w:rsid w:val="008D02DA"/>
    <w:rsid w:val="008D0414"/>
    <w:rsid w:val="008D0781"/>
    <w:rsid w:val="008D0C96"/>
    <w:rsid w:val="008D1184"/>
    <w:rsid w:val="008D15DD"/>
    <w:rsid w:val="008D16F4"/>
    <w:rsid w:val="008D1AC3"/>
    <w:rsid w:val="008D1BF3"/>
    <w:rsid w:val="008D1FD2"/>
    <w:rsid w:val="008D2344"/>
    <w:rsid w:val="008D26ED"/>
    <w:rsid w:val="008D386E"/>
    <w:rsid w:val="008D3CF5"/>
    <w:rsid w:val="008D3EBF"/>
    <w:rsid w:val="008D4004"/>
    <w:rsid w:val="008D497C"/>
    <w:rsid w:val="008D4D43"/>
    <w:rsid w:val="008D4DF4"/>
    <w:rsid w:val="008D52F8"/>
    <w:rsid w:val="008D5890"/>
    <w:rsid w:val="008D591D"/>
    <w:rsid w:val="008D65C2"/>
    <w:rsid w:val="008D716E"/>
    <w:rsid w:val="008D74FD"/>
    <w:rsid w:val="008D7522"/>
    <w:rsid w:val="008D7571"/>
    <w:rsid w:val="008D759A"/>
    <w:rsid w:val="008E008B"/>
    <w:rsid w:val="008E0B73"/>
    <w:rsid w:val="008E0CAF"/>
    <w:rsid w:val="008E112D"/>
    <w:rsid w:val="008E17BC"/>
    <w:rsid w:val="008E19A5"/>
    <w:rsid w:val="008E1A0B"/>
    <w:rsid w:val="008E1B15"/>
    <w:rsid w:val="008E1BC9"/>
    <w:rsid w:val="008E1CA3"/>
    <w:rsid w:val="008E1F89"/>
    <w:rsid w:val="008E252D"/>
    <w:rsid w:val="008E2621"/>
    <w:rsid w:val="008E2665"/>
    <w:rsid w:val="008E3500"/>
    <w:rsid w:val="008E3EE8"/>
    <w:rsid w:val="008E41F2"/>
    <w:rsid w:val="008E47ED"/>
    <w:rsid w:val="008E4EA6"/>
    <w:rsid w:val="008E5392"/>
    <w:rsid w:val="008E5436"/>
    <w:rsid w:val="008E5737"/>
    <w:rsid w:val="008E58F6"/>
    <w:rsid w:val="008E5B16"/>
    <w:rsid w:val="008E5BDF"/>
    <w:rsid w:val="008E608A"/>
    <w:rsid w:val="008E6121"/>
    <w:rsid w:val="008E6200"/>
    <w:rsid w:val="008E7209"/>
    <w:rsid w:val="008E7959"/>
    <w:rsid w:val="008E7EA2"/>
    <w:rsid w:val="008F0446"/>
    <w:rsid w:val="008F0486"/>
    <w:rsid w:val="008F07E4"/>
    <w:rsid w:val="008F08E0"/>
    <w:rsid w:val="008F0BFC"/>
    <w:rsid w:val="008F1393"/>
    <w:rsid w:val="008F17D8"/>
    <w:rsid w:val="008F19A9"/>
    <w:rsid w:val="008F1B71"/>
    <w:rsid w:val="008F1D42"/>
    <w:rsid w:val="008F219E"/>
    <w:rsid w:val="008F2BEB"/>
    <w:rsid w:val="008F389E"/>
    <w:rsid w:val="008F48DC"/>
    <w:rsid w:val="008F53F2"/>
    <w:rsid w:val="008F5505"/>
    <w:rsid w:val="008F5538"/>
    <w:rsid w:val="008F5C6E"/>
    <w:rsid w:val="008F5EBD"/>
    <w:rsid w:val="008F600D"/>
    <w:rsid w:val="008F611F"/>
    <w:rsid w:val="008F6C6F"/>
    <w:rsid w:val="008F7540"/>
    <w:rsid w:val="008F7A50"/>
    <w:rsid w:val="009000C4"/>
    <w:rsid w:val="00900279"/>
    <w:rsid w:val="0090088D"/>
    <w:rsid w:val="00900AEA"/>
    <w:rsid w:val="009013BA"/>
    <w:rsid w:val="00901595"/>
    <w:rsid w:val="009016A8"/>
    <w:rsid w:val="009017AF"/>
    <w:rsid w:val="009017E8"/>
    <w:rsid w:val="00901D1A"/>
    <w:rsid w:val="00902366"/>
    <w:rsid w:val="0090246F"/>
    <w:rsid w:val="009028E3"/>
    <w:rsid w:val="00902F10"/>
    <w:rsid w:val="009030C6"/>
    <w:rsid w:val="009036D3"/>
    <w:rsid w:val="00903BE8"/>
    <w:rsid w:val="00903EF3"/>
    <w:rsid w:val="00904D18"/>
    <w:rsid w:val="00905076"/>
    <w:rsid w:val="00905113"/>
    <w:rsid w:val="0090544A"/>
    <w:rsid w:val="0090581F"/>
    <w:rsid w:val="009065FC"/>
    <w:rsid w:val="00906835"/>
    <w:rsid w:val="00906862"/>
    <w:rsid w:val="00906AA1"/>
    <w:rsid w:val="00906C61"/>
    <w:rsid w:val="00906EDB"/>
    <w:rsid w:val="00907131"/>
    <w:rsid w:val="00907378"/>
    <w:rsid w:val="00907454"/>
    <w:rsid w:val="0090770A"/>
    <w:rsid w:val="00907B68"/>
    <w:rsid w:val="00907BC0"/>
    <w:rsid w:val="00907C10"/>
    <w:rsid w:val="00907CB2"/>
    <w:rsid w:val="00910064"/>
    <w:rsid w:val="009101F6"/>
    <w:rsid w:val="00910285"/>
    <w:rsid w:val="00910807"/>
    <w:rsid w:val="00910C73"/>
    <w:rsid w:val="009119E6"/>
    <w:rsid w:val="00911E74"/>
    <w:rsid w:val="00911F67"/>
    <w:rsid w:val="00912260"/>
    <w:rsid w:val="00912618"/>
    <w:rsid w:val="0091278C"/>
    <w:rsid w:val="00912B07"/>
    <w:rsid w:val="00912B4B"/>
    <w:rsid w:val="00912C58"/>
    <w:rsid w:val="00912D8F"/>
    <w:rsid w:val="00913400"/>
    <w:rsid w:val="0091340D"/>
    <w:rsid w:val="0091342D"/>
    <w:rsid w:val="0091361A"/>
    <w:rsid w:val="00913952"/>
    <w:rsid w:val="00913A04"/>
    <w:rsid w:val="00913D11"/>
    <w:rsid w:val="00914266"/>
    <w:rsid w:val="00914BFA"/>
    <w:rsid w:val="0091535E"/>
    <w:rsid w:val="00915AEE"/>
    <w:rsid w:val="00916558"/>
    <w:rsid w:val="009176C1"/>
    <w:rsid w:val="00917888"/>
    <w:rsid w:val="00917B0C"/>
    <w:rsid w:val="009203BB"/>
    <w:rsid w:val="00920C63"/>
    <w:rsid w:val="00920DD0"/>
    <w:rsid w:val="009218B8"/>
    <w:rsid w:val="00921C95"/>
    <w:rsid w:val="00922344"/>
    <w:rsid w:val="0092253E"/>
    <w:rsid w:val="00922794"/>
    <w:rsid w:val="009227BA"/>
    <w:rsid w:val="00922C93"/>
    <w:rsid w:val="009230D6"/>
    <w:rsid w:val="00923161"/>
    <w:rsid w:val="009235D2"/>
    <w:rsid w:val="0092367F"/>
    <w:rsid w:val="00924016"/>
    <w:rsid w:val="009240B1"/>
    <w:rsid w:val="009245CC"/>
    <w:rsid w:val="009247AB"/>
    <w:rsid w:val="00924F62"/>
    <w:rsid w:val="0092509F"/>
    <w:rsid w:val="009255E8"/>
    <w:rsid w:val="009259AE"/>
    <w:rsid w:val="00925A46"/>
    <w:rsid w:val="00925C5F"/>
    <w:rsid w:val="00925EEC"/>
    <w:rsid w:val="0092639D"/>
    <w:rsid w:val="00926D77"/>
    <w:rsid w:val="00927228"/>
    <w:rsid w:val="00927CC4"/>
    <w:rsid w:val="00927D72"/>
    <w:rsid w:val="00930395"/>
    <w:rsid w:val="00930480"/>
    <w:rsid w:val="00930ADB"/>
    <w:rsid w:val="00930B93"/>
    <w:rsid w:val="00930CF4"/>
    <w:rsid w:val="00930DDF"/>
    <w:rsid w:val="009313F7"/>
    <w:rsid w:val="009317EA"/>
    <w:rsid w:val="00931A29"/>
    <w:rsid w:val="00931AD6"/>
    <w:rsid w:val="00931E4F"/>
    <w:rsid w:val="00932F91"/>
    <w:rsid w:val="0093327C"/>
    <w:rsid w:val="00933415"/>
    <w:rsid w:val="00933C9B"/>
    <w:rsid w:val="00933F10"/>
    <w:rsid w:val="00933F5D"/>
    <w:rsid w:val="009344CE"/>
    <w:rsid w:val="00934A8F"/>
    <w:rsid w:val="00934C76"/>
    <w:rsid w:val="00934E83"/>
    <w:rsid w:val="009356A6"/>
    <w:rsid w:val="0093636F"/>
    <w:rsid w:val="00936CBD"/>
    <w:rsid w:val="00936CD3"/>
    <w:rsid w:val="00936E24"/>
    <w:rsid w:val="00937859"/>
    <w:rsid w:val="00937B3B"/>
    <w:rsid w:val="009400FC"/>
    <w:rsid w:val="00940335"/>
    <w:rsid w:val="0094041F"/>
    <w:rsid w:val="00940481"/>
    <w:rsid w:val="00940582"/>
    <w:rsid w:val="00940EBD"/>
    <w:rsid w:val="0094101C"/>
    <w:rsid w:val="009414D1"/>
    <w:rsid w:val="00941568"/>
    <w:rsid w:val="0094168F"/>
    <w:rsid w:val="0094199B"/>
    <w:rsid w:val="00941AE7"/>
    <w:rsid w:val="00942538"/>
    <w:rsid w:val="00942990"/>
    <w:rsid w:val="00942C1D"/>
    <w:rsid w:val="00942C93"/>
    <w:rsid w:val="0094363C"/>
    <w:rsid w:val="00943929"/>
    <w:rsid w:val="00943ABA"/>
    <w:rsid w:val="00943B17"/>
    <w:rsid w:val="0094443C"/>
    <w:rsid w:val="0094447E"/>
    <w:rsid w:val="009444CA"/>
    <w:rsid w:val="00944668"/>
    <w:rsid w:val="00944747"/>
    <w:rsid w:val="00944F4E"/>
    <w:rsid w:val="00944F86"/>
    <w:rsid w:val="009450C6"/>
    <w:rsid w:val="009451F8"/>
    <w:rsid w:val="009458D6"/>
    <w:rsid w:val="00945FF7"/>
    <w:rsid w:val="009461FD"/>
    <w:rsid w:val="00946281"/>
    <w:rsid w:val="0094640A"/>
    <w:rsid w:val="009464F5"/>
    <w:rsid w:val="00946DEF"/>
    <w:rsid w:val="009477DB"/>
    <w:rsid w:val="00947B7F"/>
    <w:rsid w:val="00950812"/>
    <w:rsid w:val="00950877"/>
    <w:rsid w:val="00950FFD"/>
    <w:rsid w:val="009512A8"/>
    <w:rsid w:val="00951878"/>
    <w:rsid w:val="00951A6F"/>
    <w:rsid w:val="00951E28"/>
    <w:rsid w:val="00951EF5"/>
    <w:rsid w:val="00951F16"/>
    <w:rsid w:val="009524EC"/>
    <w:rsid w:val="00952DD2"/>
    <w:rsid w:val="00952E16"/>
    <w:rsid w:val="009537D4"/>
    <w:rsid w:val="00953E44"/>
    <w:rsid w:val="00953E77"/>
    <w:rsid w:val="0095404D"/>
    <w:rsid w:val="00954901"/>
    <w:rsid w:val="00954DB6"/>
    <w:rsid w:val="00955EE0"/>
    <w:rsid w:val="00955F46"/>
    <w:rsid w:val="0095624E"/>
    <w:rsid w:val="009568F0"/>
    <w:rsid w:val="00956B4D"/>
    <w:rsid w:val="00956DEF"/>
    <w:rsid w:val="00957309"/>
    <w:rsid w:val="00960141"/>
    <w:rsid w:val="00960B8F"/>
    <w:rsid w:val="00960C41"/>
    <w:rsid w:val="00960C86"/>
    <w:rsid w:val="00960E67"/>
    <w:rsid w:val="009611D5"/>
    <w:rsid w:val="0096168D"/>
    <w:rsid w:val="00961C5C"/>
    <w:rsid w:val="00961D00"/>
    <w:rsid w:val="00961F52"/>
    <w:rsid w:val="00961F75"/>
    <w:rsid w:val="00962D3E"/>
    <w:rsid w:val="0096312D"/>
    <w:rsid w:val="00963169"/>
    <w:rsid w:val="0096324A"/>
    <w:rsid w:val="00963626"/>
    <w:rsid w:val="0096403E"/>
    <w:rsid w:val="009641BA"/>
    <w:rsid w:val="009641E3"/>
    <w:rsid w:val="0096502F"/>
    <w:rsid w:val="00965291"/>
    <w:rsid w:val="0096532F"/>
    <w:rsid w:val="00965705"/>
    <w:rsid w:val="00965D9B"/>
    <w:rsid w:val="00965F20"/>
    <w:rsid w:val="00965FEB"/>
    <w:rsid w:val="00966219"/>
    <w:rsid w:val="0096624C"/>
    <w:rsid w:val="009665F4"/>
    <w:rsid w:val="00966E24"/>
    <w:rsid w:val="009679C9"/>
    <w:rsid w:val="00967B9F"/>
    <w:rsid w:val="00967CC9"/>
    <w:rsid w:val="00970656"/>
    <w:rsid w:val="00970B27"/>
    <w:rsid w:val="00970BBD"/>
    <w:rsid w:val="0097199A"/>
    <w:rsid w:val="00971E1A"/>
    <w:rsid w:val="00972011"/>
    <w:rsid w:val="009722DD"/>
    <w:rsid w:val="00972431"/>
    <w:rsid w:val="0097244B"/>
    <w:rsid w:val="00972502"/>
    <w:rsid w:val="00972BA5"/>
    <w:rsid w:val="00972F0C"/>
    <w:rsid w:val="00972F46"/>
    <w:rsid w:val="009730F6"/>
    <w:rsid w:val="00973522"/>
    <w:rsid w:val="00973CDF"/>
    <w:rsid w:val="00973DFC"/>
    <w:rsid w:val="009740F3"/>
    <w:rsid w:val="00974CB6"/>
    <w:rsid w:val="00975192"/>
    <w:rsid w:val="00975277"/>
    <w:rsid w:val="0097576E"/>
    <w:rsid w:val="00975A00"/>
    <w:rsid w:val="009760BB"/>
    <w:rsid w:val="009761EA"/>
    <w:rsid w:val="0097637D"/>
    <w:rsid w:val="009763A1"/>
    <w:rsid w:val="009769FD"/>
    <w:rsid w:val="00976D90"/>
    <w:rsid w:val="00977247"/>
    <w:rsid w:val="00977B10"/>
    <w:rsid w:val="00977B7C"/>
    <w:rsid w:val="00977E98"/>
    <w:rsid w:val="00980123"/>
    <w:rsid w:val="00980691"/>
    <w:rsid w:val="00980883"/>
    <w:rsid w:val="00980981"/>
    <w:rsid w:val="0098109E"/>
    <w:rsid w:val="009812DC"/>
    <w:rsid w:val="009819BB"/>
    <w:rsid w:val="00981FF6"/>
    <w:rsid w:val="009822D9"/>
    <w:rsid w:val="00982317"/>
    <w:rsid w:val="009824DF"/>
    <w:rsid w:val="009828EC"/>
    <w:rsid w:val="0098291B"/>
    <w:rsid w:val="00982B43"/>
    <w:rsid w:val="00982D88"/>
    <w:rsid w:val="009830D2"/>
    <w:rsid w:val="0098379C"/>
    <w:rsid w:val="00983CB4"/>
    <w:rsid w:val="009841EF"/>
    <w:rsid w:val="0098423A"/>
    <w:rsid w:val="009849C6"/>
    <w:rsid w:val="00984F8B"/>
    <w:rsid w:val="0098516F"/>
    <w:rsid w:val="00985319"/>
    <w:rsid w:val="009868A1"/>
    <w:rsid w:val="00986C00"/>
    <w:rsid w:val="00986C27"/>
    <w:rsid w:val="00987201"/>
    <w:rsid w:val="009872EA"/>
    <w:rsid w:val="009876AC"/>
    <w:rsid w:val="009878D1"/>
    <w:rsid w:val="00990384"/>
    <w:rsid w:val="0099081A"/>
    <w:rsid w:val="009909F1"/>
    <w:rsid w:val="00991308"/>
    <w:rsid w:val="00991932"/>
    <w:rsid w:val="00991D84"/>
    <w:rsid w:val="00992177"/>
    <w:rsid w:val="009921DA"/>
    <w:rsid w:val="00992454"/>
    <w:rsid w:val="00992939"/>
    <w:rsid w:val="0099294B"/>
    <w:rsid w:val="00992C59"/>
    <w:rsid w:val="009931CA"/>
    <w:rsid w:val="009933AD"/>
    <w:rsid w:val="009934FF"/>
    <w:rsid w:val="00993828"/>
    <w:rsid w:val="00993C8A"/>
    <w:rsid w:val="00994287"/>
    <w:rsid w:val="00995894"/>
    <w:rsid w:val="009959B3"/>
    <w:rsid w:val="00995B29"/>
    <w:rsid w:val="00997442"/>
    <w:rsid w:val="009974DA"/>
    <w:rsid w:val="00997599"/>
    <w:rsid w:val="009977B1"/>
    <w:rsid w:val="009977B8"/>
    <w:rsid w:val="00997D07"/>
    <w:rsid w:val="009A0000"/>
    <w:rsid w:val="009A05C2"/>
    <w:rsid w:val="009A083F"/>
    <w:rsid w:val="009A11AA"/>
    <w:rsid w:val="009A17FF"/>
    <w:rsid w:val="009A1835"/>
    <w:rsid w:val="009A1DEE"/>
    <w:rsid w:val="009A20CF"/>
    <w:rsid w:val="009A2246"/>
    <w:rsid w:val="009A2506"/>
    <w:rsid w:val="009A26C4"/>
    <w:rsid w:val="009A2D56"/>
    <w:rsid w:val="009A3426"/>
    <w:rsid w:val="009A4596"/>
    <w:rsid w:val="009A5B08"/>
    <w:rsid w:val="009A6024"/>
    <w:rsid w:val="009A614E"/>
    <w:rsid w:val="009A63CD"/>
    <w:rsid w:val="009A6580"/>
    <w:rsid w:val="009A65D4"/>
    <w:rsid w:val="009A6A93"/>
    <w:rsid w:val="009A6D6B"/>
    <w:rsid w:val="009A754E"/>
    <w:rsid w:val="009B00D6"/>
    <w:rsid w:val="009B0815"/>
    <w:rsid w:val="009B0B06"/>
    <w:rsid w:val="009B1F9A"/>
    <w:rsid w:val="009B275C"/>
    <w:rsid w:val="009B3429"/>
    <w:rsid w:val="009B34A2"/>
    <w:rsid w:val="009B3607"/>
    <w:rsid w:val="009B3620"/>
    <w:rsid w:val="009B3832"/>
    <w:rsid w:val="009B3CFC"/>
    <w:rsid w:val="009B406F"/>
    <w:rsid w:val="009B43B4"/>
    <w:rsid w:val="009B48C8"/>
    <w:rsid w:val="009B4A3A"/>
    <w:rsid w:val="009B4B9E"/>
    <w:rsid w:val="009B4C75"/>
    <w:rsid w:val="009B4F97"/>
    <w:rsid w:val="009B5A36"/>
    <w:rsid w:val="009B5CC1"/>
    <w:rsid w:val="009B5CCC"/>
    <w:rsid w:val="009B5EFA"/>
    <w:rsid w:val="009B5FFD"/>
    <w:rsid w:val="009B60E1"/>
    <w:rsid w:val="009B64FE"/>
    <w:rsid w:val="009B67FE"/>
    <w:rsid w:val="009B6869"/>
    <w:rsid w:val="009B7030"/>
    <w:rsid w:val="009B7405"/>
    <w:rsid w:val="009B7706"/>
    <w:rsid w:val="009C07AF"/>
    <w:rsid w:val="009C0E76"/>
    <w:rsid w:val="009C0F7D"/>
    <w:rsid w:val="009C124A"/>
    <w:rsid w:val="009C1371"/>
    <w:rsid w:val="009C170B"/>
    <w:rsid w:val="009C21A7"/>
    <w:rsid w:val="009C221C"/>
    <w:rsid w:val="009C26E9"/>
    <w:rsid w:val="009C28FB"/>
    <w:rsid w:val="009C2987"/>
    <w:rsid w:val="009C2BAE"/>
    <w:rsid w:val="009C2C05"/>
    <w:rsid w:val="009C32A7"/>
    <w:rsid w:val="009C3449"/>
    <w:rsid w:val="009C4127"/>
    <w:rsid w:val="009C420D"/>
    <w:rsid w:val="009C43D3"/>
    <w:rsid w:val="009C4E58"/>
    <w:rsid w:val="009C55D9"/>
    <w:rsid w:val="009C5672"/>
    <w:rsid w:val="009C5DE8"/>
    <w:rsid w:val="009C5E96"/>
    <w:rsid w:val="009C5F53"/>
    <w:rsid w:val="009C6363"/>
    <w:rsid w:val="009C64C2"/>
    <w:rsid w:val="009C65BB"/>
    <w:rsid w:val="009C6694"/>
    <w:rsid w:val="009C6953"/>
    <w:rsid w:val="009C6E82"/>
    <w:rsid w:val="009C743A"/>
    <w:rsid w:val="009C7956"/>
    <w:rsid w:val="009D048B"/>
    <w:rsid w:val="009D04E5"/>
    <w:rsid w:val="009D08BD"/>
    <w:rsid w:val="009D0C34"/>
    <w:rsid w:val="009D0D68"/>
    <w:rsid w:val="009D1144"/>
    <w:rsid w:val="009D1292"/>
    <w:rsid w:val="009D1DF3"/>
    <w:rsid w:val="009D208A"/>
    <w:rsid w:val="009D21FB"/>
    <w:rsid w:val="009D234F"/>
    <w:rsid w:val="009D2372"/>
    <w:rsid w:val="009D2475"/>
    <w:rsid w:val="009D2650"/>
    <w:rsid w:val="009D35E6"/>
    <w:rsid w:val="009D3984"/>
    <w:rsid w:val="009D3A2C"/>
    <w:rsid w:val="009D3D36"/>
    <w:rsid w:val="009D3DD5"/>
    <w:rsid w:val="009D476C"/>
    <w:rsid w:val="009D54BB"/>
    <w:rsid w:val="009D550A"/>
    <w:rsid w:val="009D5A4A"/>
    <w:rsid w:val="009D5D46"/>
    <w:rsid w:val="009D6101"/>
    <w:rsid w:val="009D6102"/>
    <w:rsid w:val="009D6B9B"/>
    <w:rsid w:val="009D7797"/>
    <w:rsid w:val="009D78F0"/>
    <w:rsid w:val="009D7C17"/>
    <w:rsid w:val="009D7FD2"/>
    <w:rsid w:val="009E022C"/>
    <w:rsid w:val="009E0563"/>
    <w:rsid w:val="009E067D"/>
    <w:rsid w:val="009E06B9"/>
    <w:rsid w:val="009E06DA"/>
    <w:rsid w:val="009E1746"/>
    <w:rsid w:val="009E18AD"/>
    <w:rsid w:val="009E19F9"/>
    <w:rsid w:val="009E2234"/>
    <w:rsid w:val="009E29EB"/>
    <w:rsid w:val="009E2DD2"/>
    <w:rsid w:val="009E3214"/>
    <w:rsid w:val="009E3359"/>
    <w:rsid w:val="009E33EE"/>
    <w:rsid w:val="009E36F0"/>
    <w:rsid w:val="009E38D1"/>
    <w:rsid w:val="009E38F6"/>
    <w:rsid w:val="009E3A7C"/>
    <w:rsid w:val="009E40A4"/>
    <w:rsid w:val="009E4417"/>
    <w:rsid w:val="009E53F5"/>
    <w:rsid w:val="009E5E18"/>
    <w:rsid w:val="009E6663"/>
    <w:rsid w:val="009E66F4"/>
    <w:rsid w:val="009E69D4"/>
    <w:rsid w:val="009E6B61"/>
    <w:rsid w:val="009E701C"/>
    <w:rsid w:val="009E7621"/>
    <w:rsid w:val="009E7ACE"/>
    <w:rsid w:val="009E7B69"/>
    <w:rsid w:val="009F1178"/>
    <w:rsid w:val="009F15D5"/>
    <w:rsid w:val="009F15E7"/>
    <w:rsid w:val="009F1EA8"/>
    <w:rsid w:val="009F1F2C"/>
    <w:rsid w:val="009F2C84"/>
    <w:rsid w:val="009F30E5"/>
    <w:rsid w:val="009F3689"/>
    <w:rsid w:val="009F38A5"/>
    <w:rsid w:val="009F3BFB"/>
    <w:rsid w:val="009F3E39"/>
    <w:rsid w:val="009F3E96"/>
    <w:rsid w:val="009F3ED1"/>
    <w:rsid w:val="009F403B"/>
    <w:rsid w:val="009F4B33"/>
    <w:rsid w:val="009F5262"/>
    <w:rsid w:val="009F5929"/>
    <w:rsid w:val="009F67F7"/>
    <w:rsid w:val="009F69E5"/>
    <w:rsid w:val="009F6C2F"/>
    <w:rsid w:val="00A00042"/>
    <w:rsid w:val="00A00514"/>
    <w:rsid w:val="00A00606"/>
    <w:rsid w:val="00A00E1A"/>
    <w:rsid w:val="00A01678"/>
    <w:rsid w:val="00A01EEB"/>
    <w:rsid w:val="00A022CF"/>
    <w:rsid w:val="00A025E6"/>
    <w:rsid w:val="00A02718"/>
    <w:rsid w:val="00A02D78"/>
    <w:rsid w:val="00A02D8A"/>
    <w:rsid w:val="00A030C0"/>
    <w:rsid w:val="00A033D4"/>
    <w:rsid w:val="00A03A46"/>
    <w:rsid w:val="00A03B9A"/>
    <w:rsid w:val="00A03CD9"/>
    <w:rsid w:val="00A046AF"/>
    <w:rsid w:val="00A04AF9"/>
    <w:rsid w:val="00A05AE3"/>
    <w:rsid w:val="00A05F17"/>
    <w:rsid w:val="00A062AF"/>
    <w:rsid w:val="00A06C74"/>
    <w:rsid w:val="00A07398"/>
    <w:rsid w:val="00A077A0"/>
    <w:rsid w:val="00A10C11"/>
    <w:rsid w:val="00A10F8B"/>
    <w:rsid w:val="00A1115E"/>
    <w:rsid w:val="00A117C6"/>
    <w:rsid w:val="00A121EF"/>
    <w:rsid w:val="00A12DAA"/>
    <w:rsid w:val="00A137AA"/>
    <w:rsid w:val="00A13828"/>
    <w:rsid w:val="00A13867"/>
    <w:rsid w:val="00A1388D"/>
    <w:rsid w:val="00A13C5C"/>
    <w:rsid w:val="00A14361"/>
    <w:rsid w:val="00A148E3"/>
    <w:rsid w:val="00A15022"/>
    <w:rsid w:val="00A1574D"/>
    <w:rsid w:val="00A15950"/>
    <w:rsid w:val="00A15BA4"/>
    <w:rsid w:val="00A15BBD"/>
    <w:rsid w:val="00A162DA"/>
    <w:rsid w:val="00A16901"/>
    <w:rsid w:val="00A16A3F"/>
    <w:rsid w:val="00A16AB3"/>
    <w:rsid w:val="00A16C6C"/>
    <w:rsid w:val="00A16CE6"/>
    <w:rsid w:val="00A16E45"/>
    <w:rsid w:val="00A1748F"/>
    <w:rsid w:val="00A17595"/>
    <w:rsid w:val="00A2042D"/>
    <w:rsid w:val="00A206A5"/>
    <w:rsid w:val="00A206D8"/>
    <w:rsid w:val="00A20F1B"/>
    <w:rsid w:val="00A20F4B"/>
    <w:rsid w:val="00A21E12"/>
    <w:rsid w:val="00A22227"/>
    <w:rsid w:val="00A222AD"/>
    <w:rsid w:val="00A223FA"/>
    <w:rsid w:val="00A22E1E"/>
    <w:rsid w:val="00A22F96"/>
    <w:rsid w:val="00A248DE"/>
    <w:rsid w:val="00A253BA"/>
    <w:rsid w:val="00A254D4"/>
    <w:rsid w:val="00A255C8"/>
    <w:rsid w:val="00A25862"/>
    <w:rsid w:val="00A2593E"/>
    <w:rsid w:val="00A25A10"/>
    <w:rsid w:val="00A25AFC"/>
    <w:rsid w:val="00A25CBA"/>
    <w:rsid w:val="00A25E7B"/>
    <w:rsid w:val="00A263BE"/>
    <w:rsid w:val="00A264C8"/>
    <w:rsid w:val="00A265A0"/>
    <w:rsid w:val="00A265E0"/>
    <w:rsid w:val="00A2724D"/>
    <w:rsid w:val="00A273F4"/>
    <w:rsid w:val="00A27548"/>
    <w:rsid w:val="00A27870"/>
    <w:rsid w:val="00A27ADB"/>
    <w:rsid w:val="00A308AE"/>
    <w:rsid w:val="00A30AE9"/>
    <w:rsid w:val="00A31CCA"/>
    <w:rsid w:val="00A31E03"/>
    <w:rsid w:val="00A320CC"/>
    <w:rsid w:val="00A3255E"/>
    <w:rsid w:val="00A325D5"/>
    <w:rsid w:val="00A32A72"/>
    <w:rsid w:val="00A32DAB"/>
    <w:rsid w:val="00A3306F"/>
    <w:rsid w:val="00A33124"/>
    <w:rsid w:val="00A33312"/>
    <w:rsid w:val="00A33669"/>
    <w:rsid w:val="00A34486"/>
    <w:rsid w:val="00A35356"/>
    <w:rsid w:val="00A3575B"/>
    <w:rsid w:val="00A35838"/>
    <w:rsid w:val="00A36C34"/>
    <w:rsid w:val="00A37E7D"/>
    <w:rsid w:val="00A37F90"/>
    <w:rsid w:val="00A402AB"/>
    <w:rsid w:val="00A4030C"/>
    <w:rsid w:val="00A4032C"/>
    <w:rsid w:val="00A404F5"/>
    <w:rsid w:val="00A4069C"/>
    <w:rsid w:val="00A416F6"/>
    <w:rsid w:val="00A41789"/>
    <w:rsid w:val="00A41BBF"/>
    <w:rsid w:val="00A41F3E"/>
    <w:rsid w:val="00A42657"/>
    <w:rsid w:val="00A42940"/>
    <w:rsid w:val="00A42D9E"/>
    <w:rsid w:val="00A42FDE"/>
    <w:rsid w:val="00A43059"/>
    <w:rsid w:val="00A43844"/>
    <w:rsid w:val="00A43B1D"/>
    <w:rsid w:val="00A43D92"/>
    <w:rsid w:val="00A44418"/>
    <w:rsid w:val="00A44A43"/>
    <w:rsid w:val="00A44BCD"/>
    <w:rsid w:val="00A45693"/>
    <w:rsid w:val="00A457F3"/>
    <w:rsid w:val="00A458D3"/>
    <w:rsid w:val="00A45A55"/>
    <w:rsid w:val="00A45DAA"/>
    <w:rsid w:val="00A45DE4"/>
    <w:rsid w:val="00A45F39"/>
    <w:rsid w:val="00A464CF"/>
    <w:rsid w:val="00A46FCE"/>
    <w:rsid w:val="00A4719A"/>
    <w:rsid w:val="00A4732D"/>
    <w:rsid w:val="00A474DF"/>
    <w:rsid w:val="00A475B3"/>
    <w:rsid w:val="00A47653"/>
    <w:rsid w:val="00A4778B"/>
    <w:rsid w:val="00A477EA"/>
    <w:rsid w:val="00A47C30"/>
    <w:rsid w:val="00A47CF6"/>
    <w:rsid w:val="00A47E05"/>
    <w:rsid w:val="00A51284"/>
    <w:rsid w:val="00A51380"/>
    <w:rsid w:val="00A516FB"/>
    <w:rsid w:val="00A517B6"/>
    <w:rsid w:val="00A51C2F"/>
    <w:rsid w:val="00A5236D"/>
    <w:rsid w:val="00A523CD"/>
    <w:rsid w:val="00A52443"/>
    <w:rsid w:val="00A52553"/>
    <w:rsid w:val="00A525DD"/>
    <w:rsid w:val="00A52BB7"/>
    <w:rsid w:val="00A52C96"/>
    <w:rsid w:val="00A53200"/>
    <w:rsid w:val="00A5339C"/>
    <w:rsid w:val="00A5346A"/>
    <w:rsid w:val="00A536DA"/>
    <w:rsid w:val="00A53D04"/>
    <w:rsid w:val="00A54819"/>
    <w:rsid w:val="00A54A3A"/>
    <w:rsid w:val="00A54E6F"/>
    <w:rsid w:val="00A54F0C"/>
    <w:rsid w:val="00A54FF8"/>
    <w:rsid w:val="00A55253"/>
    <w:rsid w:val="00A55A93"/>
    <w:rsid w:val="00A55C7D"/>
    <w:rsid w:val="00A561D5"/>
    <w:rsid w:val="00A56954"/>
    <w:rsid w:val="00A56A3B"/>
    <w:rsid w:val="00A570AD"/>
    <w:rsid w:val="00A574B0"/>
    <w:rsid w:val="00A57546"/>
    <w:rsid w:val="00A57619"/>
    <w:rsid w:val="00A57ABC"/>
    <w:rsid w:val="00A57FBE"/>
    <w:rsid w:val="00A60288"/>
    <w:rsid w:val="00A603C4"/>
    <w:rsid w:val="00A605CB"/>
    <w:rsid w:val="00A606C4"/>
    <w:rsid w:val="00A609EE"/>
    <w:rsid w:val="00A60DDB"/>
    <w:rsid w:val="00A60F0A"/>
    <w:rsid w:val="00A60FA2"/>
    <w:rsid w:val="00A6144D"/>
    <w:rsid w:val="00A614A8"/>
    <w:rsid w:val="00A614BE"/>
    <w:rsid w:val="00A61F06"/>
    <w:rsid w:val="00A62623"/>
    <w:rsid w:val="00A627A2"/>
    <w:rsid w:val="00A62EB3"/>
    <w:rsid w:val="00A6383F"/>
    <w:rsid w:val="00A6436D"/>
    <w:rsid w:val="00A647B7"/>
    <w:rsid w:val="00A6498D"/>
    <w:rsid w:val="00A64992"/>
    <w:rsid w:val="00A64B83"/>
    <w:rsid w:val="00A64F2C"/>
    <w:rsid w:val="00A64FDA"/>
    <w:rsid w:val="00A656ED"/>
    <w:rsid w:val="00A66134"/>
    <w:rsid w:val="00A6621C"/>
    <w:rsid w:val="00A66665"/>
    <w:rsid w:val="00A66CE9"/>
    <w:rsid w:val="00A6769F"/>
    <w:rsid w:val="00A67A96"/>
    <w:rsid w:val="00A67F09"/>
    <w:rsid w:val="00A67F53"/>
    <w:rsid w:val="00A700EF"/>
    <w:rsid w:val="00A701F1"/>
    <w:rsid w:val="00A704CC"/>
    <w:rsid w:val="00A70B42"/>
    <w:rsid w:val="00A71093"/>
    <w:rsid w:val="00A71246"/>
    <w:rsid w:val="00A7128D"/>
    <w:rsid w:val="00A7136C"/>
    <w:rsid w:val="00A72610"/>
    <w:rsid w:val="00A73457"/>
    <w:rsid w:val="00A73AE4"/>
    <w:rsid w:val="00A73D7C"/>
    <w:rsid w:val="00A73ED4"/>
    <w:rsid w:val="00A7402C"/>
    <w:rsid w:val="00A74061"/>
    <w:rsid w:val="00A746E2"/>
    <w:rsid w:val="00A7494C"/>
    <w:rsid w:val="00A749CE"/>
    <w:rsid w:val="00A74A4E"/>
    <w:rsid w:val="00A758FA"/>
    <w:rsid w:val="00A75BA6"/>
    <w:rsid w:val="00A75BF6"/>
    <w:rsid w:val="00A765CA"/>
    <w:rsid w:val="00A76722"/>
    <w:rsid w:val="00A77058"/>
    <w:rsid w:val="00A77163"/>
    <w:rsid w:val="00A77196"/>
    <w:rsid w:val="00A77FF1"/>
    <w:rsid w:val="00A815B1"/>
    <w:rsid w:val="00A81BD7"/>
    <w:rsid w:val="00A820ED"/>
    <w:rsid w:val="00A82266"/>
    <w:rsid w:val="00A83214"/>
    <w:rsid w:val="00A83AD7"/>
    <w:rsid w:val="00A83E73"/>
    <w:rsid w:val="00A843F8"/>
    <w:rsid w:val="00A84428"/>
    <w:rsid w:val="00A852EC"/>
    <w:rsid w:val="00A85720"/>
    <w:rsid w:val="00A85D3B"/>
    <w:rsid w:val="00A85F03"/>
    <w:rsid w:val="00A861D5"/>
    <w:rsid w:val="00A86558"/>
    <w:rsid w:val="00A86930"/>
    <w:rsid w:val="00A86CB5"/>
    <w:rsid w:val="00A86DE7"/>
    <w:rsid w:val="00A87408"/>
    <w:rsid w:val="00A87733"/>
    <w:rsid w:val="00A87BD4"/>
    <w:rsid w:val="00A87C5D"/>
    <w:rsid w:val="00A87E7A"/>
    <w:rsid w:val="00A904A0"/>
    <w:rsid w:val="00A906BD"/>
    <w:rsid w:val="00A9093B"/>
    <w:rsid w:val="00A909DB"/>
    <w:rsid w:val="00A90B2C"/>
    <w:rsid w:val="00A915FC"/>
    <w:rsid w:val="00A91606"/>
    <w:rsid w:val="00A91681"/>
    <w:rsid w:val="00A91DAA"/>
    <w:rsid w:val="00A91F42"/>
    <w:rsid w:val="00A92020"/>
    <w:rsid w:val="00A928F3"/>
    <w:rsid w:val="00A929FB"/>
    <w:rsid w:val="00A92AC9"/>
    <w:rsid w:val="00A92F18"/>
    <w:rsid w:val="00A93497"/>
    <w:rsid w:val="00A940E6"/>
    <w:rsid w:val="00A945C7"/>
    <w:rsid w:val="00A9479A"/>
    <w:rsid w:val="00A94A07"/>
    <w:rsid w:val="00A94C38"/>
    <w:rsid w:val="00A94D77"/>
    <w:rsid w:val="00A94E54"/>
    <w:rsid w:val="00A9531A"/>
    <w:rsid w:val="00A953A2"/>
    <w:rsid w:val="00A95447"/>
    <w:rsid w:val="00A95559"/>
    <w:rsid w:val="00A95958"/>
    <w:rsid w:val="00A95AF4"/>
    <w:rsid w:val="00A9601A"/>
    <w:rsid w:val="00A965CA"/>
    <w:rsid w:val="00A96C0A"/>
    <w:rsid w:val="00A97105"/>
    <w:rsid w:val="00A971A1"/>
    <w:rsid w:val="00A9745F"/>
    <w:rsid w:val="00AA0125"/>
    <w:rsid w:val="00AA02CB"/>
    <w:rsid w:val="00AA256E"/>
    <w:rsid w:val="00AA2877"/>
    <w:rsid w:val="00AA32EA"/>
    <w:rsid w:val="00AA3510"/>
    <w:rsid w:val="00AA3545"/>
    <w:rsid w:val="00AA3CBE"/>
    <w:rsid w:val="00AA4099"/>
    <w:rsid w:val="00AA489C"/>
    <w:rsid w:val="00AA4A44"/>
    <w:rsid w:val="00AA4C64"/>
    <w:rsid w:val="00AA4CC9"/>
    <w:rsid w:val="00AA4CCA"/>
    <w:rsid w:val="00AA5420"/>
    <w:rsid w:val="00AA584D"/>
    <w:rsid w:val="00AA60F7"/>
    <w:rsid w:val="00AA62A8"/>
    <w:rsid w:val="00AA63C4"/>
    <w:rsid w:val="00AA6432"/>
    <w:rsid w:val="00AA6C08"/>
    <w:rsid w:val="00AA7649"/>
    <w:rsid w:val="00AA7B4A"/>
    <w:rsid w:val="00AA7DE3"/>
    <w:rsid w:val="00AB03C7"/>
    <w:rsid w:val="00AB0452"/>
    <w:rsid w:val="00AB06E9"/>
    <w:rsid w:val="00AB08F4"/>
    <w:rsid w:val="00AB094D"/>
    <w:rsid w:val="00AB0E66"/>
    <w:rsid w:val="00AB1867"/>
    <w:rsid w:val="00AB1988"/>
    <w:rsid w:val="00AB1C85"/>
    <w:rsid w:val="00AB1E12"/>
    <w:rsid w:val="00AB22C2"/>
    <w:rsid w:val="00AB244B"/>
    <w:rsid w:val="00AB25FB"/>
    <w:rsid w:val="00AB28DC"/>
    <w:rsid w:val="00AB386A"/>
    <w:rsid w:val="00AB3A44"/>
    <w:rsid w:val="00AB4074"/>
    <w:rsid w:val="00AB4229"/>
    <w:rsid w:val="00AB439E"/>
    <w:rsid w:val="00AB4C28"/>
    <w:rsid w:val="00AB4FB7"/>
    <w:rsid w:val="00AB57CE"/>
    <w:rsid w:val="00AB5DE4"/>
    <w:rsid w:val="00AB5E56"/>
    <w:rsid w:val="00AB69F7"/>
    <w:rsid w:val="00AB736B"/>
    <w:rsid w:val="00AB7B83"/>
    <w:rsid w:val="00AC004C"/>
    <w:rsid w:val="00AC08A5"/>
    <w:rsid w:val="00AC0C27"/>
    <w:rsid w:val="00AC1A21"/>
    <w:rsid w:val="00AC2C79"/>
    <w:rsid w:val="00AC2E7F"/>
    <w:rsid w:val="00AC32D4"/>
    <w:rsid w:val="00AC4012"/>
    <w:rsid w:val="00AC46E1"/>
    <w:rsid w:val="00AC4C60"/>
    <w:rsid w:val="00AC4C99"/>
    <w:rsid w:val="00AC4EE8"/>
    <w:rsid w:val="00AC5BC1"/>
    <w:rsid w:val="00AC5E90"/>
    <w:rsid w:val="00AC68A8"/>
    <w:rsid w:val="00AC6EF7"/>
    <w:rsid w:val="00AC7266"/>
    <w:rsid w:val="00AC7B71"/>
    <w:rsid w:val="00AC7EB8"/>
    <w:rsid w:val="00AD0080"/>
    <w:rsid w:val="00AD02ED"/>
    <w:rsid w:val="00AD163C"/>
    <w:rsid w:val="00AD166B"/>
    <w:rsid w:val="00AD1708"/>
    <w:rsid w:val="00AD185F"/>
    <w:rsid w:val="00AD1F8C"/>
    <w:rsid w:val="00AD21AB"/>
    <w:rsid w:val="00AD22EF"/>
    <w:rsid w:val="00AD2581"/>
    <w:rsid w:val="00AD27C2"/>
    <w:rsid w:val="00AD29B7"/>
    <w:rsid w:val="00AD2B7A"/>
    <w:rsid w:val="00AD2D6C"/>
    <w:rsid w:val="00AD35A9"/>
    <w:rsid w:val="00AD381D"/>
    <w:rsid w:val="00AD3A98"/>
    <w:rsid w:val="00AD3BCD"/>
    <w:rsid w:val="00AD3C18"/>
    <w:rsid w:val="00AD4764"/>
    <w:rsid w:val="00AD4E90"/>
    <w:rsid w:val="00AD5C51"/>
    <w:rsid w:val="00AD5DEF"/>
    <w:rsid w:val="00AD5F18"/>
    <w:rsid w:val="00AD6969"/>
    <w:rsid w:val="00AD699B"/>
    <w:rsid w:val="00AD6BD5"/>
    <w:rsid w:val="00AD6CEA"/>
    <w:rsid w:val="00AD7273"/>
    <w:rsid w:val="00AD73FA"/>
    <w:rsid w:val="00AD7598"/>
    <w:rsid w:val="00AD7D0B"/>
    <w:rsid w:val="00AE0B59"/>
    <w:rsid w:val="00AE1261"/>
    <w:rsid w:val="00AE14B5"/>
    <w:rsid w:val="00AE2103"/>
    <w:rsid w:val="00AE24FC"/>
    <w:rsid w:val="00AE29A1"/>
    <w:rsid w:val="00AE2C85"/>
    <w:rsid w:val="00AE2D3A"/>
    <w:rsid w:val="00AE31B0"/>
    <w:rsid w:val="00AE3D41"/>
    <w:rsid w:val="00AE4086"/>
    <w:rsid w:val="00AE4406"/>
    <w:rsid w:val="00AE4CE1"/>
    <w:rsid w:val="00AE5133"/>
    <w:rsid w:val="00AE575F"/>
    <w:rsid w:val="00AE59B8"/>
    <w:rsid w:val="00AE5CAA"/>
    <w:rsid w:val="00AE5FDB"/>
    <w:rsid w:val="00AE6185"/>
    <w:rsid w:val="00AE6C43"/>
    <w:rsid w:val="00AE7138"/>
    <w:rsid w:val="00AE7FDC"/>
    <w:rsid w:val="00AF05C2"/>
    <w:rsid w:val="00AF1256"/>
    <w:rsid w:val="00AF15FD"/>
    <w:rsid w:val="00AF1C73"/>
    <w:rsid w:val="00AF1DEB"/>
    <w:rsid w:val="00AF22CF"/>
    <w:rsid w:val="00AF2D57"/>
    <w:rsid w:val="00AF2D8A"/>
    <w:rsid w:val="00AF3448"/>
    <w:rsid w:val="00AF35C9"/>
    <w:rsid w:val="00AF3A63"/>
    <w:rsid w:val="00AF4D0C"/>
    <w:rsid w:val="00AF5536"/>
    <w:rsid w:val="00AF6D81"/>
    <w:rsid w:val="00AF6FDB"/>
    <w:rsid w:val="00AF74D6"/>
    <w:rsid w:val="00AF75E8"/>
    <w:rsid w:val="00AF7B78"/>
    <w:rsid w:val="00B0011F"/>
    <w:rsid w:val="00B0052E"/>
    <w:rsid w:val="00B00535"/>
    <w:rsid w:val="00B008D3"/>
    <w:rsid w:val="00B016ED"/>
    <w:rsid w:val="00B01AFB"/>
    <w:rsid w:val="00B01DF9"/>
    <w:rsid w:val="00B0239A"/>
    <w:rsid w:val="00B02A02"/>
    <w:rsid w:val="00B02C9A"/>
    <w:rsid w:val="00B0396F"/>
    <w:rsid w:val="00B04826"/>
    <w:rsid w:val="00B04C02"/>
    <w:rsid w:val="00B04E79"/>
    <w:rsid w:val="00B058F9"/>
    <w:rsid w:val="00B06487"/>
    <w:rsid w:val="00B06697"/>
    <w:rsid w:val="00B067F9"/>
    <w:rsid w:val="00B06DC4"/>
    <w:rsid w:val="00B06FA5"/>
    <w:rsid w:val="00B07064"/>
    <w:rsid w:val="00B07503"/>
    <w:rsid w:val="00B07559"/>
    <w:rsid w:val="00B07C01"/>
    <w:rsid w:val="00B1065E"/>
    <w:rsid w:val="00B118CF"/>
    <w:rsid w:val="00B11B52"/>
    <w:rsid w:val="00B11C77"/>
    <w:rsid w:val="00B11EE0"/>
    <w:rsid w:val="00B1230D"/>
    <w:rsid w:val="00B12628"/>
    <w:rsid w:val="00B127BD"/>
    <w:rsid w:val="00B13F74"/>
    <w:rsid w:val="00B14029"/>
    <w:rsid w:val="00B143CE"/>
    <w:rsid w:val="00B146F3"/>
    <w:rsid w:val="00B157A2"/>
    <w:rsid w:val="00B15936"/>
    <w:rsid w:val="00B16694"/>
    <w:rsid w:val="00B16877"/>
    <w:rsid w:val="00B16DC2"/>
    <w:rsid w:val="00B1795C"/>
    <w:rsid w:val="00B17DCB"/>
    <w:rsid w:val="00B205EB"/>
    <w:rsid w:val="00B2074E"/>
    <w:rsid w:val="00B20880"/>
    <w:rsid w:val="00B20B88"/>
    <w:rsid w:val="00B21D0A"/>
    <w:rsid w:val="00B226C2"/>
    <w:rsid w:val="00B22A1A"/>
    <w:rsid w:val="00B23403"/>
    <w:rsid w:val="00B242ED"/>
    <w:rsid w:val="00B244FD"/>
    <w:rsid w:val="00B24517"/>
    <w:rsid w:val="00B24A92"/>
    <w:rsid w:val="00B24BC7"/>
    <w:rsid w:val="00B24FE8"/>
    <w:rsid w:val="00B25343"/>
    <w:rsid w:val="00B25B15"/>
    <w:rsid w:val="00B25FCB"/>
    <w:rsid w:val="00B26281"/>
    <w:rsid w:val="00B26A8B"/>
    <w:rsid w:val="00B26ADC"/>
    <w:rsid w:val="00B26DFC"/>
    <w:rsid w:val="00B27337"/>
    <w:rsid w:val="00B27E81"/>
    <w:rsid w:val="00B301B9"/>
    <w:rsid w:val="00B303E0"/>
    <w:rsid w:val="00B30592"/>
    <w:rsid w:val="00B30770"/>
    <w:rsid w:val="00B31A25"/>
    <w:rsid w:val="00B31C07"/>
    <w:rsid w:val="00B32003"/>
    <w:rsid w:val="00B323C2"/>
    <w:rsid w:val="00B32688"/>
    <w:rsid w:val="00B328A6"/>
    <w:rsid w:val="00B32E34"/>
    <w:rsid w:val="00B32E4D"/>
    <w:rsid w:val="00B32FCD"/>
    <w:rsid w:val="00B33644"/>
    <w:rsid w:val="00B33DDE"/>
    <w:rsid w:val="00B34067"/>
    <w:rsid w:val="00B345A8"/>
    <w:rsid w:val="00B348D2"/>
    <w:rsid w:val="00B349C9"/>
    <w:rsid w:val="00B34BFD"/>
    <w:rsid w:val="00B34E4B"/>
    <w:rsid w:val="00B35274"/>
    <w:rsid w:val="00B353D1"/>
    <w:rsid w:val="00B35445"/>
    <w:rsid w:val="00B3558A"/>
    <w:rsid w:val="00B357A7"/>
    <w:rsid w:val="00B35ED0"/>
    <w:rsid w:val="00B36078"/>
    <w:rsid w:val="00B36432"/>
    <w:rsid w:val="00B36913"/>
    <w:rsid w:val="00B36A26"/>
    <w:rsid w:val="00B36F66"/>
    <w:rsid w:val="00B374BB"/>
    <w:rsid w:val="00B37746"/>
    <w:rsid w:val="00B37A59"/>
    <w:rsid w:val="00B40998"/>
    <w:rsid w:val="00B409C5"/>
    <w:rsid w:val="00B40BB9"/>
    <w:rsid w:val="00B40E0D"/>
    <w:rsid w:val="00B40EFC"/>
    <w:rsid w:val="00B41250"/>
    <w:rsid w:val="00B414EA"/>
    <w:rsid w:val="00B4168B"/>
    <w:rsid w:val="00B416DE"/>
    <w:rsid w:val="00B41C30"/>
    <w:rsid w:val="00B41D5F"/>
    <w:rsid w:val="00B41DE6"/>
    <w:rsid w:val="00B41EB5"/>
    <w:rsid w:val="00B41F03"/>
    <w:rsid w:val="00B42140"/>
    <w:rsid w:val="00B423B9"/>
    <w:rsid w:val="00B425ED"/>
    <w:rsid w:val="00B439EA"/>
    <w:rsid w:val="00B43B9A"/>
    <w:rsid w:val="00B43E33"/>
    <w:rsid w:val="00B441EB"/>
    <w:rsid w:val="00B44543"/>
    <w:rsid w:val="00B4466D"/>
    <w:rsid w:val="00B446D2"/>
    <w:rsid w:val="00B44974"/>
    <w:rsid w:val="00B44C3E"/>
    <w:rsid w:val="00B44C4C"/>
    <w:rsid w:val="00B44E00"/>
    <w:rsid w:val="00B4507A"/>
    <w:rsid w:val="00B4507F"/>
    <w:rsid w:val="00B456B3"/>
    <w:rsid w:val="00B4580F"/>
    <w:rsid w:val="00B45942"/>
    <w:rsid w:val="00B45D84"/>
    <w:rsid w:val="00B46176"/>
    <w:rsid w:val="00B461DC"/>
    <w:rsid w:val="00B46961"/>
    <w:rsid w:val="00B47225"/>
    <w:rsid w:val="00B476B2"/>
    <w:rsid w:val="00B478DA"/>
    <w:rsid w:val="00B50715"/>
    <w:rsid w:val="00B50944"/>
    <w:rsid w:val="00B50CC1"/>
    <w:rsid w:val="00B50F6E"/>
    <w:rsid w:val="00B50F73"/>
    <w:rsid w:val="00B51031"/>
    <w:rsid w:val="00B513DC"/>
    <w:rsid w:val="00B516A7"/>
    <w:rsid w:val="00B51798"/>
    <w:rsid w:val="00B51A65"/>
    <w:rsid w:val="00B522CB"/>
    <w:rsid w:val="00B52614"/>
    <w:rsid w:val="00B5281D"/>
    <w:rsid w:val="00B52FE5"/>
    <w:rsid w:val="00B5332E"/>
    <w:rsid w:val="00B53575"/>
    <w:rsid w:val="00B5378A"/>
    <w:rsid w:val="00B53885"/>
    <w:rsid w:val="00B539B2"/>
    <w:rsid w:val="00B541E2"/>
    <w:rsid w:val="00B55068"/>
    <w:rsid w:val="00B5506C"/>
    <w:rsid w:val="00B55078"/>
    <w:rsid w:val="00B5522F"/>
    <w:rsid w:val="00B55432"/>
    <w:rsid w:val="00B55C53"/>
    <w:rsid w:val="00B55DA9"/>
    <w:rsid w:val="00B562F0"/>
    <w:rsid w:val="00B57192"/>
    <w:rsid w:val="00B57265"/>
    <w:rsid w:val="00B57478"/>
    <w:rsid w:val="00B577FA"/>
    <w:rsid w:val="00B57A0D"/>
    <w:rsid w:val="00B601BE"/>
    <w:rsid w:val="00B604CA"/>
    <w:rsid w:val="00B605EA"/>
    <w:rsid w:val="00B6079E"/>
    <w:rsid w:val="00B60C03"/>
    <w:rsid w:val="00B60ECE"/>
    <w:rsid w:val="00B60F93"/>
    <w:rsid w:val="00B60FE6"/>
    <w:rsid w:val="00B61018"/>
    <w:rsid w:val="00B61496"/>
    <w:rsid w:val="00B615B2"/>
    <w:rsid w:val="00B61624"/>
    <w:rsid w:val="00B6177E"/>
    <w:rsid w:val="00B61834"/>
    <w:rsid w:val="00B623D4"/>
    <w:rsid w:val="00B62AF2"/>
    <w:rsid w:val="00B62ED8"/>
    <w:rsid w:val="00B632DA"/>
    <w:rsid w:val="00B63335"/>
    <w:rsid w:val="00B6343E"/>
    <w:rsid w:val="00B63571"/>
    <w:rsid w:val="00B63FE5"/>
    <w:rsid w:val="00B64156"/>
    <w:rsid w:val="00B6428A"/>
    <w:rsid w:val="00B648EE"/>
    <w:rsid w:val="00B64BB5"/>
    <w:rsid w:val="00B64CE0"/>
    <w:rsid w:val="00B64E8E"/>
    <w:rsid w:val="00B64F25"/>
    <w:rsid w:val="00B64FEE"/>
    <w:rsid w:val="00B65064"/>
    <w:rsid w:val="00B65CA8"/>
    <w:rsid w:val="00B65D85"/>
    <w:rsid w:val="00B662DF"/>
    <w:rsid w:val="00B66847"/>
    <w:rsid w:val="00B66D12"/>
    <w:rsid w:val="00B67D1D"/>
    <w:rsid w:val="00B702CD"/>
    <w:rsid w:val="00B70676"/>
    <w:rsid w:val="00B70A90"/>
    <w:rsid w:val="00B70A99"/>
    <w:rsid w:val="00B70F64"/>
    <w:rsid w:val="00B71224"/>
    <w:rsid w:val="00B71555"/>
    <w:rsid w:val="00B71929"/>
    <w:rsid w:val="00B71ECA"/>
    <w:rsid w:val="00B72602"/>
    <w:rsid w:val="00B7297F"/>
    <w:rsid w:val="00B72AD2"/>
    <w:rsid w:val="00B73380"/>
    <w:rsid w:val="00B743A0"/>
    <w:rsid w:val="00B74712"/>
    <w:rsid w:val="00B747EB"/>
    <w:rsid w:val="00B754EF"/>
    <w:rsid w:val="00B75545"/>
    <w:rsid w:val="00B75861"/>
    <w:rsid w:val="00B75EAE"/>
    <w:rsid w:val="00B761C4"/>
    <w:rsid w:val="00B7647A"/>
    <w:rsid w:val="00B76851"/>
    <w:rsid w:val="00B76B40"/>
    <w:rsid w:val="00B76BAA"/>
    <w:rsid w:val="00B77385"/>
    <w:rsid w:val="00B7788B"/>
    <w:rsid w:val="00B77D3F"/>
    <w:rsid w:val="00B77D8D"/>
    <w:rsid w:val="00B77F67"/>
    <w:rsid w:val="00B80435"/>
    <w:rsid w:val="00B807AF"/>
    <w:rsid w:val="00B808D0"/>
    <w:rsid w:val="00B80F4F"/>
    <w:rsid w:val="00B8155B"/>
    <w:rsid w:val="00B81DCE"/>
    <w:rsid w:val="00B81E82"/>
    <w:rsid w:val="00B81F0C"/>
    <w:rsid w:val="00B82487"/>
    <w:rsid w:val="00B8297F"/>
    <w:rsid w:val="00B82EED"/>
    <w:rsid w:val="00B8313C"/>
    <w:rsid w:val="00B83F7E"/>
    <w:rsid w:val="00B8434B"/>
    <w:rsid w:val="00B844C4"/>
    <w:rsid w:val="00B8454F"/>
    <w:rsid w:val="00B84A59"/>
    <w:rsid w:val="00B84FEB"/>
    <w:rsid w:val="00B8539E"/>
    <w:rsid w:val="00B854FA"/>
    <w:rsid w:val="00B85C82"/>
    <w:rsid w:val="00B867A1"/>
    <w:rsid w:val="00B86820"/>
    <w:rsid w:val="00B8686A"/>
    <w:rsid w:val="00B86B62"/>
    <w:rsid w:val="00B86F58"/>
    <w:rsid w:val="00B874AA"/>
    <w:rsid w:val="00B87600"/>
    <w:rsid w:val="00B8769A"/>
    <w:rsid w:val="00B87709"/>
    <w:rsid w:val="00B87D39"/>
    <w:rsid w:val="00B87E61"/>
    <w:rsid w:val="00B90815"/>
    <w:rsid w:val="00B90F0E"/>
    <w:rsid w:val="00B91349"/>
    <w:rsid w:val="00B91401"/>
    <w:rsid w:val="00B91B5C"/>
    <w:rsid w:val="00B91F9D"/>
    <w:rsid w:val="00B92045"/>
    <w:rsid w:val="00B922E1"/>
    <w:rsid w:val="00B92321"/>
    <w:rsid w:val="00B92438"/>
    <w:rsid w:val="00B92462"/>
    <w:rsid w:val="00B927D8"/>
    <w:rsid w:val="00B92931"/>
    <w:rsid w:val="00B9296A"/>
    <w:rsid w:val="00B92BC2"/>
    <w:rsid w:val="00B92D22"/>
    <w:rsid w:val="00B92D56"/>
    <w:rsid w:val="00B92D87"/>
    <w:rsid w:val="00B92DBF"/>
    <w:rsid w:val="00B930AA"/>
    <w:rsid w:val="00B93BC5"/>
    <w:rsid w:val="00B93CE7"/>
    <w:rsid w:val="00B94B63"/>
    <w:rsid w:val="00B94D6B"/>
    <w:rsid w:val="00B952F9"/>
    <w:rsid w:val="00B95C1E"/>
    <w:rsid w:val="00B95D2F"/>
    <w:rsid w:val="00B95E1F"/>
    <w:rsid w:val="00B95F03"/>
    <w:rsid w:val="00B962E3"/>
    <w:rsid w:val="00B9672F"/>
    <w:rsid w:val="00B96747"/>
    <w:rsid w:val="00B96BD4"/>
    <w:rsid w:val="00B96EAC"/>
    <w:rsid w:val="00B9720E"/>
    <w:rsid w:val="00B97257"/>
    <w:rsid w:val="00B973E5"/>
    <w:rsid w:val="00B97F3E"/>
    <w:rsid w:val="00BA0272"/>
    <w:rsid w:val="00BA0B92"/>
    <w:rsid w:val="00BA0DD9"/>
    <w:rsid w:val="00BA13C8"/>
    <w:rsid w:val="00BA14DD"/>
    <w:rsid w:val="00BA1CD2"/>
    <w:rsid w:val="00BA1DAE"/>
    <w:rsid w:val="00BA2952"/>
    <w:rsid w:val="00BA297E"/>
    <w:rsid w:val="00BA2BF9"/>
    <w:rsid w:val="00BA2D1A"/>
    <w:rsid w:val="00BA2E50"/>
    <w:rsid w:val="00BA3141"/>
    <w:rsid w:val="00BA3F7B"/>
    <w:rsid w:val="00BA4506"/>
    <w:rsid w:val="00BA4C2C"/>
    <w:rsid w:val="00BA626B"/>
    <w:rsid w:val="00BA6717"/>
    <w:rsid w:val="00BA6D47"/>
    <w:rsid w:val="00BA6F21"/>
    <w:rsid w:val="00BA709D"/>
    <w:rsid w:val="00BA76D1"/>
    <w:rsid w:val="00BA76EB"/>
    <w:rsid w:val="00BA7839"/>
    <w:rsid w:val="00BA7FE3"/>
    <w:rsid w:val="00BB011C"/>
    <w:rsid w:val="00BB019A"/>
    <w:rsid w:val="00BB01C2"/>
    <w:rsid w:val="00BB046C"/>
    <w:rsid w:val="00BB0AC9"/>
    <w:rsid w:val="00BB0B8A"/>
    <w:rsid w:val="00BB0F6C"/>
    <w:rsid w:val="00BB104A"/>
    <w:rsid w:val="00BB1125"/>
    <w:rsid w:val="00BB13F6"/>
    <w:rsid w:val="00BB143D"/>
    <w:rsid w:val="00BB2083"/>
    <w:rsid w:val="00BB2119"/>
    <w:rsid w:val="00BB22F0"/>
    <w:rsid w:val="00BB2965"/>
    <w:rsid w:val="00BB2C91"/>
    <w:rsid w:val="00BB2D75"/>
    <w:rsid w:val="00BB2E38"/>
    <w:rsid w:val="00BB377D"/>
    <w:rsid w:val="00BB41D9"/>
    <w:rsid w:val="00BB41FE"/>
    <w:rsid w:val="00BB47DB"/>
    <w:rsid w:val="00BB487F"/>
    <w:rsid w:val="00BB4CAB"/>
    <w:rsid w:val="00BB4E01"/>
    <w:rsid w:val="00BB5CD0"/>
    <w:rsid w:val="00BB5FF7"/>
    <w:rsid w:val="00BB6361"/>
    <w:rsid w:val="00BB65CF"/>
    <w:rsid w:val="00BB6E59"/>
    <w:rsid w:val="00BB6EEC"/>
    <w:rsid w:val="00BB745F"/>
    <w:rsid w:val="00BB79D5"/>
    <w:rsid w:val="00BC000C"/>
    <w:rsid w:val="00BC0046"/>
    <w:rsid w:val="00BC021E"/>
    <w:rsid w:val="00BC03E9"/>
    <w:rsid w:val="00BC07E0"/>
    <w:rsid w:val="00BC0B7D"/>
    <w:rsid w:val="00BC0BB8"/>
    <w:rsid w:val="00BC0C4E"/>
    <w:rsid w:val="00BC0C51"/>
    <w:rsid w:val="00BC16DA"/>
    <w:rsid w:val="00BC197C"/>
    <w:rsid w:val="00BC1A6F"/>
    <w:rsid w:val="00BC2197"/>
    <w:rsid w:val="00BC21E8"/>
    <w:rsid w:val="00BC21EE"/>
    <w:rsid w:val="00BC27EA"/>
    <w:rsid w:val="00BC28AC"/>
    <w:rsid w:val="00BC2E5D"/>
    <w:rsid w:val="00BC2ED5"/>
    <w:rsid w:val="00BC3760"/>
    <w:rsid w:val="00BC3DD2"/>
    <w:rsid w:val="00BC4133"/>
    <w:rsid w:val="00BC42B1"/>
    <w:rsid w:val="00BC4750"/>
    <w:rsid w:val="00BC527D"/>
    <w:rsid w:val="00BC5649"/>
    <w:rsid w:val="00BC5DB5"/>
    <w:rsid w:val="00BC5F35"/>
    <w:rsid w:val="00BC76A7"/>
    <w:rsid w:val="00BC77A6"/>
    <w:rsid w:val="00BC7BF0"/>
    <w:rsid w:val="00BD00FD"/>
    <w:rsid w:val="00BD060F"/>
    <w:rsid w:val="00BD0E8E"/>
    <w:rsid w:val="00BD10CF"/>
    <w:rsid w:val="00BD1366"/>
    <w:rsid w:val="00BD1916"/>
    <w:rsid w:val="00BD1ED4"/>
    <w:rsid w:val="00BD22B4"/>
    <w:rsid w:val="00BD2400"/>
    <w:rsid w:val="00BD299C"/>
    <w:rsid w:val="00BD2C6B"/>
    <w:rsid w:val="00BD3083"/>
    <w:rsid w:val="00BD3628"/>
    <w:rsid w:val="00BD3C1D"/>
    <w:rsid w:val="00BD3DE9"/>
    <w:rsid w:val="00BD3F95"/>
    <w:rsid w:val="00BD42C4"/>
    <w:rsid w:val="00BD4450"/>
    <w:rsid w:val="00BD4DAC"/>
    <w:rsid w:val="00BD5264"/>
    <w:rsid w:val="00BD52AA"/>
    <w:rsid w:val="00BD567C"/>
    <w:rsid w:val="00BD5945"/>
    <w:rsid w:val="00BD5F31"/>
    <w:rsid w:val="00BD6575"/>
    <w:rsid w:val="00BD66AD"/>
    <w:rsid w:val="00BD6898"/>
    <w:rsid w:val="00BD6E7D"/>
    <w:rsid w:val="00BD7389"/>
    <w:rsid w:val="00BD7EFA"/>
    <w:rsid w:val="00BE00AE"/>
    <w:rsid w:val="00BE00F8"/>
    <w:rsid w:val="00BE0C6B"/>
    <w:rsid w:val="00BE107D"/>
    <w:rsid w:val="00BE1DDF"/>
    <w:rsid w:val="00BE28FE"/>
    <w:rsid w:val="00BE2EB3"/>
    <w:rsid w:val="00BE357E"/>
    <w:rsid w:val="00BE4021"/>
    <w:rsid w:val="00BE4531"/>
    <w:rsid w:val="00BE50CF"/>
    <w:rsid w:val="00BE5127"/>
    <w:rsid w:val="00BE56EB"/>
    <w:rsid w:val="00BE58F9"/>
    <w:rsid w:val="00BE5BC2"/>
    <w:rsid w:val="00BE5CCB"/>
    <w:rsid w:val="00BE5CDD"/>
    <w:rsid w:val="00BE63A5"/>
    <w:rsid w:val="00BE65E8"/>
    <w:rsid w:val="00BE68D2"/>
    <w:rsid w:val="00BE6B49"/>
    <w:rsid w:val="00BE6E79"/>
    <w:rsid w:val="00BE7A07"/>
    <w:rsid w:val="00BE7D96"/>
    <w:rsid w:val="00BE7E7D"/>
    <w:rsid w:val="00BF04C4"/>
    <w:rsid w:val="00BF0801"/>
    <w:rsid w:val="00BF083D"/>
    <w:rsid w:val="00BF0D2A"/>
    <w:rsid w:val="00BF0D49"/>
    <w:rsid w:val="00BF14A8"/>
    <w:rsid w:val="00BF15D7"/>
    <w:rsid w:val="00BF171E"/>
    <w:rsid w:val="00BF22CA"/>
    <w:rsid w:val="00BF2D5C"/>
    <w:rsid w:val="00BF2E32"/>
    <w:rsid w:val="00BF319F"/>
    <w:rsid w:val="00BF45AC"/>
    <w:rsid w:val="00BF493F"/>
    <w:rsid w:val="00BF49C9"/>
    <w:rsid w:val="00BF4BFC"/>
    <w:rsid w:val="00BF5267"/>
    <w:rsid w:val="00BF5A21"/>
    <w:rsid w:val="00BF6206"/>
    <w:rsid w:val="00BF6903"/>
    <w:rsid w:val="00BF77F0"/>
    <w:rsid w:val="00C00121"/>
    <w:rsid w:val="00C003BB"/>
    <w:rsid w:val="00C006FE"/>
    <w:rsid w:val="00C00FF1"/>
    <w:rsid w:val="00C01863"/>
    <w:rsid w:val="00C01DD0"/>
    <w:rsid w:val="00C02141"/>
    <w:rsid w:val="00C02B2B"/>
    <w:rsid w:val="00C03C7C"/>
    <w:rsid w:val="00C03C8A"/>
    <w:rsid w:val="00C03CA5"/>
    <w:rsid w:val="00C0401A"/>
    <w:rsid w:val="00C048CA"/>
    <w:rsid w:val="00C049B2"/>
    <w:rsid w:val="00C04D31"/>
    <w:rsid w:val="00C04EAC"/>
    <w:rsid w:val="00C04EBA"/>
    <w:rsid w:val="00C05022"/>
    <w:rsid w:val="00C056E5"/>
    <w:rsid w:val="00C05756"/>
    <w:rsid w:val="00C057AA"/>
    <w:rsid w:val="00C058B6"/>
    <w:rsid w:val="00C05D27"/>
    <w:rsid w:val="00C05E26"/>
    <w:rsid w:val="00C05E30"/>
    <w:rsid w:val="00C05F32"/>
    <w:rsid w:val="00C06BBB"/>
    <w:rsid w:val="00C07119"/>
    <w:rsid w:val="00C07568"/>
    <w:rsid w:val="00C077DE"/>
    <w:rsid w:val="00C10186"/>
    <w:rsid w:val="00C103C4"/>
    <w:rsid w:val="00C1050D"/>
    <w:rsid w:val="00C107E3"/>
    <w:rsid w:val="00C1081F"/>
    <w:rsid w:val="00C10A67"/>
    <w:rsid w:val="00C10CED"/>
    <w:rsid w:val="00C110BD"/>
    <w:rsid w:val="00C112DF"/>
    <w:rsid w:val="00C1164A"/>
    <w:rsid w:val="00C11FEE"/>
    <w:rsid w:val="00C121E2"/>
    <w:rsid w:val="00C12A4D"/>
    <w:rsid w:val="00C12EFB"/>
    <w:rsid w:val="00C1325D"/>
    <w:rsid w:val="00C13292"/>
    <w:rsid w:val="00C14180"/>
    <w:rsid w:val="00C1457B"/>
    <w:rsid w:val="00C146A7"/>
    <w:rsid w:val="00C14795"/>
    <w:rsid w:val="00C14C1A"/>
    <w:rsid w:val="00C152C0"/>
    <w:rsid w:val="00C154B8"/>
    <w:rsid w:val="00C1571B"/>
    <w:rsid w:val="00C1585B"/>
    <w:rsid w:val="00C15A4C"/>
    <w:rsid w:val="00C15E74"/>
    <w:rsid w:val="00C16142"/>
    <w:rsid w:val="00C161B8"/>
    <w:rsid w:val="00C1642D"/>
    <w:rsid w:val="00C167B5"/>
    <w:rsid w:val="00C1701C"/>
    <w:rsid w:val="00C17267"/>
    <w:rsid w:val="00C172D4"/>
    <w:rsid w:val="00C179DE"/>
    <w:rsid w:val="00C17A88"/>
    <w:rsid w:val="00C17D43"/>
    <w:rsid w:val="00C2002C"/>
    <w:rsid w:val="00C20180"/>
    <w:rsid w:val="00C20401"/>
    <w:rsid w:val="00C210AA"/>
    <w:rsid w:val="00C21E0E"/>
    <w:rsid w:val="00C222A9"/>
    <w:rsid w:val="00C2238C"/>
    <w:rsid w:val="00C22D7A"/>
    <w:rsid w:val="00C23478"/>
    <w:rsid w:val="00C243D8"/>
    <w:rsid w:val="00C24454"/>
    <w:rsid w:val="00C245B1"/>
    <w:rsid w:val="00C24A1A"/>
    <w:rsid w:val="00C24FB6"/>
    <w:rsid w:val="00C252D7"/>
    <w:rsid w:val="00C253C2"/>
    <w:rsid w:val="00C25578"/>
    <w:rsid w:val="00C261FA"/>
    <w:rsid w:val="00C26AEA"/>
    <w:rsid w:val="00C27278"/>
    <w:rsid w:val="00C27313"/>
    <w:rsid w:val="00C2746D"/>
    <w:rsid w:val="00C27C57"/>
    <w:rsid w:val="00C3013C"/>
    <w:rsid w:val="00C30582"/>
    <w:rsid w:val="00C30E47"/>
    <w:rsid w:val="00C312F7"/>
    <w:rsid w:val="00C3141C"/>
    <w:rsid w:val="00C31B18"/>
    <w:rsid w:val="00C31E00"/>
    <w:rsid w:val="00C3226C"/>
    <w:rsid w:val="00C32574"/>
    <w:rsid w:val="00C32763"/>
    <w:rsid w:val="00C331A9"/>
    <w:rsid w:val="00C335B7"/>
    <w:rsid w:val="00C33FA0"/>
    <w:rsid w:val="00C33FAA"/>
    <w:rsid w:val="00C34C26"/>
    <w:rsid w:val="00C34CCD"/>
    <w:rsid w:val="00C3525B"/>
    <w:rsid w:val="00C36294"/>
    <w:rsid w:val="00C36A07"/>
    <w:rsid w:val="00C374C4"/>
    <w:rsid w:val="00C37C07"/>
    <w:rsid w:val="00C37D59"/>
    <w:rsid w:val="00C40C52"/>
    <w:rsid w:val="00C40F99"/>
    <w:rsid w:val="00C40FA2"/>
    <w:rsid w:val="00C41CCA"/>
    <w:rsid w:val="00C41D7D"/>
    <w:rsid w:val="00C4207A"/>
    <w:rsid w:val="00C42D04"/>
    <w:rsid w:val="00C43482"/>
    <w:rsid w:val="00C43548"/>
    <w:rsid w:val="00C43801"/>
    <w:rsid w:val="00C43A15"/>
    <w:rsid w:val="00C43D64"/>
    <w:rsid w:val="00C440F2"/>
    <w:rsid w:val="00C44248"/>
    <w:rsid w:val="00C444BB"/>
    <w:rsid w:val="00C4457E"/>
    <w:rsid w:val="00C4473F"/>
    <w:rsid w:val="00C44B39"/>
    <w:rsid w:val="00C44FFC"/>
    <w:rsid w:val="00C45468"/>
    <w:rsid w:val="00C45992"/>
    <w:rsid w:val="00C45BB7"/>
    <w:rsid w:val="00C45E40"/>
    <w:rsid w:val="00C46175"/>
    <w:rsid w:val="00C463DB"/>
    <w:rsid w:val="00C46A14"/>
    <w:rsid w:val="00C46C2E"/>
    <w:rsid w:val="00C46CCE"/>
    <w:rsid w:val="00C46D44"/>
    <w:rsid w:val="00C47A7E"/>
    <w:rsid w:val="00C502C0"/>
    <w:rsid w:val="00C506E8"/>
    <w:rsid w:val="00C51C12"/>
    <w:rsid w:val="00C520BD"/>
    <w:rsid w:val="00C522ED"/>
    <w:rsid w:val="00C52320"/>
    <w:rsid w:val="00C524DB"/>
    <w:rsid w:val="00C528CE"/>
    <w:rsid w:val="00C53140"/>
    <w:rsid w:val="00C5390F"/>
    <w:rsid w:val="00C53BA6"/>
    <w:rsid w:val="00C53E8F"/>
    <w:rsid w:val="00C542F1"/>
    <w:rsid w:val="00C5482F"/>
    <w:rsid w:val="00C54BC8"/>
    <w:rsid w:val="00C54EB3"/>
    <w:rsid w:val="00C556A7"/>
    <w:rsid w:val="00C55E8E"/>
    <w:rsid w:val="00C56347"/>
    <w:rsid w:val="00C56533"/>
    <w:rsid w:val="00C57185"/>
    <w:rsid w:val="00C57528"/>
    <w:rsid w:val="00C601BD"/>
    <w:rsid w:val="00C61074"/>
    <w:rsid w:val="00C618FD"/>
    <w:rsid w:val="00C61B4E"/>
    <w:rsid w:val="00C62329"/>
    <w:rsid w:val="00C62B65"/>
    <w:rsid w:val="00C63906"/>
    <w:rsid w:val="00C63C72"/>
    <w:rsid w:val="00C64044"/>
    <w:rsid w:val="00C64111"/>
    <w:rsid w:val="00C641B4"/>
    <w:rsid w:val="00C641FF"/>
    <w:rsid w:val="00C647DD"/>
    <w:rsid w:val="00C64963"/>
    <w:rsid w:val="00C64EBA"/>
    <w:rsid w:val="00C64F27"/>
    <w:rsid w:val="00C6516F"/>
    <w:rsid w:val="00C6522C"/>
    <w:rsid w:val="00C65570"/>
    <w:rsid w:val="00C6584D"/>
    <w:rsid w:val="00C668E5"/>
    <w:rsid w:val="00C66918"/>
    <w:rsid w:val="00C66F8F"/>
    <w:rsid w:val="00C670CF"/>
    <w:rsid w:val="00C67560"/>
    <w:rsid w:val="00C676F7"/>
    <w:rsid w:val="00C7081B"/>
    <w:rsid w:val="00C711DC"/>
    <w:rsid w:val="00C7231D"/>
    <w:rsid w:val="00C72347"/>
    <w:rsid w:val="00C72509"/>
    <w:rsid w:val="00C727C7"/>
    <w:rsid w:val="00C728E3"/>
    <w:rsid w:val="00C729E8"/>
    <w:rsid w:val="00C72A89"/>
    <w:rsid w:val="00C72B48"/>
    <w:rsid w:val="00C73353"/>
    <w:rsid w:val="00C735A8"/>
    <w:rsid w:val="00C73C20"/>
    <w:rsid w:val="00C74CCD"/>
    <w:rsid w:val="00C74E82"/>
    <w:rsid w:val="00C7558A"/>
    <w:rsid w:val="00C75BA8"/>
    <w:rsid w:val="00C75BC2"/>
    <w:rsid w:val="00C7639C"/>
    <w:rsid w:val="00C76936"/>
    <w:rsid w:val="00C76C25"/>
    <w:rsid w:val="00C76EBD"/>
    <w:rsid w:val="00C77B41"/>
    <w:rsid w:val="00C77F6B"/>
    <w:rsid w:val="00C77FD3"/>
    <w:rsid w:val="00C80058"/>
    <w:rsid w:val="00C80084"/>
    <w:rsid w:val="00C809C7"/>
    <w:rsid w:val="00C80E27"/>
    <w:rsid w:val="00C80FB1"/>
    <w:rsid w:val="00C8146F"/>
    <w:rsid w:val="00C81615"/>
    <w:rsid w:val="00C816D4"/>
    <w:rsid w:val="00C816E5"/>
    <w:rsid w:val="00C81808"/>
    <w:rsid w:val="00C81899"/>
    <w:rsid w:val="00C818F7"/>
    <w:rsid w:val="00C822E6"/>
    <w:rsid w:val="00C826B5"/>
    <w:rsid w:val="00C82EA2"/>
    <w:rsid w:val="00C82F9D"/>
    <w:rsid w:val="00C83620"/>
    <w:rsid w:val="00C83626"/>
    <w:rsid w:val="00C83E3D"/>
    <w:rsid w:val="00C84159"/>
    <w:rsid w:val="00C84BBF"/>
    <w:rsid w:val="00C8568A"/>
    <w:rsid w:val="00C85B9B"/>
    <w:rsid w:val="00C85F77"/>
    <w:rsid w:val="00C85F7D"/>
    <w:rsid w:val="00C865E0"/>
    <w:rsid w:val="00C86743"/>
    <w:rsid w:val="00C86C16"/>
    <w:rsid w:val="00C87211"/>
    <w:rsid w:val="00C8738E"/>
    <w:rsid w:val="00C874AD"/>
    <w:rsid w:val="00C87591"/>
    <w:rsid w:val="00C877F6"/>
    <w:rsid w:val="00C87A66"/>
    <w:rsid w:val="00C87C80"/>
    <w:rsid w:val="00C90160"/>
    <w:rsid w:val="00C903DA"/>
    <w:rsid w:val="00C904F0"/>
    <w:rsid w:val="00C90724"/>
    <w:rsid w:val="00C909AA"/>
    <w:rsid w:val="00C910AA"/>
    <w:rsid w:val="00C912C6"/>
    <w:rsid w:val="00C918E0"/>
    <w:rsid w:val="00C93D29"/>
    <w:rsid w:val="00C93D3E"/>
    <w:rsid w:val="00C93F3A"/>
    <w:rsid w:val="00C94123"/>
    <w:rsid w:val="00C9435D"/>
    <w:rsid w:val="00C94610"/>
    <w:rsid w:val="00C94C08"/>
    <w:rsid w:val="00C9574C"/>
    <w:rsid w:val="00C95EE7"/>
    <w:rsid w:val="00C962D0"/>
    <w:rsid w:val="00C9669B"/>
    <w:rsid w:val="00C96938"/>
    <w:rsid w:val="00C96BDE"/>
    <w:rsid w:val="00C96CCB"/>
    <w:rsid w:val="00C96F12"/>
    <w:rsid w:val="00C9726B"/>
    <w:rsid w:val="00C97682"/>
    <w:rsid w:val="00C977A0"/>
    <w:rsid w:val="00C97810"/>
    <w:rsid w:val="00C979BF"/>
    <w:rsid w:val="00CA046C"/>
    <w:rsid w:val="00CA05CD"/>
    <w:rsid w:val="00CA0D85"/>
    <w:rsid w:val="00CA100C"/>
    <w:rsid w:val="00CA1A6D"/>
    <w:rsid w:val="00CA1AAB"/>
    <w:rsid w:val="00CA1E02"/>
    <w:rsid w:val="00CA1EB0"/>
    <w:rsid w:val="00CA267B"/>
    <w:rsid w:val="00CA2AA3"/>
    <w:rsid w:val="00CA3568"/>
    <w:rsid w:val="00CA3680"/>
    <w:rsid w:val="00CA3779"/>
    <w:rsid w:val="00CA37D5"/>
    <w:rsid w:val="00CA3865"/>
    <w:rsid w:val="00CA3A32"/>
    <w:rsid w:val="00CA3E72"/>
    <w:rsid w:val="00CA474C"/>
    <w:rsid w:val="00CA47CA"/>
    <w:rsid w:val="00CA49B1"/>
    <w:rsid w:val="00CA4BF6"/>
    <w:rsid w:val="00CA4EEB"/>
    <w:rsid w:val="00CA4FB0"/>
    <w:rsid w:val="00CA5E27"/>
    <w:rsid w:val="00CA6178"/>
    <w:rsid w:val="00CA62E6"/>
    <w:rsid w:val="00CA6AA1"/>
    <w:rsid w:val="00CA6DED"/>
    <w:rsid w:val="00CA6E2A"/>
    <w:rsid w:val="00CA706B"/>
    <w:rsid w:val="00CA70FD"/>
    <w:rsid w:val="00CA7612"/>
    <w:rsid w:val="00CA770D"/>
    <w:rsid w:val="00CB00F7"/>
    <w:rsid w:val="00CB05DD"/>
    <w:rsid w:val="00CB0C1A"/>
    <w:rsid w:val="00CB0C40"/>
    <w:rsid w:val="00CB226C"/>
    <w:rsid w:val="00CB2419"/>
    <w:rsid w:val="00CB290A"/>
    <w:rsid w:val="00CB2CC7"/>
    <w:rsid w:val="00CB3257"/>
    <w:rsid w:val="00CB43D1"/>
    <w:rsid w:val="00CB45E4"/>
    <w:rsid w:val="00CB4994"/>
    <w:rsid w:val="00CB5744"/>
    <w:rsid w:val="00CB57AE"/>
    <w:rsid w:val="00CB57F6"/>
    <w:rsid w:val="00CB5891"/>
    <w:rsid w:val="00CB5C48"/>
    <w:rsid w:val="00CB5D53"/>
    <w:rsid w:val="00CB5E60"/>
    <w:rsid w:val="00CB5FDE"/>
    <w:rsid w:val="00CB68AC"/>
    <w:rsid w:val="00CB6BB7"/>
    <w:rsid w:val="00CB6CB1"/>
    <w:rsid w:val="00CB6E83"/>
    <w:rsid w:val="00CB7038"/>
    <w:rsid w:val="00CB726E"/>
    <w:rsid w:val="00CB7A24"/>
    <w:rsid w:val="00CB7E12"/>
    <w:rsid w:val="00CB7EB3"/>
    <w:rsid w:val="00CC0A07"/>
    <w:rsid w:val="00CC16AF"/>
    <w:rsid w:val="00CC1900"/>
    <w:rsid w:val="00CC1CF0"/>
    <w:rsid w:val="00CC1EDC"/>
    <w:rsid w:val="00CC1FC2"/>
    <w:rsid w:val="00CC243A"/>
    <w:rsid w:val="00CC2CE9"/>
    <w:rsid w:val="00CC2E5B"/>
    <w:rsid w:val="00CC304F"/>
    <w:rsid w:val="00CC3101"/>
    <w:rsid w:val="00CC31AE"/>
    <w:rsid w:val="00CC368A"/>
    <w:rsid w:val="00CC3C71"/>
    <w:rsid w:val="00CC3F46"/>
    <w:rsid w:val="00CC41AA"/>
    <w:rsid w:val="00CC4637"/>
    <w:rsid w:val="00CC4DA3"/>
    <w:rsid w:val="00CC4EE3"/>
    <w:rsid w:val="00CC51EC"/>
    <w:rsid w:val="00CC543C"/>
    <w:rsid w:val="00CC5513"/>
    <w:rsid w:val="00CC5517"/>
    <w:rsid w:val="00CC5866"/>
    <w:rsid w:val="00CC6924"/>
    <w:rsid w:val="00CC7005"/>
    <w:rsid w:val="00CC7014"/>
    <w:rsid w:val="00CC70D0"/>
    <w:rsid w:val="00CC73F2"/>
    <w:rsid w:val="00CC757B"/>
    <w:rsid w:val="00CD0455"/>
    <w:rsid w:val="00CD0E6E"/>
    <w:rsid w:val="00CD142A"/>
    <w:rsid w:val="00CD15C5"/>
    <w:rsid w:val="00CD167B"/>
    <w:rsid w:val="00CD18CC"/>
    <w:rsid w:val="00CD1998"/>
    <w:rsid w:val="00CD1C37"/>
    <w:rsid w:val="00CD1CD6"/>
    <w:rsid w:val="00CD20A2"/>
    <w:rsid w:val="00CD21CC"/>
    <w:rsid w:val="00CD221B"/>
    <w:rsid w:val="00CD2683"/>
    <w:rsid w:val="00CD26AB"/>
    <w:rsid w:val="00CD2B6B"/>
    <w:rsid w:val="00CD2C52"/>
    <w:rsid w:val="00CD2CA2"/>
    <w:rsid w:val="00CD2D1A"/>
    <w:rsid w:val="00CD324A"/>
    <w:rsid w:val="00CD326C"/>
    <w:rsid w:val="00CD4232"/>
    <w:rsid w:val="00CD488A"/>
    <w:rsid w:val="00CD4BA3"/>
    <w:rsid w:val="00CD4F3E"/>
    <w:rsid w:val="00CD4F96"/>
    <w:rsid w:val="00CD5295"/>
    <w:rsid w:val="00CD5E4C"/>
    <w:rsid w:val="00CD6373"/>
    <w:rsid w:val="00CD66A9"/>
    <w:rsid w:val="00CD677F"/>
    <w:rsid w:val="00CD6FBF"/>
    <w:rsid w:val="00CD705C"/>
    <w:rsid w:val="00CD76CF"/>
    <w:rsid w:val="00CD7956"/>
    <w:rsid w:val="00CD798A"/>
    <w:rsid w:val="00CD7AE2"/>
    <w:rsid w:val="00CE08A7"/>
    <w:rsid w:val="00CE09C9"/>
    <w:rsid w:val="00CE0A22"/>
    <w:rsid w:val="00CE11A5"/>
    <w:rsid w:val="00CE1200"/>
    <w:rsid w:val="00CE1338"/>
    <w:rsid w:val="00CE1463"/>
    <w:rsid w:val="00CE15EF"/>
    <w:rsid w:val="00CE1694"/>
    <w:rsid w:val="00CE16CC"/>
    <w:rsid w:val="00CE1942"/>
    <w:rsid w:val="00CE24E1"/>
    <w:rsid w:val="00CE2A93"/>
    <w:rsid w:val="00CE2FAC"/>
    <w:rsid w:val="00CE397F"/>
    <w:rsid w:val="00CE3E13"/>
    <w:rsid w:val="00CE400C"/>
    <w:rsid w:val="00CE4040"/>
    <w:rsid w:val="00CE4BE6"/>
    <w:rsid w:val="00CE4D4F"/>
    <w:rsid w:val="00CE4DFC"/>
    <w:rsid w:val="00CE5083"/>
    <w:rsid w:val="00CE51CB"/>
    <w:rsid w:val="00CE5289"/>
    <w:rsid w:val="00CE53C8"/>
    <w:rsid w:val="00CE5556"/>
    <w:rsid w:val="00CE589D"/>
    <w:rsid w:val="00CE595B"/>
    <w:rsid w:val="00CE5A88"/>
    <w:rsid w:val="00CE5B9C"/>
    <w:rsid w:val="00CE5D95"/>
    <w:rsid w:val="00CE6092"/>
    <w:rsid w:val="00CE699D"/>
    <w:rsid w:val="00CE716E"/>
    <w:rsid w:val="00CE738B"/>
    <w:rsid w:val="00CE7501"/>
    <w:rsid w:val="00CE7EBA"/>
    <w:rsid w:val="00CF04D1"/>
    <w:rsid w:val="00CF0DA3"/>
    <w:rsid w:val="00CF0EBB"/>
    <w:rsid w:val="00CF12DF"/>
    <w:rsid w:val="00CF1FF3"/>
    <w:rsid w:val="00CF302C"/>
    <w:rsid w:val="00CF3580"/>
    <w:rsid w:val="00CF35C2"/>
    <w:rsid w:val="00CF3720"/>
    <w:rsid w:val="00CF3B2C"/>
    <w:rsid w:val="00CF3F09"/>
    <w:rsid w:val="00CF40FB"/>
    <w:rsid w:val="00CF455B"/>
    <w:rsid w:val="00CF4802"/>
    <w:rsid w:val="00CF5031"/>
    <w:rsid w:val="00CF5581"/>
    <w:rsid w:val="00CF591E"/>
    <w:rsid w:val="00CF5F54"/>
    <w:rsid w:val="00CF607C"/>
    <w:rsid w:val="00CF627B"/>
    <w:rsid w:val="00CF671A"/>
    <w:rsid w:val="00CF687D"/>
    <w:rsid w:val="00CF7312"/>
    <w:rsid w:val="00CF7A5B"/>
    <w:rsid w:val="00CF7BB3"/>
    <w:rsid w:val="00CF7D0C"/>
    <w:rsid w:val="00D009A9"/>
    <w:rsid w:val="00D00BFD"/>
    <w:rsid w:val="00D00C0A"/>
    <w:rsid w:val="00D00D1A"/>
    <w:rsid w:val="00D00DCE"/>
    <w:rsid w:val="00D00FA3"/>
    <w:rsid w:val="00D01019"/>
    <w:rsid w:val="00D011E4"/>
    <w:rsid w:val="00D015A9"/>
    <w:rsid w:val="00D019E3"/>
    <w:rsid w:val="00D01AAE"/>
    <w:rsid w:val="00D0299D"/>
    <w:rsid w:val="00D02C8B"/>
    <w:rsid w:val="00D036BB"/>
    <w:rsid w:val="00D038F4"/>
    <w:rsid w:val="00D0432E"/>
    <w:rsid w:val="00D04557"/>
    <w:rsid w:val="00D04603"/>
    <w:rsid w:val="00D04E90"/>
    <w:rsid w:val="00D04F8F"/>
    <w:rsid w:val="00D05152"/>
    <w:rsid w:val="00D05578"/>
    <w:rsid w:val="00D05E59"/>
    <w:rsid w:val="00D05F8F"/>
    <w:rsid w:val="00D061FD"/>
    <w:rsid w:val="00D0675C"/>
    <w:rsid w:val="00D067C1"/>
    <w:rsid w:val="00D06E0C"/>
    <w:rsid w:val="00D06F3C"/>
    <w:rsid w:val="00D06FFD"/>
    <w:rsid w:val="00D073C9"/>
    <w:rsid w:val="00D07505"/>
    <w:rsid w:val="00D07B52"/>
    <w:rsid w:val="00D07EFB"/>
    <w:rsid w:val="00D07F1B"/>
    <w:rsid w:val="00D101C1"/>
    <w:rsid w:val="00D10A59"/>
    <w:rsid w:val="00D10B39"/>
    <w:rsid w:val="00D10CB9"/>
    <w:rsid w:val="00D10E11"/>
    <w:rsid w:val="00D11C82"/>
    <w:rsid w:val="00D11E28"/>
    <w:rsid w:val="00D1287C"/>
    <w:rsid w:val="00D12D34"/>
    <w:rsid w:val="00D12DF2"/>
    <w:rsid w:val="00D1314C"/>
    <w:rsid w:val="00D13296"/>
    <w:rsid w:val="00D134B0"/>
    <w:rsid w:val="00D1365C"/>
    <w:rsid w:val="00D13F40"/>
    <w:rsid w:val="00D14F0E"/>
    <w:rsid w:val="00D15209"/>
    <w:rsid w:val="00D1565E"/>
    <w:rsid w:val="00D15805"/>
    <w:rsid w:val="00D15D44"/>
    <w:rsid w:val="00D160C8"/>
    <w:rsid w:val="00D1619A"/>
    <w:rsid w:val="00D16AC5"/>
    <w:rsid w:val="00D16BD6"/>
    <w:rsid w:val="00D16D7C"/>
    <w:rsid w:val="00D16EDA"/>
    <w:rsid w:val="00D17435"/>
    <w:rsid w:val="00D174BD"/>
    <w:rsid w:val="00D17D4C"/>
    <w:rsid w:val="00D2038A"/>
    <w:rsid w:val="00D20540"/>
    <w:rsid w:val="00D20575"/>
    <w:rsid w:val="00D206C7"/>
    <w:rsid w:val="00D208E8"/>
    <w:rsid w:val="00D20A5D"/>
    <w:rsid w:val="00D210A1"/>
    <w:rsid w:val="00D2148B"/>
    <w:rsid w:val="00D21554"/>
    <w:rsid w:val="00D217A2"/>
    <w:rsid w:val="00D219B4"/>
    <w:rsid w:val="00D22058"/>
    <w:rsid w:val="00D220B4"/>
    <w:rsid w:val="00D2257C"/>
    <w:rsid w:val="00D2309A"/>
    <w:rsid w:val="00D2334F"/>
    <w:rsid w:val="00D23A32"/>
    <w:rsid w:val="00D24010"/>
    <w:rsid w:val="00D24200"/>
    <w:rsid w:val="00D2449F"/>
    <w:rsid w:val="00D245EB"/>
    <w:rsid w:val="00D2511A"/>
    <w:rsid w:val="00D252DD"/>
    <w:rsid w:val="00D25981"/>
    <w:rsid w:val="00D25C4B"/>
    <w:rsid w:val="00D25D5E"/>
    <w:rsid w:val="00D26995"/>
    <w:rsid w:val="00D30035"/>
    <w:rsid w:val="00D301E5"/>
    <w:rsid w:val="00D302E6"/>
    <w:rsid w:val="00D3045D"/>
    <w:rsid w:val="00D305E6"/>
    <w:rsid w:val="00D30916"/>
    <w:rsid w:val="00D309F4"/>
    <w:rsid w:val="00D30A54"/>
    <w:rsid w:val="00D30BFA"/>
    <w:rsid w:val="00D30DC6"/>
    <w:rsid w:val="00D30F2F"/>
    <w:rsid w:val="00D31C2A"/>
    <w:rsid w:val="00D3275E"/>
    <w:rsid w:val="00D32918"/>
    <w:rsid w:val="00D32C53"/>
    <w:rsid w:val="00D3370B"/>
    <w:rsid w:val="00D33742"/>
    <w:rsid w:val="00D3394B"/>
    <w:rsid w:val="00D33A03"/>
    <w:rsid w:val="00D33E90"/>
    <w:rsid w:val="00D33FCF"/>
    <w:rsid w:val="00D346E5"/>
    <w:rsid w:val="00D346F1"/>
    <w:rsid w:val="00D352FE"/>
    <w:rsid w:val="00D36637"/>
    <w:rsid w:val="00D370A5"/>
    <w:rsid w:val="00D371D2"/>
    <w:rsid w:val="00D377CF"/>
    <w:rsid w:val="00D3798E"/>
    <w:rsid w:val="00D37B1D"/>
    <w:rsid w:val="00D37CAA"/>
    <w:rsid w:val="00D40481"/>
    <w:rsid w:val="00D4068D"/>
    <w:rsid w:val="00D407BB"/>
    <w:rsid w:val="00D40BC2"/>
    <w:rsid w:val="00D41C84"/>
    <w:rsid w:val="00D41EF5"/>
    <w:rsid w:val="00D42103"/>
    <w:rsid w:val="00D42744"/>
    <w:rsid w:val="00D42856"/>
    <w:rsid w:val="00D43865"/>
    <w:rsid w:val="00D43F20"/>
    <w:rsid w:val="00D445DA"/>
    <w:rsid w:val="00D44620"/>
    <w:rsid w:val="00D4481B"/>
    <w:rsid w:val="00D44FBF"/>
    <w:rsid w:val="00D45211"/>
    <w:rsid w:val="00D4559C"/>
    <w:rsid w:val="00D45CCB"/>
    <w:rsid w:val="00D45E2D"/>
    <w:rsid w:val="00D46469"/>
    <w:rsid w:val="00D464FE"/>
    <w:rsid w:val="00D465C9"/>
    <w:rsid w:val="00D46733"/>
    <w:rsid w:val="00D46A83"/>
    <w:rsid w:val="00D47951"/>
    <w:rsid w:val="00D47CC4"/>
    <w:rsid w:val="00D47ED4"/>
    <w:rsid w:val="00D50A4E"/>
    <w:rsid w:val="00D51135"/>
    <w:rsid w:val="00D51176"/>
    <w:rsid w:val="00D515EC"/>
    <w:rsid w:val="00D5198A"/>
    <w:rsid w:val="00D519A8"/>
    <w:rsid w:val="00D5222A"/>
    <w:rsid w:val="00D525A4"/>
    <w:rsid w:val="00D529EB"/>
    <w:rsid w:val="00D535B6"/>
    <w:rsid w:val="00D53999"/>
    <w:rsid w:val="00D53BBF"/>
    <w:rsid w:val="00D53E54"/>
    <w:rsid w:val="00D54B93"/>
    <w:rsid w:val="00D55287"/>
    <w:rsid w:val="00D5529A"/>
    <w:rsid w:val="00D55501"/>
    <w:rsid w:val="00D55812"/>
    <w:rsid w:val="00D55FE2"/>
    <w:rsid w:val="00D561F2"/>
    <w:rsid w:val="00D565E7"/>
    <w:rsid w:val="00D56B7C"/>
    <w:rsid w:val="00D570C7"/>
    <w:rsid w:val="00D57908"/>
    <w:rsid w:val="00D60545"/>
    <w:rsid w:val="00D617B6"/>
    <w:rsid w:val="00D62758"/>
    <w:rsid w:val="00D62C1E"/>
    <w:rsid w:val="00D62C74"/>
    <w:rsid w:val="00D6342C"/>
    <w:rsid w:val="00D63974"/>
    <w:rsid w:val="00D6403C"/>
    <w:rsid w:val="00D648A8"/>
    <w:rsid w:val="00D64DFB"/>
    <w:rsid w:val="00D64EF5"/>
    <w:rsid w:val="00D6555A"/>
    <w:rsid w:val="00D656E2"/>
    <w:rsid w:val="00D656EA"/>
    <w:rsid w:val="00D65CBB"/>
    <w:rsid w:val="00D66138"/>
    <w:rsid w:val="00D66EFE"/>
    <w:rsid w:val="00D671B0"/>
    <w:rsid w:val="00D676F9"/>
    <w:rsid w:val="00D701FA"/>
    <w:rsid w:val="00D703FD"/>
    <w:rsid w:val="00D7042E"/>
    <w:rsid w:val="00D704F4"/>
    <w:rsid w:val="00D70505"/>
    <w:rsid w:val="00D706D8"/>
    <w:rsid w:val="00D71325"/>
    <w:rsid w:val="00D71793"/>
    <w:rsid w:val="00D71FAF"/>
    <w:rsid w:val="00D728CE"/>
    <w:rsid w:val="00D72BF9"/>
    <w:rsid w:val="00D72E9D"/>
    <w:rsid w:val="00D72EC0"/>
    <w:rsid w:val="00D7329E"/>
    <w:rsid w:val="00D7332A"/>
    <w:rsid w:val="00D735F3"/>
    <w:rsid w:val="00D738E3"/>
    <w:rsid w:val="00D7390C"/>
    <w:rsid w:val="00D73B62"/>
    <w:rsid w:val="00D73D37"/>
    <w:rsid w:val="00D73DF0"/>
    <w:rsid w:val="00D73E6E"/>
    <w:rsid w:val="00D746CA"/>
    <w:rsid w:val="00D74CFC"/>
    <w:rsid w:val="00D754B5"/>
    <w:rsid w:val="00D761B0"/>
    <w:rsid w:val="00D7699A"/>
    <w:rsid w:val="00D77418"/>
    <w:rsid w:val="00D7775F"/>
    <w:rsid w:val="00D77812"/>
    <w:rsid w:val="00D80296"/>
    <w:rsid w:val="00D803D8"/>
    <w:rsid w:val="00D80500"/>
    <w:rsid w:val="00D808C1"/>
    <w:rsid w:val="00D80A2C"/>
    <w:rsid w:val="00D80AB4"/>
    <w:rsid w:val="00D80B38"/>
    <w:rsid w:val="00D8132A"/>
    <w:rsid w:val="00D817DD"/>
    <w:rsid w:val="00D819E9"/>
    <w:rsid w:val="00D81D55"/>
    <w:rsid w:val="00D839B2"/>
    <w:rsid w:val="00D83B5D"/>
    <w:rsid w:val="00D83BF1"/>
    <w:rsid w:val="00D83CA1"/>
    <w:rsid w:val="00D841F2"/>
    <w:rsid w:val="00D8447D"/>
    <w:rsid w:val="00D844DC"/>
    <w:rsid w:val="00D847AC"/>
    <w:rsid w:val="00D8530B"/>
    <w:rsid w:val="00D86E6D"/>
    <w:rsid w:val="00D86FD0"/>
    <w:rsid w:val="00D87264"/>
    <w:rsid w:val="00D87A5C"/>
    <w:rsid w:val="00D87F48"/>
    <w:rsid w:val="00D90060"/>
    <w:rsid w:val="00D905E7"/>
    <w:rsid w:val="00D9069F"/>
    <w:rsid w:val="00D9097D"/>
    <w:rsid w:val="00D910A7"/>
    <w:rsid w:val="00D912F6"/>
    <w:rsid w:val="00D913FA"/>
    <w:rsid w:val="00D91840"/>
    <w:rsid w:val="00D9191A"/>
    <w:rsid w:val="00D91D80"/>
    <w:rsid w:val="00D91EC3"/>
    <w:rsid w:val="00D91F00"/>
    <w:rsid w:val="00D92682"/>
    <w:rsid w:val="00D933E5"/>
    <w:rsid w:val="00D9385F"/>
    <w:rsid w:val="00D93D08"/>
    <w:rsid w:val="00D947AA"/>
    <w:rsid w:val="00D948C9"/>
    <w:rsid w:val="00D94C41"/>
    <w:rsid w:val="00D94E72"/>
    <w:rsid w:val="00D95073"/>
    <w:rsid w:val="00D95237"/>
    <w:rsid w:val="00D95520"/>
    <w:rsid w:val="00D9559B"/>
    <w:rsid w:val="00D96BA4"/>
    <w:rsid w:val="00D970D1"/>
    <w:rsid w:val="00DA01CB"/>
    <w:rsid w:val="00DA0723"/>
    <w:rsid w:val="00DA0DCE"/>
    <w:rsid w:val="00DA13D6"/>
    <w:rsid w:val="00DA1509"/>
    <w:rsid w:val="00DA1FEC"/>
    <w:rsid w:val="00DA20E7"/>
    <w:rsid w:val="00DA21F5"/>
    <w:rsid w:val="00DA223A"/>
    <w:rsid w:val="00DA2A73"/>
    <w:rsid w:val="00DA2B5C"/>
    <w:rsid w:val="00DA2EEA"/>
    <w:rsid w:val="00DA3370"/>
    <w:rsid w:val="00DA34AA"/>
    <w:rsid w:val="00DA3B00"/>
    <w:rsid w:val="00DA3C6D"/>
    <w:rsid w:val="00DA4CF0"/>
    <w:rsid w:val="00DA4F35"/>
    <w:rsid w:val="00DA4FE2"/>
    <w:rsid w:val="00DA545F"/>
    <w:rsid w:val="00DA637F"/>
    <w:rsid w:val="00DA664B"/>
    <w:rsid w:val="00DA675A"/>
    <w:rsid w:val="00DA6902"/>
    <w:rsid w:val="00DA6A26"/>
    <w:rsid w:val="00DA7463"/>
    <w:rsid w:val="00DA7C49"/>
    <w:rsid w:val="00DB016D"/>
    <w:rsid w:val="00DB035E"/>
    <w:rsid w:val="00DB1429"/>
    <w:rsid w:val="00DB169F"/>
    <w:rsid w:val="00DB1939"/>
    <w:rsid w:val="00DB2153"/>
    <w:rsid w:val="00DB2238"/>
    <w:rsid w:val="00DB2596"/>
    <w:rsid w:val="00DB2806"/>
    <w:rsid w:val="00DB284C"/>
    <w:rsid w:val="00DB28D7"/>
    <w:rsid w:val="00DB2CAA"/>
    <w:rsid w:val="00DB334E"/>
    <w:rsid w:val="00DB3404"/>
    <w:rsid w:val="00DB3464"/>
    <w:rsid w:val="00DB36E3"/>
    <w:rsid w:val="00DB3EC9"/>
    <w:rsid w:val="00DB4108"/>
    <w:rsid w:val="00DB45BE"/>
    <w:rsid w:val="00DB52BA"/>
    <w:rsid w:val="00DB5D25"/>
    <w:rsid w:val="00DB5DFB"/>
    <w:rsid w:val="00DB616E"/>
    <w:rsid w:val="00DB62A9"/>
    <w:rsid w:val="00DB656D"/>
    <w:rsid w:val="00DB6631"/>
    <w:rsid w:val="00DB670A"/>
    <w:rsid w:val="00DB6C44"/>
    <w:rsid w:val="00DB6FA7"/>
    <w:rsid w:val="00DC0F44"/>
    <w:rsid w:val="00DC13A0"/>
    <w:rsid w:val="00DC15C2"/>
    <w:rsid w:val="00DC1910"/>
    <w:rsid w:val="00DC1C06"/>
    <w:rsid w:val="00DC1E3C"/>
    <w:rsid w:val="00DC2316"/>
    <w:rsid w:val="00DC2495"/>
    <w:rsid w:val="00DC25E9"/>
    <w:rsid w:val="00DC2DE3"/>
    <w:rsid w:val="00DC3185"/>
    <w:rsid w:val="00DC3822"/>
    <w:rsid w:val="00DC3D67"/>
    <w:rsid w:val="00DC4129"/>
    <w:rsid w:val="00DC431B"/>
    <w:rsid w:val="00DC44BF"/>
    <w:rsid w:val="00DC45FE"/>
    <w:rsid w:val="00DC4B19"/>
    <w:rsid w:val="00DC5739"/>
    <w:rsid w:val="00DC5FDE"/>
    <w:rsid w:val="00DC601A"/>
    <w:rsid w:val="00DC643E"/>
    <w:rsid w:val="00DC6851"/>
    <w:rsid w:val="00DC6ADB"/>
    <w:rsid w:val="00DC6E3C"/>
    <w:rsid w:val="00DC6EF5"/>
    <w:rsid w:val="00DC70BA"/>
    <w:rsid w:val="00DC797E"/>
    <w:rsid w:val="00DC79C9"/>
    <w:rsid w:val="00DC7A3F"/>
    <w:rsid w:val="00DC7BCE"/>
    <w:rsid w:val="00DD0101"/>
    <w:rsid w:val="00DD025B"/>
    <w:rsid w:val="00DD0417"/>
    <w:rsid w:val="00DD1D93"/>
    <w:rsid w:val="00DD2C3B"/>
    <w:rsid w:val="00DD31E9"/>
    <w:rsid w:val="00DD360C"/>
    <w:rsid w:val="00DD3CBF"/>
    <w:rsid w:val="00DD3D14"/>
    <w:rsid w:val="00DD3E0F"/>
    <w:rsid w:val="00DD3E7E"/>
    <w:rsid w:val="00DD418F"/>
    <w:rsid w:val="00DD4C97"/>
    <w:rsid w:val="00DD4E80"/>
    <w:rsid w:val="00DD4F68"/>
    <w:rsid w:val="00DD4F96"/>
    <w:rsid w:val="00DD503F"/>
    <w:rsid w:val="00DD5158"/>
    <w:rsid w:val="00DD515A"/>
    <w:rsid w:val="00DD520D"/>
    <w:rsid w:val="00DD5266"/>
    <w:rsid w:val="00DD53DF"/>
    <w:rsid w:val="00DD569B"/>
    <w:rsid w:val="00DD571D"/>
    <w:rsid w:val="00DD5735"/>
    <w:rsid w:val="00DD57B9"/>
    <w:rsid w:val="00DD5EEB"/>
    <w:rsid w:val="00DD656A"/>
    <w:rsid w:val="00DD7E02"/>
    <w:rsid w:val="00DE0D79"/>
    <w:rsid w:val="00DE1E75"/>
    <w:rsid w:val="00DE2A16"/>
    <w:rsid w:val="00DE2D0D"/>
    <w:rsid w:val="00DE2E0B"/>
    <w:rsid w:val="00DE308E"/>
    <w:rsid w:val="00DE319A"/>
    <w:rsid w:val="00DE31EC"/>
    <w:rsid w:val="00DE329E"/>
    <w:rsid w:val="00DE405E"/>
    <w:rsid w:val="00DE4167"/>
    <w:rsid w:val="00DE43BC"/>
    <w:rsid w:val="00DE4C9C"/>
    <w:rsid w:val="00DE519B"/>
    <w:rsid w:val="00DE52BC"/>
    <w:rsid w:val="00DE564A"/>
    <w:rsid w:val="00DE58A4"/>
    <w:rsid w:val="00DE59C4"/>
    <w:rsid w:val="00DE5B3F"/>
    <w:rsid w:val="00DE5C0C"/>
    <w:rsid w:val="00DE5D24"/>
    <w:rsid w:val="00DE5DE5"/>
    <w:rsid w:val="00DE6331"/>
    <w:rsid w:val="00DE69C8"/>
    <w:rsid w:val="00DE6CBD"/>
    <w:rsid w:val="00DE7181"/>
    <w:rsid w:val="00DE71D1"/>
    <w:rsid w:val="00DE73AE"/>
    <w:rsid w:val="00DE7A2A"/>
    <w:rsid w:val="00DE7AB4"/>
    <w:rsid w:val="00DE7FD3"/>
    <w:rsid w:val="00DF03AC"/>
    <w:rsid w:val="00DF058E"/>
    <w:rsid w:val="00DF09A8"/>
    <w:rsid w:val="00DF0C67"/>
    <w:rsid w:val="00DF0C99"/>
    <w:rsid w:val="00DF1FCD"/>
    <w:rsid w:val="00DF234F"/>
    <w:rsid w:val="00DF278D"/>
    <w:rsid w:val="00DF2D2F"/>
    <w:rsid w:val="00DF350F"/>
    <w:rsid w:val="00DF36E1"/>
    <w:rsid w:val="00DF3BB5"/>
    <w:rsid w:val="00DF3EBE"/>
    <w:rsid w:val="00DF3F6F"/>
    <w:rsid w:val="00DF41FC"/>
    <w:rsid w:val="00DF429B"/>
    <w:rsid w:val="00DF44EB"/>
    <w:rsid w:val="00DF4C7A"/>
    <w:rsid w:val="00DF4C87"/>
    <w:rsid w:val="00DF563B"/>
    <w:rsid w:val="00DF5E72"/>
    <w:rsid w:val="00DF641E"/>
    <w:rsid w:val="00DF64E8"/>
    <w:rsid w:val="00DF678E"/>
    <w:rsid w:val="00DF76B2"/>
    <w:rsid w:val="00DF7D51"/>
    <w:rsid w:val="00DF7F02"/>
    <w:rsid w:val="00DF7F4E"/>
    <w:rsid w:val="00DF7FD7"/>
    <w:rsid w:val="00E00321"/>
    <w:rsid w:val="00E003B3"/>
    <w:rsid w:val="00E003E8"/>
    <w:rsid w:val="00E00750"/>
    <w:rsid w:val="00E0086A"/>
    <w:rsid w:val="00E00D6B"/>
    <w:rsid w:val="00E00F83"/>
    <w:rsid w:val="00E01328"/>
    <w:rsid w:val="00E0167E"/>
    <w:rsid w:val="00E0182E"/>
    <w:rsid w:val="00E01B61"/>
    <w:rsid w:val="00E025C4"/>
    <w:rsid w:val="00E03B62"/>
    <w:rsid w:val="00E03EBD"/>
    <w:rsid w:val="00E03F0E"/>
    <w:rsid w:val="00E03F19"/>
    <w:rsid w:val="00E040B4"/>
    <w:rsid w:val="00E05A44"/>
    <w:rsid w:val="00E05BBB"/>
    <w:rsid w:val="00E064A9"/>
    <w:rsid w:val="00E0651F"/>
    <w:rsid w:val="00E06B44"/>
    <w:rsid w:val="00E06B58"/>
    <w:rsid w:val="00E06EB2"/>
    <w:rsid w:val="00E07290"/>
    <w:rsid w:val="00E075E2"/>
    <w:rsid w:val="00E0761E"/>
    <w:rsid w:val="00E0769C"/>
    <w:rsid w:val="00E07A5D"/>
    <w:rsid w:val="00E07D07"/>
    <w:rsid w:val="00E103E8"/>
    <w:rsid w:val="00E10C41"/>
    <w:rsid w:val="00E113CA"/>
    <w:rsid w:val="00E11407"/>
    <w:rsid w:val="00E1153F"/>
    <w:rsid w:val="00E1166F"/>
    <w:rsid w:val="00E11823"/>
    <w:rsid w:val="00E11ED7"/>
    <w:rsid w:val="00E123D9"/>
    <w:rsid w:val="00E1264C"/>
    <w:rsid w:val="00E13690"/>
    <w:rsid w:val="00E13B17"/>
    <w:rsid w:val="00E13C65"/>
    <w:rsid w:val="00E145D8"/>
    <w:rsid w:val="00E148CE"/>
    <w:rsid w:val="00E14E42"/>
    <w:rsid w:val="00E15112"/>
    <w:rsid w:val="00E15986"/>
    <w:rsid w:val="00E159A1"/>
    <w:rsid w:val="00E15E40"/>
    <w:rsid w:val="00E16014"/>
    <w:rsid w:val="00E1651B"/>
    <w:rsid w:val="00E1658D"/>
    <w:rsid w:val="00E168B0"/>
    <w:rsid w:val="00E16EAA"/>
    <w:rsid w:val="00E17FA9"/>
    <w:rsid w:val="00E20434"/>
    <w:rsid w:val="00E20D66"/>
    <w:rsid w:val="00E20E3E"/>
    <w:rsid w:val="00E21656"/>
    <w:rsid w:val="00E218EC"/>
    <w:rsid w:val="00E21DCE"/>
    <w:rsid w:val="00E22256"/>
    <w:rsid w:val="00E23940"/>
    <w:rsid w:val="00E23961"/>
    <w:rsid w:val="00E23BCD"/>
    <w:rsid w:val="00E24E29"/>
    <w:rsid w:val="00E2514C"/>
    <w:rsid w:val="00E2576C"/>
    <w:rsid w:val="00E25CFB"/>
    <w:rsid w:val="00E25FC3"/>
    <w:rsid w:val="00E2610F"/>
    <w:rsid w:val="00E263B8"/>
    <w:rsid w:val="00E267C1"/>
    <w:rsid w:val="00E270B9"/>
    <w:rsid w:val="00E27247"/>
    <w:rsid w:val="00E27B61"/>
    <w:rsid w:val="00E27C58"/>
    <w:rsid w:val="00E27F57"/>
    <w:rsid w:val="00E30216"/>
    <w:rsid w:val="00E30AA6"/>
    <w:rsid w:val="00E31194"/>
    <w:rsid w:val="00E31D9F"/>
    <w:rsid w:val="00E32019"/>
    <w:rsid w:val="00E32ADD"/>
    <w:rsid w:val="00E32DD6"/>
    <w:rsid w:val="00E32E78"/>
    <w:rsid w:val="00E32F16"/>
    <w:rsid w:val="00E32F86"/>
    <w:rsid w:val="00E330E1"/>
    <w:rsid w:val="00E3334D"/>
    <w:rsid w:val="00E33E15"/>
    <w:rsid w:val="00E34104"/>
    <w:rsid w:val="00E34111"/>
    <w:rsid w:val="00E346C2"/>
    <w:rsid w:val="00E347E3"/>
    <w:rsid w:val="00E34DAA"/>
    <w:rsid w:val="00E367D0"/>
    <w:rsid w:val="00E36B48"/>
    <w:rsid w:val="00E377E6"/>
    <w:rsid w:val="00E37850"/>
    <w:rsid w:val="00E37A64"/>
    <w:rsid w:val="00E37A9D"/>
    <w:rsid w:val="00E404B1"/>
    <w:rsid w:val="00E409BD"/>
    <w:rsid w:val="00E40E56"/>
    <w:rsid w:val="00E411C3"/>
    <w:rsid w:val="00E4166B"/>
    <w:rsid w:val="00E4182C"/>
    <w:rsid w:val="00E42171"/>
    <w:rsid w:val="00E4248C"/>
    <w:rsid w:val="00E427AA"/>
    <w:rsid w:val="00E427AB"/>
    <w:rsid w:val="00E429D8"/>
    <w:rsid w:val="00E435E9"/>
    <w:rsid w:val="00E43D21"/>
    <w:rsid w:val="00E44042"/>
    <w:rsid w:val="00E440B7"/>
    <w:rsid w:val="00E4427F"/>
    <w:rsid w:val="00E4483D"/>
    <w:rsid w:val="00E44B76"/>
    <w:rsid w:val="00E44E48"/>
    <w:rsid w:val="00E4521E"/>
    <w:rsid w:val="00E45ABC"/>
    <w:rsid w:val="00E45C1A"/>
    <w:rsid w:val="00E46D7C"/>
    <w:rsid w:val="00E46F98"/>
    <w:rsid w:val="00E46FF6"/>
    <w:rsid w:val="00E473BC"/>
    <w:rsid w:val="00E47EEA"/>
    <w:rsid w:val="00E50141"/>
    <w:rsid w:val="00E50984"/>
    <w:rsid w:val="00E50D1D"/>
    <w:rsid w:val="00E51096"/>
    <w:rsid w:val="00E518C3"/>
    <w:rsid w:val="00E51D3A"/>
    <w:rsid w:val="00E51F98"/>
    <w:rsid w:val="00E51FDE"/>
    <w:rsid w:val="00E52595"/>
    <w:rsid w:val="00E5260C"/>
    <w:rsid w:val="00E5267A"/>
    <w:rsid w:val="00E52968"/>
    <w:rsid w:val="00E53CCB"/>
    <w:rsid w:val="00E53DB8"/>
    <w:rsid w:val="00E53F8C"/>
    <w:rsid w:val="00E5450A"/>
    <w:rsid w:val="00E546EC"/>
    <w:rsid w:val="00E547FA"/>
    <w:rsid w:val="00E54A2A"/>
    <w:rsid w:val="00E55584"/>
    <w:rsid w:val="00E555E6"/>
    <w:rsid w:val="00E55C1E"/>
    <w:rsid w:val="00E562EA"/>
    <w:rsid w:val="00E56D57"/>
    <w:rsid w:val="00E57158"/>
    <w:rsid w:val="00E571CF"/>
    <w:rsid w:val="00E57445"/>
    <w:rsid w:val="00E57540"/>
    <w:rsid w:val="00E60478"/>
    <w:rsid w:val="00E60C8F"/>
    <w:rsid w:val="00E61351"/>
    <w:rsid w:val="00E615E7"/>
    <w:rsid w:val="00E61CF6"/>
    <w:rsid w:val="00E61EF8"/>
    <w:rsid w:val="00E620E1"/>
    <w:rsid w:val="00E62164"/>
    <w:rsid w:val="00E621BB"/>
    <w:rsid w:val="00E6240D"/>
    <w:rsid w:val="00E62425"/>
    <w:rsid w:val="00E62A5F"/>
    <w:rsid w:val="00E62D05"/>
    <w:rsid w:val="00E62F55"/>
    <w:rsid w:val="00E63170"/>
    <w:rsid w:val="00E6342C"/>
    <w:rsid w:val="00E6361C"/>
    <w:rsid w:val="00E63656"/>
    <w:rsid w:val="00E639D3"/>
    <w:rsid w:val="00E63E1D"/>
    <w:rsid w:val="00E6411A"/>
    <w:rsid w:val="00E646CF"/>
    <w:rsid w:val="00E64BCC"/>
    <w:rsid w:val="00E65A97"/>
    <w:rsid w:val="00E66AFF"/>
    <w:rsid w:val="00E66EC2"/>
    <w:rsid w:val="00E67182"/>
    <w:rsid w:val="00E671D5"/>
    <w:rsid w:val="00E676BA"/>
    <w:rsid w:val="00E67A6A"/>
    <w:rsid w:val="00E67E2A"/>
    <w:rsid w:val="00E7010D"/>
    <w:rsid w:val="00E705C4"/>
    <w:rsid w:val="00E7075B"/>
    <w:rsid w:val="00E70790"/>
    <w:rsid w:val="00E707DA"/>
    <w:rsid w:val="00E70BDE"/>
    <w:rsid w:val="00E712E3"/>
    <w:rsid w:val="00E71BE2"/>
    <w:rsid w:val="00E71EF9"/>
    <w:rsid w:val="00E72048"/>
    <w:rsid w:val="00E7278A"/>
    <w:rsid w:val="00E72821"/>
    <w:rsid w:val="00E72AF8"/>
    <w:rsid w:val="00E72D38"/>
    <w:rsid w:val="00E7333A"/>
    <w:rsid w:val="00E7337C"/>
    <w:rsid w:val="00E73391"/>
    <w:rsid w:val="00E74109"/>
    <w:rsid w:val="00E74D69"/>
    <w:rsid w:val="00E7520B"/>
    <w:rsid w:val="00E755D4"/>
    <w:rsid w:val="00E757AB"/>
    <w:rsid w:val="00E7589C"/>
    <w:rsid w:val="00E758D7"/>
    <w:rsid w:val="00E75930"/>
    <w:rsid w:val="00E75962"/>
    <w:rsid w:val="00E75A0A"/>
    <w:rsid w:val="00E76064"/>
    <w:rsid w:val="00E76B27"/>
    <w:rsid w:val="00E76F02"/>
    <w:rsid w:val="00E771F7"/>
    <w:rsid w:val="00E77697"/>
    <w:rsid w:val="00E77D9C"/>
    <w:rsid w:val="00E801C2"/>
    <w:rsid w:val="00E80331"/>
    <w:rsid w:val="00E817C5"/>
    <w:rsid w:val="00E81805"/>
    <w:rsid w:val="00E81943"/>
    <w:rsid w:val="00E81CB2"/>
    <w:rsid w:val="00E81F03"/>
    <w:rsid w:val="00E81F32"/>
    <w:rsid w:val="00E81FDD"/>
    <w:rsid w:val="00E82032"/>
    <w:rsid w:val="00E821CB"/>
    <w:rsid w:val="00E82931"/>
    <w:rsid w:val="00E82BA8"/>
    <w:rsid w:val="00E82BAB"/>
    <w:rsid w:val="00E8305D"/>
    <w:rsid w:val="00E8323E"/>
    <w:rsid w:val="00E837C3"/>
    <w:rsid w:val="00E83E4D"/>
    <w:rsid w:val="00E8472B"/>
    <w:rsid w:val="00E84E11"/>
    <w:rsid w:val="00E8507C"/>
    <w:rsid w:val="00E850BD"/>
    <w:rsid w:val="00E850F4"/>
    <w:rsid w:val="00E852D3"/>
    <w:rsid w:val="00E8578C"/>
    <w:rsid w:val="00E85903"/>
    <w:rsid w:val="00E860A0"/>
    <w:rsid w:val="00E8654B"/>
    <w:rsid w:val="00E86A03"/>
    <w:rsid w:val="00E86D5A"/>
    <w:rsid w:val="00E8781C"/>
    <w:rsid w:val="00E87C0E"/>
    <w:rsid w:val="00E87E03"/>
    <w:rsid w:val="00E90856"/>
    <w:rsid w:val="00E90FE5"/>
    <w:rsid w:val="00E9100E"/>
    <w:rsid w:val="00E91328"/>
    <w:rsid w:val="00E9151C"/>
    <w:rsid w:val="00E915DE"/>
    <w:rsid w:val="00E91E54"/>
    <w:rsid w:val="00E91EE0"/>
    <w:rsid w:val="00E92120"/>
    <w:rsid w:val="00E922A0"/>
    <w:rsid w:val="00E9244F"/>
    <w:rsid w:val="00E92483"/>
    <w:rsid w:val="00E92A75"/>
    <w:rsid w:val="00E92DDD"/>
    <w:rsid w:val="00E9453E"/>
    <w:rsid w:val="00E947CA"/>
    <w:rsid w:val="00E95681"/>
    <w:rsid w:val="00E96704"/>
    <w:rsid w:val="00E96E53"/>
    <w:rsid w:val="00E96FCF"/>
    <w:rsid w:val="00E97A8C"/>
    <w:rsid w:val="00E97CFC"/>
    <w:rsid w:val="00E97DA8"/>
    <w:rsid w:val="00E97FBD"/>
    <w:rsid w:val="00EA0056"/>
    <w:rsid w:val="00EA0087"/>
    <w:rsid w:val="00EA10B7"/>
    <w:rsid w:val="00EA170E"/>
    <w:rsid w:val="00EA18BD"/>
    <w:rsid w:val="00EA1914"/>
    <w:rsid w:val="00EA1BCA"/>
    <w:rsid w:val="00EA2073"/>
    <w:rsid w:val="00EA2096"/>
    <w:rsid w:val="00EA2E0C"/>
    <w:rsid w:val="00EA316D"/>
    <w:rsid w:val="00EA34A9"/>
    <w:rsid w:val="00EA3C89"/>
    <w:rsid w:val="00EA3F2B"/>
    <w:rsid w:val="00EA4570"/>
    <w:rsid w:val="00EA4585"/>
    <w:rsid w:val="00EA4669"/>
    <w:rsid w:val="00EA4815"/>
    <w:rsid w:val="00EA4BB0"/>
    <w:rsid w:val="00EA4C89"/>
    <w:rsid w:val="00EA4EBB"/>
    <w:rsid w:val="00EA50D6"/>
    <w:rsid w:val="00EA5115"/>
    <w:rsid w:val="00EA5A43"/>
    <w:rsid w:val="00EA5B0F"/>
    <w:rsid w:val="00EA6A5B"/>
    <w:rsid w:val="00EA6C78"/>
    <w:rsid w:val="00EA788C"/>
    <w:rsid w:val="00EA7F67"/>
    <w:rsid w:val="00EB0515"/>
    <w:rsid w:val="00EB0D3A"/>
    <w:rsid w:val="00EB13E9"/>
    <w:rsid w:val="00EB15BE"/>
    <w:rsid w:val="00EB1FBC"/>
    <w:rsid w:val="00EB2B66"/>
    <w:rsid w:val="00EB2E4A"/>
    <w:rsid w:val="00EB3330"/>
    <w:rsid w:val="00EB3AA4"/>
    <w:rsid w:val="00EB3AA8"/>
    <w:rsid w:val="00EB3CB7"/>
    <w:rsid w:val="00EB3DEB"/>
    <w:rsid w:val="00EB3E6F"/>
    <w:rsid w:val="00EB4597"/>
    <w:rsid w:val="00EB4B10"/>
    <w:rsid w:val="00EB51B7"/>
    <w:rsid w:val="00EB5388"/>
    <w:rsid w:val="00EB56BA"/>
    <w:rsid w:val="00EB5A01"/>
    <w:rsid w:val="00EB5D0C"/>
    <w:rsid w:val="00EB60F4"/>
    <w:rsid w:val="00EB68B6"/>
    <w:rsid w:val="00EB68D6"/>
    <w:rsid w:val="00EB6970"/>
    <w:rsid w:val="00EB6D44"/>
    <w:rsid w:val="00EB707D"/>
    <w:rsid w:val="00EB781D"/>
    <w:rsid w:val="00EB7A53"/>
    <w:rsid w:val="00EB7C58"/>
    <w:rsid w:val="00EC045E"/>
    <w:rsid w:val="00EC0A83"/>
    <w:rsid w:val="00EC1090"/>
    <w:rsid w:val="00EC119C"/>
    <w:rsid w:val="00EC172E"/>
    <w:rsid w:val="00EC26A6"/>
    <w:rsid w:val="00EC26FF"/>
    <w:rsid w:val="00EC2F18"/>
    <w:rsid w:val="00EC33B6"/>
    <w:rsid w:val="00EC3A8C"/>
    <w:rsid w:val="00EC4C6C"/>
    <w:rsid w:val="00EC50EB"/>
    <w:rsid w:val="00EC51D4"/>
    <w:rsid w:val="00EC5735"/>
    <w:rsid w:val="00EC5B9A"/>
    <w:rsid w:val="00EC5EAE"/>
    <w:rsid w:val="00EC7090"/>
    <w:rsid w:val="00EC70B5"/>
    <w:rsid w:val="00EC7376"/>
    <w:rsid w:val="00ED00A0"/>
    <w:rsid w:val="00ED06DA"/>
    <w:rsid w:val="00ED07D5"/>
    <w:rsid w:val="00ED0B23"/>
    <w:rsid w:val="00ED0B7A"/>
    <w:rsid w:val="00ED11B9"/>
    <w:rsid w:val="00ED228B"/>
    <w:rsid w:val="00ED2868"/>
    <w:rsid w:val="00ED2A3B"/>
    <w:rsid w:val="00ED2FAD"/>
    <w:rsid w:val="00ED3089"/>
    <w:rsid w:val="00ED311E"/>
    <w:rsid w:val="00ED32CA"/>
    <w:rsid w:val="00ED371F"/>
    <w:rsid w:val="00ED3AC6"/>
    <w:rsid w:val="00ED3AE4"/>
    <w:rsid w:val="00ED4957"/>
    <w:rsid w:val="00ED6197"/>
    <w:rsid w:val="00ED697C"/>
    <w:rsid w:val="00ED6B38"/>
    <w:rsid w:val="00ED735C"/>
    <w:rsid w:val="00ED7621"/>
    <w:rsid w:val="00ED7647"/>
    <w:rsid w:val="00ED7950"/>
    <w:rsid w:val="00ED7B47"/>
    <w:rsid w:val="00EE00FC"/>
    <w:rsid w:val="00EE05C7"/>
    <w:rsid w:val="00EE06B8"/>
    <w:rsid w:val="00EE0C20"/>
    <w:rsid w:val="00EE0CB2"/>
    <w:rsid w:val="00EE0DE2"/>
    <w:rsid w:val="00EE159F"/>
    <w:rsid w:val="00EE1681"/>
    <w:rsid w:val="00EE1686"/>
    <w:rsid w:val="00EE1B84"/>
    <w:rsid w:val="00EE20A7"/>
    <w:rsid w:val="00EE210C"/>
    <w:rsid w:val="00EE226C"/>
    <w:rsid w:val="00EE2CEB"/>
    <w:rsid w:val="00EE2DCB"/>
    <w:rsid w:val="00EE37EB"/>
    <w:rsid w:val="00EE3B74"/>
    <w:rsid w:val="00EE4B09"/>
    <w:rsid w:val="00EE4E4A"/>
    <w:rsid w:val="00EE515D"/>
    <w:rsid w:val="00EE528C"/>
    <w:rsid w:val="00EE55DD"/>
    <w:rsid w:val="00EE5751"/>
    <w:rsid w:val="00EE5EEB"/>
    <w:rsid w:val="00EE68D3"/>
    <w:rsid w:val="00EE6D12"/>
    <w:rsid w:val="00EE7570"/>
    <w:rsid w:val="00EE7585"/>
    <w:rsid w:val="00EE77F1"/>
    <w:rsid w:val="00EF0098"/>
    <w:rsid w:val="00EF0109"/>
    <w:rsid w:val="00EF0582"/>
    <w:rsid w:val="00EF21C1"/>
    <w:rsid w:val="00EF28A3"/>
    <w:rsid w:val="00EF2C24"/>
    <w:rsid w:val="00EF2DF1"/>
    <w:rsid w:val="00EF33AC"/>
    <w:rsid w:val="00EF43E9"/>
    <w:rsid w:val="00EF47F7"/>
    <w:rsid w:val="00EF4E76"/>
    <w:rsid w:val="00EF5163"/>
    <w:rsid w:val="00EF5554"/>
    <w:rsid w:val="00EF57C4"/>
    <w:rsid w:val="00EF5ACB"/>
    <w:rsid w:val="00EF5ADB"/>
    <w:rsid w:val="00EF5B61"/>
    <w:rsid w:val="00EF5D18"/>
    <w:rsid w:val="00EF5EB8"/>
    <w:rsid w:val="00EF663E"/>
    <w:rsid w:val="00EF6D86"/>
    <w:rsid w:val="00EF719E"/>
    <w:rsid w:val="00EF7241"/>
    <w:rsid w:val="00EF77A2"/>
    <w:rsid w:val="00EF7D61"/>
    <w:rsid w:val="00F004EE"/>
    <w:rsid w:val="00F00550"/>
    <w:rsid w:val="00F00A3E"/>
    <w:rsid w:val="00F00B6F"/>
    <w:rsid w:val="00F00CA0"/>
    <w:rsid w:val="00F0121D"/>
    <w:rsid w:val="00F01752"/>
    <w:rsid w:val="00F01794"/>
    <w:rsid w:val="00F01B86"/>
    <w:rsid w:val="00F01B95"/>
    <w:rsid w:val="00F01E5B"/>
    <w:rsid w:val="00F0236A"/>
    <w:rsid w:val="00F025D8"/>
    <w:rsid w:val="00F02E5E"/>
    <w:rsid w:val="00F041D3"/>
    <w:rsid w:val="00F052F9"/>
    <w:rsid w:val="00F054DF"/>
    <w:rsid w:val="00F0563E"/>
    <w:rsid w:val="00F05F0F"/>
    <w:rsid w:val="00F06B4B"/>
    <w:rsid w:val="00F06F8B"/>
    <w:rsid w:val="00F074B4"/>
    <w:rsid w:val="00F0752A"/>
    <w:rsid w:val="00F07A47"/>
    <w:rsid w:val="00F07EB8"/>
    <w:rsid w:val="00F109AA"/>
    <w:rsid w:val="00F114FA"/>
    <w:rsid w:val="00F11595"/>
    <w:rsid w:val="00F117EF"/>
    <w:rsid w:val="00F121FE"/>
    <w:rsid w:val="00F122B3"/>
    <w:rsid w:val="00F12550"/>
    <w:rsid w:val="00F125F3"/>
    <w:rsid w:val="00F12B83"/>
    <w:rsid w:val="00F1313F"/>
    <w:rsid w:val="00F1391C"/>
    <w:rsid w:val="00F13FAB"/>
    <w:rsid w:val="00F142B7"/>
    <w:rsid w:val="00F142BC"/>
    <w:rsid w:val="00F147AB"/>
    <w:rsid w:val="00F153E2"/>
    <w:rsid w:val="00F1599F"/>
    <w:rsid w:val="00F15A52"/>
    <w:rsid w:val="00F1628D"/>
    <w:rsid w:val="00F162E5"/>
    <w:rsid w:val="00F1644C"/>
    <w:rsid w:val="00F169F3"/>
    <w:rsid w:val="00F16DDC"/>
    <w:rsid w:val="00F16E90"/>
    <w:rsid w:val="00F16FC3"/>
    <w:rsid w:val="00F17213"/>
    <w:rsid w:val="00F17261"/>
    <w:rsid w:val="00F1728F"/>
    <w:rsid w:val="00F17901"/>
    <w:rsid w:val="00F17913"/>
    <w:rsid w:val="00F17928"/>
    <w:rsid w:val="00F202F7"/>
    <w:rsid w:val="00F206E1"/>
    <w:rsid w:val="00F20AAF"/>
    <w:rsid w:val="00F20B3F"/>
    <w:rsid w:val="00F21C5F"/>
    <w:rsid w:val="00F220B7"/>
    <w:rsid w:val="00F22633"/>
    <w:rsid w:val="00F22684"/>
    <w:rsid w:val="00F229B4"/>
    <w:rsid w:val="00F229F9"/>
    <w:rsid w:val="00F22C9D"/>
    <w:rsid w:val="00F23581"/>
    <w:rsid w:val="00F237EF"/>
    <w:rsid w:val="00F238FB"/>
    <w:rsid w:val="00F23B5A"/>
    <w:rsid w:val="00F23B6C"/>
    <w:rsid w:val="00F23CD1"/>
    <w:rsid w:val="00F23D0F"/>
    <w:rsid w:val="00F23D5C"/>
    <w:rsid w:val="00F24086"/>
    <w:rsid w:val="00F24C0D"/>
    <w:rsid w:val="00F24F2B"/>
    <w:rsid w:val="00F2542A"/>
    <w:rsid w:val="00F255E1"/>
    <w:rsid w:val="00F25B9C"/>
    <w:rsid w:val="00F261B2"/>
    <w:rsid w:val="00F26818"/>
    <w:rsid w:val="00F269B1"/>
    <w:rsid w:val="00F26A6E"/>
    <w:rsid w:val="00F2786B"/>
    <w:rsid w:val="00F304EA"/>
    <w:rsid w:val="00F3099C"/>
    <w:rsid w:val="00F309E4"/>
    <w:rsid w:val="00F30B5B"/>
    <w:rsid w:val="00F30F65"/>
    <w:rsid w:val="00F30FCC"/>
    <w:rsid w:val="00F311DC"/>
    <w:rsid w:val="00F31741"/>
    <w:rsid w:val="00F31F6E"/>
    <w:rsid w:val="00F3216D"/>
    <w:rsid w:val="00F32187"/>
    <w:rsid w:val="00F3220A"/>
    <w:rsid w:val="00F3227F"/>
    <w:rsid w:val="00F32394"/>
    <w:rsid w:val="00F335E4"/>
    <w:rsid w:val="00F337AB"/>
    <w:rsid w:val="00F33AD9"/>
    <w:rsid w:val="00F3450F"/>
    <w:rsid w:val="00F34557"/>
    <w:rsid w:val="00F3462E"/>
    <w:rsid w:val="00F34672"/>
    <w:rsid w:val="00F34849"/>
    <w:rsid w:val="00F34A66"/>
    <w:rsid w:val="00F34C53"/>
    <w:rsid w:val="00F357BE"/>
    <w:rsid w:val="00F35B76"/>
    <w:rsid w:val="00F361B0"/>
    <w:rsid w:val="00F362B8"/>
    <w:rsid w:val="00F363D4"/>
    <w:rsid w:val="00F36748"/>
    <w:rsid w:val="00F3676B"/>
    <w:rsid w:val="00F36B44"/>
    <w:rsid w:val="00F36BD3"/>
    <w:rsid w:val="00F3745A"/>
    <w:rsid w:val="00F37EC8"/>
    <w:rsid w:val="00F37FC6"/>
    <w:rsid w:val="00F37FDC"/>
    <w:rsid w:val="00F4018D"/>
    <w:rsid w:val="00F406BA"/>
    <w:rsid w:val="00F4087B"/>
    <w:rsid w:val="00F40904"/>
    <w:rsid w:val="00F409A4"/>
    <w:rsid w:val="00F40AFB"/>
    <w:rsid w:val="00F40E92"/>
    <w:rsid w:val="00F41216"/>
    <w:rsid w:val="00F4129D"/>
    <w:rsid w:val="00F41478"/>
    <w:rsid w:val="00F4175F"/>
    <w:rsid w:val="00F41A06"/>
    <w:rsid w:val="00F41AB8"/>
    <w:rsid w:val="00F41BF8"/>
    <w:rsid w:val="00F428D7"/>
    <w:rsid w:val="00F42D17"/>
    <w:rsid w:val="00F42F2C"/>
    <w:rsid w:val="00F4341D"/>
    <w:rsid w:val="00F434FF"/>
    <w:rsid w:val="00F4386D"/>
    <w:rsid w:val="00F43D52"/>
    <w:rsid w:val="00F44005"/>
    <w:rsid w:val="00F4475E"/>
    <w:rsid w:val="00F45F62"/>
    <w:rsid w:val="00F46557"/>
    <w:rsid w:val="00F46659"/>
    <w:rsid w:val="00F46AAB"/>
    <w:rsid w:val="00F46B1B"/>
    <w:rsid w:val="00F474EF"/>
    <w:rsid w:val="00F4790F"/>
    <w:rsid w:val="00F47B56"/>
    <w:rsid w:val="00F47D88"/>
    <w:rsid w:val="00F47DB8"/>
    <w:rsid w:val="00F5027E"/>
    <w:rsid w:val="00F50337"/>
    <w:rsid w:val="00F50444"/>
    <w:rsid w:val="00F50757"/>
    <w:rsid w:val="00F507F5"/>
    <w:rsid w:val="00F50D04"/>
    <w:rsid w:val="00F50DA1"/>
    <w:rsid w:val="00F50E47"/>
    <w:rsid w:val="00F50F3D"/>
    <w:rsid w:val="00F51106"/>
    <w:rsid w:val="00F5110C"/>
    <w:rsid w:val="00F511CA"/>
    <w:rsid w:val="00F51705"/>
    <w:rsid w:val="00F51979"/>
    <w:rsid w:val="00F51BAD"/>
    <w:rsid w:val="00F51D2B"/>
    <w:rsid w:val="00F51DB9"/>
    <w:rsid w:val="00F5220B"/>
    <w:rsid w:val="00F5243A"/>
    <w:rsid w:val="00F52576"/>
    <w:rsid w:val="00F5282A"/>
    <w:rsid w:val="00F530A6"/>
    <w:rsid w:val="00F538C2"/>
    <w:rsid w:val="00F54135"/>
    <w:rsid w:val="00F546E2"/>
    <w:rsid w:val="00F54A72"/>
    <w:rsid w:val="00F55359"/>
    <w:rsid w:val="00F559D2"/>
    <w:rsid w:val="00F55DF1"/>
    <w:rsid w:val="00F55EC0"/>
    <w:rsid w:val="00F56516"/>
    <w:rsid w:val="00F56706"/>
    <w:rsid w:val="00F56A4B"/>
    <w:rsid w:val="00F57094"/>
    <w:rsid w:val="00F579E9"/>
    <w:rsid w:val="00F57A07"/>
    <w:rsid w:val="00F57CB3"/>
    <w:rsid w:val="00F600AF"/>
    <w:rsid w:val="00F604AE"/>
    <w:rsid w:val="00F6053E"/>
    <w:rsid w:val="00F6069A"/>
    <w:rsid w:val="00F60F21"/>
    <w:rsid w:val="00F615BF"/>
    <w:rsid w:val="00F61689"/>
    <w:rsid w:val="00F6275A"/>
    <w:rsid w:val="00F629BF"/>
    <w:rsid w:val="00F62ACF"/>
    <w:rsid w:val="00F62EFD"/>
    <w:rsid w:val="00F634A1"/>
    <w:rsid w:val="00F63B72"/>
    <w:rsid w:val="00F63FD7"/>
    <w:rsid w:val="00F6505E"/>
    <w:rsid w:val="00F651B9"/>
    <w:rsid w:val="00F65558"/>
    <w:rsid w:val="00F67016"/>
    <w:rsid w:val="00F6756E"/>
    <w:rsid w:val="00F6770C"/>
    <w:rsid w:val="00F67C7F"/>
    <w:rsid w:val="00F67FDB"/>
    <w:rsid w:val="00F70192"/>
    <w:rsid w:val="00F70D89"/>
    <w:rsid w:val="00F70E59"/>
    <w:rsid w:val="00F70F77"/>
    <w:rsid w:val="00F71459"/>
    <w:rsid w:val="00F718C6"/>
    <w:rsid w:val="00F72410"/>
    <w:rsid w:val="00F72566"/>
    <w:rsid w:val="00F729B7"/>
    <w:rsid w:val="00F734B1"/>
    <w:rsid w:val="00F73536"/>
    <w:rsid w:val="00F73E3C"/>
    <w:rsid w:val="00F740B5"/>
    <w:rsid w:val="00F742E8"/>
    <w:rsid w:val="00F74B72"/>
    <w:rsid w:val="00F751B4"/>
    <w:rsid w:val="00F7608C"/>
    <w:rsid w:val="00F761B6"/>
    <w:rsid w:val="00F7654D"/>
    <w:rsid w:val="00F77167"/>
    <w:rsid w:val="00F773FE"/>
    <w:rsid w:val="00F77787"/>
    <w:rsid w:val="00F77C1E"/>
    <w:rsid w:val="00F80331"/>
    <w:rsid w:val="00F80769"/>
    <w:rsid w:val="00F808DA"/>
    <w:rsid w:val="00F811C0"/>
    <w:rsid w:val="00F81C0E"/>
    <w:rsid w:val="00F81EDD"/>
    <w:rsid w:val="00F829D3"/>
    <w:rsid w:val="00F82B0A"/>
    <w:rsid w:val="00F82DB1"/>
    <w:rsid w:val="00F83AC2"/>
    <w:rsid w:val="00F83EE7"/>
    <w:rsid w:val="00F847D5"/>
    <w:rsid w:val="00F84AE6"/>
    <w:rsid w:val="00F84C30"/>
    <w:rsid w:val="00F84E6B"/>
    <w:rsid w:val="00F860D9"/>
    <w:rsid w:val="00F86463"/>
    <w:rsid w:val="00F8680A"/>
    <w:rsid w:val="00F86AB6"/>
    <w:rsid w:val="00F90100"/>
    <w:rsid w:val="00F906D1"/>
    <w:rsid w:val="00F9099E"/>
    <w:rsid w:val="00F90AFB"/>
    <w:rsid w:val="00F90CD7"/>
    <w:rsid w:val="00F919CB"/>
    <w:rsid w:val="00F92086"/>
    <w:rsid w:val="00F92513"/>
    <w:rsid w:val="00F92B42"/>
    <w:rsid w:val="00F93AF7"/>
    <w:rsid w:val="00F943FE"/>
    <w:rsid w:val="00F947EE"/>
    <w:rsid w:val="00F94C3A"/>
    <w:rsid w:val="00F95257"/>
    <w:rsid w:val="00F952AD"/>
    <w:rsid w:val="00F955E4"/>
    <w:rsid w:val="00F95B53"/>
    <w:rsid w:val="00F95BD9"/>
    <w:rsid w:val="00F95F77"/>
    <w:rsid w:val="00F9622A"/>
    <w:rsid w:val="00F96574"/>
    <w:rsid w:val="00F96ABD"/>
    <w:rsid w:val="00F978AD"/>
    <w:rsid w:val="00F97940"/>
    <w:rsid w:val="00F97A22"/>
    <w:rsid w:val="00F97AD7"/>
    <w:rsid w:val="00FA0216"/>
    <w:rsid w:val="00FA0D82"/>
    <w:rsid w:val="00FA0F92"/>
    <w:rsid w:val="00FA1E1A"/>
    <w:rsid w:val="00FA1E74"/>
    <w:rsid w:val="00FA2325"/>
    <w:rsid w:val="00FA29DC"/>
    <w:rsid w:val="00FA29FE"/>
    <w:rsid w:val="00FA2A31"/>
    <w:rsid w:val="00FA3187"/>
    <w:rsid w:val="00FA33A3"/>
    <w:rsid w:val="00FA3618"/>
    <w:rsid w:val="00FA376E"/>
    <w:rsid w:val="00FA3845"/>
    <w:rsid w:val="00FA384F"/>
    <w:rsid w:val="00FA4558"/>
    <w:rsid w:val="00FA45AB"/>
    <w:rsid w:val="00FA4828"/>
    <w:rsid w:val="00FA4CCC"/>
    <w:rsid w:val="00FA5068"/>
    <w:rsid w:val="00FA50C4"/>
    <w:rsid w:val="00FA51FE"/>
    <w:rsid w:val="00FA540C"/>
    <w:rsid w:val="00FA58DC"/>
    <w:rsid w:val="00FA5D3D"/>
    <w:rsid w:val="00FA654D"/>
    <w:rsid w:val="00FA7DF5"/>
    <w:rsid w:val="00FB03DB"/>
    <w:rsid w:val="00FB0917"/>
    <w:rsid w:val="00FB1290"/>
    <w:rsid w:val="00FB1500"/>
    <w:rsid w:val="00FB1596"/>
    <w:rsid w:val="00FB167F"/>
    <w:rsid w:val="00FB1C84"/>
    <w:rsid w:val="00FB2361"/>
    <w:rsid w:val="00FB284E"/>
    <w:rsid w:val="00FB2B96"/>
    <w:rsid w:val="00FB306B"/>
    <w:rsid w:val="00FB396D"/>
    <w:rsid w:val="00FB3C87"/>
    <w:rsid w:val="00FB3D15"/>
    <w:rsid w:val="00FB44D4"/>
    <w:rsid w:val="00FB4709"/>
    <w:rsid w:val="00FB475C"/>
    <w:rsid w:val="00FB4F74"/>
    <w:rsid w:val="00FB4FE8"/>
    <w:rsid w:val="00FB4FEC"/>
    <w:rsid w:val="00FB5B89"/>
    <w:rsid w:val="00FB5E32"/>
    <w:rsid w:val="00FB5F80"/>
    <w:rsid w:val="00FB6715"/>
    <w:rsid w:val="00FB6886"/>
    <w:rsid w:val="00FB688A"/>
    <w:rsid w:val="00FB6A45"/>
    <w:rsid w:val="00FB6ACA"/>
    <w:rsid w:val="00FB70B6"/>
    <w:rsid w:val="00FB769E"/>
    <w:rsid w:val="00FB777D"/>
    <w:rsid w:val="00FC033C"/>
    <w:rsid w:val="00FC064C"/>
    <w:rsid w:val="00FC09C9"/>
    <w:rsid w:val="00FC0B01"/>
    <w:rsid w:val="00FC139E"/>
    <w:rsid w:val="00FC14AA"/>
    <w:rsid w:val="00FC1B74"/>
    <w:rsid w:val="00FC2517"/>
    <w:rsid w:val="00FC2738"/>
    <w:rsid w:val="00FC3157"/>
    <w:rsid w:val="00FC3390"/>
    <w:rsid w:val="00FC372F"/>
    <w:rsid w:val="00FC3BF0"/>
    <w:rsid w:val="00FC4A95"/>
    <w:rsid w:val="00FC4E5F"/>
    <w:rsid w:val="00FC4F57"/>
    <w:rsid w:val="00FC4FC9"/>
    <w:rsid w:val="00FC5508"/>
    <w:rsid w:val="00FC5AE5"/>
    <w:rsid w:val="00FC5AE8"/>
    <w:rsid w:val="00FC616A"/>
    <w:rsid w:val="00FC6404"/>
    <w:rsid w:val="00FC656D"/>
    <w:rsid w:val="00FC65DA"/>
    <w:rsid w:val="00FC67A1"/>
    <w:rsid w:val="00FC6884"/>
    <w:rsid w:val="00FC69EE"/>
    <w:rsid w:val="00FC6DC4"/>
    <w:rsid w:val="00FC7736"/>
    <w:rsid w:val="00FC7769"/>
    <w:rsid w:val="00FC78DD"/>
    <w:rsid w:val="00FC7A1A"/>
    <w:rsid w:val="00FC7C74"/>
    <w:rsid w:val="00FC7E22"/>
    <w:rsid w:val="00FD009D"/>
    <w:rsid w:val="00FD06EF"/>
    <w:rsid w:val="00FD1B83"/>
    <w:rsid w:val="00FD1E17"/>
    <w:rsid w:val="00FD2BD7"/>
    <w:rsid w:val="00FD2CA5"/>
    <w:rsid w:val="00FD2D80"/>
    <w:rsid w:val="00FD2E8A"/>
    <w:rsid w:val="00FD3263"/>
    <w:rsid w:val="00FD3961"/>
    <w:rsid w:val="00FD3D6D"/>
    <w:rsid w:val="00FD3F75"/>
    <w:rsid w:val="00FD4531"/>
    <w:rsid w:val="00FD4551"/>
    <w:rsid w:val="00FD45C9"/>
    <w:rsid w:val="00FD4709"/>
    <w:rsid w:val="00FD52B0"/>
    <w:rsid w:val="00FD5439"/>
    <w:rsid w:val="00FD5CC0"/>
    <w:rsid w:val="00FD5FF3"/>
    <w:rsid w:val="00FD67B4"/>
    <w:rsid w:val="00FD68D4"/>
    <w:rsid w:val="00FD6A39"/>
    <w:rsid w:val="00FD7BCC"/>
    <w:rsid w:val="00FD7DDF"/>
    <w:rsid w:val="00FE005E"/>
    <w:rsid w:val="00FE0A58"/>
    <w:rsid w:val="00FE1B26"/>
    <w:rsid w:val="00FE1B4D"/>
    <w:rsid w:val="00FE1E41"/>
    <w:rsid w:val="00FE26EF"/>
    <w:rsid w:val="00FE28AA"/>
    <w:rsid w:val="00FE3324"/>
    <w:rsid w:val="00FE36D7"/>
    <w:rsid w:val="00FE3C0B"/>
    <w:rsid w:val="00FE3C4C"/>
    <w:rsid w:val="00FE571C"/>
    <w:rsid w:val="00FE57CC"/>
    <w:rsid w:val="00FE5D0F"/>
    <w:rsid w:val="00FE5D90"/>
    <w:rsid w:val="00FE747B"/>
    <w:rsid w:val="00FF023D"/>
    <w:rsid w:val="00FF027D"/>
    <w:rsid w:val="00FF0EE2"/>
    <w:rsid w:val="00FF0F14"/>
    <w:rsid w:val="00FF0F80"/>
    <w:rsid w:val="00FF12E7"/>
    <w:rsid w:val="00FF1343"/>
    <w:rsid w:val="00FF17DA"/>
    <w:rsid w:val="00FF19D3"/>
    <w:rsid w:val="00FF2683"/>
    <w:rsid w:val="00FF281A"/>
    <w:rsid w:val="00FF2899"/>
    <w:rsid w:val="00FF2969"/>
    <w:rsid w:val="00FF3312"/>
    <w:rsid w:val="00FF335F"/>
    <w:rsid w:val="00FF3487"/>
    <w:rsid w:val="00FF3B82"/>
    <w:rsid w:val="00FF4331"/>
    <w:rsid w:val="00FF4828"/>
    <w:rsid w:val="00FF5610"/>
    <w:rsid w:val="00FF5744"/>
    <w:rsid w:val="00FF5C37"/>
    <w:rsid w:val="00FF6125"/>
    <w:rsid w:val="00FF6565"/>
    <w:rsid w:val="00FF734B"/>
    <w:rsid w:val="05A7233B"/>
    <w:rsid w:val="17ABEB70"/>
    <w:rsid w:val="19C43B5F"/>
    <w:rsid w:val="24BAA506"/>
    <w:rsid w:val="26D3C922"/>
    <w:rsid w:val="41EAD156"/>
    <w:rsid w:val="556F1D23"/>
    <w:rsid w:val="57A7E489"/>
    <w:rsid w:val="6781B4C1"/>
    <w:rsid w:val="7AFBB1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7BFD9BD"/>
  <w15:docId w15:val="{6EBC62A7-008B-46F6-84AB-C54E999A0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1"/>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aliases w:val="超级链接"/>
    <w:basedOn w:val="DefaultParagraphFont"/>
    <w:uiPriority w:val="99"/>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semiHidden/>
    <w:unhideWhenUsed/>
    <w:rsid w:val="009E701C"/>
    <w:rPr>
      <w:sz w:val="16"/>
      <w:szCs w:val="16"/>
    </w:rPr>
  </w:style>
  <w:style w:type="paragraph" w:styleId="CommentText">
    <w:name w:val="annotation text"/>
    <w:basedOn w:val="Normal"/>
    <w:link w:val="CommentTextChar"/>
    <w:semiHidden/>
    <w:unhideWhenUsed/>
    <w:rsid w:val="009E701C"/>
    <w:rPr>
      <w:sz w:val="20"/>
      <w:szCs w:val="20"/>
      <w:lang w:val="x-none" w:eastAsia="x-none"/>
    </w:rPr>
  </w:style>
  <w:style w:type="character" w:customStyle="1" w:styleId="CommentTextChar">
    <w:name w:val="Comment Text Char"/>
    <w:link w:val="CommentText"/>
    <w:semiHidden/>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uiPriority w:val="99"/>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3"/>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uiPriority w:val="99"/>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
    <w:basedOn w:val="DefaultParagraphFont"/>
    <w:link w:val="ListParagraph"/>
    <w:uiPriority w:val="34"/>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4"/>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 w:type="paragraph" w:customStyle="1" w:styleId="enumlev2">
    <w:name w:val="enumlev2"/>
    <w:basedOn w:val="enumlev10"/>
    <w:rsid w:val="00995894"/>
    <w:pPr>
      <w:tabs>
        <w:tab w:val="left" w:pos="567"/>
        <w:tab w:val="left" w:pos="1134"/>
        <w:tab w:val="left" w:pos="1701"/>
        <w:tab w:val="left" w:pos="2268"/>
        <w:tab w:val="left" w:pos="2835"/>
      </w:tabs>
      <w:overflowPunct w:val="0"/>
      <w:autoSpaceDE w:val="0"/>
      <w:autoSpaceDN w:val="0"/>
      <w:adjustRightInd w:val="0"/>
      <w:spacing w:before="86"/>
      <w:ind w:left="1134" w:hanging="567"/>
      <w:jc w:val="left"/>
      <w:textAlignment w:val="baseline"/>
    </w:pPr>
    <w:rPr>
      <w:rFonts w:ascii="Calibri" w:hAnsi="Calibri"/>
      <w:sz w:val="24"/>
    </w:rPr>
  </w:style>
  <w:style w:type="character" w:customStyle="1" w:styleId="msoins0">
    <w:name w:val="msoins0"/>
    <w:basedOn w:val="DefaultParagraphFont"/>
    <w:uiPriority w:val="99"/>
    <w:rsid w:val="00C56347"/>
  </w:style>
  <w:style w:type="paragraph" w:customStyle="1" w:styleId="Normalaftertitle">
    <w:name w:val="Normal after title"/>
    <w:basedOn w:val="Normal"/>
    <w:next w:val="Normal"/>
    <w:rsid w:val="006D2BCD"/>
    <w:pPr>
      <w:tabs>
        <w:tab w:val="left" w:pos="567"/>
        <w:tab w:val="left" w:pos="1134"/>
        <w:tab w:val="left" w:pos="1701"/>
        <w:tab w:val="left" w:pos="2268"/>
        <w:tab w:val="left" w:pos="2835"/>
      </w:tabs>
      <w:overflowPunct w:val="0"/>
      <w:autoSpaceDE w:val="0"/>
      <w:autoSpaceDN w:val="0"/>
      <w:adjustRightInd w:val="0"/>
      <w:spacing w:before="240"/>
      <w:textAlignment w:val="baseline"/>
    </w:pPr>
    <w:rPr>
      <w:rFonts w:ascii="Calibri" w:eastAsia="Times New Roman" w:hAnsi="Calibri"/>
      <w:sz w:val="24"/>
      <w:szCs w:val="20"/>
      <w:lang w:eastAsia="en-US"/>
    </w:rPr>
  </w:style>
  <w:style w:type="character" w:customStyle="1" w:styleId="7">
    <w:name w:val="Сноска7"/>
    <w:basedOn w:val="DefaultParagraphFont"/>
    <w:uiPriority w:val="99"/>
    <w:rsid w:val="00AD22EF"/>
    <w:rPr>
      <w:rFonts w:ascii="Calibri" w:hAnsi="Calibri" w:cs="Calibri"/>
      <w:sz w:val="16"/>
      <w:szCs w:val="16"/>
      <w:shd w:val="clear" w:color="auto" w:fill="FFFFFF"/>
    </w:rPr>
  </w:style>
  <w:style w:type="paragraph" w:customStyle="1" w:styleId="Reasons">
    <w:name w:val="Reasons"/>
    <w:basedOn w:val="Normal"/>
    <w:rsid w:val="001D3B4B"/>
    <w:pPr>
      <w:tabs>
        <w:tab w:val="left" w:pos="567"/>
        <w:tab w:val="left" w:pos="1134"/>
        <w:tab w:val="left" w:pos="1701"/>
        <w:tab w:val="left" w:pos="2268"/>
        <w:tab w:val="left" w:pos="2835"/>
      </w:tabs>
      <w:overflowPunct w:val="0"/>
      <w:autoSpaceDE w:val="0"/>
      <w:autoSpaceDN w:val="0"/>
      <w:adjustRightInd w:val="0"/>
      <w:textAlignment w:val="baseline"/>
    </w:pPr>
    <w:rPr>
      <w:rFonts w:ascii="Calibri" w:eastAsia="Times New Roman" w:hAnsi="Calibri"/>
      <w:sz w:val="24"/>
      <w:szCs w:val="20"/>
      <w:lang w:eastAsia="en-US"/>
    </w:rPr>
  </w:style>
  <w:style w:type="paragraph" w:customStyle="1" w:styleId="AppendixNo">
    <w:name w:val="Appendix_No"/>
    <w:basedOn w:val="Normal"/>
    <w:next w:val="Normal"/>
    <w:rsid w:val="00DC3185"/>
    <w:pPr>
      <w:tabs>
        <w:tab w:val="left" w:pos="567"/>
        <w:tab w:val="left" w:pos="1134"/>
        <w:tab w:val="left" w:pos="1701"/>
        <w:tab w:val="left" w:pos="2268"/>
        <w:tab w:val="left" w:pos="2835"/>
      </w:tabs>
      <w:overflowPunct w:val="0"/>
      <w:autoSpaceDE w:val="0"/>
      <w:autoSpaceDN w:val="0"/>
      <w:adjustRightInd w:val="0"/>
      <w:spacing w:before="720"/>
      <w:jc w:val="center"/>
      <w:textAlignment w:val="baseline"/>
    </w:pPr>
    <w:rPr>
      <w:rFonts w:ascii="Calibri" w:eastAsia="Times New Roman" w:hAnsi="Calibri"/>
      <w:caps/>
      <w:sz w:val="28"/>
      <w:szCs w:val="20"/>
      <w:lang w:eastAsia="en-US"/>
    </w:rPr>
  </w:style>
  <w:style w:type="character" w:customStyle="1" w:styleId="UnresolvedMention">
    <w:name w:val="Unresolved Mention"/>
    <w:basedOn w:val="DefaultParagraphFont"/>
    <w:uiPriority w:val="99"/>
    <w:semiHidden/>
    <w:unhideWhenUsed/>
    <w:rsid w:val="00457574"/>
    <w:rPr>
      <w:color w:val="605E5C"/>
      <w:shd w:val="clear" w:color="auto" w:fill="E1DFDD"/>
    </w:rPr>
  </w:style>
  <w:style w:type="paragraph" w:customStyle="1" w:styleId="akapitzlist">
    <w:name w:val="akapitzlist"/>
    <w:basedOn w:val="Normal"/>
    <w:rsid w:val="008313C0"/>
    <w:pPr>
      <w:spacing w:before="100" w:beforeAutospacing="1" w:after="100" w:afterAutospacing="1"/>
    </w:pPr>
    <w:rPr>
      <w:rFonts w:eastAsiaTheme="minorHAnsi"/>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4283798">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09663450">
      <w:bodyDiv w:val="1"/>
      <w:marLeft w:val="0"/>
      <w:marRight w:val="0"/>
      <w:marTop w:val="0"/>
      <w:marBottom w:val="0"/>
      <w:divBdr>
        <w:top w:val="none" w:sz="0" w:space="0" w:color="auto"/>
        <w:left w:val="none" w:sz="0" w:space="0" w:color="auto"/>
        <w:bottom w:val="none" w:sz="0" w:space="0" w:color="auto"/>
        <w:right w:val="none" w:sz="0" w:space="0" w:color="auto"/>
      </w:divBdr>
    </w:div>
    <w:div w:id="113646929">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6780033">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3749510">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2849275">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51230216">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49554637">
      <w:bodyDiv w:val="1"/>
      <w:marLeft w:val="0"/>
      <w:marRight w:val="0"/>
      <w:marTop w:val="0"/>
      <w:marBottom w:val="0"/>
      <w:divBdr>
        <w:top w:val="none" w:sz="0" w:space="0" w:color="auto"/>
        <w:left w:val="none" w:sz="0" w:space="0" w:color="auto"/>
        <w:bottom w:val="none" w:sz="0" w:space="0" w:color="auto"/>
        <w:right w:val="none" w:sz="0" w:space="0" w:color="auto"/>
      </w:divBdr>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678773327">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1237095">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26231114">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5999709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3489030">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0824871">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77110284">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239832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6304046">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32581362">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47835654">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46741539">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7049333">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md/meetingdoc.asp?lang=en&amp;parent=S19-CL-C-0035" TargetMode="External"/><Relationship Id="rId117" Type="http://schemas.openxmlformats.org/officeDocument/2006/relationships/hyperlink" Target="https://www.itu.int/net4/itu-t/roadmap" TargetMode="External"/><Relationship Id="rId21" Type="http://schemas.openxmlformats.org/officeDocument/2006/relationships/hyperlink" Target="http://www.itu.int/md/S19-CL-C-0047/en" TargetMode="External"/><Relationship Id="rId42" Type="http://schemas.openxmlformats.org/officeDocument/2006/relationships/hyperlink" Target="https://www.itu.int/en/ITU-D/Regional-Presence/CIS/Pages/EVENTS/2019/02_Minsk/02_Minsk.aspx" TargetMode="External"/><Relationship Id="rId47" Type="http://schemas.openxmlformats.org/officeDocument/2006/relationships/hyperlink" Target="https://www.itu.int/en/ITU-T/studygroups/2017-2020/17/Pages/cybex.aspx" TargetMode="External"/><Relationship Id="rId63" Type="http://schemas.openxmlformats.org/officeDocument/2006/relationships/hyperlink" Target="https://www.itu.int/md/meetingdoc.asp?lang=en&amp;parent=S19-CWGWSIS34-C-0003" TargetMode="External"/><Relationship Id="rId68" Type="http://schemas.openxmlformats.org/officeDocument/2006/relationships/hyperlink" Target="https://www.itu.int/md/meetingdoc.asp?lang=en&amp;parent=S19-CWGWSIS34-C-0007" TargetMode="External"/><Relationship Id="rId84" Type="http://schemas.openxmlformats.org/officeDocument/2006/relationships/hyperlink" Target="https://www.itu.int/md/meetingdoc.asp?lang=en&amp;parent=S19-RCLINTPOL12-C-0002" TargetMode="External"/><Relationship Id="rId89" Type="http://schemas.openxmlformats.org/officeDocument/2006/relationships/hyperlink" Target="https://www.itu.int/net4/wsis/forum/2019/Agenda/ViewSession/240" TargetMode="External"/><Relationship Id="rId112" Type="http://schemas.openxmlformats.org/officeDocument/2006/relationships/hyperlink" Target="https://www.itu.int/md/meetingdoc.asp?lang=en&amp;parent=S19-CL-C-0038" TargetMode="External"/><Relationship Id="rId133" Type="http://schemas.openxmlformats.org/officeDocument/2006/relationships/hyperlink" Target="https://www.itu.int/en/ITU-T/Workshops-and-Seminars/gsw/201910/Pages/programme-06.aspx" TargetMode="External"/><Relationship Id="rId138" Type="http://schemas.openxmlformats.org/officeDocument/2006/relationships/hyperlink" Target="https://www.itu.int/en/ITU-T/Workshops-and-Seminars/gsw/201910/Pages/programme-05.aspx" TargetMode="External"/><Relationship Id="rId154" Type="http://schemas.openxmlformats.org/officeDocument/2006/relationships/hyperlink" Target="https://www.itu.int/en/ITU-T/extcoop/figisymposium/2019/Pages/default.aspx" TargetMode="External"/><Relationship Id="rId159" Type="http://schemas.openxmlformats.org/officeDocument/2006/relationships/hyperlink" Target="https://www.itu.int/md/meetingdoc.asp?lang=en&amp;parent=S19-CL-C-0035" TargetMode="External"/><Relationship Id="rId170" Type="http://schemas.openxmlformats.org/officeDocument/2006/relationships/header" Target="header3.xml"/><Relationship Id="rId16" Type="http://schemas.openxmlformats.org/officeDocument/2006/relationships/endnotes" Target="endnotes.xml"/><Relationship Id="rId107" Type="http://schemas.openxmlformats.org/officeDocument/2006/relationships/hyperlink" Target="https://www.itu.int/en/ITU-T/Workshops-and-Seminars/bsg/201910/Pages/default.aspx" TargetMode="External"/><Relationship Id="rId11" Type="http://schemas.openxmlformats.org/officeDocument/2006/relationships/numbering" Target="numbering.xml"/><Relationship Id="rId32" Type="http://schemas.openxmlformats.org/officeDocument/2006/relationships/hyperlink" Target="https://www.itu.int/md/meetingdoc.asp?lang=en&amp;parent=S19-CL-C-0033" TargetMode="External"/><Relationship Id="rId37" Type="http://schemas.openxmlformats.org/officeDocument/2006/relationships/hyperlink" Target="https://www.itu.int/md/meetingdoc.asp?lang=en&amp;parent=S19-CL-C-0033" TargetMode="External"/><Relationship Id="rId53" Type="http://schemas.openxmlformats.org/officeDocument/2006/relationships/hyperlink" Target="https://www.itu.int/en/ITU-T/studygroups/2017-2020/17/Pages/default.aspx" TargetMode="External"/><Relationship Id="rId58" Type="http://schemas.openxmlformats.org/officeDocument/2006/relationships/hyperlink" Target="https://www.itu.int/md/meetingdoc.asp?lang=en&amp;parent=S19-RCLINTPOL13-C-0003" TargetMode="External"/><Relationship Id="rId74" Type="http://schemas.openxmlformats.org/officeDocument/2006/relationships/hyperlink" Target="https://www.itu.int/en/ITU-T/ebusiness" TargetMode="External"/><Relationship Id="rId79" Type="http://schemas.openxmlformats.org/officeDocument/2006/relationships/hyperlink" Target="http://www.itu.int/net/itu-t/cdb/ConformityDB.aspx" TargetMode="External"/><Relationship Id="rId102" Type="http://schemas.openxmlformats.org/officeDocument/2006/relationships/hyperlink" Target="https://www.itu.int/rec/T-REC-H.870" TargetMode="External"/><Relationship Id="rId123" Type="http://schemas.openxmlformats.org/officeDocument/2006/relationships/hyperlink" Target="https://www.itu.int/net4/wsis/forum/2019/Agenda/ViewSession/296" TargetMode="External"/><Relationship Id="rId128" Type="http://schemas.openxmlformats.org/officeDocument/2006/relationships/hyperlink" Target="https://www.itu.int/en/ITU-T/studygroups/2017-2020/20/sg20rgafr/201903/Pages/default.aspx" TargetMode="External"/><Relationship Id="rId144" Type="http://schemas.openxmlformats.org/officeDocument/2006/relationships/hyperlink" Target="https://www.itu.int/en/ITU-T/ssc/united/Documents/U4SSC-Snapshots/City_Snapshot_Alesund_Norway.pdf" TargetMode="External"/><Relationship Id="rId149" Type="http://schemas.openxmlformats.org/officeDocument/2006/relationships/hyperlink" Target="https://www.itu.int/en/ITU-T/ssc/united/Documents/pully-under-the-microscope-u4ssc-E.pdf" TargetMode="External"/><Relationship Id="rId5" Type="http://schemas.openxmlformats.org/officeDocument/2006/relationships/customXml" Target="../customXml/item5.xml"/><Relationship Id="rId90" Type="http://schemas.openxmlformats.org/officeDocument/2006/relationships/hyperlink" Target="https://www.itu.int/en/ITU-T/climatechange/symposia/201905/Pages/default.aspx" TargetMode="External"/><Relationship Id="rId95" Type="http://schemas.openxmlformats.org/officeDocument/2006/relationships/hyperlink" Target="https://www.itu.int/en/ITU-T/studygroups/2017-2020/05/sg5rgafr/201903/Pages/default.aspx" TargetMode="External"/><Relationship Id="rId160" Type="http://schemas.openxmlformats.org/officeDocument/2006/relationships/hyperlink" Target="https://www.itu.int/en/ITU-T/Workshops-and-Seminars/bsg/20191022/Pages/default.aspx" TargetMode="External"/><Relationship Id="rId165" Type="http://schemas.openxmlformats.org/officeDocument/2006/relationships/hyperlink" Target="https://www.itu.int/md/meetingdoc.asp?lang=en&amp;parent=S19-CL-C-0035" TargetMode="External"/><Relationship Id="rId22" Type="http://schemas.openxmlformats.org/officeDocument/2006/relationships/hyperlink" Target="http://www.itu.int/md/S19-CL-C-0120/en" TargetMode="External"/><Relationship Id="rId27" Type="http://schemas.openxmlformats.org/officeDocument/2006/relationships/hyperlink" Target="https://www.itu.int/md/meetingdoc.asp?lang=en&amp;parent=S19-CL-C-0035" TargetMode="External"/><Relationship Id="rId43" Type="http://schemas.openxmlformats.org/officeDocument/2006/relationships/hyperlink" Target="https://www.itu.int/md/T17-TSAG-190923-TD-GEN-0466" TargetMode="External"/><Relationship Id="rId48" Type="http://schemas.openxmlformats.org/officeDocument/2006/relationships/hyperlink" Target="https://www.itu.int/md/meetingdoc.asp?lang=en&amp;parent=S19-CL-C-0018" TargetMode="External"/><Relationship Id="rId64" Type="http://schemas.openxmlformats.org/officeDocument/2006/relationships/hyperlink" Target="https://www.itu.int/md/meetingdoc.asp?lang=en&amp;parent=S19-CWGWSIS34-C-0002" TargetMode="External"/><Relationship Id="rId69" Type="http://schemas.openxmlformats.org/officeDocument/2006/relationships/hyperlink" Target="https://www.itu.int/md/meetingdoc.asp?lang=en&amp;parent=S19-CL-C-0029" TargetMode="External"/><Relationship Id="rId113" Type="http://schemas.openxmlformats.org/officeDocument/2006/relationships/hyperlink" Target="https://www.itu.int/net/itu-t/ls/ls.aspx?isn=21666" TargetMode="External"/><Relationship Id="rId118" Type="http://schemas.openxmlformats.org/officeDocument/2006/relationships/hyperlink" Target="https://www.itu.int/en/ITU-T/Workshops-and-Seminars/201812/Pages/default.aspx" TargetMode="External"/><Relationship Id="rId134" Type="http://schemas.openxmlformats.org/officeDocument/2006/relationships/hyperlink" Target="https://www.itu.int/en/ITU-T/Workshops-and-Seminars/gsw/201910/Pages/programme-07.aspx" TargetMode="External"/><Relationship Id="rId139" Type="http://schemas.openxmlformats.org/officeDocument/2006/relationships/hyperlink" Target="https://www.itu.int/en/ITU-T/Workshops-and-Seminars/gsw/201910/Pages/default.aspx" TargetMode="External"/><Relationship Id="rId80" Type="http://schemas.openxmlformats.org/officeDocument/2006/relationships/hyperlink" Target="https://www.itu.int/md/T17-TSB-CIR-0208/en" TargetMode="External"/><Relationship Id="rId85" Type="http://schemas.openxmlformats.org/officeDocument/2006/relationships/hyperlink" Target="https://www.itu.int/md/meetingdoc.asp?lang=en&amp;parent=S19-RCLINTPOL13-C-0003" TargetMode="External"/><Relationship Id="rId150" Type="http://schemas.openxmlformats.org/officeDocument/2006/relationships/hyperlink" Target="https://www.itu.int/en/ITU-T/ssc/united/Documents/pully-%C3%A0-la-loupe-indicateurs-u4ssc-F.pdf" TargetMode="External"/><Relationship Id="rId155" Type="http://schemas.openxmlformats.org/officeDocument/2006/relationships/hyperlink" Target="https://www.itu.int/md/meetingdoc.asp?lang=en&amp;parent=S19-CL-C-0035" TargetMode="External"/><Relationship Id="rId171" Type="http://schemas.openxmlformats.org/officeDocument/2006/relationships/footer" Target="footer2.xml"/><Relationship Id="rId12" Type="http://schemas.openxmlformats.org/officeDocument/2006/relationships/styles" Target="styles.xml"/><Relationship Id="rId17" Type="http://schemas.openxmlformats.org/officeDocument/2006/relationships/header" Target="header1.xml"/><Relationship Id="rId33" Type="http://schemas.openxmlformats.org/officeDocument/2006/relationships/hyperlink" Target="https://www.itu.int/md/meetingdoc.asp?lang=en&amp;parent=S19-RCLINTPOL12-C-0002" TargetMode="External"/><Relationship Id="rId38" Type="http://schemas.openxmlformats.org/officeDocument/2006/relationships/hyperlink" Target="https://www.itu.int/en/ITU-T/wtsa20/gss/Pages/default.aspx" TargetMode="External"/><Relationship Id="rId59" Type="http://schemas.openxmlformats.org/officeDocument/2006/relationships/hyperlink" Target="https://www.itu.int/md/meetingdoc.asp?lang=en&amp;parent=S19-CL-C-0033" TargetMode="External"/><Relationship Id="rId103" Type="http://schemas.openxmlformats.org/officeDocument/2006/relationships/hyperlink" Target="https://news.itu.int/celebrating-power-music-and-safe-listening-itu-who/" TargetMode="External"/><Relationship Id="rId108" Type="http://schemas.openxmlformats.org/officeDocument/2006/relationships/hyperlink" Target="https://www.itu.int/en/ITU-T/Workshops-and-Seminars/bsg/20191022/Pages/default.aspx" TargetMode="External"/><Relationship Id="rId124" Type="http://schemas.openxmlformats.org/officeDocument/2006/relationships/hyperlink" Target="https://www.itu.int/net4/wsis/forum/2019/Agenda/ViewSession/277" TargetMode="External"/><Relationship Id="rId129" Type="http://schemas.openxmlformats.org/officeDocument/2006/relationships/hyperlink" Target="https://www.itu.int/en/ITU-T/climatechange/Pages/201909.aspx" TargetMode="External"/><Relationship Id="rId54" Type="http://schemas.openxmlformats.org/officeDocument/2006/relationships/hyperlink" Target="https://www.itu.int/pub/T-TUT-SEC-2016" TargetMode="External"/><Relationship Id="rId70" Type="http://schemas.openxmlformats.org/officeDocument/2006/relationships/hyperlink" Target="https://www.itu.int/en/ITU-T/academia/kaleidoscope/2018/Pages/default.aspx" TargetMode="External"/><Relationship Id="rId75" Type="http://schemas.openxmlformats.org/officeDocument/2006/relationships/hyperlink" Target="https://www.itu.int/rec/T-REC-F.921" TargetMode="External"/><Relationship Id="rId91" Type="http://schemas.openxmlformats.org/officeDocument/2006/relationships/hyperlink" Target="https://www.itu.int/en/ITU-T/studygroups/2017-2020/05/Pages/event-20190514.aspx" TargetMode="External"/><Relationship Id="rId96" Type="http://schemas.openxmlformats.org/officeDocument/2006/relationships/hyperlink" Target="https://www.itu.int/en/ITU-T/climatechange/Pages/1st-Digital-African-Week.aspx" TargetMode="External"/><Relationship Id="rId140" Type="http://schemas.openxmlformats.org/officeDocument/2006/relationships/hyperlink" Target="https://www.itu.int/en/publications/Documents/tsb/2018-U4SSC-Case-of-Moscow/index.html" TargetMode="External"/><Relationship Id="rId145" Type="http://schemas.openxmlformats.org/officeDocument/2006/relationships/hyperlink" Target="https://www.itu.int/en/ITU-T/ssc/united/Documents/U4SSC-Snapshots/City_Snapshot_Bizerte_Tunisia.pdf" TargetMode="External"/><Relationship Id="rId161" Type="http://schemas.openxmlformats.org/officeDocument/2006/relationships/hyperlink" Target="https://www.itu.int/en/journal/002/Pages/default.aspx" TargetMode="External"/><Relationship Id="rId166" Type="http://schemas.openxmlformats.org/officeDocument/2006/relationships/hyperlink" Target="https://www.itu.int/md/meetingdoc.asp?lang=en&amp;parent=S19-CL-INF-0011"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footnotes" Target="footnotes.xml"/><Relationship Id="rId23" Type="http://schemas.openxmlformats.org/officeDocument/2006/relationships/hyperlink" Target="https://www.itu.int/md/meetingdoc.asp?lang=en&amp;parent=T17-TSAG-181210-TD-GEN-0324" TargetMode="External"/><Relationship Id="rId28" Type="http://schemas.openxmlformats.org/officeDocument/2006/relationships/hyperlink" Target="https://www.itu.int/md/meetingdoc.asp?lang=en&amp;parent=S19-CL-C-0015" TargetMode="External"/><Relationship Id="rId36" Type="http://schemas.openxmlformats.org/officeDocument/2006/relationships/hyperlink" Target="https://www.itu.int/md/meetingdoc.asp?lang=en&amp;parent=S19-RCLINTPOL13-C-0003" TargetMode="External"/><Relationship Id="rId49" Type="http://schemas.openxmlformats.org/officeDocument/2006/relationships/hyperlink" Target="https://www.itu.int/en/ITU-T/studygroups/2017-2020/17/Pages/cybex.aspx" TargetMode="External"/><Relationship Id="rId57" Type="http://schemas.openxmlformats.org/officeDocument/2006/relationships/hyperlink" Target="https://www.itu.int/md/meetingdoc.asp?lang=en&amp;parent=S19-RCLINTPOL12-C-0002" TargetMode="External"/><Relationship Id="rId106" Type="http://schemas.openxmlformats.org/officeDocument/2006/relationships/hyperlink" Target="https://www.itu.int/md/meetingdoc.asp?lang=en&amp;parent=S19-CL-C-0035" TargetMode="External"/><Relationship Id="rId114" Type="http://schemas.openxmlformats.org/officeDocument/2006/relationships/hyperlink" Target="https://www.itu.int/ifa/t/2017/ls/tsag/sp16-tsag-oLS-00022.zip" TargetMode="External"/><Relationship Id="rId119" Type="http://schemas.openxmlformats.org/officeDocument/2006/relationships/hyperlink" Target="https://www.itu.int/en/ITU-T/studygroups/2017-2020/20/Pages/default.aspx" TargetMode="External"/><Relationship Id="rId127" Type="http://schemas.openxmlformats.org/officeDocument/2006/relationships/hyperlink" Target="https://www.itu.int/en/ITU-T/studygroups/2017-2020/20/sg20rgafr/20190827/Pages/default.aspx" TargetMode="External"/><Relationship Id="rId10" Type="http://schemas.openxmlformats.org/officeDocument/2006/relationships/customXml" Target="../customXml/item10.xml"/><Relationship Id="rId31" Type="http://schemas.openxmlformats.org/officeDocument/2006/relationships/hyperlink" Target="https://www.itu.int/md/meetingdoc.asp?lang=en&amp;parent=S19-RCLINTPOL13-C-0003" TargetMode="External"/><Relationship Id="rId44" Type="http://schemas.openxmlformats.org/officeDocument/2006/relationships/hyperlink" Target="https://www.itu.int/md/meetingdoc.asp?lang=en&amp;parent=T17-SG13-190304-TD-PLEN-0172" TargetMode="External"/><Relationship Id="rId52" Type="http://schemas.openxmlformats.org/officeDocument/2006/relationships/hyperlink" Target="https://www.itu.int/en/ITU-T/studygroups/2017-2020/17" TargetMode="External"/><Relationship Id="rId60" Type="http://schemas.openxmlformats.org/officeDocument/2006/relationships/hyperlink" Target="https://www.itu.int/md/meetingdoc.asp?lang=en&amp;parent=S19-CWGWSIS34-C-0010" TargetMode="External"/><Relationship Id="rId65" Type="http://schemas.openxmlformats.org/officeDocument/2006/relationships/hyperlink" Target="https://itu.int/go/wtisd2019" TargetMode="External"/><Relationship Id="rId73" Type="http://schemas.openxmlformats.org/officeDocument/2006/relationships/hyperlink" Target="http://www.itu.int/en/ITU-T/jca/ahf/Pages/default.aspx" TargetMode="External"/><Relationship Id="rId78" Type="http://schemas.openxmlformats.org/officeDocument/2006/relationships/hyperlink" Target="https://www.itu.int/md/meetingdoc.asp?lang=en&amp;parent=T17-TSAG-200210-TD-GEN-0657" TargetMode="External"/><Relationship Id="rId81" Type="http://schemas.openxmlformats.org/officeDocument/2006/relationships/hyperlink" Target="https://www.itu.int/md/meetingdoc.asp?lang=en&amp;parent=T17-TSAG-200210-TD-GEN-0657" TargetMode="External"/><Relationship Id="rId86" Type="http://schemas.openxmlformats.org/officeDocument/2006/relationships/hyperlink" Target="https://www.itu.int/md/meetingdoc.asp?lang=en&amp;parent=S19-CL-C-0033" TargetMode="External"/><Relationship Id="rId94" Type="http://schemas.openxmlformats.org/officeDocument/2006/relationships/hyperlink" Target="https://www.itu.int/en/ITU-T/climatechange/Pages/20190709.aspx" TargetMode="External"/><Relationship Id="rId99" Type="http://schemas.openxmlformats.org/officeDocument/2006/relationships/hyperlink" Target="https://www.itu.int/en/ITU-T/climatechange/Pages/20191014-forum.aspx" TargetMode="External"/><Relationship Id="rId101" Type="http://schemas.openxmlformats.org/officeDocument/2006/relationships/hyperlink" Target="https://www.itu.int/en/ITU-T/studygroups/2017-2020/16/Pages/rm/ehealth.aspx" TargetMode="External"/><Relationship Id="rId122" Type="http://schemas.openxmlformats.org/officeDocument/2006/relationships/hyperlink" Target="https://www.energypact.org/" TargetMode="External"/><Relationship Id="rId130" Type="http://schemas.openxmlformats.org/officeDocument/2006/relationships/hyperlink" Target="https://www.itu.int/en/ITU-T/Workshops-and-Seminars/gsw/201910/Pages/default.aspx" TargetMode="External"/><Relationship Id="rId135" Type="http://schemas.openxmlformats.org/officeDocument/2006/relationships/hyperlink" Target="https://www.itu.int/en/ITU-T/Workshops-and-Seminars/gsw/201910/Pages/programme-05.aspx" TargetMode="External"/><Relationship Id="rId143" Type="http://schemas.openxmlformats.org/officeDocument/2006/relationships/hyperlink" Target="https://www.itu.int/en/ITU-T/ssc/united/Pages/U4SSC-IP.aspx" TargetMode="External"/><Relationship Id="rId148" Type="http://schemas.openxmlformats.org/officeDocument/2006/relationships/hyperlink" Target="https://www.itu.int/en/ITU-T/ssc/united/Documents/U4SSC-Snapshots/City_Snapshot_Pully_Switzerland.pdf" TargetMode="External"/><Relationship Id="rId151" Type="http://schemas.openxmlformats.org/officeDocument/2006/relationships/hyperlink" Target="https://www.itu.int/en/ITU-T/climatechange/Pages/20191014-meeting.aspx" TargetMode="External"/><Relationship Id="rId156" Type="http://schemas.openxmlformats.org/officeDocument/2006/relationships/hyperlink" Target="https://www.itu.int/md/meetingdoc.asp?lang=en&amp;parent=S19-RCLINTPOL12-C-0002" TargetMode="External"/><Relationship Id="rId164" Type="http://schemas.openxmlformats.org/officeDocument/2006/relationships/hyperlink" Target="http://www.itu.int/md/T17-TSB-CIR-0202" TargetMode="External"/><Relationship Id="rId16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72" Type="http://schemas.openxmlformats.org/officeDocument/2006/relationships/fontTable" Target="fontTable.xml"/><Relationship Id="rId13" Type="http://schemas.openxmlformats.org/officeDocument/2006/relationships/settings" Target="settings.xml"/><Relationship Id="rId18" Type="http://schemas.openxmlformats.org/officeDocument/2006/relationships/hyperlink" Target="https://www.itu.int/md/meetingdoc.asp?lang=en&amp;parent=S19-CL-C-0035" TargetMode="External"/><Relationship Id="rId39" Type="http://schemas.openxmlformats.org/officeDocument/2006/relationships/hyperlink" Target="https://www.itu.int/md/T17-TSAG-190923-TD-GEN-0467" TargetMode="External"/><Relationship Id="rId109" Type="http://schemas.openxmlformats.org/officeDocument/2006/relationships/hyperlink" Target="https://www.itu.int/en/ITU-T/Workshops-and-Seminars/20180425a/Pages/default.aspx" TargetMode="External"/><Relationship Id="rId34" Type="http://schemas.openxmlformats.org/officeDocument/2006/relationships/hyperlink" Target="https://www.itu.int/md/meetingdoc.asp?lang=en&amp;parent=S19-RCLINTPOL13-C-0003" TargetMode="External"/><Relationship Id="rId50" Type="http://schemas.openxmlformats.org/officeDocument/2006/relationships/hyperlink" Target="https://www.itu.int/md/T17-TSAG-190923-TD-GEN-0467" TargetMode="External"/><Relationship Id="rId55" Type="http://schemas.openxmlformats.org/officeDocument/2006/relationships/hyperlink" Target="https://www.itu.int/dms_pub/itu-t/opb/tut/T-TUT-SEC-2015-PDF-E.pdf" TargetMode="External"/><Relationship Id="rId76" Type="http://schemas.openxmlformats.org/officeDocument/2006/relationships/hyperlink" Target="https://www.itu.int/rec/T-REC-F.930-201803-I" TargetMode="External"/><Relationship Id="rId97" Type="http://schemas.openxmlformats.org/officeDocument/2006/relationships/hyperlink" Target="https://www.itu.int/en/ITU-T/Workshops-and-Seminars/gsw/201910/Pages/programme-04.aspx" TargetMode="External"/><Relationship Id="rId104" Type="http://schemas.openxmlformats.org/officeDocument/2006/relationships/hyperlink" Target="https://www.itu.int/md/S18-CL-C-0107/en" TargetMode="External"/><Relationship Id="rId120" Type="http://schemas.openxmlformats.org/officeDocument/2006/relationships/hyperlink" Target="https://www.itu.int/en/ITU-D/Regional-Presence/CIS/Pages/EVENTS/2019/02_Minsk/02_Minsk.aspx" TargetMode="External"/><Relationship Id="rId125" Type="http://schemas.openxmlformats.org/officeDocument/2006/relationships/hyperlink" Target="https://iotweek.org/iot-week-2019-aarhus/" TargetMode="External"/><Relationship Id="rId141" Type="http://schemas.openxmlformats.org/officeDocument/2006/relationships/hyperlink" Target="https://www.itu.int/en/ITU-T/ssc/united/Pages/default.aspx" TargetMode="External"/><Relationship Id="rId146" Type="http://schemas.openxmlformats.org/officeDocument/2006/relationships/hyperlink" Target="https://www.itu.int/en/ITU-T/ssc/united/Documents/U4SSC-Snapshots/City_Snapshot_Moscow_Russia.pdf" TargetMode="External"/><Relationship Id="rId167" Type="http://schemas.openxmlformats.org/officeDocument/2006/relationships/hyperlink" Target="https://www.itu.int/md/T17-TSAG-181210-TD-GEN-0300" TargetMode="External"/><Relationship Id="rId7" Type="http://schemas.openxmlformats.org/officeDocument/2006/relationships/customXml" Target="../customXml/item7.xml"/><Relationship Id="rId71" Type="http://schemas.openxmlformats.org/officeDocument/2006/relationships/hyperlink" Target="https://www.itu.int/en/ITU-T/academia/kaleidoscope/2019/Pages/default.aspx" TargetMode="External"/><Relationship Id="rId92" Type="http://schemas.openxmlformats.org/officeDocument/2006/relationships/hyperlink" Target="https://www.itu.int/en/ITU-T/studygroups/2017-2020/05/Pages/event-20190520.aspx" TargetMode="External"/><Relationship Id="rId162" Type="http://schemas.openxmlformats.org/officeDocument/2006/relationships/hyperlink" Target="https://www.itu.int/en/journal/2019/001/Pages/default.aspx" TargetMode="External"/><Relationship Id="rId2" Type="http://schemas.openxmlformats.org/officeDocument/2006/relationships/customXml" Target="../customXml/item2.xml"/><Relationship Id="rId29" Type="http://schemas.openxmlformats.org/officeDocument/2006/relationships/hyperlink" Target="https://www.itu.int/md/meetingdoc.asp?lang=en&amp;parent=S19-CL-C-0028" TargetMode="External"/><Relationship Id="rId24" Type="http://schemas.openxmlformats.org/officeDocument/2006/relationships/hyperlink" Target="https://www.itu.int/md/meetingdoc.asp?lang=en&amp;parent=T17-TSAG-200210-TD-GEN-0664" TargetMode="External"/><Relationship Id="rId40" Type="http://schemas.openxmlformats.org/officeDocument/2006/relationships/hyperlink" Target="https://www.itu.int/en/ITU-T/Workshops-and-Seminars/bsg/201910/Pages/default.aspx" TargetMode="External"/><Relationship Id="rId45" Type="http://schemas.openxmlformats.org/officeDocument/2006/relationships/hyperlink" Target="https://www.itu.int/md/meetingdoc.asp?lang=en&amp;parent=T17-SG13-190304-TD-PLEN-0170" TargetMode="External"/><Relationship Id="rId66" Type="http://schemas.openxmlformats.org/officeDocument/2006/relationships/hyperlink" Target="https://www.itu.int/md/meetingdoc.asp?lang=en&amp;parent=S19-CWGWSIS34-C-0011" TargetMode="External"/><Relationship Id="rId87" Type="http://schemas.openxmlformats.org/officeDocument/2006/relationships/hyperlink" Target="https://www.itu.int/md/S19-CL-C-0018/en" TargetMode="External"/><Relationship Id="rId110" Type="http://schemas.openxmlformats.org/officeDocument/2006/relationships/hyperlink" Target="https://www.itu.int/en/ITU-T/studygroups/2017-2020/02/sg2rgarb/Pages/default.aspx" TargetMode="External"/><Relationship Id="rId115" Type="http://schemas.openxmlformats.org/officeDocument/2006/relationships/hyperlink" Target="https://www.itu.int/md/meetingdoc.asp?lang=en&amp;parent=S19-CL-C-0035" TargetMode="External"/><Relationship Id="rId131" Type="http://schemas.openxmlformats.org/officeDocument/2006/relationships/hyperlink" Target="https://www.itu.int/en/ITU-T/Workshops-and-Seminars/gsw/201910/Pages/programme-02.aspx" TargetMode="External"/><Relationship Id="rId136" Type="http://schemas.openxmlformats.org/officeDocument/2006/relationships/hyperlink" Target="https://www.itu.int/en/ITU-T/Workshops-and-Seminars/gsw/201910/Pages/programme-08.aspx" TargetMode="External"/><Relationship Id="rId157" Type="http://schemas.openxmlformats.org/officeDocument/2006/relationships/hyperlink" Target="https://www.itu.int/md/meetingdoc.asp?lang=en&amp;parent=S19-RCLINTPOL13-C-0003" TargetMode="External"/><Relationship Id="rId61" Type="http://schemas.openxmlformats.org/officeDocument/2006/relationships/hyperlink" Target="https://www.itu.int/md/T17-TSAG-181210-TD-GEN-0396" TargetMode="External"/><Relationship Id="rId82" Type="http://schemas.openxmlformats.org/officeDocument/2006/relationships/hyperlink" Target="https://www.itu.int/md/meetingdoc.asp?lang=en&amp;parent=T17-TSAG-200210-TD-GEN-0657" TargetMode="External"/><Relationship Id="rId152" Type="http://schemas.openxmlformats.org/officeDocument/2006/relationships/hyperlink" Target="https://www.itu.int/md/meetingdoc.asp?lang=en&amp;parent=S19-CL-C-0035" TargetMode="External"/><Relationship Id="rId173" Type="http://schemas.openxmlformats.org/officeDocument/2006/relationships/theme" Target="theme/theme1.xml"/><Relationship Id="rId19" Type="http://schemas.openxmlformats.org/officeDocument/2006/relationships/hyperlink" Target="https://www.itu.int/md/S17-CL-C-0133/en" TargetMode="External"/><Relationship Id="rId14" Type="http://schemas.openxmlformats.org/officeDocument/2006/relationships/webSettings" Target="webSettings.xml"/><Relationship Id="rId30" Type="http://schemas.openxmlformats.org/officeDocument/2006/relationships/hyperlink" Target="https://www.itu.int/md/meetingdoc.asp?lang=en&amp;parent=S19-RCLINTPOL12-C-0002" TargetMode="External"/><Relationship Id="rId35" Type="http://schemas.openxmlformats.org/officeDocument/2006/relationships/hyperlink" Target="https://www.itu.int/md/meetingdoc.asp?lang=en&amp;parent=S19-RCLINTPOL12-C-0002" TargetMode="External"/><Relationship Id="rId56" Type="http://schemas.openxmlformats.org/officeDocument/2006/relationships/hyperlink" Target="http://www.itu.int/ITU-T/inr/enum/" TargetMode="External"/><Relationship Id="rId77" Type="http://schemas.openxmlformats.org/officeDocument/2006/relationships/hyperlink" Target="https://www.itu.int/md/meetingdoc.asp?lang=en&amp;parent=S19-CL-C-0035" TargetMode="External"/><Relationship Id="rId100" Type="http://schemas.openxmlformats.org/officeDocument/2006/relationships/hyperlink" Target="http://www.itu.int/go/fgai4h" TargetMode="External"/><Relationship Id="rId105" Type="http://schemas.openxmlformats.org/officeDocument/2006/relationships/hyperlink" Target="https://www.itu.int/md/S18-CL-C-0107/en" TargetMode="External"/><Relationship Id="rId126" Type="http://schemas.openxmlformats.org/officeDocument/2006/relationships/hyperlink" Target="https://www.itu.int/en/ITU-T/climatechange/Pages/1st-Digital-African-Week.aspx" TargetMode="External"/><Relationship Id="rId147" Type="http://schemas.openxmlformats.org/officeDocument/2006/relationships/hyperlink" Target="https://www.itu.int/en/ITU-T/ssc/united/Documents/U4SSC-Snapshots/City_Snapshot_Riyadh_Saudi-Arabia.pdf" TargetMode="External"/><Relationship Id="rId168" Type="http://schemas.openxmlformats.org/officeDocument/2006/relationships/header" Target="header2.xml"/><Relationship Id="rId8" Type="http://schemas.openxmlformats.org/officeDocument/2006/relationships/customXml" Target="../customXml/item8.xml"/><Relationship Id="rId51" Type="http://schemas.openxmlformats.org/officeDocument/2006/relationships/hyperlink" Target="https://www.itu.int/md/T17-TSAG-200210-TD-GEN-0657" TargetMode="External"/><Relationship Id="rId72" Type="http://schemas.openxmlformats.org/officeDocument/2006/relationships/hyperlink" Target="http://www.itu.int/en/ITU-T/jca/ahf/Pages/default.aspx" TargetMode="External"/><Relationship Id="rId93" Type="http://schemas.openxmlformats.org/officeDocument/2006/relationships/hyperlink" Target="https://www.itu.int/en/ITU-T/studygroups/2017-2020/05/Pages/event-20190515.aspx" TargetMode="External"/><Relationship Id="rId98" Type="http://schemas.openxmlformats.org/officeDocument/2006/relationships/hyperlink" Target="https://www.itu.int/en/ITU-T/Workshops-and-Seminars/gsw/201910/Pages/default.aspx" TargetMode="External"/><Relationship Id="rId121" Type="http://schemas.openxmlformats.org/officeDocument/2006/relationships/hyperlink" Target="https://www.itu.int/en/ITU-D/Regional-Presence/CIS/Pages/EVENTS/2019/02_Minsk/02_Minsk.aspx" TargetMode="External"/><Relationship Id="rId142" Type="http://schemas.openxmlformats.org/officeDocument/2006/relationships/hyperlink" Target="https://www.itu.int/en/publications/Documents/tsb/2018-U4SSC-Case-of-Moscow-RU/index.html" TargetMode="External"/><Relationship Id="rId163" Type="http://schemas.openxmlformats.org/officeDocument/2006/relationships/hyperlink" Target="https://www.itu.int/en/journal/2020/001/Pages/default.aspx" TargetMode="External"/><Relationship Id="rId3" Type="http://schemas.openxmlformats.org/officeDocument/2006/relationships/customXml" Target="../customXml/item3.xml"/><Relationship Id="rId25" Type="http://schemas.openxmlformats.org/officeDocument/2006/relationships/hyperlink" Target="https://www.itu.int/en/ITU-T/wtsa20/prepmeet/Pages/default.aspx" TargetMode="External"/><Relationship Id="rId46" Type="http://schemas.openxmlformats.org/officeDocument/2006/relationships/hyperlink" Target="https://www.itu.int/md/meetingdoc.asp?lang=en&amp;parent=S19-CWGWSIS34-C-0003" TargetMode="External"/><Relationship Id="rId67" Type="http://schemas.openxmlformats.org/officeDocument/2006/relationships/hyperlink" Target="http://www.wsis.org/prizes" TargetMode="External"/><Relationship Id="rId116" Type="http://schemas.openxmlformats.org/officeDocument/2006/relationships/hyperlink" Target="https://www.itu.int/en/ITU-T/jca/iot/Pages/default.aspx" TargetMode="External"/><Relationship Id="rId137" Type="http://schemas.openxmlformats.org/officeDocument/2006/relationships/hyperlink" Target="https://www.itu.int/en/ITU-T/climatechange/dpm/05/Pages/default.aspx" TargetMode="External"/><Relationship Id="rId158" Type="http://schemas.openxmlformats.org/officeDocument/2006/relationships/hyperlink" Target="https://www.itu.int/md/meetingdoc.asp?lang=en&amp;parent=S19-CL-C-0033" TargetMode="External"/><Relationship Id="rId20" Type="http://schemas.openxmlformats.org/officeDocument/2006/relationships/hyperlink" Target="https://www.itu.int/md/S17-CL-C-0134/en" TargetMode="External"/><Relationship Id="rId41" Type="http://schemas.openxmlformats.org/officeDocument/2006/relationships/hyperlink" Target="https://www.itu.int/en/ITU-T/Workshops-and-Seminars/bsg/20191022/Pages/default.aspx" TargetMode="External"/><Relationship Id="rId62" Type="http://schemas.openxmlformats.org/officeDocument/2006/relationships/hyperlink" Target="https://www.itu.int/md/meetingdoc.asp?lang=en&amp;parent=S19-CWGWSIS33-C-0008" TargetMode="External"/><Relationship Id="rId83" Type="http://schemas.openxmlformats.org/officeDocument/2006/relationships/hyperlink" Target="https://www.itu.int/md/meetingdoc.asp?lang=en&amp;parent=S19-CL-C-0035" TargetMode="External"/><Relationship Id="rId88" Type="http://schemas.openxmlformats.org/officeDocument/2006/relationships/hyperlink" Target="https://www.itu.int/en/ITU-T/focusgroups/ai4ee/Pages/default.aspx" TargetMode="External"/><Relationship Id="rId111" Type="http://schemas.openxmlformats.org/officeDocument/2006/relationships/hyperlink" Target="https://www.itu.int/en/ITU-T/Workshops-and-Seminars/2018120204/Pages/default.aspx" TargetMode="External"/><Relationship Id="rId132" Type="http://schemas.openxmlformats.org/officeDocument/2006/relationships/hyperlink" Target="https://www.itu.int/en/ITU-T/Workshops-and-Seminars/gsw/201910/Pages/programme-03.aspx" TargetMode="External"/><Relationship Id="rId153" Type="http://schemas.openxmlformats.org/officeDocument/2006/relationships/hyperlink" Target="https://www.itu.int/md/meetingdoc.asp?lang=en&amp;parent=S19-CL-C-00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1" ma:contentTypeDescription="Create a new document." ma:contentTypeScope="" ma:versionID="b61bf29a59bf658147a73706e998063f">
  <xsd:schema xmlns:xsd="http://www.w3.org/2001/XMLSchema" xmlns:xs="http://www.w3.org/2001/XMLSchema" xmlns:p="http://schemas.microsoft.com/office/2006/metadata/properties" xmlns:ns2="0d1600e8-004f-4c6f-afe8-0c63f3945779" targetNamespace="http://schemas.microsoft.com/office/2006/metadata/properties" ma:root="true" ma:fieldsID="dd1bcb1da1bc5c328eb547e2d10c4e77" ns2:_="">
    <xsd:import namespace="0d1600e8-004f-4c6f-afe8-0c63f394577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5817F-539F-41C7-B176-5C2C0E755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BB64C0A0-E4E5-4A16-B035-537100426608}">
  <ds:schemaRefs>
    <ds:schemaRef ds:uri="http://schemas.openxmlformats.org/officeDocument/2006/bibliography"/>
  </ds:schemaRefs>
</ds:datastoreItem>
</file>

<file path=customXml/itemProps2.xml><?xml version="1.0" encoding="utf-8"?>
<ds:datastoreItem xmlns:ds="http://schemas.openxmlformats.org/officeDocument/2006/customXml" ds:itemID="{CAB8D883-5DB7-4187-B786-3529F1F8DC3F}">
  <ds:schemaRefs>
    <ds:schemaRef ds:uri="http://schemas.openxmlformats.org/officeDocument/2006/bibliography"/>
  </ds:schemaRefs>
</ds:datastoreItem>
</file>

<file path=customXml/itemProps3.xml><?xml version="1.0" encoding="utf-8"?>
<ds:datastoreItem xmlns:ds="http://schemas.openxmlformats.org/officeDocument/2006/customXml" ds:itemID="{75B0274F-CEC8-4050-8E0A-3F949D6184AF}">
  <ds:schemaRefs>
    <ds:schemaRef ds:uri="http://schemas.openxmlformats.org/officeDocument/2006/bibliography"/>
  </ds:schemaRefs>
</ds:datastoreItem>
</file>

<file path=customXml/itemProps4.xml><?xml version="1.0" encoding="utf-8"?>
<ds:datastoreItem xmlns:ds="http://schemas.openxmlformats.org/officeDocument/2006/customXml" ds:itemID="{A60C59B8-8E3C-4065-BA95-ED592EDE1FDA}">
  <ds:schemaRefs>
    <ds:schemaRef ds:uri="http://schemas.openxmlformats.org/officeDocument/2006/bibliography"/>
  </ds:schemaRefs>
</ds:datastoreItem>
</file>

<file path=customXml/itemProps5.xml><?xml version="1.0" encoding="utf-8"?>
<ds:datastoreItem xmlns:ds="http://schemas.openxmlformats.org/officeDocument/2006/customXml" ds:itemID="{EED7269F-296F-4083-AF09-3B151EC8BD32}">
  <ds:schemaRefs>
    <ds:schemaRef ds:uri="http://schemas.openxmlformats.org/officeDocument/2006/bibliography"/>
  </ds:schemaRefs>
</ds:datastoreItem>
</file>

<file path=customXml/itemProps6.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7.xml><?xml version="1.0" encoding="utf-8"?>
<ds:datastoreItem xmlns:ds="http://schemas.openxmlformats.org/officeDocument/2006/customXml" ds:itemID="{2A43A4C2-2987-4E01-A536-D60BDADF981A}">
  <ds:schemaRefs>
    <ds:schemaRef ds:uri="http://schemas.openxmlformats.org/officeDocument/2006/bibliography"/>
  </ds:schemaRefs>
</ds:datastoreItem>
</file>

<file path=customXml/itemProps8.xml><?xml version="1.0" encoding="utf-8"?>
<ds:datastoreItem xmlns:ds="http://schemas.openxmlformats.org/officeDocument/2006/customXml" ds:itemID="{BC2FEA4A-A593-4F72-B795-E60828DBE906}">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dcmitype/"/>
    <ds:schemaRef ds:uri="http://purl.org/dc/terms/"/>
    <ds:schemaRef ds:uri="0d1600e8-004f-4c6f-afe8-0c63f3945779"/>
    <ds:schemaRef ds:uri="http://www.w3.org/XML/1998/namespace"/>
  </ds:schemaRefs>
</ds:datastoreItem>
</file>

<file path=customXml/itemProps9.xml><?xml version="1.0" encoding="utf-8"?>
<ds:datastoreItem xmlns:ds="http://schemas.openxmlformats.org/officeDocument/2006/customXml" ds:itemID="{78F10A8F-52A7-4078-AE65-9058D55DE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129</Pages>
  <Words>48114</Words>
  <Characters>274255</Characters>
  <Application>Microsoft Office Word</Application>
  <DocSecurity>0</DocSecurity>
  <Lines>2285</Lines>
  <Paragraphs>643</Paragraphs>
  <ScaleCrop>false</ScaleCrop>
  <HeadingPairs>
    <vt:vector size="2" baseType="variant">
      <vt:variant>
        <vt:lpstr>Title</vt:lpstr>
      </vt:variant>
      <vt:variant>
        <vt:i4>1</vt:i4>
      </vt:variant>
    </vt:vector>
  </HeadingPairs>
  <TitlesOfParts>
    <vt:vector size="1" baseType="lpstr">
      <vt:lpstr>PP18 Action Plan</vt:lpstr>
    </vt:vector>
  </TitlesOfParts>
  <Manager>ITU-T</Manager>
  <Company>International Telecommunication Union (ITU)</Company>
  <LinksUpToDate>false</LinksUpToDate>
  <CharactersWithSpaces>321726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PP18 Action Plan</dc:title>
  <dc:subject/>
  <dc:creator>Euchner, Martin</dc:creator>
  <cp:keywords/>
  <dc:description/>
  <cp:lastModifiedBy>Euchner, Martin</cp:lastModifiedBy>
  <cp:revision>2</cp:revision>
  <cp:lastPrinted>2016-12-22T17:35:00Z</cp:lastPrinted>
  <dcterms:created xsi:type="dcterms:W3CDTF">2020-01-24T10:00:00Z</dcterms:created>
  <dcterms:modified xsi:type="dcterms:W3CDTF">2020-01-24T10:00:00Z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